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6" w:rsidRDefault="00DD60A6" w:rsidP="00DD60A6">
      <w:pPr>
        <w:pStyle w:val="Nagwek1"/>
        <w:rPr>
          <w:rFonts w:eastAsia="Calibri"/>
        </w:rPr>
      </w:pPr>
      <w:bookmarkStart w:id="0" w:name="_Toc528083185"/>
      <w:bookmarkStart w:id="1" w:name="_GoBack"/>
      <w:bookmarkEnd w:id="1"/>
      <w:r w:rsidRPr="00DD60A6">
        <w:rPr>
          <w:rFonts w:eastAsia="Calibri"/>
        </w:rPr>
        <w:t xml:space="preserve">Załącznik </w:t>
      </w:r>
      <w:r>
        <w:rPr>
          <w:rFonts w:eastAsia="Calibri"/>
        </w:rPr>
        <w:t>3</w:t>
      </w:r>
      <w:r w:rsidRPr="00DD60A6">
        <w:rPr>
          <w:rFonts w:eastAsia="Calibri"/>
        </w:rPr>
        <w:t xml:space="preserve">: </w:t>
      </w:r>
      <w:bookmarkEnd w:id="0"/>
      <w:r>
        <w:rPr>
          <w:rFonts w:eastAsia="Calibri"/>
        </w:rPr>
        <w:t xml:space="preserve">Projekty strategiczne </w:t>
      </w:r>
      <w:r w:rsidR="0020015C" w:rsidRPr="006F593E">
        <w:rPr>
          <w:rFonts w:eastAsia="Calibri"/>
        </w:rPr>
        <w:t>PEP2030</w:t>
      </w:r>
    </w:p>
    <w:p w:rsidR="00DD60A6" w:rsidRPr="00DD60A6" w:rsidRDefault="00DD60A6" w:rsidP="00DD60A6"/>
    <w:tbl>
      <w:tblPr>
        <w:tblStyle w:val="Tabela-Siatka"/>
        <w:tblW w:w="0" w:type="auto"/>
        <w:tblLook w:val="04A0" w:firstRow="1" w:lastRow="0" w:firstColumn="1" w:lastColumn="0" w:noHBand="0" w:noVBand="1"/>
      </w:tblPr>
      <w:tblGrid>
        <w:gridCol w:w="533"/>
        <w:gridCol w:w="1755"/>
        <w:gridCol w:w="9548"/>
        <w:gridCol w:w="2158"/>
      </w:tblGrid>
      <w:tr w:rsidR="0028739C" w:rsidTr="00B904EA">
        <w:tc>
          <w:tcPr>
            <w:tcW w:w="14220" w:type="dxa"/>
            <w:gridSpan w:val="4"/>
          </w:tcPr>
          <w:p w:rsidR="0028739C" w:rsidRPr="00970685" w:rsidRDefault="00525DFC" w:rsidP="00E14034">
            <w:pPr>
              <w:rPr>
                <w:b/>
              </w:rPr>
            </w:pPr>
            <w:r w:rsidRPr="00970685">
              <w:rPr>
                <w:b/>
              </w:rPr>
              <w:t>Kierunek interwencji:</w:t>
            </w:r>
            <w:r w:rsidRPr="00970685">
              <w:rPr>
                <w:rFonts w:eastAsia="Times New Roman" w:cs="Arial"/>
                <w:b/>
                <w:bCs/>
                <w:lang w:eastAsia="pl-PL"/>
              </w:rPr>
              <w:t xml:space="preserve"> Likwidacja źródeł emisji zanieczyszczeń powietrza lub istotne zmniejszenie ich oddziaływania</w:t>
            </w:r>
          </w:p>
        </w:tc>
      </w:tr>
      <w:tr w:rsidR="00E82FC0" w:rsidTr="00DD60A6">
        <w:tc>
          <w:tcPr>
            <w:tcW w:w="534" w:type="dxa"/>
          </w:tcPr>
          <w:p w:rsidR="00E82FC0" w:rsidRPr="00970685" w:rsidRDefault="00E82FC0" w:rsidP="00E14034">
            <w:pPr>
              <w:rPr>
                <w:b/>
              </w:rPr>
            </w:pPr>
            <w:r w:rsidRPr="00970685">
              <w:rPr>
                <w:b/>
              </w:rPr>
              <w:t>Lp.</w:t>
            </w:r>
          </w:p>
        </w:tc>
        <w:tc>
          <w:tcPr>
            <w:tcW w:w="1761" w:type="dxa"/>
          </w:tcPr>
          <w:p w:rsidR="00E82FC0" w:rsidRPr="00970685" w:rsidRDefault="00E82FC0" w:rsidP="00E14034">
            <w:pPr>
              <w:rPr>
                <w:b/>
              </w:rPr>
            </w:pPr>
            <w:r w:rsidRPr="00970685">
              <w:rPr>
                <w:b/>
              </w:rPr>
              <w:t>Nazwa projektu</w:t>
            </w:r>
          </w:p>
        </w:tc>
        <w:tc>
          <w:tcPr>
            <w:tcW w:w="9734" w:type="dxa"/>
          </w:tcPr>
          <w:p w:rsidR="00E82FC0" w:rsidRPr="00970685" w:rsidRDefault="00E82FC0" w:rsidP="00E14034">
            <w:pPr>
              <w:rPr>
                <w:b/>
              </w:rPr>
            </w:pPr>
            <w:r w:rsidRPr="00970685">
              <w:rPr>
                <w:b/>
              </w:rPr>
              <w:t>Opis projektu</w:t>
            </w:r>
          </w:p>
        </w:tc>
        <w:tc>
          <w:tcPr>
            <w:tcW w:w="2191" w:type="dxa"/>
          </w:tcPr>
          <w:p w:rsidR="00E82FC0" w:rsidRPr="00970685" w:rsidRDefault="00E82FC0" w:rsidP="00E14034">
            <w:pPr>
              <w:rPr>
                <w:b/>
              </w:rPr>
            </w:pPr>
            <w:r w:rsidRPr="00970685">
              <w:rPr>
                <w:b/>
              </w:rPr>
              <w:t>Okres realizacji</w:t>
            </w:r>
          </w:p>
        </w:tc>
      </w:tr>
      <w:tr w:rsidR="00E82FC0" w:rsidTr="00DD60A6">
        <w:tc>
          <w:tcPr>
            <w:tcW w:w="534" w:type="dxa"/>
          </w:tcPr>
          <w:p w:rsidR="00E82FC0" w:rsidRPr="00884C2C" w:rsidRDefault="00E82FC0" w:rsidP="00E14034">
            <w:pPr>
              <w:rPr>
                <w:b/>
              </w:rPr>
            </w:pPr>
            <w:r w:rsidRPr="00884C2C">
              <w:rPr>
                <w:b/>
              </w:rPr>
              <w:t>1</w:t>
            </w:r>
            <w:r w:rsidR="001A2FC9" w:rsidRPr="00884C2C">
              <w:rPr>
                <w:b/>
              </w:rPr>
              <w:t>.</w:t>
            </w:r>
          </w:p>
        </w:tc>
        <w:tc>
          <w:tcPr>
            <w:tcW w:w="1761" w:type="dxa"/>
          </w:tcPr>
          <w:p w:rsidR="00E82FC0" w:rsidRPr="00970685" w:rsidRDefault="00E82FC0" w:rsidP="00E14034">
            <w:pPr>
              <w:rPr>
                <w:b/>
              </w:rPr>
            </w:pPr>
            <w:r w:rsidRPr="00970685">
              <w:rPr>
                <w:b/>
              </w:rPr>
              <w:t>Czyste powietrze</w:t>
            </w:r>
          </w:p>
        </w:tc>
        <w:tc>
          <w:tcPr>
            <w:tcW w:w="9734" w:type="dxa"/>
          </w:tcPr>
          <w:p w:rsidR="00E82FC0" w:rsidRPr="007D4530" w:rsidRDefault="00E82FC0" w:rsidP="00E14034">
            <w:pPr>
              <w:jc w:val="both"/>
              <w:rPr>
                <w:bCs/>
              </w:rPr>
            </w:pPr>
            <w:r w:rsidRPr="007D4530">
              <w:rPr>
                <w:bCs/>
              </w:rPr>
              <w:t xml:space="preserve">Najważniejszym </w:t>
            </w:r>
            <w:r w:rsidR="00CF4683">
              <w:rPr>
                <w:bCs/>
              </w:rPr>
              <w:t>kierunkiem</w:t>
            </w:r>
            <w:r w:rsidRPr="007D4530">
              <w:rPr>
                <w:bCs/>
              </w:rPr>
              <w:t xml:space="preserve"> działań w zakresie ochrony powietrza jest ograniczenie emisji zanieczyszczeń do powietrza w sposób pozwalający na osiągnięcie poprawy jego jakości i dotrzymania standardów określonych prawem. Przede wszystkim konieczne jest utrzymanie korzystnych tendencji w zakresie poprawy stanu jakości powietrza i spadku ryzyka zdrowotnego, wynikającego z narażenia na występujące w powietrzu substancje szkodliwe dla zdrowia, tj. pył zawieszony PM10 i PM2,5, </w:t>
            </w:r>
            <w:proofErr w:type="spellStart"/>
            <w:r w:rsidRPr="007D4530">
              <w:rPr>
                <w:bCs/>
              </w:rPr>
              <w:t>benzo</w:t>
            </w:r>
            <w:proofErr w:type="spellEnd"/>
            <w:r w:rsidRPr="007D4530">
              <w:rPr>
                <w:bCs/>
              </w:rPr>
              <w:t>(a)</w:t>
            </w:r>
            <w:proofErr w:type="spellStart"/>
            <w:r w:rsidRPr="007D4530">
              <w:rPr>
                <w:bCs/>
              </w:rPr>
              <w:t>piren</w:t>
            </w:r>
            <w:proofErr w:type="spellEnd"/>
            <w:r w:rsidRPr="007D4530">
              <w:rPr>
                <w:bCs/>
              </w:rPr>
              <w:t xml:space="preserve"> oraz ozon. </w:t>
            </w:r>
          </w:p>
          <w:p w:rsidR="00CF4683" w:rsidRDefault="00CF4683" w:rsidP="00CF4683">
            <w:pPr>
              <w:jc w:val="both"/>
              <w:rPr>
                <w:bCs/>
              </w:rPr>
            </w:pPr>
          </w:p>
          <w:p w:rsidR="00CF4683" w:rsidRPr="007D4530" w:rsidRDefault="00CF4683" w:rsidP="00CF4683">
            <w:pPr>
              <w:jc w:val="both"/>
              <w:rPr>
                <w:bCs/>
              </w:rPr>
            </w:pPr>
            <w:r>
              <w:rPr>
                <w:bCs/>
              </w:rPr>
              <w:t>Projekt</w:t>
            </w:r>
            <w:r w:rsidRPr="007D4530">
              <w:rPr>
                <w:bCs/>
              </w:rPr>
              <w:t xml:space="preserve"> </w:t>
            </w:r>
            <w:r>
              <w:rPr>
                <w:bCs/>
              </w:rPr>
              <w:t>polega</w:t>
            </w:r>
            <w:r w:rsidRPr="007D4530">
              <w:rPr>
                <w:bCs/>
              </w:rPr>
              <w:t xml:space="preserve"> na stworzeniu na poziomie krajowym mechanizmów prawno-finansowych umożliwiających efektywną realizację programów ochrony powietrza na szczeblu wojewódzkim i lokalnym, głównie w obszarze sektora bytowo-komunalnego oraz transportu, przede wszystkim poprzez: </w:t>
            </w:r>
          </w:p>
          <w:p w:rsidR="00CF4683" w:rsidRPr="007D4530" w:rsidRDefault="00CF4683" w:rsidP="00CF4683">
            <w:pPr>
              <w:numPr>
                <w:ilvl w:val="0"/>
                <w:numId w:val="1"/>
              </w:numPr>
              <w:jc w:val="both"/>
              <w:rPr>
                <w:bCs/>
              </w:rPr>
            </w:pPr>
            <w:r w:rsidRPr="007D4530">
              <w:rPr>
                <w:bCs/>
              </w:rPr>
              <w:t>stworzenie</w:t>
            </w:r>
            <w:r>
              <w:rPr>
                <w:bCs/>
              </w:rPr>
              <w:t xml:space="preserve"> i doskonalenie</w:t>
            </w:r>
            <w:r w:rsidRPr="007D4530">
              <w:rPr>
                <w:bCs/>
              </w:rPr>
              <w:t xml:space="preserve"> ram prawnych sprzyjających realizacji efektywnych działań mających na celu poprawę jakości powietrza,</w:t>
            </w:r>
          </w:p>
          <w:p w:rsidR="00CF4683" w:rsidRDefault="00CF4683" w:rsidP="00CF4683">
            <w:pPr>
              <w:numPr>
                <w:ilvl w:val="0"/>
                <w:numId w:val="1"/>
              </w:numPr>
              <w:jc w:val="both"/>
              <w:rPr>
                <w:bCs/>
              </w:rPr>
            </w:pPr>
            <w:r w:rsidRPr="007D4530">
              <w:rPr>
                <w:bCs/>
              </w:rPr>
              <w:t>upowszechnienie mechanizmów finansowych sprzyjających poprawie jakości powietrza</w:t>
            </w:r>
            <w:r>
              <w:rPr>
                <w:bCs/>
              </w:rPr>
              <w:t>,</w:t>
            </w:r>
          </w:p>
          <w:p w:rsidR="00CF4683" w:rsidRPr="007D4530" w:rsidRDefault="00CF4683" w:rsidP="00CF4683">
            <w:pPr>
              <w:numPr>
                <w:ilvl w:val="0"/>
                <w:numId w:val="1"/>
              </w:numPr>
              <w:jc w:val="both"/>
              <w:rPr>
                <w:bCs/>
              </w:rPr>
            </w:pPr>
            <w:r w:rsidRPr="007D4530">
              <w:rPr>
                <w:bCs/>
              </w:rPr>
              <w:t xml:space="preserve"> włączenie społeczeństwa w działania na rzecz poprawy jakości powietrza poprzez zwiększenie świadomości społecznej oraz tworzenie trwałych platform dialogu z organizacjami społecznymi,</w:t>
            </w:r>
          </w:p>
          <w:p w:rsidR="00CF4683" w:rsidRPr="007D4530" w:rsidRDefault="00CF4683" w:rsidP="00CF4683">
            <w:pPr>
              <w:numPr>
                <w:ilvl w:val="0"/>
                <w:numId w:val="1"/>
              </w:numPr>
              <w:jc w:val="both"/>
              <w:rPr>
                <w:bCs/>
              </w:rPr>
            </w:pPr>
            <w:r w:rsidRPr="007D4530">
              <w:rPr>
                <w:bCs/>
              </w:rPr>
              <w:t>rozwój i rozpowszechnienie technologii sprzyjających poprawie jakości powietrza,</w:t>
            </w:r>
          </w:p>
          <w:p w:rsidR="00CF4683" w:rsidRPr="00CF4683" w:rsidRDefault="00CF4683" w:rsidP="00CF4683">
            <w:pPr>
              <w:numPr>
                <w:ilvl w:val="0"/>
                <w:numId w:val="1"/>
              </w:numPr>
              <w:jc w:val="both"/>
              <w:rPr>
                <w:bCs/>
              </w:rPr>
            </w:pPr>
            <w:r w:rsidRPr="007D4530">
              <w:rPr>
                <w:bCs/>
              </w:rPr>
              <w:t>rozwój mechanizmów kontrolowania źródeł niskiej emisji sprzyjają</w:t>
            </w:r>
            <w:r>
              <w:rPr>
                <w:bCs/>
              </w:rPr>
              <w:t>cych poprawie jakości powietrza.</w:t>
            </w:r>
          </w:p>
          <w:p w:rsidR="00CF4683" w:rsidRDefault="00CF4683" w:rsidP="00E14034">
            <w:pPr>
              <w:jc w:val="both"/>
              <w:rPr>
                <w:bCs/>
              </w:rPr>
            </w:pPr>
          </w:p>
          <w:p w:rsidR="00E82FC0" w:rsidRDefault="00E82FC0" w:rsidP="00E14034">
            <w:pPr>
              <w:jc w:val="both"/>
              <w:rPr>
                <w:bCs/>
              </w:rPr>
            </w:pPr>
            <w:r w:rsidRPr="007D4530">
              <w:rPr>
                <w:bCs/>
              </w:rPr>
              <w:t xml:space="preserve">Celem podstawowym projektu jest osiągnięcie w możliwie najkrótszym terminie poprawy stanu jakości powietrza do stanu niepowodującego większego narażenia dla zdrowia ludzkiego oraz środowiska, tj. do poziomów określonych prawodawstwem UE (dyrektywa 2008/50/WE oraz dyrektywa 2004/107/WE). Celem projektu w perspektywie do roku 2030 jest osiągnięcie poziomów substancji określonych w wytycznych WHO. </w:t>
            </w:r>
          </w:p>
          <w:p w:rsidR="00CF4683" w:rsidRPr="007D4530" w:rsidRDefault="00CF4683" w:rsidP="00E14034">
            <w:pPr>
              <w:jc w:val="both"/>
              <w:rPr>
                <w:bCs/>
              </w:rPr>
            </w:pPr>
          </w:p>
          <w:p w:rsidR="00E82FC0" w:rsidRDefault="00D837A1" w:rsidP="004C4F3F">
            <w:pPr>
              <w:jc w:val="both"/>
              <w:rPr>
                <w:bCs/>
              </w:rPr>
            </w:pPr>
            <w:r>
              <w:rPr>
                <w:bCs/>
              </w:rPr>
              <w:t>Funkcjonowanie</w:t>
            </w:r>
            <w:r w:rsidR="00E82FC0" w:rsidRPr="007D4530">
              <w:rPr>
                <w:bCs/>
              </w:rPr>
              <w:t xml:space="preserve"> przy </w:t>
            </w:r>
            <w:r>
              <w:rPr>
                <w:bCs/>
              </w:rPr>
              <w:t>Komitecie</w:t>
            </w:r>
            <w:r w:rsidRPr="007D4530">
              <w:rPr>
                <w:bCs/>
              </w:rPr>
              <w:t xml:space="preserve"> Sterując</w:t>
            </w:r>
            <w:r w:rsidR="004C4F3F">
              <w:rPr>
                <w:bCs/>
              </w:rPr>
              <w:t>ym</w:t>
            </w:r>
            <w:r w:rsidRPr="007D4530">
              <w:rPr>
                <w:bCs/>
              </w:rPr>
              <w:t xml:space="preserve"> ds. Krajowego Programu Ochrony Powietrza</w:t>
            </w:r>
            <w:r w:rsidR="00E82FC0" w:rsidRPr="007D4530">
              <w:rPr>
                <w:bCs/>
              </w:rPr>
              <w:t xml:space="preserve"> zespołów roboczych do spraw legislacyjnych, strategicznych, finansowych, rozwojowych or</w:t>
            </w:r>
            <w:r w:rsidR="004C4F3F">
              <w:rPr>
                <w:bCs/>
              </w:rPr>
              <w:t>az techniczno-</w:t>
            </w:r>
            <w:r w:rsidR="004C4F3F">
              <w:rPr>
                <w:bCs/>
              </w:rPr>
              <w:lastRenderedPageBreak/>
              <w:t xml:space="preserve">technologicznych </w:t>
            </w:r>
            <w:r w:rsidR="00E82FC0" w:rsidRPr="007D4530">
              <w:rPr>
                <w:bCs/>
              </w:rPr>
              <w:t>wzmocni</w:t>
            </w:r>
            <w:r w:rsidR="004C4F3F">
              <w:rPr>
                <w:bCs/>
              </w:rPr>
              <w:t xml:space="preserve"> system</w:t>
            </w:r>
            <w:r w:rsidR="00E82FC0" w:rsidRPr="007D4530">
              <w:rPr>
                <w:bCs/>
              </w:rPr>
              <w:t xml:space="preserve"> zarządzania jakością powietrza w Polsce poprzez podjęcie efektywnych i zintegrowanych działań naprawczych zarówno na szczeblu krajowym, wojewódzkim, jak i lokalnym. </w:t>
            </w:r>
          </w:p>
          <w:p w:rsidR="004C4F3F" w:rsidRPr="004C4F3F" w:rsidRDefault="004C4F3F" w:rsidP="004C4F3F">
            <w:pPr>
              <w:jc w:val="both"/>
              <w:rPr>
                <w:bCs/>
              </w:rPr>
            </w:pPr>
          </w:p>
        </w:tc>
        <w:tc>
          <w:tcPr>
            <w:tcW w:w="2191" w:type="dxa"/>
          </w:tcPr>
          <w:p w:rsidR="00E82FC0" w:rsidRDefault="00E82FC0" w:rsidP="00CF4683">
            <w:r>
              <w:lastRenderedPageBreak/>
              <w:t>2016</w:t>
            </w:r>
            <w:r w:rsidR="00CF4683">
              <w:t>–</w:t>
            </w:r>
            <w:r>
              <w:t>2030</w:t>
            </w:r>
          </w:p>
        </w:tc>
      </w:tr>
      <w:tr w:rsidR="00BC0801" w:rsidTr="007D2108">
        <w:tc>
          <w:tcPr>
            <w:tcW w:w="14220" w:type="dxa"/>
            <w:gridSpan w:val="4"/>
          </w:tcPr>
          <w:p w:rsidR="00BC0801" w:rsidRDefault="00BC0801" w:rsidP="00CF4683">
            <w:r w:rsidRPr="00970685">
              <w:rPr>
                <w:b/>
              </w:rPr>
              <w:t xml:space="preserve">Kierunek interwencji: </w:t>
            </w:r>
            <w:r w:rsidRPr="00BC0801">
              <w:rPr>
                <w:b/>
              </w:rPr>
              <w:t>Zarządzanie zasobami dziedzictwa przyrodniczego i kulturowego, w tym ochrona i poprawianie stanu różnorodności biologicznej i krajobrazu</w:t>
            </w:r>
          </w:p>
        </w:tc>
      </w:tr>
      <w:tr w:rsidR="00BC0801" w:rsidTr="00DD60A6">
        <w:tc>
          <w:tcPr>
            <w:tcW w:w="534" w:type="dxa"/>
          </w:tcPr>
          <w:p w:rsidR="00BC0801" w:rsidRDefault="00BC0801" w:rsidP="00E14034">
            <w:r w:rsidRPr="00884C2C">
              <w:rPr>
                <w:b/>
              </w:rPr>
              <w:t>2</w:t>
            </w:r>
            <w:r>
              <w:t xml:space="preserve">. </w:t>
            </w:r>
          </w:p>
        </w:tc>
        <w:tc>
          <w:tcPr>
            <w:tcW w:w="1761" w:type="dxa"/>
          </w:tcPr>
          <w:p w:rsidR="00BC0801" w:rsidRPr="00970685" w:rsidRDefault="00884C2C" w:rsidP="00E14034">
            <w:pPr>
              <w:rPr>
                <w:b/>
              </w:rPr>
            </w:pPr>
            <w:r w:rsidRPr="00884C2C">
              <w:rPr>
                <w:b/>
              </w:rPr>
              <w:t>Audyty krajobrazowe</w:t>
            </w:r>
          </w:p>
        </w:tc>
        <w:tc>
          <w:tcPr>
            <w:tcW w:w="9734" w:type="dxa"/>
          </w:tcPr>
          <w:p w:rsidR="00884C2C" w:rsidRDefault="00884C2C" w:rsidP="00884C2C">
            <w:pPr>
              <w:jc w:val="both"/>
              <w:rPr>
                <w:szCs w:val="24"/>
              </w:rPr>
            </w:pPr>
            <w:r w:rsidRPr="00884C2C">
              <w:rPr>
                <w:i/>
                <w:szCs w:val="24"/>
              </w:rPr>
              <w:t>Audyty krajobrazowe</w:t>
            </w:r>
            <w:r w:rsidRPr="00884C2C">
              <w:rPr>
                <w:szCs w:val="24"/>
              </w:rPr>
              <w:t xml:space="preserve"> poprzez identyfikację, charakterystykę oraz ocenę krajobrazów mają na celu inwentaryzację zasobów krajobrazowych na poziomie województwa. Działania te będą podstawą do wskazania krajobrazów priorytetowych, czyli krajobrazów szczególnie cennych dla społeczeństwa ze względu na swoje wartości przyrodnicze, kulturowe, historyczne, architektoniczne, urbanistyczne, ruralistyczne lub estetyczno-widokowe. Dla tych obszarów oraz innych obszarów wskazanych w ustawie </w:t>
            </w:r>
            <w:r>
              <w:rPr>
                <w:szCs w:val="24"/>
              </w:rPr>
              <w:br/>
            </w:r>
            <w:r w:rsidRPr="00884C2C">
              <w:rPr>
                <w:szCs w:val="24"/>
              </w:rPr>
              <w:t>z dnia 27 marca 2003 r. o planowaniu i zagospodarowaniu przestrzennym, powinny zostać sformułowane rekomendacje i wnioski w zakresie ochrony i kształtowania tych krajobrazów. Te rekomendacje powinny mieć przełożenie na planowanie miejscowe, tzn. powinny być uwzględniane w dokumentach planistycznych na poziomie województwa oraz gminy. Przedmiotowe rekomendacje i wnioski powinny dotyczyć m.in. obszarów chronionych, zwłaszcza parków krajobrazowych oraz obszarów chronionego krajobrazu, przez co ochrona krajobrazu na tych obszarach zostanie znacznie wzmocniona.</w:t>
            </w:r>
          </w:p>
          <w:p w:rsidR="002C0AE9" w:rsidRDefault="002C0AE9" w:rsidP="00884C2C">
            <w:pPr>
              <w:jc w:val="both"/>
              <w:rPr>
                <w:szCs w:val="24"/>
              </w:rPr>
            </w:pPr>
          </w:p>
          <w:p w:rsidR="00884C2C" w:rsidRPr="00884C2C" w:rsidRDefault="00884C2C" w:rsidP="00884C2C">
            <w:pPr>
              <w:jc w:val="both"/>
              <w:rPr>
                <w:szCs w:val="24"/>
              </w:rPr>
            </w:pPr>
            <w:r w:rsidRPr="00884C2C">
              <w:rPr>
                <w:szCs w:val="24"/>
              </w:rPr>
              <w:t xml:space="preserve">Audyty krajobrazowe powinny zostać opracowane w jednolity i spójny sposób w skali kraju. Dlatego też zgodnie z ustawą z dnia 27 marca 2003 r. o planowaniu i zagospodarowaniu przestrzennym szczegółowa metodyka sporządzania oraz zakres audytu krajobrazowego </w:t>
            </w:r>
            <w:r>
              <w:rPr>
                <w:szCs w:val="24"/>
              </w:rPr>
              <w:t>zostaną</w:t>
            </w:r>
            <w:r w:rsidRPr="00884C2C">
              <w:rPr>
                <w:szCs w:val="24"/>
              </w:rPr>
              <w:t xml:space="preserve"> określon</w:t>
            </w:r>
            <w:r>
              <w:rPr>
                <w:szCs w:val="24"/>
              </w:rPr>
              <w:t>e</w:t>
            </w:r>
            <w:r w:rsidRPr="00884C2C">
              <w:rPr>
                <w:szCs w:val="24"/>
              </w:rPr>
              <w:t xml:space="preserve"> w rozporządzeniu Rady Ministrów.</w:t>
            </w:r>
          </w:p>
          <w:p w:rsidR="00BC0801" w:rsidRPr="007D4530" w:rsidRDefault="00BC0801" w:rsidP="00E14034">
            <w:pPr>
              <w:jc w:val="both"/>
              <w:rPr>
                <w:bCs/>
              </w:rPr>
            </w:pPr>
          </w:p>
        </w:tc>
        <w:tc>
          <w:tcPr>
            <w:tcW w:w="2191" w:type="dxa"/>
          </w:tcPr>
          <w:p w:rsidR="00BC0801" w:rsidRDefault="0028667D" w:rsidP="00CF4683">
            <w:r>
              <w:t>2016</w:t>
            </w:r>
            <w:r w:rsidR="007F3102">
              <w:t>–</w:t>
            </w:r>
            <w:r>
              <w:t>2023</w:t>
            </w:r>
          </w:p>
        </w:tc>
      </w:tr>
      <w:tr w:rsidR="00BA2AAB" w:rsidTr="00A516BF">
        <w:tc>
          <w:tcPr>
            <w:tcW w:w="14220" w:type="dxa"/>
            <w:gridSpan w:val="4"/>
          </w:tcPr>
          <w:p w:rsidR="00BA2AAB" w:rsidRPr="00970685" w:rsidRDefault="00890B26" w:rsidP="00E14034">
            <w:pPr>
              <w:rPr>
                <w:b/>
              </w:rPr>
            </w:pPr>
            <w:r w:rsidRPr="00970685">
              <w:rPr>
                <w:b/>
              </w:rPr>
              <w:t>Kierunek interwencji: Zarządzanie zasobami geologicznymi poprzez opracowanie i wdrożenie polityki surowcowej państwa</w:t>
            </w:r>
          </w:p>
        </w:tc>
      </w:tr>
      <w:tr w:rsidR="00E82FC0" w:rsidTr="00DD60A6">
        <w:tc>
          <w:tcPr>
            <w:tcW w:w="534" w:type="dxa"/>
          </w:tcPr>
          <w:p w:rsidR="00E82FC0" w:rsidRPr="00884C2C" w:rsidRDefault="00884C2C" w:rsidP="00E14034">
            <w:pPr>
              <w:rPr>
                <w:b/>
              </w:rPr>
            </w:pPr>
            <w:r w:rsidRPr="00884C2C">
              <w:rPr>
                <w:b/>
              </w:rPr>
              <w:t>3</w:t>
            </w:r>
            <w:r w:rsidR="00890B26" w:rsidRPr="00884C2C">
              <w:rPr>
                <w:b/>
              </w:rPr>
              <w:t>.</w:t>
            </w:r>
          </w:p>
        </w:tc>
        <w:tc>
          <w:tcPr>
            <w:tcW w:w="1761" w:type="dxa"/>
          </w:tcPr>
          <w:p w:rsidR="00E82FC0" w:rsidRPr="00970685" w:rsidRDefault="00890B26" w:rsidP="00E14034">
            <w:pPr>
              <w:rPr>
                <w:b/>
              </w:rPr>
            </w:pPr>
            <w:r w:rsidRPr="00970685">
              <w:rPr>
                <w:b/>
              </w:rPr>
              <w:t xml:space="preserve">Opracowanie </w:t>
            </w:r>
            <w:r w:rsidRPr="00970685">
              <w:rPr>
                <w:b/>
              </w:rPr>
              <w:br/>
              <w:t>i wdrożenie spójnej i kompleksowej Polityki Surowcowej Państwa</w:t>
            </w:r>
          </w:p>
        </w:tc>
        <w:tc>
          <w:tcPr>
            <w:tcW w:w="9734" w:type="dxa"/>
          </w:tcPr>
          <w:p w:rsidR="00E223F5" w:rsidRPr="004A0B00" w:rsidRDefault="00973F66" w:rsidP="00E14034">
            <w:pPr>
              <w:pStyle w:val="Akapitzlist"/>
              <w:ind w:left="0"/>
              <w:contextualSpacing/>
              <w:jc w:val="both"/>
              <w:rPr>
                <w:lang w:val="pl-PL"/>
              </w:rPr>
            </w:pPr>
            <w:r w:rsidRPr="004C4F3F">
              <w:rPr>
                <w:i/>
                <w:lang w:val="pl-PL"/>
              </w:rPr>
              <w:t xml:space="preserve">Polityka </w:t>
            </w:r>
            <w:r w:rsidR="004C4F3F" w:rsidRPr="004C4F3F">
              <w:rPr>
                <w:i/>
                <w:lang w:val="pl-PL"/>
              </w:rPr>
              <w:t>S</w:t>
            </w:r>
            <w:r w:rsidRPr="004C4F3F">
              <w:rPr>
                <w:i/>
                <w:lang w:val="pl-PL"/>
              </w:rPr>
              <w:t>urowcowa Państwa</w:t>
            </w:r>
            <w:r w:rsidRPr="00CB029C">
              <w:rPr>
                <w:lang w:val="pl-PL"/>
              </w:rPr>
              <w:t xml:space="preserve"> </w:t>
            </w:r>
            <w:r w:rsidR="004C4F3F">
              <w:rPr>
                <w:lang w:val="pl-PL"/>
              </w:rPr>
              <w:t xml:space="preserve">(PSP) </w:t>
            </w:r>
            <w:r w:rsidRPr="00CB029C">
              <w:rPr>
                <w:lang w:val="pl-PL"/>
              </w:rPr>
              <w:t>umożliwi racjonalne, zrównoważone zarządzanie zasobami surowców na poziomie krajowym, z uwzględnieniem interesów przemysłu. Tym samym zwiększy stabilność podaży surowców wykorzystywanych przez przemysł na rynku krajowym i efektywność ich wykorzystania, jak również pozwoli na zwiększenie wolumenu eksportowego</w:t>
            </w:r>
            <w:r>
              <w:rPr>
                <w:lang w:val="pl-PL"/>
              </w:rPr>
              <w:t>.</w:t>
            </w:r>
            <w:r w:rsidR="00E223F5">
              <w:rPr>
                <w:lang w:val="pl-PL"/>
              </w:rPr>
              <w:t xml:space="preserve"> </w:t>
            </w:r>
            <w:r w:rsidR="00E223F5" w:rsidRPr="004A0B00">
              <w:rPr>
                <w:lang w:val="pl-PL"/>
              </w:rPr>
              <w:t xml:space="preserve">Co do zasady opracowanie i wdrożenie </w:t>
            </w:r>
            <w:r w:rsidR="00E223F5" w:rsidRPr="004C4F3F">
              <w:rPr>
                <w:i/>
                <w:lang w:val="pl-PL"/>
              </w:rPr>
              <w:t>Polityki Surowcowej Państwa</w:t>
            </w:r>
            <w:r w:rsidR="00E223F5" w:rsidRPr="004A0B00">
              <w:rPr>
                <w:lang w:val="pl-PL"/>
              </w:rPr>
              <w:t xml:space="preserve"> w znaczny sposób poprawi zarządzanie krajowym potencjałem surowcowym, co </w:t>
            </w:r>
            <w:r w:rsidR="00E223F5">
              <w:rPr>
                <w:lang w:val="pl-PL"/>
              </w:rPr>
              <w:br/>
            </w:r>
            <w:r w:rsidR="00E223F5" w:rsidRPr="004A0B00">
              <w:rPr>
                <w:lang w:val="pl-PL"/>
              </w:rPr>
              <w:t xml:space="preserve">w dłuższym horyzoncie czasowym podniesie dobrobyt Polski. </w:t>
            </w:r>
          </w:p>
          <w:p w:rsidR="004C4F3F" w:rsidRDefault="004C4F3F" w:rsidP="00E14034">
            <w:pPr>
              <w:pStyle w:val="Akapitzlist"/>
              <w:ind w:left="0"/>
              <w:contextualSpacing/>
              <w:jc w:val="both"/>
              <w:rPr>
                <w:lang w:val="pl-PL"/>
              </w:rPr>
            </w:pPr>
          </w:p>
          <w:p w:rsidR="00973F66" w:rsidRDefault="00E223F5" w:rsidP="00E14034">
            <w:pPr>
              <w:pStyle w:val="Akapitzlist"/>
              <w:ind w:left="0"/>
              <w:contextualSpacing/>
              <w:jc w:val="both"/>
              <w:rPr>
                <w:lang w:val="pl-PL"/>
              </w:rPr>
            </w:pPr>
            <w:r w:rsidRPr="004C4F3F">
              <w:rPr>
                <w:i/>
                <w:lang w:val="pl-PL"/>
              </w:rPr>
              <w:t xml:space="preserve">Polityka </w:t>
            </w:r>
            <w:r w:rsidR="004C4F3F" w:rsidRPr="004C4F3F">
              <w:rPr>
                <w:i/>
                <w:lang w:val="pl-PL"/>
              </w:rPr>
              <w:t>S</w:t>
            </w:r>
            <w:r w:rsidRPr="004C4F3F">
              <w:rPr>
                <w:i/>
                <w:lang w:val="pl-PL"/>
              </w:rPr>
              <w:t xml:space="preserve">urowcowa </w:t>
            </w:r>
            <w:r w:rsidR="004C4F3F" w:rsidRPr="004C4F3F">
              <w:rPr>
                <w:i/>
                <w:lang w:val="pl-PL"/>
              </w:rPr>
              <w:t>Państwa</w:t>
            </w:r>
            <w:r w:rsidR="004C4F3F">
              <w:rPr>
                <w:lang w:val="pl-PL"/>
              </w:rPr>
              <w:t xml:space="preserve"> </w:t>
            </w:r>
            <w:r w:rsidRPr="00E223F5">
              <w:rPr>
                <w:lang w:val="pl-PL"/>
              </w:rPr>
              <w:t xml:space="preserve">określi efektywne narzędzia i działania prowadzące do zabezpieczenia stałych dostaw surowców niezbędnych do rozwoju gospodarki krajowej i europejskiej. Nadrzędnym celem </w:t>
            </w:r>
            <w:r w:rsidR="004C4F3F">
              <w:rPr>
                <w:lang w:val="pl-PL"/>
              </w:rPr>
              <w:lastRenderedPageBreak/>
              <w:t>P</w:t>
            </w:r>
            <w:r w:rsidRPr="00E223F5">
              <w:rPr>
                <w:lang w:val="pl-PL"/>
              </w:rPr>
              <w:t xml:space="preserve">olityki </w:t>
            </w:r>
            <w:r w:rsidR="004C4F3F">
              <w:rPr>
                <w:lang w:val="pl-PL"/>
              </w:rPr>
              <w:t>S</w:t>
            </w:r>
            <w:r w:rsidRPr="00E223F5">
              <w:rPr>
                <w:lang w:val="pl-PL"/>
              </w:rPr>
              <w:t xml:space="preserve">urowcowej </w:t>
            </w:r>
            <w:r w:rsidR="004C4F3F">
              <w:rPr>
                <w:lang w:val="pl-PL"/>
              </w:rPr>
              <w:t>P</w:t>
            </w:r>
            <w:r w:rsidRPr="00E223F5">
              <w:rPr>
                <w:lang w:val="pl-PL"/>
              </w:rPr>
              <w:t xml:space="preserve">aństwa </w:t>
            </w:r>
            <w:r w:rsidR="004C4F3F">
              <w:rPr>
                <w:lang w:val="pl-PL"/>
              </w:rPr>
              <w:t>będzie</w:t>
            </w:r>
            <w:r w:rsidRPr="00E223F5">
              <w:rPr>
                <w:lang w:val="pl-PL"/>
              </w:rPr>
              <w:t xml:space="preserve"> zapewnienie dostępu do niezbędnych surowców zarówn</w:t>
            </w:r>
            <w:r>
              <w:rPr>
                <w:lang w:val="pl-PL"/>
              </w:rPr>
              <w:t>o obecnie</w:t>
            </w:r>
            <w:r w:rsidR="004C4F3F">
              <w:rPr>
                <w:lang w:val="pl-PL"/>
              </w:rPr>
              <w:t>,</w:t>
            </w:r>
            <w:r>
              <w:rPr>
                <w:lang w:val="pl-PL"/>
              </w:rPr>
              <w:t xml:space="preserve"> jak i w perspektywie </w:t>
            </w:r>
            <w:r w:rsidRPr="00E223F5">
              <w:rPr>
                <w:lang w:val="pl-PL"/>
              </w:rPr>
              <w:t>w</w:t>
            </w:r>
            <w:r>
              <w:rPr>
                <w:lang w:val="pl-PL"/>
              </w:rPr>
              <w:t>ieloletniej</w:t>
            </w:r>
            <w:r w:rsidRPr="00E223F5">
              <w:rPr>
                <w:lang w:val="pl-PL"/>
              </w:rPr>
              <w:t>, uwzględniającej potrzeby przyszłych pokoleń.</w:t>
            </w:r>
          </w:p>
          <w:p w:rsidR="004C4F3F" w:rsidRPr="00CB029C" w:rsidRDefault="004C4F3F" w:rsidP="00E14034">
            <w:pPr>
              <w:pStyle w:val="Akapitzlist"/>
              <w:ind w:left="0"/>
              <w:contextualSpacing/>
              <w:jc w:val="both"/>
              <w:rPr>
                <w:lang w:val="pl-PL"/>
              </w:rPr>
            </w:pPr>
          </w:p>
          <w:p w:rsidR="00E223F5" w:rsidRDefault="00E223F5" w:rsidP="00E14034">
            <w:pPr>
              <w:jc w:val="both"/>
            </w:pPr>
            <w:r w:rsidRPr="00ED220A">
              <w:t xml:space="preserve">Narzędziem do realizacji </w:t>
            </w:r>
            <w:r w:rsidRPr="005952FF">
              <w:rPr>
                <w:i/>
              </w:rPr>
              <w:t>Polityki Surowcowej Państwa</w:t>
            </w:r>
            <w:r w:rsidRPr="00ED220A">
              <w:t xml:space="preserve"> </w:t>
            </w:r>
            <w:r>
              <w:t>będzie Polska Agencja Geologiczna</w:t>
            </w:r>
            <w:r w:rsidR="004C4F3F">
              <w:t xml:space="preserve"> (PAG)</w:t>
            </w:r>
            <w:r w:rsidR="00E14034">
              <w:t>.</w:t>
            </w:r>
          </w:p>
          <w:p w:rsidR="004C4F3F" w:rsidRDefault="004C4F3F" w:rsidP="00E14034">
            <w:pPr>
              <w:jc w:val="both"/>
              <w:rPr>
                <w:szCs w:val="24"/>
              </w:rPr>
            </w:pPr>
          </w:p>
          <w:p w:rsidR="00E223F5" w:rsidRDefault="00E223F5" w:rsidP="00E14034">
            <w:pPr>
              <w:jc w:val="both"/>
              <w:rPr>
                <w:szCs w:val="24"/>
              </w:rPr>
            </w:pPr>
            <w:r w:rsidRPr="000646FF">
              <w:rPr>
                <w:szCs w:val="24"/>
              </w:rPr>
              <w:t xml:space="preserve">Obszar interwencji dotyczyć będzie zarówno gospodarki krajowej, jak i lokalnej, ze szczególnym uwzględnieniem lokalnych predyspozycji surowcowych charakteryzujących dany obszar. Interwencja ta </w:t>
            </w:r>
            <w:r>
              <w:rPr>
                <w:szCs w:val="24"/>
              </w:rPr>
              <w:br/>
            </w:r>
            <w:r w:rsidRPr="000646FF">
              <w:rPr>
                <w:szCs w:val="24"/>
              </w:rPr>
              <w:t xml:space="preserve">w zależności od kierunku działania w ramach poszczególnych filarów PSP </w:t>
            </w:r>
            <w:r w:rsidR="004C4F3F">
              <w:rPr>
                <w:szCs w:val="24"/>
              </w:rPr>
              <w:t>będzie miała</w:t>
            </w:r>
            <w:r w:rsidRPr="000646FF">
              <w:rPr>
                <w:szCs w:val="24"/>
              </w:rPr>
              <w:t xml:space="preserve"> charakter horyzontalny lub punktowy. </w:t>
            </w:r>
            <w:r w:rsidRPr="00311346">
              <w:rPr>
                <w:i/>
                <w:szCs w:val="24"/>
              </w:rPr>
              <w:t xml:space="preserve">Polityka Surowcowa Państwa </w:t>
            </w:r>
            <w:r w:rsidRPr="000646FF">
              <w:rPr>
                <w:szCs w:val="24"/>
              </w:rPr>
              <w:t xml:space="preserve">realizowana będzie poprzez programy wykonawcze opracowywane i wdrażane </w:t>
            </w:r>
            <w:r>
              <w:rPr>
                <w:szCs w:val="24"/>
              </w:rPr>
              <w:t xml:space="preserve">głównie </w:t>
            </w:r>
            <w:r w:rsidRPr="000646FF">
              <w:rPr>
                <w:szCs w:val="24"/>
              </w:rPr>
              <w:t>przez PAG.</w:t>
            </w:r>
            <w:r>
              <w:rPr>
                <w:szCs w:val="24"/>
              </w:rPr>
              <w:t xml:space="preserve"> Finasowanie zadań odbywać się będzie z przychodów, jakie w ustawie zagwarantowane zostaną tej instytucji. </w:t>
            </w:r>
          </w:p>
          <w:p w:rsidR="004C4F3F" w:rsidRDefault="004C4F3F" w:rsidP="00E14034">
            <w:pPr>
              <w:jc w:val="both"/>
            </w:pPr>
          </w:p>
        </w:tc>
        <w:tc>
          <w:tcPr>
            <w:tcW w:w="2191" w:type="dxa"/>
          </w:tcPr>
          <w:p w:rsidR="00E82FC0" w:rsidRDefault="004C4F3F" w:rsidP="00E14034">
            <w:r>
              <w:lastRenderedPageBreak/>
              <w:t>2016–</w:t>
            </w:r>
            <w:r w:rsidR="00970685">
              <w:t>2030</w:t>
            </w:r>
          </w:p>
        </w:tc>
      </w:tr>
      <w:tr w:rsidR="00890B26" w:rsidTr="00246E50">
        <w:tc>
          <w:tcPr>
            <w:tcW w:w="14220" w:type="dxa"/>
            <w:gridSpan w:val="4"/>
          </w:tcPr>
          <w:p w:rsidR="00890B26" w:rsidRPr="00970685" w:rsidRDefault="00890B26" w:rsidP="00E14034">
            <w:pPr>
              <w:rPr>
                <w:b/>
              </w:rPr>
            </w:pPr>
            <w:r w:rsidRPr="00970685">
              <w:rPr>
                <w:b/>
              </w:rPr>
              <w:t xml:space="preserve">Kierunek interwencji: Wspieranie wdrażania </w:t>
            </w:r>
            <w:proofErr w:type="spellStart"/>
            <w:r w:rsidRPr="00970685">
              <w:rPr>
                <w:b/>
              </w:rPr>
              <w:t>ekoinnowacji</w:t>
            </w:r>
            <w:proofErr w:type="spellEnd"/>
            <w:r w:rsidRPr="00970685">
              <w:rPr>
                <w:b/>
              </w:rPr>
              <w:t xml:space="preserve"> oraz upowszechnianie najlepszych dostępnych technik BAT</w:t>
            </w:r>
          </w:p>
        </w:tc>
      </w:tr>
      <w:tr w:rsidR="00E82FC0" w:rsidTr="00DD60A6">
        <w:tc>
          <w:tcPr>
            <w:tcW w:w="534" w:type="dxa"/>
          </w:tcPr>
          <w:p w:rsidR="00E82FC0" w:rsidRPr="00884C2C" w:rsidRDefault="00884C2C" w:rsidP="00E14034">
            <w:pPr>
              <w:rPr>
                <w:b/>
              </w:rPr>
            </w:pPr>
            <w:r w:rsidRPr="00884C2C">
              <w:rPr>
                <w:b/>
              </w:rPr>
              <w:t>4</w:t>
            </w:r>
            <w:r w:rsidR="00890B26" w:rsidRPr="00884C2C">
              <w:rPr>
                <w:b/>
              </w:rPr>
              <w:t>.</w:t>
            </w:r>
          </w:p>
        </w:tc>
        <w:tc>
          <w:tcPr>
            <w:tcW w:w="1761" w:type="dxa"/>
          </w:tcPr>
          <w:p w:rsidR="00E82FC0" w:rsidRPr="00970685" w:rsidRDefault="00890B26" w:rsidP="004C4F3F">
            <w:pPr>
              <w:rPr>
                <w:b/>
              </w:rPr>
            </w:pPr>
            <w:proofErr w:type="spellStart"/>
            <w:r w:rsidRPr="007972C1">
              <w:rPr>
                <w:b/>
                <w:color w:val="000000"/>
              </w:rPr>
              <w:t>GreenEvo</w:t>
            </w:r>
            <w:proofErr w:type="spellEnd"/>
            <w:r w:rsidRPr="00970685">
              <w:rPr>
                <w:b/>
                <w:i/>
                <w:color w:val="000000"/>
              </w:rPr>
              <w:t xml:space="preserve"> – </w:t>
            </w:r>
            <w:r w:rsidR="004C4F3F">
              <w:rPr>
                <w:b/>
                <w:color w:val="000000"/>
              </w:rPr>
              <w:t>a</w:t>
            </w:r>
            <w:r w:rsidRPr="00970685">
              <w:rPr>
                <w:b/>
                <w:color w:val="000000"/>
              </w:rPr>
              <w:t xml:space="preserve">kcelerator </w:t>
            </w:r>
            <w:r w:rsidR="004C4F3F">
              <w:rPr>
                <w:b/>
                <w:color w:val="000000"/>
              </w:rPr>
              <w:t>z</w:t>
            </w:r>
            <w:r w:rsidRPr="00970685">
              <w:rPr>
                <w:b/>
                <w:color w:val="000000"/>
              </w:rPr>
              <w:t xml:space="preserve">ielonych </w:t>
            </w:r>
            <w:r w:rsidR="004C4F3F">
              <w:rPr>
                <w:b/>
                <w:color w:val="000000"/>
              </w:rPr>
              <w:t>t</w:t>
            </w:r>
            <w:r w:rsidRPr="00970685">
              <w:rPr>
                <w:b/>
                <w:color w:val="000000"/>
              </w:rPr>
              <w:t>echnologii</w:t>
            </w:r>
          </w:p>
        </w:tc>
        <w:tc>
          <w:tcPr>
            <w:tcW w:w="9734" w:type="dxa"/>
          </w:tcPr>
          <w:p w:rsidR="00970685" w:rsidRDefault="00970685" w:rsidP="00E14034">
            <w:pPr>
              <w:jc w:val="both"/>
            </w:pPr>
            <w:proofErr w:type="spellStart"/>
            <w:r w:rsidRPr="004C4F3F">
              <w:rPr>
                <w:i/>
              </w:rPr>
              <w:t>G</w:t>
            </w:r>
            <w:r w:rsidR="007972C1">
              <w:rPr>
                <w:i/>
              </w:rPr>
              <w:t>reenE</w:t>
            </w:r>
            <w:r w:rsidRPr="004C4F3F">
              <w:rPr>
                <w:i/>
              </w:rPr>
              <w:t>vo</w:t>
            </w:r>
            <w:proofErr w:type="spellEnd"/>
            <w:r w:rsidRPr="004C4F3F">
              <w:rPr>
                <w:i/>
              </w:rPr>
              <w:t xml:space="preserve"> </w:t>
            </w:r>
            <w:r w:rsidR="004C4F3F" w:rsidRPr="004C4F3F">
              <w:rPr>
                <w:i/>
              </w:rPr>
              <w:t>–</w:t>
            </w:r>
            <w:r w:rsidRPr="004C4F3F">
              <w:rPr>
                <w:i/>
              </w:rPr>
              <w:t xml:space="preserve"> </w:t>
            </w:r>
            <w:r w:rsidR="004C4F3F" w:rsidRPr="004C4F3F">
              <w:rPr>
                <w:i/>
              </w:rPr>
              <w:t>a</w:t>
            </w:r>
            <w:r w:rsidRPr="004C4F3F">
              <w:rPr>
                <w:i/>
              </w:rPr>
              <w:t xml:space="preserve">kcelerator </w:t>
            </w:r>
            <w:r w:rsidR="004C4F3F" w:rsidRPr="004C4F3F">
              <w:rPr>
                <w:i/>
              </w:rPr>
              <w:t>z</w:t>
            </w:r>
            <w:r w:rsidRPr="004C4F3F">
              <w:rPr>
                <w:i/>
              </w:rPr>
              <w:t xml:space="preserve">ielonych </w:t>
            </w:r>
            <w:r w:rsidR="004C4F3F" w:rsidRPr="004C4F3F">
              <w:rPr>
                <w:i/>
              </w:rPr>
              <w:t>t</w:t>
            </w:r>
            <w:r w:rsidRPr="004C4F3F">
              <w:rPr>
                <w:i/>
              </w:rPr>
              <w:t>echnologii</w:t>
            </w:r>
            <w:r>
              <w:t xml:space="preserve"> to innowacyjny </w:t>
            </w:r>
            <w:r w:rsidR="007972C1">
              <w:t>p</w:t>
            </w:r>
            <w:r>
              <w:t xml:space="preserve">rogram Ministerstwa Środowiska przygotowany z myślą o promocji polskich zielonych technologii. Podstawą funkcjonowania </w:t>
            </w:r>
            <w:r w:rsidR="007972C1">
              <w:t>p</w:t>
            </w:r>
            <w:r>
              <w:t xml:space="preserve">rogramu jest realizacja zadania Ministra Środowiska, które ma na celu wsparcie polskich technologii środowiskowych </w:t>
            </w:r>
            <w:r>
              <w:br/>
              <w:t>w kraju i za granicą, stanowiące element polityki</w:t>
            </w:r>
            <w:r w:rsidR="008B1E12">
              <w:t xml:space="preserve"> </w:t>
            </w:r>
            <w:r>
              <w:t>ochrony środowiska.</w:t>
            </w:r>
          </w:p>
          <w:p w:rsidR="007972C1" w:rsidRDefault="007972C1" w:rsidP="00E14034">
            <w:pPr>
              <w:jc w:val="both"/>
            </w:pPr>
          </w:p>
          <w:p w:rsidR="00970685" w:rsidRDefault="00970685" w:rsidP="00E14034">
            <w:pPr>
              <w:jc w:val="both"/>
            </w:pPr>
            <w:r>
              <w:t>Dotychczas przeprowadzonych zostało sześć edycji Programu w latach 2009–2015, w których łą</w:t>
            </w:r>
            <w:r w:rsidR="007972C1">
              <w:t>cznie wybrano 74 technologie – l</w:t>
            </w:r>
            <w:r>
              <w:t xml:space="preserve">aureatów </w:t>
            </w:r>
            <w:proofErr w:type="spellStart"/>
            <w:r>
              <w:t>Green</w:t>
            </w:r>
            <w:r w:rsidR="007972C1">
              <w:t>E</w:t>
            </w:r>
            <w:r>
              <w:t>vo</w:t>
            </w:r>
            <w:proofErr w:type="spellEnd"/>
            <w:r>
              <w:t xml:space="preserve"> z następujących obszarów technologicznych: </w:t>
            </w:r>
          </w:p>
          <w:p w:rsidR="00970685" w:rsidRDefault="00970685" w:rsidP="007972C1">
            <w:pPr>
              <w:pStyle w:val="Akapitzlist"/>
              <w:numPr>
                <w:ilvl w:val="0"/>
                <w:numId w:val="7"/>
              </w:numPr>
              <w:jc w:val="both"/>
            </w:pPr>
            <w:r>
              <w:t>odnawialne źródła energii,</w:t>
            </w:r>
          </w:p>
          <w:p w:rsidR="00970685" w:rsidRDefault="00970685" w:rsidP="007972C1">
            <w:pPr>
              <w:pStyle w:val="Akapitzlist"/>
              <w:numPr>
                <w:ilvl w:val="0"/>
                <w:numId w:val="7"/>
              </w:numPr>
              <w:jc w:val="both"/>
            </w:pPr>
            <w:r>
              <w:t>przyjazne dla środowiska rozwiązania dla przemysłu wydobywczego,</w:t>
            </w:r>
          </w:p>
          <w:p w:rsidR="00970685" w:rsidRDefault="00970685" w:rsidP="007972C1">
            <w:pPr>
              <w:pStyle w:val="Akapitzlist"/>
              <w:numPr>
                <w:ilvl w:val="0"/>
                <w:numId w:val="7"/>
              </w:numPr>
              <w:jc w:val="both"/>
            </w:pPr>
            <w:r>
              <w:t>rozwiązania wspierające oszczędność energii,</w:t>
            </w:r>
          </w:p>
          <w:p w:rsidR="00970685" w:rsidRDefault="00970685" w:rsidP="007972C1">
            <w:pPr>
              <w:pStyle w:val="Akapitzlist"/>
              <w:numPr>
                <w:ilvl w:val="0"/>
                <w:numId w:val="7"/>
              </w:numPr>
              <w:jc w:val="both"/>
            </w:pPr>
            <w:r>
              <w:t>systemy wspierające monitorowanie i gromadzenie informacji o środowisku naturalnym,</w:t>
            </w:r>
          </w:p>
          <w:p w:rsidR="00970685" w:rsidRDefault="00970685" w:rsidP="007972C1">
            <w:pPr>
              <w:pStyle w:val="Akapitzlist"/>
              <w:numPr>
                <w:ilvl w:val="0"/>
                <w:numId w:val="7"/>
              </w:numPr>
              <w:jc w:val="both"/>
            </w:pPr>
            <w:r>
              <w:t>technologie sprzyjające ochronie klimatu,</w:t>
            </w:r>
          </w:p>
          <w:p w:rsidR="00970685" w:rsidRDefault="00970685" w:rsidP="007972C1">
            <w:pPr>
              <w:pStyle w:val="Akapitzlist"/>
              <w:numPr>
                <w:ilvl w:val="0"/>
                <w:numId w:val="7"/>
              </w:numPr>
              <w:jc w:val="both"/>
            </w:pPr>
            <w:r>
              <w:t>technologie wspierające gospodarkę odpadami,</w:t>
            </w:r>
          </w:p>
          <w:p w:rsidR="00970685" w:rsidRDefault="00970685" w:rsidP="007972C1">
            <w:pPr>
              <w:pStyle w:val="Akapitzlist"/>
              <w:numPr>
                <w:ilvl w:val="0"/>
                <w:numId w:val="7"/>
              </w:numPr>
              <w:jc w:val="both"/>
            </w:pPr>
            <w:r>
              <w:t>technologie wodno-ściekowe,</w:t>
            </w:r>
          </w:p>
          <w:p w:rsidR="00970685" w:rsidRDefault="00970685" w:rsidP="007972C1">
            <w:pPr>
              <w:pStyle w:val="Akapitzlist"/>
              <w:numPr>
                <w:ilvl w:val="0"/>
                <w:numId w:val="7"/>
              </w:numPr>
              <w:jc w:val="both"/>
            </w:pPr>
            <w:r>
              <w:t>technologie niskoemisyjnego transportu.</w:t>
            </w:r>
          </w:p>
          <w:p w:rsidR="007972C1" w:rsidRDefault="007972C1" w:rsidP="00E14034">
            <w:pPr>
              <w:jc w:val="both"/>
            </w:pPr>
          </w:p>
          <w:p w:rsidR="00970685" w:rsidRDefault="00970685" w:rsidP="00E14034">
            <w:pPr>
              <w:jc w:val="both"/>
            </w:pPr>
            <w:r>
              <w:t xml:space="preserve">Po przerwie związanej z koniecznością zapewnienia podstaw prawnych do realizacji programu </w:t>
            </w:r>
            <w:proofErr w:type="spellStart"/>
            <w:r w:rsidR="007972C1">
              <w:t>GreenEvo</w:t>
            </w:r>
            <w:proofErr w:type="spellEnd"/>
            <w:r>
              <w:t xml:space="preserve"> przez Ministerstwo Środowiska, zaistniały przesłanki do ponownego uruchomienia programu. Wcześniej </w:t>
            </w:r>
            <w:r w:rsidR="007972C1">
              <w:t>okazał się wyjątkową</w:t>
            </w:r>
            <w:r>
              <w:t xml:space="preserve">, </w:t>
            </w:r>
            <w:r w:rsidR="00E14034">
              <w:t>kilkukrotnie</w:t>
            </w:r>
            <w:r>
              <w:t xml:space="preserve"> nagradzan</w:t>
            </w:r>
            <w:r w:rsidR="007972C1">
              <w:t>ą</w:t>
            </w:r>
            <w:r>
              <w:t xml:space="preserve"> inicjatyw</w:t>
            </w:r>
            <w:r w:rsidR="007972C1">
              <w:t>ą rządową,</w:t>
            </w:r>
            <w:r>
              <w:t xml:space="preserve"> będąc</w:t>
            </w:r>
            <w:r w:rsidR="007972C1">
              <w:t>ą</w:t>
            </w:r>
            <w:r>
              <w:t xml:space="preserve"> </w:t>
            </w:r>
            <w:r w:rsidR="00E14034">
              <w:t>inspiracją</w:t>
            </w:r>
            <w:r>
              <w:t xml:space="preserve"> dla innych instytucji oraz stanowiąc</w:t>
            </w:r>
            <w:r w:rsidR="007972C1">
              <w:t>ą</w:t>
            </w:r>
            <w:r>
              <w:t xml:space="preserve"> skuteczne narzędzie wsparcia transferu polskich rozwiązań technologicznych przyjaznych </w:t>
            </w:r>
            <w:r>
              <w:lastRenderedPageBreak/>
              <w:t>dla środowiska, które bezpośrednio wpływają na wzrost efektu ekologicznego w procesie kształtowania zrównoważonego rozwoju, w tym przejścia na model gospodarki o obiegu zamkniętym.</w:t>
            </w:r>
          </w:p>
          <w:p w:rsidR="00970685" w:rsidRDefault="00970685" w:rsidP="00E14034">
            <w:pPr>
              <w:jc w:val="both"/>
            </w:pPr>
          </w:p>
          <w:p w:rsidR="00970685" w:rsidRDefault="00970685" w:rsidP="00E14034">
            <w:pPr>
              <w:jc w:val="both"/>
            </w:pPr>
            <w:r>
              <w:t>Program</w:t>
            </w:r>
            <w:r w:rsidR="007972C1">
              <w:t>,</w:t>
            </w:r>
            <w:r>
              <w:t xml:space="preserve"> mający charakter cykliczny, polega na wyborze </w:t>
            </w:r>
            <w:r w:rsidR="007972C1">
              <w:t>l</w:t>
            </w:r>
            <w:r>
              <w:t xml:space="preserve">aureatów </w:t>
            </w:r>
            <w:proofErr w:type="spellStart"/>
            <w:r w:rsidRPr="007972C1">
              <w:t>Green</w:t>
            </w:r>
            <w:r w:rsidR="007972C1" w:rsidRPr="007972C1">
              <w:t>E</w:t>
            </w:r>
            <w:r w:rsidRPr="007972C1">
              <w:t>vo</w:t>
            </w:r>
            <w:proofErr w:type="spellEnd"/>
            <w:r w:rsidR="00075A33">
              <w:t xml:space="preserve"> w ramach każdej edycji</w:t>
            </w:r>
            <w:r>
              <w:t>. Laureaci, poprzez udział w szkoleniach otrzymują merytoryczne przygotowanie w zakresie zagranicznego transferu technologii, a następnie mają możliwość zaprezentowania zwycięskich rozwiązań technologicznych pod</w:t>
            </w:r>
            <w:r w:rsidR="00075A33">
              <w:t xml:space="preserve">czas międzynarodowych wydarzeń </w:t>
            </w:r>
            <w:r>
              <w:t>o charakterze promocyjnym.</w:t>
            </w:r>
          </w:p>
          <w:p w:rsidR="007972C1" w:rsidRDefault="007972C1" w:rsidP="00E14034">
            <w:pPr>
              <w:jc w:val="both"/>
            </w:pPr>
          </w:p>
          <w:p w:rsidR="007972C1" w:rsidRDefault="00970685" w:rsidP="00E14034">
            <w:pPr>
              <w:jc w:val="both"/>
            </w:pPr>
            <w:r>
              <w:t xml:space="preserve">VII edycja </w:t>
            </w:r>
            <w:r w:rsidR="007972C1">
              <w:t>p</w:t>
            </w:r>
            <w:r>
              <w:t xml:space="preserve">rogramu (2018 r.) przeznaczona jest wyłącznie dla </w:t>
            </w:r>
            <w:r w:rsidR="007972C1">
              <w:t>l</w:t>
            </w:r>
            <w:r>
              <w:t xml:space="preserve">aureatów poprzednich edycji </w:t>
            </w:r>
            <w:proofErr w:type="spellStart"/>
            <w:r>
              <w:t>Green</w:t>
            </w:r>
            <w:r w:rsidR="007972C1">
              <w:t>E</w:t>
            </w:r>
            <w:r>
              <w:t>vo</w:t>
            </w:r>
            <w:proofErr w:type="spellEnd"/>
            <w:r>
              <w:t xml:space="preserve">, celem wykorzystania istniejącego potencjału sprawdzonych technologii przedsiębiorców, którzy wspólnie z Ministerstwem Środowiska budowali dotąd markę </w:t>
            </w:r>
            <w:proofErr w:type="spellStart"/>
            <w:r>
              <w:t>Green</w:t>
            </w:r>
            <w:r w:rsidR="007972C1">
              <w:t>E</w:t>
            </w:r>
            <w:r>
              <w:t>vo</w:t>
            </w:r>
            <w:proofErr w:type="spellEnd"/>
            <w:r>
              <w:t xml:space="preserve">. </w:t>
            </w:r>
          </w:p>
          <w:p w:rsidR="007972C1" w:rsidRDefault="007972C1" w:rsidP="00E14034">
            <w:pPr>
              <w:jc w:val="both"/>
            </w:pPr>
          </w:p>
          <w:p w:rsidR="00970685" w:rsidRDefault="00970685" w:rsidP="00E14034">
            <w:pPr>
              <w:jc w:val="both"/>
            </w:pPr>
            <w:r>
              <w:t xml:space="preserve">W ramach </w:t>
            </w:r>
            <w:r w:rsidR="007972C1">
              <w:t>p</w:t>
            </w:r>
            <w:r>
              <w:t xml:space="preserve">rogramu </w:t>
            </w:r>
            <w:r w:rsidR="004A4175">
              <w:t xml:space="preserve">w latach </w:t>
            </w:r>
            <w:r>
              <w:t>2019</w:t>
            </w:r>
            <w:r w:rsidR="004A4175">
              <w:t>–2020</w:t>
            </w:r>
            <w:r>
              <w:t xml:space="preserve"> Ministerstwo Środowiska planu</w:t>
            </w:r>
            <w:r w:rsidR="007972C1">
              <w:t xml:space="preserve">je przeprowadzić </w:t>
            </w:r>
            <w:r w:rsidR="004A4175">
              <w:t>nabór</w:t>
            </w:r>
            <w:r>
              <w:t xml:space="preserve"> nowych technologii środowiskowych i powiększenia grona nagrodzonych przedsiębiorców.</w:t>
            </w:r>
          </w:p>
          <w:p w:rsidR="007972C1" w:rsidRDefault="007972C1" w:rsidP="00E14034">
            <w:pPr>
              <w:jc w:val="both"/>
            </w:pPr>
          </w:p>
          <w:p w:rsidR="00E82FC0" w:rsidRDefault="00970685" w:rsidP="007972C1">
            <w:pPr>
              <w:jc w:val="both"/>
            </w:pPr>
            <w:r>
              <w:t xml:space="preserve">Program </w:t>
            </w:r>
            <w:proofErr w:type="spellStart"/>
            <w:r>
              <w:t>Green</w:t>
            </w:r>
            <w:r w:rsidR="007972C1">
              <w:t>E</w:t>
            </w:r>
            <w:r>
              <w:t>vo</w:t>
            </w:r>
            <w:proofErr w:type="spellEnd"/>
            <w:r>
              <w:t xml:space="preserve"> finansowany jest ze środków Narodowego Funduszu Ochrony Środowiska i Gospodarki Wodnej.</w:t>
            </w:r>
          </w:p>
          <w:p w:rsidR="002717AB" w:rsidRDefault="002717AB" w:rsidP="007972C1">
            <w:pPr>
              <w:jc w:val="both"/>
            </w:pPr>
          </w:p>
        </w:tc>
        <w:tc>
          <w:tcPr>
            <w:tcW w:w="2191" w:type="dxa"/>
          </w:tcPr>
          <w:p w:rsidR="00E82FC0" w:rsidRDefault="007972C1" w:rsidP="00E14034">
            <w:r>
              <w:lastRenderedPageBreak/>
              <w:t>2019–</w:t>
            </w:r>
            <w:r w:rsidR="00970685">
              <w:t>2020</w:t>
            </w:r>
          </w:p>
        </w:tc>
      </w:tr>
      <w:tr w:rsidR="00890B26" w:rsidTr="002E0C40">
        <w:tc>
          <w:tcPr>
            <w:tcW w:w="14220" w:type="dxa"/>
            <w:gridSpan w:val="4"/>
          </w:tcPr>
          <w:p w:rsidR="00890B26" w:rsidRPr="00970685" w:rsidRDefault="00890B26" w:rsidP="00E14034">
            <w:pPr>
              <w:rPr>
                <w:b/>
              </w:rPr>
            </w:pPr>
            <w:r w:rsidRPr="00970685">
              <w:rPr>
                <w:b/>
              </w:rPr>
              <w:t>Kierunek interwencji: Przeciwdziałanie zmianom klimatu</w:t>
            </w:r>
          </w:p>
        </w:tc>
      </w:tr>
      <w:tr w:rsidR="00890B26" w:rsidTr="00DD60A6">
        <w:tc>
          <w:tcPr>
            <w:tcW w:w="534" w:type="dxa"/>
          </w:tcPr>
          <w:p w:rsidR="00890B26" w:rsidRPr="00884C2C" w:rsidRDefault="000E3067" w:rsidP="00E14034">
            <w:pPr>
              <w:rPr>
                <w:b/>
              </w:rPr>
            </w:pPr>
            <w:r>
              <w:rPr>
                <w:b/>
              </w:rPr>
              <w:t>5</w:t>
            </w:r>
            <w:r w:rsidR="00C41B75" w:rsidRPr="00884C2C">
              <w:rPr>
                <w:b/>
              </w:rPr>
              <w:t>.</w:t>
            </w:r>
          </w:p>
        </w:tc>
        <w:tc>
          <w:tcPr>
            <w:tcW w:w="1761" w:type="dxa"/>
          </w:tcPr>
          <w:p w:rsidR="00890B26" w:rsidRPr="00970685" w:rsidRDefault="00C41B75" w:rsidP="00E14034">
            <w:pPr>
              <w:rPr>
                <w:b/>
              </w:rPr>
            </w:pPr>
            <w:r w:rsidRPr="00970685">
              <w:rPr>
                <w:b/>
              </w:rPr>
              <w:t>Leśne Gospodarstwa Węglowe</w:t>
            </w:r>
          </w:p>
        </w:tc>
        <w:tc>
          <w:tcPr>
            <w:tcW w:w="9734" w:type="dxa"/>
          </w:tcPr>
          <w:p w:rsidR="00970685" w:rsidRPr="00970685" w:rsidRDefault="00970685" w:rsidP="00E14034">
            <w:pPr>
              <w:contextualSpacing/>
              <w:jc w:val="both"/>
            </w:pPr>
            <w:r w:rsidRPr="00970685">
              <w:t>Projekt Leśne Gospodarstwa Węglowe ma na celu ukazanie roli obszarów leśnych w łagodzeniu negatywnych skutków zmian klimatycznych. Działania realizowane w projekcie mają doprowadzić do zmagazynowania dodatkowych ilości węgla organicznego oraz zmniejszania uwalniania się gazów, w tym dwutlenku węgla z gleb.</w:t>
            </w:r>
            <w:r w:rsidR="008B1E12">
              <w:t xml:space="preserve"> </w:t>
            </w:r>
            <w:r w:rsidRPr="00970685">
              <w:t>Projekt realizowany jest w 23 nadleśnictwach na obszarze 13 regionalnych dyrekcji Lasów Państwowych. Łączna suma powierzchni, na której wykonywane są działania</w:t>
            </w:r>
            <w:r w:rsidR="008B1E12">
              <w:t>,</w:t>
            </w:r>
            <w:r w:rsidRPr="00970685">
              <w:t xml:space="preserve"> to około 12 000 ha. Do działań realizowanych w projekcie należą: zwiększenie powierzchni </w:t>
            </w:r>
            <w:proofErr w:type="spellStart"/>
            <w:r w:rsidRPr="00970685">
              <w:t>wydzieleń</w:t>
            </w:r>
            <w:proofErr w:type="spellEnd"/>
            <w:r w:rsidRPr="00970685">
              <w:t xml:space="preserve"> leśnych, w których wprowadzane są podsadzenia i podszyty, zmiana metody zagospodarowania lasu na etapie rębnego użytkowania, zwiększenie skuteczności odnawiania lasu poprzez zmniejszanie zakresu prac w zakresie poprawek i uzupełnień, zmianę sposobu ochrony lasu przed szkodami od zwierzyny, innych czynników biotycznych i abiotycznych, wprowadzenie podgonów i przedplonów, pozostawienie gruntów do naturalnej sukcesji na terenach nieleśnych. Inicjowanie tych prac odbywać będzie się w latach 2017</w:t>
            </w:r>
            <w:r w:rsidR="008B1E12">
              <w:t>–</w:t>
            </w:r>
            <w:r w:rsidRPr="00970685">
              <w:t>2026, natomiast ich efekt w postaci dodatkowo zakumulowanego dwutlenku węgla, liczony jest na okres 30 lat</w:t>
            </w:r>
            <w:r w:rsidR="008B1E12">
              <w:t>,</w:t>
            </w:r>
            <w:r w:rsidRPr="00970685">
              <w:t xml:space="preserve"> tj. do końca 2046 r., za pomocą oprogramowania </w:t>
            </w:r>
            <w:r w:rsidRPr="008B1E12">
              <w:rPr>
                <w:i/>
              </w:rPr>
              <w:t xml:space="preserve">Carbon Budget Model of the Canadian </w:t>
            </w:r>
            <w:proofErr w:type="spellStart"/>
            <w:r w:rsidRPr="008B1E12">
              <w:rPr>
                <w:i/>
              </w:rPr>
              <w:t>Forest</w:t>
            </w:r>
            <w:proofErr w:type="spellEnd"/>
            <w:r w:rsidRPr="008B1E12">
              <w:rPr>
                <w:i/>
              </w:rPr>
              <w:t xml:space="preserve"> </w:t>
            </w:r>
            <w:proofErr w:type="spellStart"/>
            <w:r w:rsidRPr="008B1E12">
              <w:rPr>
                <w:i/>
              </w:rPr>
              <w:t>Sector</w:t>
            </w:r>
            <w:proofErr w:type="spellEnd"/>
            <w:r w:rsidRPr="00970685">
              <w:t xml:space="preserve"> (CBM-CFS3). Oszacowano, że w skutek projektu zostanie dodatkowo pochłonięte 1 000 000 ton </w:t>
            </w:r>
            <w:r w:rsidRPr="00970685">
              <w:lastRenderedPageBreak/>
              <w:t>dwutlenku węgla.</w:t>
            </w:r>
            <w:r w:rsidR="008B1E12">
              <w:t xml:space="preserve"> </w:t>
            </w:r>
            <w:r w:rsidRPr="00970685">
              <w:t xml:space="preserve">Dodatkowa ilość pochłoniętego dwutlenku węgla wyrażana jest w Jednostkach Dwutlenku Węgla (JDW) </w:t>
            </w:r>
            <w:r w:rsidR="008B1E12">
              <w:t>–</w:t>
            </w:r>
            <w:r w:rsidRPr="00970685">
              <w:t xml:space="preserve"> jest to ilość węgla organicznego odpowiadającej jeden tonie dodatkowo zakumulowanego dwutlenku węgla.</w:t>
            </w:r>
            <w:r w:rsidR="008B1E12">
              <w:t xml:space="preserve"> </w:t>
            </w:r>
            <w:r w:rsidRPr="00970685">
              <w:t>Dodatkowo prowadzone są badania naukowe mające na celu dostosowanie modelu CBM-CFS3 do lokalnych warunków.</w:t>
            </w:r>
          </w:p>
          <w:p w:rsidR="00970685" w:rsidRPr="00970685" w:rsidRDefault="00970685" w:rsidP="00E14034">
            <w:pPr>
              <w:pStyle w:val="Akapitzlist"/>
              <w:contextualSpacing/>
              <w:jc w:val="both"/>
              <w:rPr>
                <w:lang w:val="pl-PL"/>
              </w:rPr>
            </w:pPr>
          </w:p>
          <w:p w:rsidR="00890B26" w:rsidRDefault="00970685" w:rsidP="008B1E12">
            <w:pPr>
              <w:jc w:val="both"/>
            </w:pPr>
            <w:r w:rsidRPr="00970685">
              <w:t>Przewidziana jest sprzedaż aukcyjna</w:t>
            </w:r>
            <w:r w:rsidR="008B1E12">
              <w:t xml:space="preserve"> JDW</w:t>
            </w:r>
            <w:r w:rsidRPr="00970685">
              <w:t xml:space="preserve"> dla podmiotów prowa</w:t>
            </w:r>
            <w:r w:rsidR="008B1E12">
              <w:t>dzących działalność gospodarczą</w:t>
            </w:r>
            <w:r w:rsidRPr="00970685">
              <w:t>. Sprzedaż dla osób fizycznych będzie polegać na dobrowolnym zakupie tzw. zielonych certyfikatów. Wartością dodaną aukcji jest to, że nabywcy będą mogli wskazać cel, z uprzednio przygotowanej listy, na który zostaną przeznczone środki z zakupu JDW. Lista ta obejmuje przedsięwzięcia z zakresu edukacji przyrodniczej i historycznej, ochrony różnorodności biologicznej oraz turystyki i rekreacji.</w:t>
            </w:r>
            <w:r w:rsidR="008B1E12">
              <w:t xml:space="preserve"> </w:t>
            </w:r>
          </w:p>
          <w:p w:rsidR="002717AB" w:rsidRDefault="002717AB" w:rsidP="008B1E12">
            <w:pPr>
              <w:jc w:val="both"/>
            </w:pPr>
          </w:p>
        </w:tc>
        <w:tc>
          <w:tcPr>
            <w:tcW w:w="2191" w:type="dxa"/>
          </w:tcPr>
          <w:p w:rsidR="00890B26" w:rsidRDefault="00E14034" w:rsidP="008B1E12">
            <w:r>
              <w:lastRenderedPageBreak/>
              <w:t>2017</w:t>
            </w:r>
            <w:r w:rsidR="008B1E12">
              <w:t>–</w:t>
            </w:r>
            <w:r>
              <w:t>2047</w:t>
            </w:r>
          </w:p>
        </w:tc>
      </w:tr>
      <w:tr w:rsidR="00890B26" w:rsidTr="00DD60A6">
        <w:tc>
          <w:tcPr>
            <w:tcW w:w="534" w:type="dxa"/>
          </w:tcPr>
          <w:p w:rsidR="00890B26" w:rsidRPr="00884C2C" w:rsidRDefault="000E3067" w:rsidP="00E14034">
            <w:pPr>
              <w:rPr>
                <w:b/>
              </w:rPr>
            </w:pPr>
            <w:r>
              <w:rPr>
                <w:b/>
              </w:rPr>
              <w:t>6</w:t>
            </w:r>
            <w:r w:rsidR="00C41B75" w:rsidRPr="00884C2C">
              <w:rPr>
                <w:b/>
              </w:rPr>
              <w:t>.</w:t>
            </w:r>
          </w:p>
        </w:tc>
        <w:tc>
          <w:tcPr>
            <w:tcW w:w="1761" w:type="dxa"/>
          </w:tcPr>
          <w:p w:rsidR="00890B26" w:rsidRPr="00B47C8E" w:rsidRDefault="00C41B75" w:rsidP="00E14034">
            <w:pPr>
              <w:rPr>
                <w:b/>
              </w:rPr>
            </w:pPr>
            <w:r w:rsidRPr="00B47C8E">
              <w:rPr>
                <w:b/>
              </w:rPr>
              <w:t>Budownictwo drewniane</w:t>
            </w:r>
          </w:p>
        </w:tc>
        <w:tc>
          <w:tcPr>
            <w:tcW w:w="9734" w:type="dxa"/>
          </w:tcPr>
          <w:p w:rsidR="00E14034" w:rsidRDefault="00E14034" w:rsidP="00E14034">
            <w:pPr>
              <w:jc w:val="both"/>
            </w:pPr>
            <w:r>
              <w:t xml:space="preserve">Celem projektu jest zwiększenie dostępności mieszkań, w szczególności dla osób o umiarkowanych dochodach, stworzenie warunków do rozwoju branży budownictwa drewnianego w Polsce, oraz wykreowanie mody na ekologiczne budownictwo drewniane. Projekt zakłada realizację zadań </w:t>
            </w:r>
            <w:r>
              <w:br/>
              <w:t>w obszarach:</w:t>
            </w:r>
          </w:p>
          <w:p w:rsidR="00E14034" w:rsidRDefault="00E14034" w:rsidP="008D5B80">
            <w:pPr>
              <w:pStyle w:val="Akapitzlist"/>
              <w:numPr>
                <w:ilvl w:val="0"/>
                <w:numId w:val="12"/>
              </w:numPr>
              <w:jc w:val="both"/>
            </w:pPr>
            <w:r>
              <w:t>finansowo-instytucjonalnym (działania zmierzające do wypracowania i wdrożenia mechanizmów</w:t>
            </w:r>
            <w:r w:rsidR="008B1E12">
              <w:t xml:space="preserve"> </w:t>
            </w:r>
            <w:r>
              <w:t>wsparcia budownictwa drewnianego);</w:t>
            </w:r>
          </w:p>
          <w:p w:rsidR="00E14034" w:rsidRDefault="00E14034" w:rsidP="008D5B80">
            <w:pPr>
              <w:pStyle w:val="Akapitzlist"/>
              <w:numPr>
                <w:ilvl w:val="0"/>
                <w:numId w:val="12"/>
              </w:numPr>
              <w:jc w:val="both"/>
            </w:pPr>
            <w:r>
              <w:t xml:space="preserve">legislacyjnym i normalizacyjnym (działania zmierzające do zniwelowania barier prawnych dla rozwoju budownictwa drewnianego); </w:t>
            </w:r>
          </w:p>
          <w:p w:rsidR="00890B26" w:rsidRDefault="00E14034" w:rsidP="008D5B80">
            <w:pPr>
              <w:pStyle w:val="Akapitzlist"/>
              <w:numPr>
                <w:ilvl w:val="0"/>
                <w:numId w:val="12"/>
              </w:numPr>
              <w:jc w:val="both"/>
            </w:pPr>
            <w:r>
              <w:t>edukacyjno</w:t>
            </w:r>
            <w:r w:rsidR="008D5B80">
              <w:rPr>
                <w:lang w:val="pl-PL"/>
              </w:rPr>
              <w:t>-</w:t>
            </w:r>
            <w:r>
              <w:t>informacyjnym (prowadzenie kampanii edukacyjno-informacyjnej, szkole</w:t>
            </w:r>
            <w:r w:rsidR="008D5B80">
              <w:rPr>
                <w:lang w:val="pl-PL"/>
              </w:rPr>
              <w:t>ń</w:t>
            </w:r>
            <w:r>
              <w:t>, upowszechnianie dobrych praktyk, współpraca międzynarodowa)</w:t>
            </w:r>
          </w:p>
          <w:p w:rsidR="00B47C8E" w:rsidRDefault="00B47C8E" w:rsidP="00E14034">
            <w:pPr>
              <w:jc w:val="both"/>
            </w:pPr>
          </w:p>
          <w:p w:rsidR="00E14034" w:rsidRDefault="00E14034" w:rsidP="00E14034">
            <w:pPr>
              <w:jc w:val="both"/>
            </w:pPr>
            <w:r>
              <w:t xml:space="preserve">Realizacja projektu przyczyni się do: </w:t>
            </w:r>
          </w:p>
          <w:p w:rsidR="00E14034" w:rsidRPr="00E14034" w:rsidRDefault="00E14034" w:rsidP="00E14034">
            <w:pPr>
              <w:pStyle w:val="Akapitzlist"/>
              <w:numPr>
                <w:ilvl w:val="0"/>
                <w:numId w:val="2"/>
              </w:numPr>
              <w:jc w:val="both"/>
            </w:pPr>
            <w:r w:rsidRPr="00E14034">
              <w:t>poprawy bilansu węglowego (ograniczenie emisji CO</w:t>
            </w:r>
            <w:r w:rsidRPr="00E14034">
              <w:rPr>
                <w:vertAlign w:val="subscript"/>
              </w:rPr>
              <w:t>2</w:t>
            </w:r>
            <w:r w:rsidRPr="00E14034">
              <w:t xml:space="preserve"> powstającego przy produkcji materiałów budowlanych używanych do technologii murowanej – cement, styropian, cegła, stal, plastik itp.; drewno jako materiał budowlany ma niski ślad węglowy), </w:t>
            </w:r>
          </w:p>
          <w:p w:rsidR="00E14034" w:rsidRPr="00E14034" w:rsidRDefault="00E14034" w:rsidP="00E14034">
            <w:pPr>
              <w:pStyle w:val="Akapitzlist"/>
              <w:numPr>
                <w:ilvl w:val="0"/>
                <w:numId w:val="2"/>
              </w:numPr>
              <w:jc w:val="both"/>
            </w:pPr>
            <w:r w:rsidRPr="00E14034">
              <w:t xml:space="preserve">promocji budynków energooszczędnych z drewna (poprawa bilansu energetycznego, mniejsze zużycie energii pierwotnej niezbędnej do utrzymania budynków, propagowanie efektywnego wykorzystanie surowca drzewnego jako materiału budowlanego), </w:t>
            </w:r>
          </w:p>
          <w:p w:rsidR="00E14034" w:rsidRPr="00E14034" w:rsidRDefault="00E14034" w:rsidP="00E14034">
            <w:pPr>
              <w:pStyle w:val="Akapitzlist"/>
              <w:numPr>
                <w:ilvl w:val="0"/>
                <w:numId w:val="2"/>
              </w:numPr>
              <w:jc w:val="both"/>
            </w:pPr>
            <w:r w:rsidRPr="00E14034">
              <w:t>przeciwdziałania zmianom klimatu (drewno jest magazynem CO</w:t>
            </w:r>
            <w:r w:rsidRPr="00E14034">
              <w:rPr>
                <w:vertAlign w:val="subscript"/>
              </w:rPr>
              <w:t>2</w:t>
            </w:r>
            <w:r w:rsidRPr="00E14034">
              <w:t xml:space="preserve">, przez co zmniejsza jego koncentrację w atmosferze). </w:t>
            </w:r>
          </w:p>
          <w:p w:rsidR="00E14034" w:rsidRDefault="00E14034" w:rsidP="00E14034">
            <w:pPr>
              <w:jc w:val="both"/>
            </w:pPr>
          </w:p>
        </w:tc>
        <w:tc>
          <w:tcPr>
            <w:tcW w:w="2191" w:type="dxa"/>
          </w:tcPr>
          <w:p w:rsidR="00890B26" w:rsidRDefault="00B47C8E" w:rsidP="008B1E12">
            <w:r>
              <w:t>2017</w:t>
            </w:r>
            <w:r w:rsidR="008B1E12">
              <w:t>–</w:t>
            </w:r>
            <w:r>
              <w:t>2027</w:t>
            </w:r>
          </w:p>
        </w:tc>
      </w:tr>
      <w:tr w:rsidR="00C41B75" w:rsidTr="006641A0">
        <w:tc>
          <w:tcPr>
            <w:tcW w:w="14220" w:type="dxa"/>
            <w:gridSpan w:val="4"/>
          </w:tcPr>
          <w:p w:rsidR="00C41B75" w:rsidRPr="00E605F7" w:rsidRDefault="00C41B75" w:rsidP="00E40B87">
            <w:pPr>
              <w:rPr>
                <w:b/>
              </w:rPr>
            </w:pPr>
            <w:r w:rsidRPr="00E605F7">
              <w:rPr>
                <w:b/>
              </w:rPr>
              <w:t xml:space="preserve">Kierunek interwencji: Adaptacja do zmian klimatu </w:t>
            </w:r>
            <w:r w:rsidR="00E40B87">
              <w:rPr>
                <w:b/>
              </w:rPr>
              <w:t>i zarzą</w:t>
            </w:r>
            <w:r w:rsidR="00E40B87" w:rsidRPr="00D75C12">
              <w:rPr>
                <w:b/>
              </w:rPr>
              <w:t>dzanie ryzykiem</w:t>
            </w:r>
            <w:r w:rsidRPr="00E605F7">
              <w:rPr>
                <w:b/>
              </w:rPr>
              <w:t xml:space="preserve"> klęsk żywiołowych</w:t>
            </w:r>
          </w:p>
        </w:tc>
      </w:tr>
      <w:tr w:rsidR="00C41B75" w:rsidTr="00DD60A6">
        <w:tc>
          <w:tcPr>
            <w:tcW w:w="534" w:type="dxa"/>
          </w:tcPr>
          <w:p w:rsidR="00C41B75" w:rsidRPr="00884C2C" w:rsidRDefault="000E3067" w:rsidP="00E14034">
            <w:pPr>
              <w:rPr>
                <w:b/>
              </w:rPr>
            </w:pPr>
            <w:r>
              <w:rPr>
                <w:b/>
              </w:rPr>
              <w:lastRenderedPageBreak/>
              <w:t>7</w:t>
            </w:r>
            <w:r w:rsidR="00C41B75" w:rsidRPr="00884C2C">
              <w:rPr>
                <w:b/>
              </w:rPr>
              <w:t>.</w:t>
            </w:r>
          </w:p>
        </w:tc>
        <w:tc>
          <w:tcPr>
            <w:tcW w:w="1761" w:type="dxa"/>
          </w:tcPr>
          <w:p w:rsidR="00C41B75" w:rsidRPr="00E605F7" w:rsidRDefault="00C41B75" w:rsidP="00E14034">
            <w:pPr>
              <w:rPr>
                <w:b/>
              </w:rPr>
            </w:pPr>
            <w:r w:rsidRPr="00E605F7">
              <w:rPr>
                <w:b/>
              </w:rPr>
              <w:t>Adaptacja do zmian klimatu</w:t>
            </w:r>
          </w:p>
        </w:tc>
        <w:tc>
          <w:tcPr>
            <w:tcW w:w="9734" w:type="dxa"/>
          </w:tcPr>
          <w:p w:rsidR="00E605F7" w:rsidRDefault="00E605F7" w:rsidP="00E605F7">
            <w:pPr>
              <w:jc w:val="both"/>
              <w:rPr>
                <w:bCs/>
              </w:rPr>
            </w:pPr>
            <w:r w:rsidRPr="00BD6337">
              <w:rPr>
                <w:bCs/>
              </w:rPr>
              <w:t>Skutki zmian klimatu, w szczególności wzrost temperatury, częstości i intensywności występowania zjawisk ekstremalnych, pogłębiają się</w:t>
            </w:r>
            <w:r w:rsidRPr="00BD6337">
              <w:rPr>
                <w:rStyle w:val="Odwoanieprzypisudolnego"/>
              </w:rPr>
              <w:footnoteReference w:id="1"/>
            </w:r>
            <w:r w:rsidRPr="00BD6337">
              <w:rPr>
                <w:bCs/>
              </w:rPr>
              <w:t xml:space="preserve">. Wyniki badań naukowych jasno wskazują, że zjawiska powodowane zmianami klimatu stanowią zagrożenie dla społeczeństwa, rozwoju gospodarczego krajów UE i środowiska. Narażają one społeczeństwo i gospodarkę na dodatkowe koszty, powodują straty </w:t>
            </w:r>
            <w:r>
              <w:rPr>
                <w:bCs/>
              </w:rPr>
              <w:br/>
            </w:r>
            <w:r w:rsidRPr="00BD6337">
              <w:rPr>
                <w:bCs/>
              </w:rPr>
              <w:t xml:space="preserve">w przyrodzie. Adaptacja do zmieniających się warunków klimatycznych i związanych z nimi zjawisk stanowi obecnie jedno z najważniejszych wyzwań dla polskiej gospodarki i społeczeństwa. </w:t>
            </w:r>
          </w:p>
          <w:p w:rsidR="00E605F7" w:rsidRPr="00BD6337" w:rsidRDefault="00E605F7" w:rsidP="00E605F7">
            <w:pPr>
              <w:jc w:val="both"/>
              <w:rPr>
                <w:bCs/>
              </w:rPr>
            </w:pPr>
          </w:p>
          <w:p w:rsidR="00E605F7" w:rsidRDefault="00E605F7" w:rsidP="00E605F7">
            <w:pPr>
              <w:jc w:val="both"/>
            </w:pPr>
            <w:r w:rsidRPr="00BD6337">
              <w:t xml:space="preserve">Celem projektu jest dostarczenie niezbędnej wiedzy w zakresie zmian klimatu i oceny ich skutków, niezbędnej do poprawy skuteczności oraz efektywności działań adaptacyjnych w sektorach i obszarach wrażliwych na zmiany klimatu, w szczególności w tych, wskazanych w </w:t>
            </w:r>
            <w:r w:rsidRPr="00BD6337">
              <w:rPr>
                <w:i/>
              </w:rPr>
              <w:t xml:space="preserve">Strategicznym planie adaptacji dla sektorów i obszarów wrażliwych na zmiany klimatu do roku 2020 </w:t>
            </w:r>
            <w:r w:rsidRPr="00BD6337">
              <w:t>(SPA 2020). Projekt wyposaży instytucje państwowe w skuteczne instrumenty re</w:t>
            </w:r>
            <w:r w:rsidR="001A2FC9">
              <w:t>alizacji polityki adaptacyjnej.</w:t>
            </w:r>
            <w:r w:rsidRPr="00BD6337">
              <w:t xml:space="preserve"> Instrumenty te pozwolą wzmocnić odporność państwa na zmiany klimatu, przekładając się na wymierne oszczędności. W ten sposób, ograniczone zostaną koszty funkcjonowania społeczeństwa i gospodarki, w tym infrastruktury</w:t>
            </w:r>
            <w:r w:rsidR="001A2FC9">
              <w:t>.</w:t>
            </w:r>
          </w:p>
          <w:p w:rsidR="001A2FC9" w:rsidRPr="00BD6337" w:rsidRDefault="001A2FC9" w:rsidP="00E605F7">
            <w:pPr>
              <w:jc w:val="both"/>
            </w:pPr>
          </w:p>
          <w:p w:rsidR="00C41B75" w:rsidRDefault="00E605F7" w:rsidP="001A2FC9">
            <w:pPr>
              <w:jc w:val="both"/>
              <w:rPr>
                <w:rFonts w:eastAsia="Times New Roman" w:cs="Arial"/>
                <w:bCs/>
                <w:lang w:eastAsia="pl-PL"/>
              </w:rPr>
            </w:pPr>
            <w:r w:rsidRPr="00BD6337">
              <w:rPr>
                <w:rFonts w:eastAsia="Times New Roman" w:cs="Arial"/>
                <w:bCs/>
                <w:lang w:eastAsia="pl-PL"/>
              </w:rPr>
              <w:t xml:space="preserve">W projekcie przewidziano opracowanie scenariuszy klimatycznych niezbędnych do oceny społecznych, gospodarczych i środowiskowych skutków zmian klimatu oraz planowania adaptacji, w tym </w:t>
            </w:r>
            <w:r w:rsidR="001A2FC9">
              <w:rPr>
                <w:rFonts w:eastAsia="Times New Roman" w:cs="Arial"/>
                <w:bCs/>
                <w:lang w:eastAsia="pl-PL"/>
              </w:rPr>
              <w:t xml:space="preserve">niezbędnych </w:t>
            </w:r>
            <w:r w:rsidRPr="00BD6337">
              <w:rPr>
                <w:rFonts w:eastAsia="Times New Roman" w:cs="Arial"/>
                <w:bCs/>
                <w:lang w:eastAsia="pl-PL"/>
              </w:rPr>
              <w:t>badań naukowych</w:t>
            </w:r>
            <w:r w:rsidR="001A2FC9">
              <w:rPr>
                <w:rFonts w:eastAsia="Times New Roman" w:cs="Arial"/>
                <w:bCs/>
                <w:lang w:eastAsia="pl-PL"/>
              </w:rPr>
              <w:t>,</w:t>
            </w:r>
            <w:r w:rsidRPr="00BD6337">
              <w:rPr>
                <w:rFonts w:eastAsia="Times New Roman" w:cs="Arial"/>
                <w:bCs/>
                <w:lang w:eastAsia="pl-PL"/>
              </w:rPr>
              <w:t xml:space="preserve"> będących podstawą skutecznych działań adaptacyjnych. Ocenie poddana zostanie także skuteczność interwencji państwa w obszarze związanym z adaptacją do zmian klimatu. Analizy zostaną wykorzystane również do opracowania rekomendacji w zakresie koniecznych zmian legislacyjnych. Wypracowane zostaną </w:t>
            </w:r>
            <w:r w:rsidRPr="00BD6337">
              <w:rPr>
                <w:bCs/>
              </w:rPr>
              <w:t xml:space="preserve">propozycje narzędzi prawnych i ekonomicznych możliwych do wykorzystania przez organy administracji różnego szczebla w procesie stanowienia prawa, planowania i podejmowania działań mających na celu adaptację do skutków zmian klimatu </w:t>
            </w:r>
            <w:r w:rsidRPr="00BD6337">
              <w:rPr>
                <w:bCs/>
              </w:rPr>
              <w:br/>
              <w:t>i przeciwdziałanie skutkom gwałtownych zjawisk pogodowych.</w:t>
            </w:r>
            <w:r w:rsidRPr="00BD6337">
              <w:rPr>
                <w:rFonts w:eastAsia="Times New Roman" w:cs="Arial"/>
                <w:bCs/>
                <w:lang w:eastAsia="pl-PL"/>
              </w:rPr>
              <w:t xml:space="preserve"> </w:t>
            </w:r>
            <w:r w:rsidRPr="00E605F7">
              <w:rPr>
                <w:rFonts w:eastAsia="Times New Roman" w:cs="Arial"/>
                <w:bCs/>
                <w:lang w:eastAsia="pl-PL"/>
              </w:rPr>
              <w:t>Kluczowym rezultatem projektu będzie opracowanie dokumentu programowego/wdrożeniowego w zakresie polityki adaptacyjnej do 2030 r. (tzw. post-SPA) wraz z zestawem wskaźnikó</w:t>
            </w:r>
            <w:r>
              <w:rPr>
                <w:rFonts w:eastAsia="Times New Roman" w:cs="Arial"/>
                <w:bCs/>
                <w:lang w:eastAsia="pl-PL"/>
              </w:rPr>
              <w:t>w monitorujących jej wdrażanie.</w:t>
            </w:r>
          </w:p>
          <w:p w:rsidR="001A2FC9" w:rsidRPr="00E605F7" w:rsidRDefault="001A2FC9" w:rsidP="001A2FC9">
            <w:pPr>
              <w:jc w:val="both"/>
              <w:rPr>
                <w:rFonts w:eastAsia="Times New Roman" w:cs="Arial"/>
                <w:bCs/>
                <w:lang w:eastAsia="pl-PL"/>
              </w:rPr>
            </w:pPr>
          </w:p>
        </w:tc>
        <w:tc>
          <w:tcPr>
            <w:tcW w:w="2191" w:type="dxa"/>
          </w:tcPr>
          <w:p w:rsidR="00C41B75" w:rsidRDefault="00166F5A" w:rsidP="008D5B80">
            <w:r>
              <w:t>2017</w:t>
            </w:r>
            <w:r w:rsidR="008D5B80">
              <w:t>–</w:t>
            </w:r>
            <w:r>
              <w:t>2023</w:t>
            </w:r>
          </w:p>
        </w:tc>
      </w:tr>
      <w:tr w:rsidR="00C41B75" w:rsidTr="00DD60A6">
        <w:tc>
          <w:tcPr>
            <w:tcW w:w="534" w:type="dxa"/>
          </w:tcPr>
          <w:p w:rsidR="00C41B75" w:rsidRPr="00884C2C" w:rsidRDefault="000E3067" w:rsidP="00E14034">
            <w:pPr>
              <w:rPr>
                <w:b/>
              </w:rPr>
            </w:pPr>
            <w:r>
              <w:rPr>
                <w:b/>
              </w:rPr>
              <w:t>8</w:t>
            </w:r>
            <w:r w:rsidR="00C41B75" w:rsidRPr="00884C2C">
              <w:rPr>
                <w:b/>
              </w:rPr>
              <w:t>.</w:t>
            </w:r>
          </w:p>
        </w:tc>
        <w:tc>
          <w:tcPr>
            <w:tcW w:w="1761" w:type="dxa"/>
          </w:tcPr>
          <w:p w:rsidR="00C41B75" w:rsidRPr="00166F5A" w:rsidRDefault="00C41B75" w:rsidP="00E14034">
            <w:pPr>
              <w:rPr>
                <w:b/>
              </w:rPr>
            </w:pPr>
            <w:r w:rsidRPr="00166F5A">
              <w:rPr>
                <w:b/>
              </w:rPr>
              <w:t>Kompleksowy pr</w:t>
            </w:r>
            <w:r w:rsidR="001A2FC9">
              <w:rPr>
                <w:b/>
              </w:rPr>
              <w:t xml:space="preserve">ogram adaptacji lasów </w:t>
            </w:r>
            <w:r w:rsidR="001A2FC9">
              <w:rPr>
                <w:b/>
              </w:rPr>
              <w:lastRenderedPageBreak/>
              <w:t>i </w:t>
            </w:r>
            <w:r w:rsidRPr="00166F5A">
              <w:rPr>
                <w:b/>
              </w:rPr>
              <w:t>leśnictwa do zmian klimatycznych do roku 2020</w:t>
            </w:r>
          </w:p>
        </w:tc>
        <w:tc>
          <w:tcPr>
            <w:tcW w:w="9734" w:type="dxa"/>
          </w:tcPr>
          <w:p w:rsidR="00AE1349" w:rsidRDefault="001A2FC9" w:rsidP="00E43337">
            <w:pPr>
              <w:jc w:val="both"/>
            </w:pPr>
            <w:r>
              <w:lastRenderedPageBreak/>
              <w:t>„</w:t>
            </w:r>
            <w:r w:rsidR="00E43337">
              <w:t>Kompleksowy program adaptacji lasów i leśnictwa do zmian klimatu do roku 2020" jest podst</w:t>
            </w:r>
            <w:r>
              <w:t>awą realizacji 3 kompleksowych p</w:t>
            </w:r>
            <w:r w:rsidR="00E43337">
              <w:t xml:space="preserve">rojektów realizowanych przez PGL LP, współfinansowanych ze środków Funduszu Spójności w ramach </w:t>
            </w:r>
            <w:proofErr w:type="spellStart"/>
            <w:r w:rsidR="00E43337">
              <w:t>POIiŚ</w:t>
            </w:r>
            <w:proofErr w:type="spellEnd"/>
            <w:r w:rsidR="00E43337">
              <w:t xml:space="preserve"> na lata 2014</w:t>
            </w:r>
            <w:r>
              <w:t>–</w:t>
            </w:r>
            <w:r w:rsidR="00E43337">
              <w:t xml:space="preserve">2020. Są to następujące projekty: </w:t>
            </w:r>
          </w:p>
          <w:p w:rsidR="00AE1349" w:rsidRDefault="00AE1349" w:rsidP="00AE1349">
            <w:pPr>
              <w:pStyle w:val="Akapitzlist"/>
              <w:numPr>
                <w:ilvl w:val="0"/>
                <w:numId w:val="14"/>
              </w:numPr>
              <w:jc w:val="both"/>
            </w:pPr>
            <w:r>
              <w:rPr>
                <w:lang w:val="pl-PL"/>
              </w:rPr>
              <w:lastRenderedPageBreak/>
              <w:t>„</w:t>
            </w:r>
            <w:r w:rsidR="00E43337">
              <w:t xml:space="preserve">Kompleksowy projekt adaptacji lasów i leśnictwa do zmian klimatu </w:t>
            </w:r>
            <w:r>
              <w:rPr>
                <w:lang w:val="pl-PL"/>
              </w:rPr>
              <w:t>–</w:t>
            </w:r>
            <w:r w:rsidR="00E43337">
              <w:t xml:space="preserve"> mała retencja oraz przeciwdziałanie erozji wodnej na terenach nizinnych" (MRN2), </w:t>
            </w:r>
          </w:p>
          <w:p w:rsidR="00AE1349" w:rsidRDefault="00AE1349" w:rsidP="00AE1349">
            <w:pPr>
              <w:pStyle w:val="Akapitzlist"/>
              <w:numPr>
                <w:ilvl w:val="0"/>
                <w:numId w:val="14"/>
              </w:numPr>
              <w:jc w:val="both"/>
            </w:pPr>
            <w:r>
              <w:rPr>
                <w:lang w:val="pl-PL"/>
              </w:rPr>
              <w:t>„</w:t>
            </w:r>
            <w:r w:rsidR="00E43337">
              <w:t xml:space="preserve">Kompleksowy projekt adaptacji lasów i leśnictwa do zmian klimatu </w:t>
            </w:r>
            <w:r>
              <w:rPr>
                <w:lang w:val="pl-PL"/>
              </w:rPr>
              <w:t>–</w:t>
            </w:r>
            <w:r w:rsidR="00E43337">
              <w:t xml:space="preserve"> mała retencja oraz przeciwdziałanie erozji wodnej na terenach górskich" (MRG2) </w:t>
            </w:r>
          </w:p>
          <w:p w:rsidR="00E43337" w:rsidRDefault="00AE1349" w:rsidP="00AE1349">
            <w:pPr>
              <w:pStyle w:val="Akapitzlist"/>
              <w:numPr>
                <w:ilvl w:val="0"/>
                <w:numId w:val="14"/>
              </w:numPr>
              <w:jc w:val="both"/>
            </w:pPr>
            <w:r>
              <w:rPr>
                <w:lang w:val="pl-PL"/>
              </w:rPr>
              <w:t>„</w:t>
            </w:r>
            <w:r w:rsidR="00E43337">
              <w:t>Kompleksowy projekt adaptacji lasó</w:t>
            </w:r>
            <w:r>
              <w:t>w i leśnictwa do zmian klimatu –</w:t>
            </w:r>
            <w:r w:rsidR="00E43337">
              <w:t xml:space="preserve"> zapobieganie, przeciwdziałanie oraz ograniczanie skutków zagrożeń związanych z pożarami lasów</w:t>
            </w:r>
            <w:r>
              <w:rPr>
                <w:lang w:val="pl-PL"/>
              </w:rPr>
              <w:t>”</w:t>
            </w:r>
            <w:r w:rsidR="00E43337">
              <w:t xml:space="preserve"> (PPOŻ). </w:t>
            </w:r>
          </w:p>
          <w:p w:rsidR="00AE1349" w:rsidRDefault="00AE1349" w:rsidP="00E43337">
            <w:pPr>
              <w:jc w:val="both"/>
              <w:rPr>
                <w:lang w:val="x-none"/>
              </w:rPr>
            </w:pPr>
          </w:p>
          <w:p w:rsidR="00E43337" w:rsidRDefault="00E43337" w:rsidP="00E43337">
            <w:pPr>
              <w:jc w:val="both"/>
            </w:pPr>
            <w:r>
              <w:t>Wszystkie działania będą realizowane przez jednostki organizacyjne PGL LP.</w:t>
            </w:r>
          </w:p>
          <w:p w:rsidR="00AE1349" w:rsidRDefault="00AE1349" w:rsidP="00E43337">
            <w:pPr>
              <w:jc w:val="both"/>
            </w:pPr>
          </w:p>
          <w:p w:rsidR="00E43337" w:rsidRDefault="00E43337" w:rsidP="00E43337">
            <w:pPr>
              <w:jc w:val="both"/>
            </w:pPr>
            <w:r>
              <w:t>W ramach projektu na terenach nizinnych (MRN2) będą realizowane inwestycje związane z:</w:t>
            </w:r>
          </w:p>
          <w:p w:rsidR="00E43337" w:rsidRDefault="00E43337" w:rsidP="00E43337">
            <w:pPr>
              <w:pStyle w:val="Akapitzlist"/>
              <w:numPr>
                <w:ilvl w:val="0"/>
                <w:numId w:val="3"/>
              </w:numPr>
              <w:jc w:val="both"/>
            </w:pPr>
            <w:r>
              <w:t>budową, przebudową, odbudową zbiorników;</w:t>
            </w:r>
          </w:p>
          <w:p w:rsidR="00E43337" w:rsidRDefault="00E43337" w:rsidP="00E43337">
            <w:pPr>
              <w:pStyle w:val="Akapitzlist"/>
              <w:numPr>
                <w:ilvl w:val="0"/>
                <w:numId w:val="3"/>
              </w:numPr>
              <w:jc w:val="both"/>
            </w:pPr>
            <w:r>
              <w:t xml:space="preserve">przywracaniem funkcji obszarom </w:t>
            </w:r>
            <w:proofErr w:type="spellStart"/>
            <w:r>
              <w:t>mokradłowym</w:t>
            </w:r>
            <w:proofErr w:type="spellEnd"/>
            <w:r>
              <w:t>;</w:t>
            </w:r>
          </w:p>
          <w:p w:rsidR="00E43337" w:rsidRDefault="00E43337" w:rsidP="00E43337">
            <w:pPr>
              <w:pStyle w:val="Akapitzlist"/>
              <w:numPr>
                <w:ilvl w:val="0"/>
                <w:numId w:val="3"/>
              </w:numPr>
              <w:jc w:val="both"/>
            </w:pPr>
            <w:r>
              <w:t>zabezpieczeniem infrastruktury leśnej przed skutkami erozji wodnej, związanej z gwałtownymi opadami.</w:t>
            </w:r>
          </w:p>
          <w:p w:rsidR="00AE1349" w:rsidRDefault="00AE1349" w:rsidP="00E43337">
            <w:pPr>
              <w:jc w:val="both"/>
            </w:pPr>
          </w:p>
          <w:p w:rsidR="00E43337" w:rsidRDefault="00E43337" w:rsidP="00E43337">
            <w:pPr>
              <w:jc w:val="both"/>
            </w:pPr>
            <w:r>
              <w:t>W ramach projektu na terenach górskich (MRG2) będą realizowane inwestycje związane z:</w:t>
            </w:r>
          </w:p>
          <w:p w:rsidR="00E43337" w:rsidRDefault="00E43337" w:rsidP="00E43337">
            <w:pPr>
              <w:pStyle w:val="Akapitzlist"/>
              <w:numPr>
                <w:ilvl w:val="0"/>
                <w:numId w:val="4"/>
              </w:numPr>
              <w:jc w:val="both"/>
            </w:pPr>
            <w:r>
              <w:t>budową, przebudową, odbudową zbiorników;</w:t>
            </w:r>
          </w:p>
          <w:p w:rsidR="00E43337" w:rsidRDefault="00E43337" w:rsidP="00E43337">
            <w:pPr>
              <w:pStyle w:val="Akapitzlist"/>
              <w:numPr>
                <w:ilvl w:val="0"/>
                <w:numId w:val="4"/>
              </w:numPr>
              <w:jc w:val="both"/>
            </w:pPr>
            <w:r>
              <w:t xml:space="preserve">przywracaniem funkcji obszarom </w:t>
            </w:r>
            <w:proofErr w:type="spellStart"/>
            <w:r>
              <w:t>mokradłowym</w:t>
            </w:r>
            <w:proofErr w:type="spellEnd"/>
            <w:r>
              <w:t>;</w:t>
            </w:r>
          </w:p>
          <w:p w:rsidR="00E43337" w:rsidRDefault="00E43337" w:rsidP="00E43337">
            <w:pPr>
              <w:pStyle w:val="Akapitzlist"/>
              <w:numPr>
                <w:ilvl w:val="0"/>
                <w:numId w:val="4"/>
              </w:numPr>
              <w:jc w:val="both"/>
            </w:pPr>
            <w:r>
              <w:t>zabezpieczeniem infrastruktury leśnej przed skutkami erozji wodnej, związanej z gwałtownymi opadami,</w:t>
            </w:r>
          </w:p>
          <w:p w:rsidR="00E43337" w:rsidRDefault="00E43337" w:rsidP="00E43337">
            <w:pPr>
              <w:pStyle w:val="Akapitzlist"/>
              <w:numPr>
                <w:ilvl w:val="0"/>
                <w:numId w:val="4"/>
              </w:numPr>
              <w:jc w:val="both"/>
            </w:pPr>
            <w:r>
              <w:t>zabudową przeciwerozyjną dróg i szlaków zrywkowych.</w:t>
            </w:r>
          </w:p>
          <w:p w:rsidR="00AE1349" w:rsidRDefault="00AE1349" w:rsidP="00E43337">
            <w:pPr>
              <w:jc w:val="both"/>
            </w:pPr>
          </w:p>
          <w:p w:rsidR="00E43337" w:rsidRDefault="00E43337" w:rsidP="00E43337">
            <w:pPr>
              <w:jc w:val="both"/>
            </w:pPr>
            <w:r>
              <w:t>W ramach projektu ochrony przeciwpożarowej (PPOŻ) będą realizowane inwestycje związane z:</w:t>
            </w:r>
          </w:p>
          <w:p w:rsidR="00E43337" w:rsidRDefault="00E43337" w:rsidP="00E43337">
            <w:pPr>
              <w:pStyle w:val="Akapitzlist"/>
              <w:numPr>
                <w:ilvl w:val="0"/>
                <w:numId w:val="5"/>
              </w:numPr>
              <w:jc w:val="both"/>
            </w:pPr>
            <w:r>
              <w:t>budową dostrzegalni pożarowych,</w:t>
            </w:r>
          </w:p>
          <w:p w:rsidR="00E43337" w:rsidRDefault="00E43337" w:rsidP="00E43337">
            <w:pPr>
              <w:pStyle w:val="Akapitzlist"/>
              <w:numPr>
                <w:ilvl w:val="0"/>
                <w:numId w:val="5"/>
              </w:numPr>
              <w:jc w:val="both"/>
            </w:pPr>
            <w:r>
              <w:t>modernizacją dostrzegalni pożarowych,</w:t>
            </w:r>
          </w:p>
          <w:p w:rsidR="00E43337" w:rsidRDefault="00E43337" w:rsidP="00E43337">
            <w:pPr>
              <w:pStyle w:val="Akapitzlist"/>
              <w:numPr>
                <w:ilvl w:val="0"/>
                <w:numId w:val="5"/>
              </w:numPr>
              <w:jc w:val="both"/>
            </w:pPr>
            <w:r>
              <w:t>zakupem samochodów patrolowo-gaśniczych,</w:t>
            </w:r>
          </w:p>
          <w:p w:rsidR="00E43337" w:rsidRDefault="00E43337" w:rsidP="00E43337">
            <w:pPr>
              <w:pStyle w:val="Akapitzlist"/>
              <w:numPr>
                <w:ilvl w:val="0"/>
                <w:numId w:val="5"/>
              </w:numPr>
              <w:jc w:val="both"/>
            </w:pPr>
            <w:r>
              <w:t>zakupem sprzętu do wykrywania pożarów,</w:t>
            </w:r>
          </w:p>
          <w:p w:rsidR="00E43337" w:rsidRDefault="00E43337" w:rsidP="00E43337">
            <w:pPr>
              <w:pStyle w:val="Akapitzlist"/>
              <w:numPr>
                <w:ilvl w:val="0"/>
                <w:numId w:val="5"/>
              </w:numPr>
              <w:jc w:val="both"/>
            </w:pPr>
            <w:r>
              <w:t xml:space="preserve">doposażeniem </w:t>
            </w:r>
            <w:r w:rsidR="002717AB">
              <w:rPr>
                <w:lang w:val="pl-PL"/>
              </w:rPr>
              <w:t>p</w:t>
            </w:r>
            <w:r w:rsidR="00D75585">
              <w:rPr>
                <w:lang w:val="pl-PL"/>
              </w:rPr>
              <w:t xml:space="preserve">unktów </w:t>
            </w:r>
            <w:r w:rsidR="002717AB">
              <w:rPr>
                <w:lang w:val="pl-PL"/>
              </w:rPr>
              <w:t>a</w:t>
            </w:r>
            <w:r w:rsidR="00D75585">
              <w:rPr>
                <w:lang w:val="pl-PL"/>
              </w:rPr>
              <w:t>larmowo</w:t>
            </w:r>
            <w:r w:rsidR="002717AB">
              <w:rPr>
                <w:lang w:val="pl-PL"/>
              </w:rPr>
              <w:t>-d</w:t>
            </w:r>
            <w:r w:rsidR="00D75585">
              <w:rPr>
                <w:lang w:val="pl-PL"/>
              </w:rPr>
              <w:t>yspozycyjnych (</w:t>
            </w:r>
            <w:r>
              <w:t>PAD</w:t>
            </w:r>
            <w:r w:rsidR="00D75585">
              <w:rPr>
                <w:lang w:val="pl-PL"/>
              </w:rPr>
              <w:t>)</w:t>
            </w:r>
            <w:r>
              <w:t>,</w:t>
            </w:r>
          </w:p>
          <w:p w:rsidR="00C41B75" w:rsidRDefault="00E43337" w:rsidP="00E43337">
            <w:pPr>
              <w:pStyle w:val="Akapitzlist"/>
              <w:numPr>
                <w:ilvl w:val="0"/>
                <w:numId w:val="5"/>
              </w:numPr>
              <w:jc w:val="both"/>
            </w:pPr>
            <w:r>
              <w:t>zakupem stacji meteorologicznych.</w:t>
            </w:r>
          </w:p>
          <w:p w:rsidR="00AE1349" w:rsidRDefault="00AE1349" w:rsidP="00AE1349">
            <w:pPr>
              <w:pStyle w:val="Akapitzlist"/>
              <w:jc w:val="both"/>
            </w:pPr>
          </w:p>
        </w:tc>
        <w:tc>
          <w:tcPr>
            <w:tcW w:w="2191" w:type="dxa"/>
          </w:tcPr>
          <w:p w:rsidR="00C41B75" w:rsidRDefault="001A2FC9" w:rsidP="00336F91">
            <w:r>
              <w:lastRenderedPageBreak/>
              <w:t>201</w:t>
            </w:r>
            <w:r w:rsidR="00336F91">
              <w:t>8</w:t>
            </w:r>
            <w:r>
              <w:t>–</w:t>
            </w:r>
            <w:r w:rsidR="00AC5281">
              <w:t>20</w:t>
            </w:r>
            <w:r w:rsidR="00336F91">
              <w:t>22</w:t>
            </w:r>
          </w:p>
        </w:tc>
      </w:tr>
      <w:tr w:rsidR="00C41B75" w:rsidTr="00DD60A6">
        <w:tc>
          <w:tcPr>
            <w:tcW w:w="534" w:type="dxa"/>
          </w:tcPr>
          <w:p w:rsidR="00C41B75" w:rsidRPr="00884C2C" w:rsidRDefault="000E3067" w:rsidP="00E14034">
            <w:pPr>
              <w:rPr>
                <w:b/>
              </w:rPr>
            </w:pPr>
            <w:r>
              <w:rPr>
                <w:b/>
              </w:rPr>
              <w:t>9</w:t>
            </w:r>
            <w:r w:rsidR="00C41B75" w:rsidRPr="00884C2C">
              <w:rPr>
                <w:b/>
              </w:rPr>
              <w:t>.</w:t>
            </w:r>
          </w:p>
        </w:tc>
        <w:tc>
          <w:tcPr>
            <w:tcW w:w="1761" w:type="dxa"/>
          </w:tcPr>
          <w:p w:rsidR="00C41B75" w:rsidRPr="00BC0801" w:rsidRDefault="00C41B75" w:rsidP="00E14034">
            <w:pPr>
              <w:rPr>
                <w:b/>
              </w:rPr>
            </w:pPr>
            <w:r w:rsidRPr="00BC0801">
              <w:rPr>
                <w:b/>
              </w:rPr>
              <w:t>Woda dla rolnictwa</w:t>
            </w:r>
          </w:p>
        </w:tc>
        <w:tc>
          <w:tcPr>
            <w:tcW w:w="9734" w:type="dxa"/>
          </w:tcPr>
          <w:p w:rsidR="0058613B" w:rsidRDefault="0058613B" w:rsidP="0058613B">
            <w:pPr>
              <w:jc w:val="both"/>
            </w:pPr>
            <w:r>
              <w:t xml:space="preserve">Celem projektu jest poprawa stabilności i ciągłości produkcji rolniczej w warunkach okresowych niedoborów i nadmiarów wody, w tym przede wszystkim wsparcie gospodarstw rodzinnych w budowie, </w:t>
            </w:r>
            <w:r>
              <w:lastRenderedPageBreak/>
              <w:t>odbudowie i prawidłowym wykorzystaniu urządzeń melioracyjnych dla poprawienia warunków produkcji, powiększenia retencji wodnej oraz osiągnięcia efektów środowiskowych. Przewiduje się wsparcie dla:</w:t>
            </w:r>
          </w:p>
          <w:p w:rsidR="0058613B" w:rsidRDefault="0058613B" w:rsidP="00AC5281">
            <w:pPr>
              <w:pStyle w:val="Akapitzlist"/>
              <w:numPr>
                <w:ilvl w:val="0"/>
                <w:numId w:val="6"/>
              </w:numPr>
              <w:jc w:val="both"/>
            </w:pPr>
            <w:r>
              <w:t xml:space="preserve">budowy i odbudowy budowli piętrzących na kanałach, rowach i małych ciekach; </w:t>
            </w:r>
          </w:p>
          <w:p w:rsidR="0058613B" w:rsidRDefault="0058613B" w:rsidP="00AC5281">
            <w:pPr>
              <w:pStyle w:val="Akapitzlist"/>
              <w:numPr>
                <w:ilvl w:val="0"/>
                <w:numId w:val="6"/>
              </w:numPr>
              <w:jc w:val="both"/>
            </w:pPr>
            <w:r>
              <w:t>budowy i odbudowy rowów melioracyjnych z uwzględnieniem funkcji retencyjnej;</w:t>
            </w:r>
          </w:p>
          <w:p w:rsidR="0058613B" w:rsidRDefault="0058613B" w:rsidP="00AC5281">
            <w:pPr>
              <w:pStyle w:val="Akapitzlist"/>
              <w:numPr>
                <w:ilvl w:val="0"/>
                <w:numId w:val="6"/>
              </w:numPr>
              <w:jc w:val="both"/>
            </w:pPr>
            <w:r>
              <w:t>odbudowy i budowy systemów drenarskich z uwzględnieniem funkcji retencyjnej;</w:t>
            </w:r>
          </w:p>
          <w:p w:rsidR="0058613B" w:rsidRDefault="0058613B" w:rsidP="00AC5281">
            <w:pPr>
              <w:pStyle w:val="Akapitzlist"/>
              <w:numPr>
                <w:ilvl w:val="0"/>
                <w:numId w:val="6"/>
              </w:numPr>
              <w:jc w:val="both"/>
            </w:pPr>
            <w:r>
              <w:t>budowy zbiorników oraz mikrozbiorników wodnych (oczek wodnych, stawów);</w:t>
            </w:r>
          </w:p>
          <w:p w:rsidR="0058613B" w:rsidRDefault="0058613B" w:rsidP="00AC5281">
            <w:pPr>
              <w:pStyle w:val="Akapitzlist"/>
              <w:numPr>
                <w:ilvl w:val="0"/>
                <w:numId w:val="6"/>
              </w:numPr>
              <w:jc w:val="both"/>
            </w:pPr>
            <w:r>
              <w:t>budowy urządzeń do przechwytywania i magazynowania wód z sieci drenarskiej i wody deszczowej;</w:t>
            </w:r>
          </w:p>
          <w:p w:rsidR="0058613B" w:rsidRDefault="0058613B" w:rsidP="00AC5281">
            <w:pPr>
              <w:pStyle w:val="Akapitzlist"/>
              <w:numPr>
                <w:ilvl w:val="0"/>
                <w:numId w:val="6"/>
              </w:numPr>
              <w:jc w:val="both"/>
            </w:pPr>
            <w:r>
              <w:t>spółek wodnych w zakresie utrzymywania urządzeń melioracji wodnych szczegółowych;</w:t>
            </w:r>
          </w:p>
          <w:p w:rsidR="0058613B" w:rsidRDefault="0058613B" w:rsidP="00AC5281">
            <w:pPr>
              <w:pStyle w:val="Akapitzlist"/>
              <w:numPr>
                <w:ilvl w:val="0"/>
                <w:numId w:val="6"/>
              </w:numPr>
              <w:jc w:val="both"/>
            </w:pPr>
            <w:proofErr w:type="spellStart"/>
            <w:r>
              <w:t>renaturyzacji</w:t>
            </w:r>
            <w:proofErr w:type="spellEnd"/>
            <w:r>
              <w:t xml:space="preserve"> obszarów podmokłych w celu przywrócenia im funkcji retencyjnych; </w:t>
            </w:r>
          </w:p>
          <w:p w:rsidR="0058613B" w:rsidRDefault="0058613B" w:rsidP="00AC5281">
            <w:pPr>
              <w:pStyle w:val="Akapitzlist"/>
              <w:numPr>
                <w:ilvl w:val="0"/>
                <w:numId w:val="6"/>
              </w:numPr>
              <w:jc w:val="both"/>
            </w:pPr>
            <w:r>
              <w:t>restytucji obszarów zalewowych;</w:t>
            </w:r>
          </w:p>
          <w:p w:rsidR="00C41B75" w:rsidRDefault="0058613B" w:rsidP="00AC5281">
            <w:pPr>
              <w:pStyle w:val="Akapitzlist"/>
              <w:numPr>
                <w:ilvl w:val="0"/>
                <w:numId w:val="6"/>
              </w:numPr>
              <w:jc w:val="both"/>
            </w:pPr>
            <w:r>
              <w:t>szkolenia rolników w zakresie:</w:t>
            </w:r>
            <w:r w:rsidR="00AC5281">
              <w:rPr>
                <w:lang w:val="pl-PL"/>
              </w:rPr>
              <w:t xml:space="preserve"> </w:t>
            </w:r>
            <w:r>
              <w:t>celowości melioracji i zasad utrzymywania urządzeń melioracyjnych,</w:t>
            </w:r>
            <w:r w:rsidR="00AC5281">
              <w:rPr>
                <w:lang w:val="pl-PL"/>
              </w:rPr>
              <w:t xml:space="preserve"> </w:t>
            </w:r>
            <w:r>
              <w:t>zabiegów agrotechnicznych oraz zabiegów kształtowania krajobrazu sprzyjających zatrzymywaniu wody.</w:t>
            </w:r>
          </w:p>
          <w:p w:rsidR="002717AB" w:rsidRDefault="002717AB" w:rsidP="002717AB">
            <w:pPr>
              <w:pStyle w:val="Akapitzlist"/>
              <w:jc w:val="both"/>
            </w:pPr>
          </w:p>
        </w:tc>
        <w:tc>
          <w:tcPr>
            <w:tcW w:w="2191" w:type="dxa"/>
          </w:tcPr>
          <w:p w:rsidR="00C41B75" w:rsidRDefault="00AC5281" w:rsidP="00AE1349">
            <w:r>
              <w:lastRenderedPageBreak/>
              <w:t>2016</w:t>
            </w:r>
            <w:r w:rsidR="00AE1349">
              <w:t>–</w:t>
            </w:r>
            <w:r>
              <w:t>2030</w:t>
            </w:r>
          </w:p>
        </w:tc>
      </w:tr>
    </w:tbl>
    <w:p w:rsidR="005F4D7F" w:rsidRDefault="005F4D7F"/>
    <w:sectPr w:rsidR="005F4D7F" w:rsidSect="00E82FC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76" w:rsidRDefault="001F3176" w:rsidP="00E605F7">
      <w:pPr>
        <w:spacing w:after="0" w:line="240" w:lineRule="auto"/>
      </w:pPr>
      <w:r>
        <w:separator/>
      </w:r>
    </w:p>
  </w:endnote>
  <w:endnote w:type="continuationSeparator" w:id="0">
    <w:p w:rsidR="001F3176" w:rsidRDefault="001F3176" w:rsidP="00E6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76" w:rsidRDefault="001F3176" w:rsidP="00E605F7">
      <w:pPr>
        <w:spacing w:after="0" w:line="240" w:lineRule="auto"/>
      </w:pPr>
      <w:r>
        <w:separator/>
      </w:r>
    </w:p>
  </w:footnote>
  <w:footnote w:type="continuationSeparator" w:id="0">
    <w:p w:rsidR="001F3176" w:rsidRDefault="001F3176" w:rsidP="00E605F7">
      <w:pPr>
        <w:spacing w:after="0" w:line="240" w:lineRule="auto"/>
      </w:pPr>
      <w:r>
        <w:continuationSeparator/>
      </w:r>
    </w:p>
  </w:footnote>
  <w:footnote w:id="1">
    <w:p w:rsidR="00E605F7" w:rsidRPr="004F0783" w:rsidRDefault="00E605F7" w:rsidP="00E605F7">
      <w:pPr>
        <w:pStyle w:val="Tekstprzypisudolnego"/>
        <w:spacing w:before="80"/>
        <w:ind w:left="113" w:hanging="113"/>
        <w:rPr>
          <w:lang w:val="en-GB"/>
        </w:rPr>
      </w:pPr>
      <w:r>
        <w:rPr>
          <w:rStyle w:val="Odwoanieprzypisudolnego"/>
        </w:rPr>
        <w:footnoteRef/>
      </w:r>
      <w:r w:rsidRPr="004F0783">
        <w:rPr>
          <w:lang w:val="en-GB"/>
        </w:rPr>
        <w:t> </w:t>
      </w:r>
      <w:r w:rsidRPr="001A2FC9">
        <w:rPr>
          <w:i/>
          <w:lang w:val="en-GB"/>
        </w:rPr>
        <w:t>Climate change, impacts and vulnerability in Europe</w:t>
      </w:r>
      <w:r>
        <w:rPr>
          <w:lang w:val="en-GB"/>
        </w:rPr>
        <w:t>,</w:t>
      </w:r>
      <w:r w:rsidRPr="004F0783">
        <w:rPr>
          <w:lang w:val="en-GB"/>
        </w:rPr>
        <w:t xml:space="preserve"> </w:t>
      </w:r>
      <w:proofErr w:type="spellStart"/>
      <w:r w:rsidR="001A2FC9">
        <w:rPr>
          <w:lang w:val="en-GB"/>
        </w:rPr>
        <w:t>Europejska</w:t>
      </w:r>
      <w:proofErr w:type="spellEnd"/>
      <w:r w:rsidR="001A2FC9">
        <w:rPr>
          <w:lang w:val="en-GB"/>
        </w:rPr>
        <w:t xml:space="preserve"> </w:t>
      </w:r>
      <w:proofErr w:type="spellStart"/>
      <w:r w:rsidR="001A2FC9">
        <w:rPr>
          <w:lang w:val="en-GB"/>
        </w:rPr>
        <w:t>Agencja</w:t>
      </w:r>
      <w:proofErr w:type="spellEnd"/>
      <w:r w:rsidR="001A2FC9">
        <w:rPr>
          <w:lang w:val="en-GB"/>
        </w:rPr>
        <w:t xml:space="preserve"> </w:t>
      </w:r>
      <w:proofErr w:type="spellStart"/>
      <w:r w:rsidR="001A2FC9">
        <w:rPr>
          <w:lang w:val="en-GB"/>
        </w:rPr>
        <w:t>Środowiska</w:t>
      </w:r>
      <w:proofErr w:type="spellEnd"/>
      <w:r w:rsidR="001A2FC9">
        <w:rPr>
          <w:lang w:val="en-GB"/>
        </w:rPr>
        <w:t xml:space="preserve">, </w:t>
      </w:r>
      <w:r w:rsidRPr="004F0783">
        <w:rPr>
          <w:lang w:val="en-GB"/>
        </w:rPr>
        <w:t>2012</w:t>
      </w:r>
      <w:r w:rsidR="001A2FC9">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519" w:rsidRDefault="00E53519">
    <w:pPr>
      <w:pStyle w:val="Nagwek"/>
    </w:pPr>
    <w:r>
      <w:rPr>
        <w:noProof/>
        <w:lang w:eastAsia="pl-PL"/>
      </w:rPr>
      <w:drawing>
        <wp:anchor distT="0" distB="0" distL="114300" distR="114300" simplePos="0" relativeHeight="251658240" behindDoc="0" locked="0" layoutInCell="1" allowOverlap="1" wp14:editId="34239936">
          <wp:simplePos x="0" y="0"/>
          <wp:positionH relativeFrom="column">
            <wp:posOffset>-26670</wp:posOffset>
          </wp:positionH>
          <wp:positionV relativeFrom="paragraph">
            <wp:posOffset>-347345</wp:posOffset>
          </wp:positionV>
          <wp:extent cx="1678305" cy="628015"/>
          <wp:effectExtent l="0" t="0" r="0" b="635"/>
          <wp:wrapSquare wrapText="bothSides"/>
          <wp:docPr id="1" name="Obraz 1" descr="Logo Polityka ekologiczna panstwa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ityka ekologiczna panstwa 2030"/>
                  <pic:cNvPicPr>
                    <a:picLocks noChangeAspect="1" noChangeArrowheads="1"/>
                  </pic:cNvPicPr>
                </pic:nvPicPr>
                <pic:blipFill>
                  <a:blip r:embed="rId1">
                    <a:extLst>
                      <a:ext uri="{28A0092B-C50C-407E-A947-70E740481C1C}">
                        <a14:useLocalDpi xmlns:a14="http://schemas.microsoft.com/office/drawing/2010/main" val="0"/>
                      </a:ext>
                    </a:extLst>
                  </a:blip>
                  <a:srcRect l="18681" t="27411" r="18956" b="29442"/>
                  <a:stretch>
                    <a:fillRect/>
                  </a:stretch>
                </pic:blipFill>
                <pic:spPr bwMode="auto">
                  <a:xfrm>
                    <a:off x="0" y="0"/>
                    <a:ext cx="1678305"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518"/>
    <w:multiLevelType w:val="hybridMultilevel"/>
    <w:tmpl w:val="1D84DBAC"/>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430709"/>
    <w:multiLevelType w:val="hybridMultilevel"/>
    <w:tmpl w:val="0A360332"/>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44F33"/>
    <w:multiLevelType w:val="hybridMultilevel"/>
    <w:tmpl w:val="260E5184"/>
    <w:lvl w:ilvl="0" w:tplc="A0044778">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89235B"/>
    <w:multiLevelType w:val="hybridMultilevel"/>
    <w:tmpl w:val="0EB8F940"/>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5F452A"/>
    <w:multiLevelType w:val="hybridMultilevel"/>
    <w:tmpl w:val="4B961CCE"/>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350CB4"/>
    <w:multiLevelType w:val="hybridMultilevel"/>
    <w:tmpl w:val="F8C6748C"/>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F45D71"/>
    <w:multiLevelType w:val="hybridMultilevel"/>
    <w:tmpl w:val="F1B8C3C0"/>
    <w:lvl w:ilvl="0" w:tplc="2D8005D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608E5"/>
    <w:multiLevelType w:val="hybridMultilevel"/>
    <w:tmpl w:val="BDB4495C"/>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C8367D"/>
    <w:multiLevelType w:val="hybridMultilevel"/>
    <w:tmpl w:val="44A49E90"/>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6E70A2"/>
    <w:multiLevelType w:val="hybridMultilevel"/>
    <w:tmpl w:val="8D1CFFB4"/>
    <w:lvl w:ilvl="0" w:tplc="08784C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67459AB"/>
    <w:multiLevelType w:val="hybridMultilevel"/>
    <w:tmpl w:val="96B4E5DC"/>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DE754E"/>
    <w:multiLevelType w:val="hybridMultilevel"/>
    <w:tmpl w:val="F3F46D1C"/>
    <w:lvl w:ilvl="0" w:tplc="03368E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3A5E77F4">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73502030"/>
    <w:multiLevelType w:val="hybridMultilevel"/>
    <w:tmpl w:val="0556116A"/>
    <w:lvl w:ilvl="0" w:tplc="7DD23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83357"/>
    <w:multiLevelType w:val="hybridMultilevel"/>
    <w:tmpl w:val="7B167E82"/>
    <w:lvl w:ilvl="0" w:tplc="03368E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2"/>
  </w:num>
  <w:num w:numId="2">
    <w:abstractNumId w:val="0"/>
  </w:num>
  <w:num w:numId="3">
    <w:abstractNumId w:val="1"/>
  </w:num>
  <w:num w:numId="4">
    <w:abstractNumId w:val="4"/>
  </w:num>
  <w:num w:numId="5">
    <w:abstractNumId w:val="9"/>
  </w:num>
  <w:num w:numId="6">
    <w:abstractNumId w:val="7"/>
  </w:num>
  <w:num w:numId="7">
    <w:abstractNumId w:val="5"/>
  </w:num>
  <w:num w:numId="8">
    <w:abstractNumId w:val="6"/>
  </w:num>
  <w:num w:numId="9">
    <w:abstractNumId w:val="13"/>
  </w:num>
  <w:num w:numId="10">
    <w:abstractNumId w:val="8"/>
  </w:num>
  <w:num w:numId="11">
    <w:abstractNumId w:val="11"/>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C0"/>
    <w:rsid w:val="00075A33"/>
    <w:rsid w:val="000E3067"/>
    <w:rsid w:val="00166F5A"/>
    <w:rsid w:val="001A2FC9"/>
    <w:rsid w:val="001F3176"/>
    <w:rsid w:val="0020015C"/>
    <w:rsid w:val="002717AB"/>
    <w:rsid w:val="0028667D"/>
    <w:rsid w:val="0028739C"/>
    <w:rsid w:val="002C0AE9"/>
    <w:rsid w:val="00336F91"/>
    <w:rsid w:val="003E72ED"/>
    <w:rsid w:val="004A4175"/>
    <w:rsid w:val="004C4F3F"/>
    <w:rsid w:val="004D0E07"/>
    <w:rsid w:val="004F3B53"/>
    <w:rsid w:val="00525DFC"/>
    <w:rsid w:val="0052728F"/>
    <w:rsid w:val="0058613B"/>
    <w:rsid w:val="005A19A0"/>
    <w:rsid w:val="005F4D7F"/>
    <w:rsid w:val="006F593E"/>
    <w:rsid w:val="007972C1"/>
    <w:rsid w:val="007F3102"/>
    <w:rsid w:val="00884C2C"/>
    <w:rsid w:val="00890B26"/>
    <w:rsid w:val="008B1E12"/>
    <w:rsid w:val="008D5B80"/>
    <w:rsid w:val="00970685"/>
    <w:rsid w:val="00973F66"/>
    <w:rsid w:val="009F1FBB"/>
    <w:rsid w:val="00AC5281"/>
    <w:rsid w:val="00AE1349"/>
    <w:rsid w:val="00B15AE1"/>
    <w:rsid w:val="00B47C8E"/>
    <w:rsid w:val="00BA2AAB"/>
    <w:rsid w:val="00BC0801"/>
    <w:rsid w:val="00C41B75"/>
    <w:rsid w:val="00CF4683"/>
    <w:rsid w:val="00D75585"/>
    <w:rsid w:val="00D837A1"/>
    <w:rsid w:val="00DD60A6"/>
    <w:rsid w:val="00E14034"/>
    <w:rsid w:val="00E223F5"/>
    <w:rsid w:val="00E40B87"/>
    <w:rsid w:val="00E43337"/>
    <w:rsid w:val="00E53519"/>
    <w:rsid w:val="00E605F7"/>
    <w:rsid w:val="00E82FC0"/>
    <w:rsid w:val="00EA7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363C6-79C9-4DBD-A399-83E11FC4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60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Recommendation,List Paragraph11,Kolorowa lista — akcent 11,Numerowanie,Akapit z listą11,Akapit z listą2,Listaszerű bekezdés1,List Paragraph à moi,Numbered Para 1,No Spacing1,Indicator Text,List Paragraph Char Char Char,2,Styl 1,Bullet 1"/>
    <w:basedOn w:val="Normalny"/>
    <w:link w:val="AkapitzlistZnak"/>
    <w:uiPriority w:val="34"/>
    <w:qFormat/>
    <w:rsid w:val="00973F66"/>
    <w:pPr>
      <w:suppressAutoHyphens/>
      <w:ind w:left="720"/>
    </w:pPr>
    <w:rPr>
      <w:rFonts w:ascii="Calibri" w:eastAsia="Calibri" w:hAnsi="Calibri" w:cs="Times New Roman"/>
      <w:lang w:val="x-none" w:eastAsia="ar-SA"/>
    </w:rPr>
  </w:style>
  <w:style w:type="character" w:customStyle="1" w:styleId="AkapitzlistZnak">
    <w:name w:val="Akapit z listą Znak"/>
    <w:aliases w:val="Recommendation Znak,List Paragraph11 Znak,Kolorowa lista — akcent 11 Znak,Numerowanie Znak,Akapit z listą11 Znak,Akapit z listą2 Znak,Listaszerű bekezdés1 Znak,List Paragraph à moi Znak,Numbered Para 1 Znak,No Spacing1 Znak,2 Znak"/>
    <w:link w:val="Akapitzlist"/>
    <w:uiPriority w:val="34"/>
    <w:locked/>
    <w:rsid w:val="00973F66"/>
    <w:rPr>
      <w:rFonts w:ascii="Calibri" w:eastAsia="Calibri" w:hAnsi="Calibri" w:cs="Times New Roman"/>
      <w:lang w:val="x-none" w:eastAsia="ar-SA"/>
    </w:rPr>
  </w:style>
  <w:style w:type="paragraph" w:styleId="Tekstprzypisudolnego">
    <w:name w:val="footnote text"/>
    <w:aliases w:val="A_przypis,Znak,single space,FOOTNOTES,fn,Podrozdział,Fußnote,Footnote,Podrozdzia3,przypis,Tekst przypisu,Tekst przypisu Znak Znak Znak Znak,Tekst przypisu Znak Znak Znak Znak Znak,Tekst przypisu Znak Znak Znak Znak Znak Znak Znak"/>
    <w:basedOn w:val="Normalny"/>
    <w:link w:val="TekstprzypisudolnegoZnak"/>
    <w:uiPriority w:val="99"/>
    <w:unhideWhenUsed/>
    <w:qFormat/>
    <w:rsid w:val="00E605F7"/>
    <w:rPr>
      <w:rFonts w:ascii="Calibri" w:eastAsia="Calibri" w:hAnsi="Calibri" w:cs="Times New Roman"/>
      <w:sz w:val="20"/>
      <w:szCs w:val="20"/>
      <w:lang w:val="x-none"/>
    </w:rPr>
  </w:style>
  <w:style w:type="character" w:customStyle="1" w:styleId="TekstprzypisudolnegoZnak">
    <w:name w:val="Tekst przypisu dolnego Znak"/>
    <w:aliases w:val="A_przypis Znak,Znak Znak,single space Znak,FOOTNOTES Znak,fn Znak,Podrozdział Znak,Fußnote Znak,Footnote Znak,Podrozdzia3 Znak,przypis Znak,Tekst przypisu Znak,Tekst przypisu Znak Znak Znak Znak Znak1"/>
    <w:basedOn w:val="Domylnaczcionkaakapitu"/>
    <w:link w:val="Tekstprzypisudolnego"/>
    <w:uiPriority w:val="99"/>
    <w:rsid w:val="00E605F7"/>
    <w:rPr>
      <w:rFonts w:ascii="Calibri" w:eastAsia="Calibri" w:hAnsi="Calibri" w:cs="Times New Roman"/>
      <w:sz w:val="20"/>
      <w:szCs w:val="20"/>
      <w:lang w:val="x-none"/>
    </w:rPr>
  </w:style>
  <w:style w:type="character" w:styleId="Odwoanieprzypisudolnego">
    <w:name w:val="footnote reference"/>
    <w:aliases w:val="Footnote Reference Number,number,Footnote text,Footnote reference number,Footnote symbol,note TESI,-E Fußnotenzeichen,SUPERS,stylish,ftref,BVI fnr,Footnote Reference Superscript,Odwołanie przypisu,EN Footnote Reference,Ref"/>
    <w:uiPriority w:val="99"/>
    <w:unhideWhenUsed/>
    <w:qFormat/>
    <w:rsid w:val="00E605F7"/>
    <w:rPr>
      <w:vertAlign w:val="superscript"/>
    </w:rPr>
  </w:style>
  <w:style w:type="paragraph" w:styleId="Nagwek">
    <w:name w:val="header"/>
    <w:basedOn w:val="Normalny"/>
    <w:link w:val="NagwekZnak"/>
    <w:uiPriority w:val="99"/>
    <w:unhideWhenUsed/>
    <w:rsid w:val="009F1F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FBB"/>
  </w:style>
  <w:style w:type="paragraph" w:styleId="Stopka">
    <w:name w:val="footer"/>
    <w:basedOn w:val="Normalny"/>
    <w:link w:val="StopkaZnak"/>
    <w:uiPriority w:val="99"/>
    <w:unhideWhenUsed/>
    <w:rsid w:val="009F1F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FBB"/>
  </w:style>
  <w:style w:type="character" w:customStyle="1" w:styleId="Nagwek1Znak">
    <w:name w:val="Nagłówek 1 Znak"/>
    <w:basedOn w:val="Domylnaczcionkaakapitu"/>
    <w:link w:val="Nagwek1"/>
    <w:uiPriority w:val="9"/>
    <w:rsid w:val="00DD60A6"/>
    <w:rPr>
      <w:rFonts w:asciiTheme="majorHAnsi" w:eastAsiaTheme="majorEastAsia" w:hAnsiTheme="majorHAnsi" w:cstheme="majorBidi"/>
      <w:color w:val="365F91" w:themeColor="accent1" w:themeShade="BF"/>
      <w:sz w:val="32"/>
      <w:szCs w:val="32"/>
    </w:rPr>
  </w:style>
  <w:style w:type="character" w:styleId="Odwoaniedokomentarza">
    <w:name w:val="annotation reference"/>
    <w:basedOn w:val="Domylnaczcionkaakapitu"/>
    <w:uiPriority w:val="99"/>
    <w:semiHidden/>
    <w:unhideWhenUsed/>
    <w:rsid w:val="008B1E12"/>
    <w:rPr>
      <w:sz w:val="16"/>
      <w:szCs w:val="16"/>
    </w:rPr>
  </w:style>
  <w:style w:type="paragraph" w:styleId="Tekstkomentarza">
    <w:name w:val="annotation text"/>
    <w:basedOn w:val="Normalny"/>
    <w:link w:val="TekstkomentarzaZnak"/>
    <w:uiPriority w:val="99"/>
    <w:semiHidden/>
    <w:unhideWhenUsed/>
    <w:rsid w:val="008B1E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1E12"/>
    <w:rPr>
      <w:sz w:val="20"/>
      <w:szCs w:val="20"/>
    </w:rPr>
  </w:style>
  <w:style w:type="paragraph" w:styleId="Tematkomentarza">
    <w:name w:val="annotation subject"/>
    <w:basedOn w:val="Tekstkomentarza"/>
    <w:next w:val="Tekstkomentarza"/>
    <w:link w:val="TematkomentarzaZnak"/>
    <w:uiPriority w:val="99"/>
    <w:semiHidden/>
    <w:unhideWhenUsed/>
    <w:rsid w:val="008B1E12"/>
    <w:rPr>
      <w:b/>
      <w:bCs/>
    </w:rPr>
  </w:style>
  <w:style w:type="character" w:customStyle="1" w:styleId="TematkomentarzaZnak">
    <w:name w:val="Temat komentarza Znak"/>
    <w:basedOn w:val="TekstkomentarzaZnak"/>
    <w:link w:val="Tematkomentarza"/>
    <w:uiPriority w:val="99"/>
    <w:semiHidden/>
    <w:rsid w:val="008B1E12"/>
    <w:rPr>
      <w:b/>
      <w:bCs/>
      <w:sz w:val="20"/>
      <w:szCs w:val="20"/>
    </w:rPr>
  </w:style>
  <w:style w:type="paragraph" w:styleId="Tekstdymka">
    <w:name w:val="Balloon Text"/>
    <w:basedOn w:val="Normalny"/>
    <w:link w:val="TekstdymkaZnak"/>
    <w:uiPriority w:val="99"/>
    <w:semiHidden/>
    <w:unhideWhenUsed/>
    <w:rsid w:val="008B1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2476</Words>
  <Characters>14858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ZDANOWSKA Joanna</dc:creator>
  <cp:lastModifiedBy>Kamiński Daniel</cp:lastModifiedBy>
  <cp:revision>3</cp:revision>
  <dcterms:created xsi:type="dcterms:W3CDTF">2019-03-12T09:12:00Z</dcterms:created>
  <dcterms:modified xsi:type="dcterms:W3CDTF">2019-03-12T09:13:00Z</dcterms:modified>
</cp:coreProperties>
</file>