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E1D0" w14:textId="77777777" w:rsidR="00BB7332" w:rsidRPr="00326DCF" w:rsidRDefault="00BB7332" w:rsidP="00BB7332">
      <w:pPr>
        <w:pStyle w:val="Nagwek1"/>
        <w:spacing w:after="240"/>
      </w:pPr>
      <w:bookmarkStart w:id="0" w:name="_Toc528083185"/>
      <w:bookmarkStart w:id="1" w:name="_GoBack"/>
      <w:bookmarkEnd w:id="1"/>
      <w:r>
        <w:t xml:space="preserve">Załącznik 2: </w:t>
      </w:r>
      <w:r w:rsidRPr="00326DCF">
        <w:t xml:space="preserve">Podsumowanie wdrażania </w:t>
      </w:r>
      <w:r w:rsidRPr="008C3F74">
        <w:rPr>
          <w:i/>
        </w:rPr>
        <w:t xml:space="preserve">Strategii „Bezpieczeństwo Energetyczne i Środowisko 2020” </w:t>
      </w:r>
      <w:r w:rsidRPr="008C3F74">
        <w:t>(</w:t>
      </w:r>
      <w:proofErr w:type="spellStart"/>
      <w:r>
        <w:t>BEiŚ</w:t>
      </w:r>
      <w:proofErr w:type="spellEnd"/>
      <w:r w:rsidRPr="008C3F74">
        <w:t>) w części środowiskowej</w:t>
      </w:r>
      <w:bookmarkEnd w:id="0"/>
    </w:p>
    <w:p w14:paraId="658A9F09" w14:textId="44A91164" w:rsidR="00BB7332" w:rsidRPr="00326DCF" w:rsidRDefault="00BB7332" w:rsidP="00BB7332">
      <w:pPr>
        <w:tabs>
          <w:tab w:val="left" w:pos="2816"/>
        </w:tabs>
        <w:jc w:val="both"/>
      </w:pPr>
      <w:r w:rsidRPr="007F4A8E">
        <w:rPr>
          <w:i/>
        </w:rPr>
        <w:t>Strategia „Bezpieczeństwo Energetyczne i Środowisko – perspektywa do 2020 r.”</w:t>
      </w:r>
      <w:r w:rsidRPr="00326DCF">
        <w:t xml:space="preserve"> (</w:t>
      </w:r>
      <w:proofErr w:type="spellStart"/>
      <w:r>
        <w:t>BEiŚ</w:t>
      </w:r>
      <w:proofErr w:type="spellEnd"/>
      <w:r w:rsidRPr="00326DCF">
        <w:t>) została przyjęta przez Radę Ministrów 15 kwietnia 2014 r.</w:t>
      </w:r>
      <w:r w:rsidRPr="00326DCF">
        <w:rPr>
          <w:vertAlign w:val="superscript"/>
        </w:rPr>
        <w:footnoteReference w:id="1"/>
      </w:r>
      <w:r>
        <w:t>.</w:t>
      </w:r>
      <w:r w:rsidRPr="00326DCF">
        <w:t xml:space="preserve"> Była jedną z dziewięciu strategii zintegrowanych, wchodzących w system zarządzania rozwojem Polski, który opierał się o ustawę o zasadach prowadzenia polityki rozwoju</w:t>
      </w:r>
      <w:r w:rsidRPr="00326DCF">
        <w:rPr>
          <w:vertAlign w:val="superscript"/>
        </w:rPr>
        <w:footnoteReference w:id="2"/>
      </w:r>
      <w:r w:rsidRPr="00326DCF">
        <w:t xml:space="preserve">. 14 lutego 2017 r. Rada Ministrów przyjęła </w:t>
      </w:r>
      <w:r w:rsidRPr="007F4A8E">
        <w:rPr>
          <w:i/>
        </w:rPr>
        <w:t>Strategię na rzecz Odpowiedzialnego Rozwoju do roku 2020 (z perspektywą do 2030 r.)</w:t>
      </w:r>
      <w:r w:rsidRPr="00326DCF">
        <w:t xml:space="preserve"> – SOR, która zastąpiła średniookresową </w:t>
      </w:r>
      <w:r w:rsidRPr="007F4A8E">
        <w:rPr>
          <w:i/>
        </w:rPr>
        <w:t>Strategię Rozwoju Kraju 2020</w:t>
      </w:r>
      <w:r w:rsidRPr="00326DCF">
        <w:t xml:space="preserve">. W związku z przyjęciem SOR, zaistniała konieczność dokonania aktualizacji dziewięciu strategii zintegrowanych. Komitet Koordynacyjny ds. Polityki Rozwoju zdecydował o zastąpieniu </w:t>
      </w:r>
      <w:proofErr w:type="spellStart"/>
      <w:r>
        <w:t>BEiŚ</w:t>
      </w:r>
      <w:proofErr w:type="spellEnd"/>
      <w:r w:rsidRPr="00326DCF">
        <w:t xml:space="preserve"> dwiema odrębnymi strategiami: </w:t>
      </w:r>
      <w:r w:rsidRPr="00326DCF">
        <w:rPr>
          <w:i/>
        </w:rPr>
        <w:t>Polityką ekologiczną państwa</w:t>
      </w:r>
      <w:r w:rsidR="002D516B">
        <w:rPr>
          <w:i/>
        </w:rPr>
        <w:t xml:space="preserve"> 2030</w:t>
      </w:r>
      <w:r w:rsidRPr="00326DCF">
        <w:t xml:space="preserve"> i </w:t>
      </w:r>
      <w:r w:rsidRPr="00326DCF">
        <w:rPr>
          <w:i/>
        </w:rPr>
        <w:t>Polityką energetyczną Polski</w:t>
      </w:r>
      <w:r w:rsidRPr="00326DCF">
        <w:t>.</w:t>
      </w:r>
    </w:p>
    <w:p w14:paraId="1203F822" w14:textId="77777777" w:rsidR="00BB7332" w:rsidRPr="00326DCF" w:rsidRDefault="00BB7332" w:rsidP="00BB7332">
      <w:pPr>
        <w:tabs>
          <w:tab w:val="left" w:pos="2816"/>
        </w:tabs>
        <w:jc w:val="both"/>
      </w:pPr>
      <w:r w:rsidRPr="00326DCF">
        <w:t xml:space="preserve">Strategia </w:t>
      </w:r>
      <w:proofErr w:type="spellStart"/>
      <w:r>
        <w:t>BEiŚ</w:t>
      </w:r>
      <w:proofErr w:type="spellEnd"/>
      <w:r w:rsidRPr="00326DCF">
        <w:t xml:space="preserve"> integrowała politykę środowiskową z polityką energetyczną, wytyczając kierunki rozwoju energetyki i wskazując priorytety w ochronie środowiska. Celem głównym </w:t>
      </w:r>
      <w:proofErr w:type="spellStart"/>
      <w:r>
        <w:t>BEiŚ</w:t>
      </w:r>
      <w:proofErr w:type="spellEnd"/>
      <w:r w:rsidRPr="00326DCF">
        <w:t xml:space="preserve"> było zapewnienie wysokiej jakości życia obecnych i przyszłych pokoleń z uwzględnieniem ochrony środowiska oraz stworzenie warunków do zrównoważonego rozwoju nowoczesnego sektora energetycznego, zdolnego zapewnić Polsce bezpieczeństwo energetyczne oraz konkurencyjną i efektywną gospodarkę. Dwa z trzech celów szczegółowych dotyczyły bezpośrednio spraw środowiskowych: cel 1 – zrównoważone gospodarowanie zasobami środowiska oraz cel 3 – poprawa stanu środowiska.</w:t>
      </w:r>
    </w:p>
    <w:p w14:paraId="3D52FE5A" w14:textId="41351FBE" w:rsidR="00BB7332" w:rsidRDefault="00BB7332" w:rsidP="00BB7332">
      <w:pPr>
        <w:tabs>
          <w:tab w:val="left" w:pos="2816"/>
        </w:tabs>
        <w:jc w:val="both"/>
      </w:pPr>
      <w:r w:rsidRPr="00326DCF">
        <w:t xml:space="preserve">Poziom realizacji </w:t>
      </w:r>
      <w:proofErr w:type="spellStart"/>
      <w:r>
        <w:t>BEiŚ</w:t>
      </w:r>
      <w:proofErr w:type="spellEnd"/>
      <w:r w:rsidRPr="00326DCF">
        <w:t xml:space="preserve"> mierzony </w:t>
      </w:r>
      <w:r>
        <w:t>był</w:t>
      </w:r>
      <w:r w:rsidRPr="00326DCF">
        <w:t xml:space="preserve"> zestawem wskaźników, przypisanych celom szczegółowym. Rokiem bazowym dla wskaźników </w:t>
      </w:r>
      <w:r>
        <w:t>był</w:t>
      </w:r>
      <w:r w:rsidRPr="00326DCF">
        <w:t xml:space="preserve"> rok</w:t>
      </w:r>
      <w:r w:rsidR="002D516B">
        <w:t xml:space="preserve"> 2010. Analiza dostępnych w 2018</w:t>
      </w:r>
      <w:r w:rsidRPr="00326DCF">
        <w:t xml:space="preserve"> r. </w:t>
      </w:r>
      <w:r w:rsidRPr="003703C4">
        <w:t>danych wskazuje na o</w:t>
      </w:r>
      <w:r w:rsidR="002D516B" w:rsidRPr="003703C4">
        <w:t>siągn</w:t>
      </w:r>
      <w:r w:rsidR="003703C4" w:rsidRPr="003703C4">
        <w:t>ięcie wartości docelowych sześciu</w:t>
      </w:r>
      <w:r w:rsidR="002D516B" w:rsidRPr="003703C4">
        <w:t xml:space="preserve"> z 15 wskaźników. Wartość dwóch</w:t>
      </w:r>
      <w:r w:rsidRPr="003703C4">
        <w:t xml:space="preserve"> wskaźników, mimo podejmowanych działań </w:t>
      </w:r>
      <w:r w:rsidR="002D516B" w:rsidRPr="003703C4">
        <w:t xml:space="preserve">w ramach </w:t>
      </w:r>
      <w:proofErr w:type="spellStart"/>
      <w:r w:rsidRPr="003703C4">
        <w:t>BEiŚ</w:t>
      </w:r>
      <w:proofErr w:type="spellEnd"/>
      <w:r w:rsidRPr="003703C4">
        <w:t>, pogorszyła się w por</w:t>
      </w:r>
      <w:r w:rsidR="002D516B" w:rsidRPr="003703C4">
        <w:t>ównani</w:t>
      </w:r>
      <w:r w:rsidR="003703C4" w:rsidRPr="003703C4">
        <w:t>u z rokiem 2010. Wartość sześciu</w:t>
      </w:r>
      <w:r w:rsidRPr="003703C4">
        <w:t xml:space="preserve"> wskaźników zbliżyła się do wartości docelowej, przewidzianej do osiągnięcia w 2020 r., jednak dynamika zmian nie gwarantuje o</w:t>
      </w:r>
      <w:r w:rsidR="003703C4" w:rsidRPr="003703C4">
        <w:t>siągnięcia zakładanego celu. Jeden wskaźnik miał</w:t>
      </w:r>
      <w:r w:rsidRPr="003703C4">
        <w:t xml:space="preserve"> tę samą wartość, co w roku 2010.</w:t>
      </w:r>
    </w:p>
    <w:p w14:paraId="0FE8AAA4" w14:textId="5D762E2D" w:rsidR="009F2326" w:rsidRPr="009F2326" w:rsidRDefault="009F2326" w:rsidP="00BB7332">
      <w:pPr>
        <w:tabs>
          <w:tab w:val="left" w:pos="2816"/>
        </w:tabs>
        <w:jc w:val="both"/>
      </w:pPr>
      <w:r w:rsidRPr="009F2326">
        <w:t xml:space="preserve">Należy ocenić, że system wdrażania i monitorowania </w:t>
      </w:r>
      <w:proofErr w:type="spellStart"/>
      <w:r w:rsidRPr="009F2326">
        <w:t>BEiŚ</w:t>
      </w:r>
      <w:proofErr w:type="spellEnd"/>
      <w:r w:rsidRPr="009F2326">
        <w:t xml:space="preserve"> nie był skuteczny, skoro większość wskaźników realizacji celów nie zostanie osiągnięta do roku 2020. Część zadań i działania </w:t>
      </w:r>
      <w:proofErr w:type="spellStart"/>
      <w:r w:rsidRPr="009F2326">
        <w:t>BEiŚ</w:t>
      </w:r>
      <w:proofErr w:type="spellEnd"/>
      <w:r w:rsidRPr="009F2326">
        <w:t xml:space="preserve"> </w:t>
      </w:r>
      <w:proofErr w:type="spellStart"/>
      <w:r w:rsidRPr="009F2326">
        <w:t>zostałą</w:t>
      </w:r>
      <w:proofErr w:type="spellEnd"/>
      <w:r w:rsidRPr="009F2326">
        <w:t xml:space="preserve"> sformułowana w sposób niejasny lub nie przypisano jednoznacznie, kto za nie odpowiada albo powinien inicjować współpracę międzyresortową. Kolejnym problemem była niska rozpoznawalność strategii </w:t>
      </w:r>
      <w:proofErr w:type="spellStart"/>
      <w:r w:rsidRPr="009F2326">
        <w:t>BEiŚ</w:t>
      </w:r>
      <w:proofErr w:type="spellEnd"/>
      <w:r w:rsidRPr="009F2326">
        <w:t xml:space="preserve"> jako dokumentu rządowego, nawet w resortach odpowiedzialnych za jej wdrażanie. Z tym wiązał się brak nadania działaniom odpowiedniego priorytetu. Działania podejmowane w poprzednich latach rzadko odnoszono do priorytetów zapisanych w </w:t>
      </w:r>
      <w:proofErr w:type="spellStart"/>
      <w:r w:rsidRPr="009F2326">
        <w:t>BEiŚ</w:t>
      </w:r>
      <w:proofErr w:type="spellEnd"/>
      <w:r w:rsidRPr="009F2326">
        <w:t xml:space="preserve">. Widoczne było to także w braku pełnej zgodności pomiędzy istniejącymi instrumentami finansowymi a rodzajami interwencji, </w:t>
      </w:r>
      <w:r w:rsidRPr="009F2326">
        <w:lastRenderedPageBreak/>
        <w:t xml:space="preserve">które powinny być podejmowane na podstawie </w:t>
      </w:r>
      <w:proofErr w:type="spellStart"/>
      <w:r w:rsidRPr="009F2326">
        <w:t>BEiŚ</w:t>
      </w:r>
      <w:proofErr w:type="spellEnd"/>
      <w:r w:rsidRPr="009F2326">
        <w:t>. Także niewydolność systemu instytucji państwa wpływała na niezadowalający poziom osiągnięcia wskaźników.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3105"/>
        <w:gridCol w:w="1838"/>
        <w:gridCol w:w="1978"/>
        <w:gridCol w:w="1708"/>
      </w:tblGrid>
      <w:tr w:rsidR="00BB7332" w:rsidRPr="00FC6DE2" w14:paraId="01DD3EA1" w14:textId="77777777" w:rsidTr="00886E7D">
        <w:trPr>
          <w:trHeight w:hRule="exact" w:val="859"/>
          <w:jc w:val="center"/>
        </w:trPr>
        <w:tc>
          <w:tcPr>
            <w:tcW w:w="240" w:type="pct"/>
            <w:shd w:val="clear" w:color="auto" w:fill="FFFFFF"/>
            <w:vAlign w:val="center"/>
          </w:tcPr>
          <w:p w14:paraId="33F49FE8" w14:textId="77777777" w:rsidR="00BB7332" w:rsidRPr="00FC6DE2" w:rsidRDefault="00BB7332" w:rsidP="00886E7D">
            <w:pPr>
              <w:tabs>
                <w:tab w:val="left" w:pos="2816"/>
              </w:tabs>
              <w:spacing w:after="0"/>
              <w:jc w:val="center"/>
              <w:rPr>
                <w:sz w:val="20"/>
                <w:szCs w:val="20"/>
              </w:rPr>
            </w:pPr>
            <w:r w:rsidRPr="00FC6DE2">
              <w:rPr>
                <w:b/>
                <w:bCs/>
                <w:sz w:val="20"/>
                <w:szCs w:val="20"/>
                <w:lang w:bidi="pl-PL"/>
              </w:rPr>
              <w:t>Lp.</w:t>
            </w:r>
          </w:p>
        </w:tc>
        <w:tc>
          <w:tcPr>
            <w:tcW w:w="1713" w:type="pct"/>
            <w:shd w:val="clear" w:color="auto" w:fill="FFFFFF"/>
            <w:vAlign w:val="center"/>
          </w:tcPr>
          <w:p w14:paraId="4AA75F9F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spacing w:after="0"/>
              <w:rPr>
                <w:sz w:val="20"/>
                <w:szCs w:val="20"/>
              </w:rPr>
            </w:pPr>
            <w:r w:rsidRPr="00FC6DE2">
              <w:rPr>
                <w:b/>
                <w:bCs/>
                <w:sz w:val="20"/>
                <w:szCs w:val="20"/>
                <w:lang w:bidi="pl-PL"/>
              </w:rPr>
              <w:t>Nazwa wskaźnika</w:t>
            </w:r>
          </w:p>
        </w:tc>
        <w:tc>
          <w:tcPr>
            <w:tcW w:w="1014" w:type="pct"/>
            <w:shd w:val="clear" w:color="auto" w:fill="FFFFFF"/>
            <w:vAlign w:val="center"/>
          </w:tcPr>
          <w:p w14:paraId="120C3686" w14:textId="77777777" w:rsidR="00BB7332" w:rsidRPr="00FC6DE2" w:rsidRDefault="00BB7332" w:rsidP="00886E7D">
            <w:pPr>
              <w:tabs>
                <w:tab w:val="left" w:pos="2816"/>
              </w:tabs>
              <w:spacing w:after="0"/>
              <w:jc w:val="center"/>
              <w:rPr>
                <w:b/>
                <w:bCs/>
                <w:sz w:val="20"/>
                <w:szCs w:val="20"/>
                <w:lang w:bidi="pl-PL"/>
              </w:rPr>
            </w:pPr>
            <w:r w:rsidRPr="00FC6DE2">
              <w:rPr>
                <w:b/>
                <w:bCs/>
                <w:sz w:val="20"/>
                <w:szCs w:val="20"/>
                <w:lang w:bidi="pl-PL"/>
              </w:rPr>
              <w:t>Wartość bazowa w 2010 r.</w:t>
            </w:r>
          </w:p>
        </w:tc>
        <w:tc>
          <w:tcPr>
            <w:tcW w:w="1091" w:type="pct"/>
            <w:shd w:val="clear" w:color="auto" w:fill="FFFFFF"/>
            <w:vAlign w:val="center"/>
          </w:tcPr>
          <w:p w14:paraId="79946B66" w14:textId="77777777" w:rsidR="00BB7332" w:rsidRPr="00FC6DE2" w:rsidRDefault="00BB7332" w:rsidP="00886E7D">
            <w:pPr>
              <w:tabs>
                <w:tab w:val="left" w:pos="2816"/>
              </w:tabs>
              <w:spacing w:after="0"/>
              <w:jc w:val="center"/>
              <w:rPr>
                <w:b/>
                <w:bCs/>
                <w:sz w:val="20"/>
                <w:szCs w:val="20"/>
                <w:lang w:bidi="pl-PL"/>
              </w:rPr>
            </w:pPr>
            <w:r w:rsidRPr="00FC6DE2">
              <w:rPr>
                <w:b/>
                <w:bCs/>
                <w:sz w:val="20"/>
                <w:szCs w:val="20"/>
                <w:lang w:bidi="pl-PL"/>
              </w:rPr>
              <w:t>Wartość osiągnięta w 2014/2015/2016 r.</w:t>
            </w:r>
          </w:p>
        </w:tc>
        <w:tc>
          <w:tcPr>
            <w:tcW w:w="942" w:type="pct"/>
            <w:shd w:val="clear" w:color="auto" w:fill="FFFFFF"/>
            <w:vAlign w:val="center"/>
          </w:tcPr>
          <w:p w14:paraId="4DE91526" w14:textId="77777777" w:rsidR="00BB7332" w:rsidRPr="00FC6DE2" w:rsidRDefault="00BB7332" w:rsidP="00886E7D">
            <w:pPr>
              <w:tabs>
                <w:tab w:val="left" w:pos="2816"/>
              </w:tabs>
              <w:spacing w:after="0"/>
              <w:jc w:val="center"/>
              <w:rPr>
                <w:sz w:val="20"/>
                <w:szCs w:val="20"/>
              </w:rPr>
            </w:pPr>
            <w:r w:rsidRPr="00FC6DE2">
              <w:rPr>
                <w:b/>
                <w:bCs/>
                <w:sz w:val="20"/>
                <w:szCs w:val="20"/>
                <w:lang w:bidi="pl-PL"/>
              </w:rPr>
              <w:t>Wartość oczekiwana w 2020 r.</w:t>
            </w:r>
          </w:p>
        </w:tc>
      </w:tr>
      <w:tr w:rsidR="00BB7332" w:rsidRPr="00FC6DE2" w14:paraId="0090B131" w14:textId="77777777" w:rsidTr="00886E7D">
        <w:trPr>
          <w:trHeight w:hRule="exact" w:val="787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1FB86894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spacing w:after="0"/>
              <w:jc w:val="center"/>
              <w:rPr>
                <w:sz w:val="20"/>
                <w:szCs w:val="20"/>
              </w:rPr>
            </w:pPr>
            <w:r w:rsidRPr="00FC6DE2">
              <w:rPr>
                <w:b/>
                <w:bCs/>
                <w:sz w:val="20"/>
                <w:szCs w:val="20"/>
                <w:lang w:bidi="pl-PL"/>
              </w:rPr>
              <w:t>Cel 1. Zrównoważone gospodarowanie zasobami środowiska</w:t>
            </w:r>
          </w:p>
        </w:tc>
      </w:tr>
      <w:tr w:rsidR="00BB7332" w:rsidRPr="00FC6DE2" w14:paraId="5A81AAF9" w14:textId="77777777" w:rsidTr="00886E7D">
        <w:trPr>
          <w:trHeight w:hRule="exact" w:val="876"/>
          <w:jc w:val="center"/>
        </w:trPr>
        <w:tc>
          <w:tcPr>
            <w:tcW w:w="240" w:type="pct"/>
            <w:shd w:val="clear" w:color="auto" w:fill="FFFFFF"/>
          </w:tcPr>
          <w:p w14:paraId="49EA4A7D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1</w:t>
            </w:r>
          </w:p>
        </w:tc>
        <w:tc>
          <w:tcPr>
            <w:tcW w:w="1713" w:type="pct"/>
            <w:shd w:val="clear" w:color="auto" w:fill="FFFFFF"/>
          </w:tcPr>
          <w:p w14:paraId="3C388543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Zużycie wody na potrzeby gospodarki narodowej i ludności ogółem w hm</w:t>
            </w:r>
            <w:r w:rsidRPr="00FC6DE2">
              <w:rPr>
                <w:sz w:val="20"/>
                <w:szCs w:val="20"/>
                <w:vertAlign w:val="superscript"/>
                <w:lang w:bidi="pl-PL"/>
              </w:rPr>
              <w:t>3</w:t>
            </w:r>
            <w:r w:rsidRPr="00FC6DE2">
              <w:rPr>
                <w:sz w:val="20"/>
                <w:szCs w:val="20"/>
                <w:lang w:bidi="pl-PL"/>
              </w:rPr>
              <w:t xml:space="preserve"> (hektometrach sześciennych)</w:t>
            </w:r>
          </w:p>
        </w:tc>
        <w:tc>
          <w:tcPr>
            <w:tcW w:w="1014" w:type="pct"/>
            <w:shd w:val="clear" w:color="auto" w:fill="FFFFFF"/>
          </w:tcPr>
          <w:p w14:paraId="5F5D3733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/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10 356,5 hm</w:t>
            </w:r>
            <w:r w:rsidRPr="00FC6DE2">
              <w:rPr>
                <w:sz w:val="20"/>
                <w:szCs w:val="20"/>
                <w:vertAlign w:val="superscript"/>
                <w:lang w:bidi="pl-PL"/>
              </w:rPr>
              <w:t>3</w:t>
            </w:r>
          </w:p>
        </w:tc>
        <w:tc>
          <w:tcPr>
            <w:tcW w:w="1091" w:type="pct"/>
            <w:shd w:val="clear" w:color="auto" w:fill="92D050"/>
          </w:tcPr>
          <w:p w14:paraId="161B93E5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9656,3</w:t>
            </w:r>
            <w:r w:rsidRPr="00FC6DE2">
              <w:rPr>
                <w:sz w:val="20"/>
                <w:szCs w:val="20"/>
                <w:lang w:bidi="pl-PL"/>
              </w:rPr>
              <w:t xml:space="preserve"> hm</w:t>
            </w:r>
            <w:r w:rsidRPr="00FC6DE2">
              <w:rPr>
                <w:sz w:val="20"/>
                <w:szCs w:val="20"/>
                <w:vertAlign w:val="superscript"/>
                <w:lang w:bidi="pl-PL"/>
              </w:rPr>
              <w:t>3</w:t>
            </w:r>
            <w:r w:rsidRPr="00FC6DE2">
              <w:rPr>
                <w:sz w:val="20"/>
                <w:szCs w:val="20"/>
                <w:lang w:bidi="pl-PL"/>
              </w:rPr>
              <w:t xml:space="preserve"> [</w:t>
            </w:r>
            <w:r>
              <w:rPr>
                <w:sz w:val="20"/>
                <w:szCs w:val="20"/>
                <w:lang w:bidi="pl-PL"/>
              </w:rPr>
              <w:t>2017</w:t>
            </w:r>
            <w:r w:rsidRPr="00FC6DE2">
              <w:rPr>
                <w:sz w:val="20"/>
                <w:szCs w:val="20"/>
                <w:lang w:bidi="pl-PL"/>
              </w:rPr>
              <w:t>]</w:t>
            </w:r>
          </w:p>
        </w:tc>
        <w:tc>
          <w:tcPr>
            <w:tcW w:w="942" w:type="pct"/>
            <w:shd w:val="clear" w:color="auto" w:fill="FFFFFF"/>
          </w:tcPr>
          <w:p w14:paraId="3B056F0A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10 100,0 hm</w:t>
            </w:r>
            <w:r w:rsidRPr="00FC6DE2">
              <w:rPr>
                <w:sz w:val="20"/>
                <w:szCs w:val="20"/>
                <w:vertAlign w:val="superscript"/>
                <w:lang w:bidi="pl-PL"/>
              </w:rPr>
              <w:t>3</w:t>
            </w:r>
          </w:p>
        </w:tc>
      </w:tr>
      <w:tr w:rsidR="00BB7332" w:rsidRPr="00FC6DE2" w14:paraId="47E00CD8" w14:textId="77777777" w:rsidTr="00886E7D">
        <w:trPr>
          <w:trHeight w:hRule="exact" w:val="586"/>
          <w:jc w:val="center"/>
        </w:trPr>
        <w:tc>
          <w:tcPr>
            <w:tcW w:w="240" w:type="pct"/>
            <w:shd w:val="clear" w:color="auto" w:fill="FFFFFF"/>
          </w:tcPr>
          <w:p w14:paraId="3B88F237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2</w:t>
            </w:r>
          </w:p>
        </w:tc>
        <w:tc>
          <w:tcPr>
            <w:tcW w:w="1713" w:type="pct"/>
            <w:shd w:val="clear" w:color="auto" w:fill="FFFFFF"/>
          </w:tcPr>
          <w:p w14:paraId="0FC10711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Udział przemysłu w zużyciu wody ogółem (%)</w:t>
            </w:r>
          </w:p>
        </w:tc>
        <w:tc>
          <w:tcPr>
            <w:tcW w:w="1014" w:type="pct"/>
            <w:shd w:val="clear" w:color="auto" w:fill="FFFFFF"/>
          </w:tcPr>
          <w:p w14:paraId="7B38DDE8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/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74%</w:t>
            </w:r>
          </w:p>
        </w:tc>
        <w:tc>
          <w:tcPr>
            <w:tcW w:w="1091" w:type="pct"/>
            <w:shd w:val="clear" w:color="auto" w:fill="FFC000"/>
          </w:tcPr>
          <w:p w14:paraId="4FA5F91A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73</w:t>
            </w:r>
            <w:r w:rsidRPr="00FC6DE2">
              <w:rPr>
                <w:sz w:val="20"/>
                <w:szCs w:val="20"/>
                <w:lang w:bidi="pl-PL"/>
              </w:rPr>
              <w:t>% [</w:t>
            </w:r>
            <w:r>
              <w:rPr>
                <w:sz w:val="20"/>
                <w:szCs w:val="20"/>
                <w:lang w:bidi="pl-PL"/>
              </w:rPr>
              <w:t>2017</w:t>
            </w:r>
            <w:r w:rsidRPr="00FC6DE2">
              <w:rPr>
                <w:sz w:val="20"/>
                <w:szCs w:val="20"/>
                <w:lang w:bidi="pl-PL"/>
              </w:rPr>
              <w:t>]</w:t>
            </w:r>
          </w:p>
        </w:tc>
        <w:tc>
          <w:tcPr>
            <w:tcW w:w="942" w:type="pct"/>
            <w:shd w:val="clear" w:color="auto" w:fill="FFFFFF"/>
          </w:tcPr>
          <w:p w14:paraId="2D5242F9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65%</w:t>
            </w:r>
          </w:p>
        </w:tc>
      </w:tr>
      <w:tr w:rsidR="00BB7332" w:rsidRPr="00FC6DE2" w14:paraId="2B97CD37" w14:textId="77777777" w:rsidTr="00886E7D">
        <w:trPr>
          <w:trHeight w:hRule="exact" w:val="581"/>
          <w:jc w:val="center"/>
        </w:trPr>
        <w:tc>
          <w:tcPr>
            <w:tcW w:w="240" w:type="pct"/>
            <w:shd w:val="clear" w:color="auto" w:fill="FFFFFF"/>
          </w:tcPr>
          <w:p w14:paraId="795991C2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3</w:t>
            </w:r>
          </w:p>
        </w:tc>
        <w:tc>
          <w:tcPr>
            <w:tcW w:w="1713" w:type="pct"/>
            <w:shd w:val="clear" w:color="auto" w:fill="FFFFFF"/>
          </w:tcPr>
          <w:p w14:paraId="7C39B0C4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Poziom lesistości kraju (%)</w:t>
            </w:r>
          </w:p>
        </w:tc>
        <w:tc>
          <w:tcPr>
            <w:tcW w:w="1014" w:type="pct"/>
            <w:shd w:val="clear" w:color="auto" w:fill="FFFFFF"/>
          </w:tcPr>
          <w:p w14:paraId="4C3F419E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/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29,2%</w:t>
            </w:r>
          </w:p>
        </w:tc>
        <w:tc>
          <w:tcPr>
            <w:tcW w:w="1091" w:type="pct"/>
            <w:shd w:val="clear" w:color="auto" w:fill="FFC000"/>
          </w:tcPr>
          <w:p w14:paraId="31C53253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29,6</w:t>
            </w:r>
            <w:r w:rsidRPr="00FC6DE2">
              <w:rPr>
                <w:sz w:val="20"/>
                <w:szCs w:val="20"/>
                <w:lang w:bidi="pl-PL"/>
              </w:rPr>
              <w:t>% [</w:t>
            </w:r>
            <w:r>
              <w:rPr>
                <w:sz w:val="20"/>
                <w:szCs w:val="20"/>
                <w:lang w:bidi="pl-PL"/>
              </w:rPr>
              <w:t>2017</w:t>
            </w:r>
            <w:r w:rsidRPr="00FC6DE2">
              <w:rPr>
                <w:sz w:val="20"/>
                <w:szCs w:val="20"/>
                <w:lang w:bidi="pl-PL"/>
              </w:rPr>
              <w:t>]</w:t>
            </w:r>
          </w:p>
        </w:tc>
        <w:tc>
          <w:tcPr>
            <w:tcW w:w="942" w:type="pct"/>
            <w:shd w:val="clear" w:color="auto" w:fill="FFFFFF"/>
          </w:tcPr>
          <w:p w14:paraId="75287184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30%</w:t>
            </w:r>
          </w:p>
        </w:tc>
      </w:tr>
      <w:tr w:rsidR="00BB7332" w:rsidRPr="00FC6DE2" w14:paraId="3A73CB6E" w14:textId="77777777" w:rsidTr="00886E7D">
        <w:trPr>
          <w:trHeight w:hRule="exact" w:val="1146"/>
          <w:jc w:val="center"/>
        </w:trPr>
        <w:tc>
          <w:tcPr>
            <w:tcW w:w="240" w:type="pct"/>
            <w:shd w:val="clear" w:color="auto" w:fill="FFFFFF"/>
          </w:tcPr>
          <w:p w14:paraId="79A87EFC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4</w:t>
            </w:r>
          </w:p>
        </w:tc>
        <w:tc>
          <w:tcPr>
            <w:tcW w:w="1713" w:type="pct"/>
            <w:shd w:val="clear" w:color="auto" w:fill="FFFFFF"/>
          </w:tcPr>
          <w:p w14:paraId="501C78BD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 xml:space="preserve">FBI - </w:t>
            </w:r>
            <w:proofErr w:type="spellStart"/>
            <w:r w:rsidRPr="00FC6DE2">
              <w:rPr>
                <w:i/>
                <w:sz w:val="20"/>
                <w:szCs w:val="20"/>
                <w:lang w:bidi="pl-PL"/>
              </w:rPr>
              <w:t>Farmland</w:t>
            </w:r>
            <w:proofErr w:type="spellEnd"/>
            <w:r w:rsidRPr="00FC6DE2">
              <w:rPr>
                <w:i/>
                <w:sz w:val="20"/>
                <w:szCs w:val="20"/>
                <w:lang w:bidi="pl-PL"/>
              </w:rPr>
              <w:t xml:space="preserve"> Bird Index</w:t>
            </w:r>
            <w:r w:rsidRPr="00FC6DE2">
              <w:rPr>
                <w:sz w:val="20"/>
                <w:szCs w:val="20"/>
                <w:lang w:bidi="pl-PL"/>
              </w:rPr>
              <w:t xml:space="preserve"> (wskaźnik liczebności pospolitych ptaków krajobrazu rolniczego, rok 2000 = 100%)</w:t>
            </w:r>
          </w:p>
        </w:tc>
        <w:tc>
          <w:tcPr>
            <w:tcW w:w="1014" w:type="pct"/>
            <w:shd w:val="clear" w:color="auto" w:fill="FFFFFF"/>
          </w:tcPr>
          <w:p w14:paraId="6F50D9C7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/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88%</w:t>
            </w:r>
          </w:p>
        </w:tc>
        <w:tc>
          <w:tcPr>
            <w:tcW w:w="1091" w:type="pct"/>
            <w:shd w:val="clear" w:color="auto" w:fill="FF0000"/>
          </w:tcPr>
          <w:p w14:paraId="0BBF8F72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79,98</w:t>
            </w:r>
            <w:r w:rsidRPr="00FC6DE2">
              <w:rPr>
                <w:sz w:val="20"/>
                <w:szCs w:val="20"/>
                <w:lang w:bidi="pl-PL"/>
              </w:rPr>
              <w:t>% [201</w:t>
            </w:r>
            <w:r>
              <w:rPr>
                <w:sz w:val="20"/>
                <w:szCs w:val="20"/>
                <w:lang w:bidi="pl-PL"/>
              </w:rPr>
              <w:t>7</w:t>
            </w:r>
            <w:r w:rsidRPr="00FC6DE2">
              <w:rPr>
                <w:sz w:val="20"/>
                <w:szCs w:val="20"/>
                <w:lang w:bidi="pl-PL"/>
              </w:rPr>
              <w:t>]</w:t>
            </w:r>
          </w:p>
        </w:tc>
        <w:tc>
          <w:tcPr>
            <w:tcW w:w="942" w:type="pct"/>
            <w:shd w:val="clear" w:color="auto" w:fill="FFFFFF"/>
          </w:tcPr>
          <w:p w14:paraId="4EEECE79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90%</w:t>
            </w:r>
          </w:p>
        </w:tc>
      </w:tr>
      <w:tr w:rsidR="00BB7332" w:rsidRPr="00FC6DE2" w14:paraId="2CB0781D" w14:textId="77777777" w:rsidTr="00C80D7F">
        <w:trPr>
          <w:trHeight w:hRule="exact" w:val="1185"/>
          <w:jc w:val="center"/>
        </w:trPr>
        <w:tc>
          <w:tcPr>
            <w:tcW w:w="240" w:type="pct"/>
            <w:shd w:val="clear" w:color="auto" w:fill="FFFFFF"/>
          </w:tcPr>
          <w:p w14:paraId="074FFBC7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5</w:t>
            </w:r>
          </w:p>
        </w:tc>
        <w:tc>
          <w:tcPr>
            <w:tcW w:w="1713" w:type="pct"/>
            <w:shd w:val="clear" w:color="auto" w:fill="FFFFFF"/>
          </w:tcPr>
          <w:p w14:paraId="227AB957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Udział powierzchni objętej obowiązującymi planami zagospo</w:t>
            </w:r>
            <w:r w:rsidRPr="00FC6DE2">
              <w:rPr>
                <w:sz w:val="20"/>
                <w:szCs w:val="20"/>
                <w:lang w:bidi="pl-PL"/>
              </w:rPr>
              <w:softHyphen/>
              <w:t>darowania przestrzennego w pow. geodezyjnej kraju ogółem</w:t>
            </w:r>
          </w:p>
        </w:tc>
        <w:tc>
          <w:tcPr>
            <w:tcW w:w="1014" w:type="pct"/>
            <w:shd w:val="clear" w:color="auto" w:fill="FFFFFF"/>
          </w:tcPr>
          <w:p w14:paraId="59251359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/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26,4%</w:t>
            </w:r>
          </w:p>
        </w:tc>
        <w:tc>
          <w:tcPr>
            <w:tcW w:w="1091" w:type="pct"/>
            <w:shd w:val="clear" w:color="auto" w:fill="FFC000"/>
          </w:tcPr>
          <w:p w14:paraId="7E6427E0" w14:textId="2F8A0BA5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30</w:t>
            </w:r>
            <w:r w:rsidR="00C80D7F">
              <w:rPr>
                <w:sz w:val="20"/>
                <w:szCs w:val="20"/>
                <w:lang w:bidi="pl-PL"/>
              </w:rPr>
              <w:t>,5% [2017</w:t>
            </w:r>
            <w:r w:rsidRPr="00FC6DE2">
              <w:rPr>
                <w:sz w:val="20"/>
                <w:szCs w:val="20"/>
                <w:lang w:bidi="pl-PL"/>
              </w:rPr>
              <w:t>]</w:t>
            </w:r>
          </w:p>
        </w:tc>
        <w:tc>
          <w:tcPr>
            <w:tcW w:w="942" w:type="pct"/>
            <w:shd w:val="clear" w:color="auto" w:fill="FFFFFF"/>
          </w:tcPr>
          <w:p w14:paraId="635AC7D1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35%</w:t>
            </w:r>
          </w:p>
        </w:tc>
      </w:tr>
      <w:tr w:rsidR="00BB7332" w:rsidRPr="00FC6DE2" w14:paraId="653FF2CB" w14:textId="77777777" w:rsidTr="00886E7D">
        <w:trPr>
          <w:trHeight w:hRule="exact" w:val="787"/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08FCCC8D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</w:rPr>
              <w:t>[…]</w:t>
            </w:r>
          </w:p>
        </w:tc>
      </w:tr>
      <w:tr w:rsidR="00BB7332" w:rsidRPr="00FC6DE2" w14:paraId="2DFD455B" w14:textId="77777777" w:rsidTr="00886E7D">
        <w:trPr>
          <w:trHeight w:hRule="exact" w:val="787"/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61525114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b/>
                <w:bCs/>
                <w:sz w:val="20"/>
                <w:szCs w:val="20"/>
                <w:lang w:bidi="pl-PL"/>
              </w:rPr>
              <w:t>Cel 3. Poprawa stanu środowiska</w:t>
            </w:r>
          </w:p>
        </w:tc>
      </w:tr>
      <w:tr w:rsidR="00BB7332" w:rsidRPr="00FC6DE2" w14:paraId="7049231E" w14:textId="77777777" w:rsidTr="00886E7D">
        <w:trPr>
          <w:trHeight w:hRule="exact" w:val="1144"/>
          <w:jc w:val="center"/>
        </w:trPr>
        <w:tc>
          <w:tcPr>
            <w:tcW w:w="240" w:type="pct"/>
            <w:vMerge w:val="restart"/>
            <w:shd w:val="clear" w:color="auto" w:fill="FFFFFF"/>
          </w:tcPr>
          <w:p w14:paraId="685A8CC6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6</w:t>
            </w:r>
          </w:p>
        </w:tc>
        <w:tc>
          <w:tcPr>
            <w:tcW w:w="1713" w:type="pct"/>
            <w:vMerge w:val="restart"/>
            <w:shd w:val="clear" w:color="auto" w:fill="FFFFFF"/>
          </w:tcPr>
          <w:p w14:paraId="74D7642A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Stan/potencjał ekologiczny jednolitych części wód (klasy I-V)</w:t>
            </w:r>
          </w:p>
        </w:tc>
        <w:tc>
          <w:tcPr>
            <w:tcW w:w="1014" w:type="pct"/>
            <w:shd w:val="clear" w:color="auto" w:fill="FFFFFF"/>
          </w:tcPr>
          <w:p w14:paraId="062A901B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rzeki (naturalne JCW) – bardzo dobry i dobry – 16%</w:t>
            </w:r>
          </w:p>
        </w:tc>
        <w:tc>
          <w:tcPr>
            <w:tcW w:w="1091" w:type="pct"/>
            <w:shd w:val="clear" w:color="auto" w:fill="92D050"/>
          </w:tcPr>
          <w:p w14:paraId="29E6FE34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27,9% [2015]</w:t>
            </w:r>
          </w:p>
        </w:tc>
        <w:tc>
          <w:tcPr>
            <w:tcW w:w="942" w:type="pct"/>
            <w:vMerge w:val="restart"/>
            <w:shd w:val="clear" w:color="auto" w:fill="FFFFFF"/>
          </w:tcPr>
          <w:p w14:paraId="1DB2D2AE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wzrost udziału JCW o stanie/potencjale dobrym i bardzo dobrym</w:t>
            </w:r>
          </w:p>
        </w:tc>
      </w:tr>
      <w:tr w:rsidR="00BB7332" w:rsidRPr="00FC6DE2" w14:paraId="31E54F6E" w14:textId="77777777" w:rsidTr="00886E7D">
        <w:trPr>
          <w:trHeight w:hRule="exact" w:val="853"/>
          <w:jc w:val="center"/>
        </w:trPr>
        <w:tc>
          <w:tcPr>
            <w:tcW w:w="240" w:type="pct"/>
            <w:vMerge/>
            <w:shd w:val="clear" w:color="auto" w:fill="FFFFFF"/>
          </w:tcPr>
          <w:p w14:paraId="40D521CC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713" w:type="pct"/>
            <w:vMerge/>
            <w:shd w:val="clear" w:color="auto" w:fill="FFFFFF"/>
          </w:tcPr>
          <w:p w14:paraId="4B7E582A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014" w:type="pct"/>
            <w:shd w:val="clear" w:color="auto" w:fill="FFFFFF"/>
          </w:tcPr>
          <w:p w14:paraId="490920EB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rzeki (naturalne JCW) – poniżej dobrego – 84%</w:t>
            </w:r>
          </w:p>
        </w:tc>
        <w:tc>
          <w:tcPr>
            <w:tcW w:w="1091" w:type="pct"/>
            <w:shd w:val="clear" w:color="auto" w:fill="92D050"/>
          </w:tcPr>
          <w:p w14:paraId="7E40B328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72,1% [2015]</w:t>
            </w:r>
          </w:p>
        </w:tc>
        <w:tc>
          <w:tcPr>
            <w:tcW w:w="942" w:type="pct"/>
            <w:vMerge/>
            <w:shd w:val="clear" w:color="auto" w:fill="FFFFFF"/>
          </w:tcPr>
          <w:p w14:paraId="1325F2EE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</w:tr>
      <w:tr w:rsidR="00BB7332" w:rsidRPr="00FC6DE2" w14:paraId="09751E22" w14:textId="77777777" w:rsidTr="00886E7D">
        <w:trPr>
          <w:trHeight w:hRule="exact" w:val="1268"/>
          <w:jc w:val="center"/>
        </w:trPr>
        <w:tc>
          <w:tcPr>
            <w:tcW w:w="240" w:type="pct"/>
            <w:vMerge/>
            <w:shd w:val="clear" w:color="auto" w:fill="FFFFFF"/>
          </w:tcPr>
          <w:p w14:paraId="452506ED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713" w:type="pct"/>
            <w:vMerge/>
            <w:shd w:val="clear" w:color="auto" w:fill="FFFFFF"/>
          </w:tcPr>
          <w:p w14:paraId="38879561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014" w:type="pct"/>
            <w:shd w:val="clear" w:color="auto" w:fill="FFFFFF"/>
          </w:tcPr>
          <w:p w14:paraId="447A7790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rzeki (sztucznie i silnie zmienione JCW) – maksymalny lub dobry – 17,1%</w:t>
            </w:r>
          </w:p>
        </w:tc>
        <w:tc>
          <w:tcPr>
            <w:tcW w:w="1091" w:type="pct"/>
            <w:shd w:val="clear" w:color="auto" w:fill="92D050"/>
          </w:tcPr>
          <w:p w14:paraId="2949BA89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31% [2015]</w:t>
            </w:r>
          </w:p>
        </w:tc>
        <w:tc>
          <w:tcPr>
            <w:tcW w:w="942" w:type="pct"/>
            <w:vMerge/>
            <w:shd w:val="clear" w:color="auto" w:fill="FFFFFF"/>
          </w:tcPr>
          <w:p w14:paraId="0C85F0D7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</w:tr>
      <w:tr w:rsidR="00BB7332" w:rsidRPr="00FC6DE2" w14:paraId="2B229F41" w14:textId="77777777" w:rsidTr="00886E7D">
        <w:trPr>
          <w:trHeight w:hRule="exact" w:val="1068"/>
          <w:jc w:val="center"/>
        </w:trPr>
        <w:tc>
          <w:tcPr>
            <w:tcW w:w="240" w:type="pct"/>
            <w:vMerge/>
            <w:shd w:val="clear" w:color="auto" w:fill="FFFFFF"/>
          </w:tcPr>
          <w:p w14:paraId="6D11B067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713" w:type="pct"/>
            <w:vMerge/>
            <w:shd w:val="clear" w:color="auto" w:fill="FFFFFF"/>
          </w:tcPr>
          <w:p w14:paraId="5AA94625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014" w:type="pct"/>
            <w:shd w:val="clear" w:color="auto" w:fill="FFFFFF"/>
          </w:tcPr>
          <w:p w14:paraId="2AF4D47B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rzeki (sztucznie i silnie zmienione JCW) – poniżej dobrego – 82,9%</w:t>
            </w:r>
          </w:p>
        </w:tc>
        <w:tc>
          <w:tcPr>
            <w:tcW w:w="1091" w:type="pct"/>
            <w:shd w:val="clear" w:color="auto" w:fill="92D050"/>
          </w:tcPr>
          <w:p w14:paraId="0D8840C3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69% [2015]</w:t>
            </w:r>
          </w:p>
        </w:tc>
        <w:tc>
          <w:tcPr>
            <w:tcW w:w="942" w:type="pct"/>
            <w:vMerge/>
            <w:shd w:val="clear" w:color="auto" w:fill="FFFFFF"/>
          </w:tcPr>
          <w:p w14:paraId="3F2936A8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</w:tr>
      <w:tr w:rsidR="00BB7332" w:rsidRPr="00FC6DE2" w14:paraId="54F10670" w14:textId="77777777" w:rsidTr="00886E7D">
        <w:trPr>
          <w:trHeight w:hRule="exact" w:val="806"/>
          <w:jc w:val="center"/>
        </w:trPr>
        <w:tc>
          <w:tcPr>
            <w:tcW w:w="240" w:type="pct"/>
            <w:vMerge w:val="restart"/>
            <w:shd w:val="clear" w:color="auto" w:fill="FFFFFF"/>
          </w:tcPr>
          <w:p w14:paraId="6A443A61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lastRenderedPageBreak/>
              <w:t>7</w:t>
            </w:r>
          </w:p>
        </w:tc>
        <w:tc>
          <w:tcPr>
            <w:tcW w:w="1713" w:type="pct"/>
            <w:vMerge w:val="restart"/>
            <w:shd w:val="clear" w:color="auto" w:fill="FFFFFF"/>
          </w:tcPr>
          <w:p w14:paraId="56809D2A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Stan chemiczny jednolitych części wód (dobry/poniżej dobrego)</w:t>
            </w:r>
          </w:p>
        </w:tc>
        <w:tc>
          <w:tcPr>
            <w:tcW w:w="1014" w:type="pct"/>
            <w:shd w:val="clear" w:color="auto" w:fill="FFFFFF"/>
          </w:tcPr>
          <w:p w14:paraId="1F1A2CC0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rzeki – stan dobry – 44%</w:t>
            </w:r>
          </w:p>
        </w:tc>
        <w:tc>
          <w:tcPr>
            <w:tcW w:w="1091" w:type="pct"/>
            <w:shd w:val="clear" w:color="auto" w:fill="92D050"/>
          </w:tcPr>
          <w:p w14:paraId="4A338915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69,4% [2015]</w:t>
            </w:r>
          </w:p>
        </w:tc>
        <w:tc>
          <w:tcPr>
            <w:tcW w:w="942" w:type="pct"/>
            <w:vMerge w:val="restart"/>
            <w:shd w:val="clear" w:color="auto" w:fill="FFFFFF"/>
          </w:tcPr>
          <w:p w14:paraId="361EC179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wzrost udziału JCW o stanie dobrym</w:t>
            </w:r>
          </w:p>
        </w:tc>
      </w:tr>
      <w:tr w:rsidR="00BB7332" w:rsidRPr="00FC6DE2" w14:paraId="70EAB837" w14:textId="77777777" w:rsidTr="00886E7D">
        <w:trPr>
          <w:trHeight w:hRule="exact" w:val="806"/>
          <w:jc w:val="center"/>
        </w:trPr>
        <w:tc>
          <w:tcPr>
            <w:tcW w:w="240" w:type="pct"/>
            <w:vMerge/>
            <w:shd w:val="clear" w:color="auto" w:fill="FFFFFF"/>
          </w:tcPr>
          <w:p w14:paraId="3D90DB77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713" w:type="pct"/>
            <w:vMerge/>
            <w:shd w:val="clear" w:color="auto" w:fill="FFFFFF"/>
          </w:tcPr>
          <w:p w14:paraId="794049D4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014" w:type="pct"/>
            <w:shd w:val="clear" w:color="auto" w:fill="FFFFFF"/>
          </w:tcPr>
          <w:p w14:paraId="325D55E8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rzeki – stan poniżej dobrego – 56%</w:t>
            </w:r>
          </w:p>
        </w:tc>
        <w:tc>
          <w:tcPr>
            <w:tcW w:w="1091" w:type="pct"/>
            <w:shd w:val="clear" w:color="auto" w:fill="92D050"/>
          </w:tcPr>
          <w:p w14:paraId="41B583EA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30,6% [2015]</w:t>
            </w:r>
          </w:p>
        </w:tc>
        <w:tc>
          <w:tcPr>
            <w:tcW w:w="942" w:type="pct"/>
            <w:vMerge/>
            <w:shd w:val="clear" w:color="auto" w:fill="FFFFFF"/>
          </w:tcPr>
          <w:p w14:paraId="6B9291A8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</w:tr>
      <w:tr w:rsidR="00BB7332" w:rsidRPr="00FC6DE2" w14:paraId="40C5BC76" w14:textId="77777777" w:rsidTr="00886E7D">
        <w:trPr>
          <w:trHeight w:hRule="exact" w:val="806"/>
          <w:jc w:val="center"/>
        </w:trPr>
        <w:tc>
          <w:tcPr>
            <w:tcW w:w="240" w:type="pct"/>
            <w:vMerge w:val="restart"/>
            <w:shd w:val="clear" w:color="auto" w:fill="FFFFFF"/>
          </w:tcPr>
          <w:p w14:paraId="77A9FC41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8</w:t>
            </w:r>
          </w:p>
        </w:tc>
        <w:tc>
          <w:tcPr>
            <w:tcW w:w="1713" w:type="pct"/>
            <w:vMerge w:val="restart"/>
            <w:shd w:val="clear" w:color="auto" w:fill="FFFFFF"/>
          </w:tcPr>
          <w:p w14:paraId="4F3F4791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Stan jednolitych części wód (dobry/zły)</w:t>
            </w:r>
          </w:p>
        </w:tc>
        <w:tc>
          <w:tcPr>
            <w:tcW w:w="1014" w:type="pct"/>
            <w:shd w:val="clear" w:color="auto" w:fill="FFFFFF"/>
          </w:tcPr>
          <w:p w14:paraId="49A96C8D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rzeki – stan dobry – 11,2%</w:t>
            </w:r>
          </w:p>
        </w:tc>
        <w:tc>
          <w:tcPr>
            <w:tcW w:w="1091" w:type="pct"/>
            <w:shd w:val="clear" w:color="auto" w:fill="FF0000"/>
          </w:tcPr>
          <w:p w14:paraId="03B64620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10,9% [2015]</w:t>
            </w:r>
          </w:p>
        </w:tc>
        <w:tc>
          <w:tcPr>
            <w:tcW w:w="942" w:type="pct"/>
            <w:vMerge w:val="restart"/>
            <w:shd w:val="clear" w:color="auto" w:fill="FFFFFF"/>
          </w:tcPr>
          <w:p w14:paraId="02ACF87E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wzrost udziału JCW o stanie dobrym</w:t>
            </w:r>
          </w:p>
        </w:tc>
      </w:tr>
      <w:tr w:rsidR="00BB7332" w:rsidRPr="00FC6DE2" w14:paraId="2DCDA914" w14:textId="77777777" w:rsidTr="00886E7D">
        <w:trPr>
          <w:trHeight w:hRule="exact" w:val="806"/>
          <w:jc w:val="center"/>
        </w:trPr>
        <w:tc>
          <w:tcPr>
            <w:tcW w:w="240" w:type="pct"/>
            <w:vMerge/>
            <w:shd w:val="clear" w:color="auto" w:fill="FFFFFF"/>
          </w:tcPr>
          <w:p w14:paraId="7CDBC7AB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713" w:type="pct"/>
            <w:vMerge/>
            <w:shd w:val="clear" w:color="auto" w:fill="FFFFFF"/>
          </w:tcPr>
          <w:p w14:paraId="1687E2EF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014" w:type="pct"/>
            <w:shd w:val="clear" w:color="auto" w:fill="FFFFFF"/>
          </w:tcPr>
          <w:p w14:paraId="7619AF61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rzeki – stan zły – 88,8%</w:t>
            </w:r>
          </w:p>
        </w:tc>
        <w:tc>
          <w:tcPr>
            <w:tcW w:w="1091" w:type="pct"/>
            <w:shd w:val="clear" w:color="auto" w:fill="FF0000"/>
          </w:tcPr>
          <w:p w14:paraId="526A2428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89,1% [2015]</w:t>
            </w:r>
          </w:p>
        </w:tc>
        <w:tc>
          <w:tcPr>
            <w:tcW w:w="942" w:type="pct"/>
            <w:vMerge/>
            <w:shd w:val="clear" w:color="auto" w:fill="FFFFFF"/>
          </w:tcPr>
          <w:p w14:paraId="4CF9FF8D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</w:p>
        </w:tc>
      </w:tr>
      <w:tr w:rsidR="00BB7332" w:rsidRPr="00FC6DE2" w14:paraId="408ECE83" w14:textId="77777777" w:rsidTr="00886E7D">
        <w:trPr>
          <w:trHeight w:hRule="exact" w:val="816"/>
          <w:jc w:val="center"/>
        </w:trPr>
        <w:tc>
          <w:tcPr>
            <w:tcW w:w="240" w:type="pct"/>
            <w:shd w:val="clear" w:color="auto" w:fill="FFFFFF"/>
          </w:tcPr>
          <w:p w14:paraId="45DC2A79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9</w:t>
            </w:r>
          </w:p>
        </w:tc>
        <w:tc>
          <w:tcPr>
            <w:tcW w:w="1713" w:type="pct"/>
            <w:shd w:val="clear" w:color="auto" w:fill="FFFFFF"/>
          </w:tcPr>
          <w:p w14:paraId="2A56455E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Stan jakości powietrza– odsetek stref z przekroczeniami standardów jakości powietrza</w:t>
            </w:r>
          </w:p>
        </w:tc>
        <w:tc>
          <w:tcPr>
            <w:tcW w:w="1014" w:type="pct"/>
            <w:shd w:val="clear" w:color="auto" w:fill="FFFFFF"/>
          </w:tcPr>
          <w:p w14:paraId="4AAFDFB8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91% – 42 strefy z przekroczeniami standardów jakości powietrza</w:t>
            </w:r>
          </w:p>
        </w:tc>
        <w:tc>
          <w:tcPr>
            <w:tcW w:w="1091" w:type="pct"/>
            <w:shd w:val="clear" w:color="auto" w:fill="FFC000"/>
          </w:tcPr>
          <w:p w14:paraId="58267500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76% [2016]</w:t>
            </w:r>
          </w:p>
        </w:tc>
        <w:tc>
          <w:tcPr>
            <w:tcW w:w="942" w:type="pct"/>
            <w:shd w:val="clear" w:color="auto" w:fill="FFFFFF"/>
          </w:tcPr>
          <w:p w14:paraId="56637510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 w:right="140"/>
              <w:jc w:val="center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  <w:lang w:bidi="pl-PL"/>
              </w:rPr>
              <w:t>min. 45%</w:t>
            </w:r>
          </w:p>
        </w:tc>
      </w:tr>
      <w:tr w:rsidR="00BB7332" w:rsidRPr="00FC6DE2" w14:paraId="130D6522" w14:textId="77777777" w:rsidTr="00886E7D">
        <w:trPr>
          <w:trHeight w:hRule="exact" w:val="911"/>
          <w:jc w:val="center"/>
        </w:trPr>
        <w:tc>
          <w:tcPr>
            <w:tcW w:w="240" w:type="pct"/>
            <w:shd w:val="clear" w:color="auto" w:fill="FFFFFF"/>
          </w:tcPr>
          <w:p w14:paraId="4195606A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10</w:t>
            </w:r>
          </w:p>
        </w:tc>
        <w:tc>
          <w:tcPr>
            <w:tcW w:w="1713" w:type="pct"/>
            <w:shd w:val="clear" w:color="auto" w:fill="FFFFFF"/>
          </w:tcPr>
          <w:p w14:paraId="1AA0A0C5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Odsetek ludności korzystającej z oczyszczalni ścieków</w:t>
            </w:r>
          </w:p>
        </w:tc>
        <w:tc>
          <w:tcPr>
            <w:tcW w:w="1014" w:type="pct"/>
            <w:shd w:val="clear" w:color="auto" w:fill="FFFFFF"/>
          </w:tcPr>
          <w:p w14:paraId="1F446C60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7"/>
              <w:jc w:val="center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64,7</w:t>
            </w:r>
            <w:r w:rsidRPr="00FC6DE2">
              <w:rPr>
                <w:sz w:val="20"/>
                <w:szCs w:val="20"/>
                <w:lang w:bidi="pl-PL"/>
              </w:rPr>
              <w:t>%</w:t>
            </w:r>
          </w:p>
        </w:tc>
        <w:tc>
          <w:tcPr>
            <w:tcW w:w="1091" w:type="pct"/>
            <w:shd w:val="clear" w:color="auto" w:fill="92D050"/>
          </w:tcPr>
          <w:p w14:paraId="1EFE6B4E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73,6</w:t>
            </w:r>
            <w:r w:rsidRPr="00FC6DE2">
              <w:rPr>
                <w:sz w:val="20"/>
                <w:szCs w:val="20"/>
                <w:lang w:bidi="pl-PL"/>
              </w:rPr>
              <w:t>% [</w:t>
            </w:r>
            <w:r>
              <w:rPr>
                <w:sz w:val="20"/>
                <w:szCs w:val="20"/>
                <w:lang w:bidi="pl-PL"/>
              </w:rPr>
              <w:t>2017</w:t>
            </w:r>
            <w:r w:rsidRPr="00FC6DE2">
              <w:rPr>
                <w:sz w:val="20"/>
                <w:szCs w:val="20"/>
                <w:lang w:bidi="pl-PL"/>
              </w:rPr>
              <w:t>]</w:t>
            </w:r>
          </w:p>
        </w:tc>
        <w:tc>
          <w:tcPr>
            <w:tcW w:w="942" w:type="pct"/>
            <w:shd w:val="clear" w:color="auto" w:fill="FFFFFF"/>
          </w:tcPr>
          <w:p w14:paraId="21674D4E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 w:right="140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71,5%</w:t>
            </w:r>
          </w:p>
        </w:tc>
      </w:tr>
      <w:tr w:rsidR="00BB7332" w:rsidRPr="00FC6DE2" w14:paraId="399969C7" w14:textId="77777777" w:rsidTr="00886E7D">
        <w:trPr>
          <w:trHeight w:hRule="exact" w:val="1264"/>
          <w:jc w:val="center"/>
        </w:trPr>
        <w:tc>
          <w:tcPr>
            <w:tcW w:w="240" w:type="pct"/>
            <w:shd w:val="clear" w:color="auto" w:fill="FFFFFF"/>
          </w:tcPr>
          <w:p w14:paraId="03ED7AE2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11</w:t>
            </w:r>
          </w:p>
        </w:tc>
        <w:tc>
          <w:tcPr>
            <w:tcW w:w="1713" w:type="pct"/>
            <w:shd w:val="clear" w:color="auto" w:fill="FFFFFF"/>
          </w:tcPr>
          <w:p w14:paraId="488FE60D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Poziom recyklingu i przygotowania do ponownego użycia wybranych frakcji odpadów: papier, metale, tworzywa sztuczne i szkło (% wagowo)</w:t>
            </w:r>
          </w:p>
        </w:tc>
        <w:tc>
          <w:tcPr>
            <w:tcW w:w="1014" w:type="pct"/>
            <w:shd w:val="clear" w:color="auto" w:fill="FFFFFF"/>
          </w:tcPr>
          <w:p w14:paraId="5379522B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7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18% [2012]</w:t>
            </w:r>
          </w:p>
        </w:tc>
        <w:tc>
          <w:tcPr>
            <w:tcW w:w="1091" w:type="pct"/>
            <w:shd w:val="clear" w:color="auto" w:fill="FFC000"/>
          </w:tcPr>
          <w:p w14:paraId="70522677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28% [2016]</w:t>
            </w:r>
          </w:p>
        </w:tc>
        <w:tc>
          <w:tcPr>
            <w:tcW w:w="942" w:type="pct"/>
            <w:shd w:val="clear" w:color="auto" w:fill="FFFFFF"/>
          </w:tcPr>
          <w:p w14:paraId="1A9AA42F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 w:right="140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50%</w:t>
            </w:r>
          </w:p>
        </w:tc>
      </w:tr>
      <w:tr w:rsidR="00BB7332" w:rsidRPr="00FC6DE2" w14:paraId="294057E6" w14:textId="77777777" w:rsidTr="00886E7D">
        <w:trPr>
          <w:trHeight w:hRule="exact" w:val="1422"/>
          <w:jc w:val="center"/>
        </w:trPr>
        <w:tc>
          <w:tcPr>
            <w:tcW w:w="240" w:type="pct"/>
            <w:shd w:val="clear" w:color="auto" w:fill="FFFFFF"/>
          </w:tcPr>
          <w:p w14:paraId="4D7BD4CE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12</w:t>
            </w:r>
          </w:p>
        </w:tc>
        <w:tc>
          <w:tcPr>
            <w:tcW w:w="1713" w:type="pct"/>
            <w:shd w:val="clear" w:color="auto" w:fill="FFFFFF"/>
          </w:tcPr>
          <w:p w14:paraId="229FB0B0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Poziom recyklingu, przygotowania do ponownego użycia i odzysku innymi metodami innych niż niebezpieczne odpadów budowlanych i rozbiórkowych (% wagowo)</w:t>
            </w:r>
          </w:p>
        </w:tc>
        <w:tc>
          <w:tcPr>
            <w:tcW w:w="1014" w:type="pct"/>
            <w:shd w:val="clear" w:color="auto" w:fill="FFFFFF"/>
          </w:tcPr>
          <w:p w14:paraId="634A1F36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7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69%</w:t>
            </w:r>
          </w:p>
        </w:tc>
        <w:tc>
          <w:tcPr>
            <w:tcW w:w="1091" w:type="pct"/>
            <w:shd w:val="clear" w:color="auto" w:fill="92D050"/>
          </w:tcPr>
          <w:p w14:paraId="2D9C3B34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105% [2015]</w:t>
            </w:r>
          </w:p>
        </w:tc>
        <w:tc>
          <w:tcPr>
            <w:tcW w:w="942" w:type="pct"/>
            <w:shd w:val="clear" w:color="auto" w:fill="FFFFFF"/>
          </w:tcPr>
          <w:p w14:paraId="5D97F289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 w:right="140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70%</w:t>
            </w:r>
          </w:p>
        </w:tc>
      </w:tr>
      <w:tr w:rsidR="00BB7332" w:rsidRPr="00FC6DE2" w14:paraId="61E043CF" w14:textId="77777777" w:rsidTr="00886E7D">
        <w:trPr>
          <w:trHeight w:hRule="exact" w:val="1393"/>
          <w:jc w:val="center"/>
        </w:trPr>
        <w:tc>
          <w:tcPr>
            <w:tcW w:w="240" w:type="pct"/>
            <w:shd w:val="clear" w:color="auto" w:fill="FFFFFF"/>
          </w:tcPr>
          <w:p w14:paraId="2478DC23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13</w:t>
            </w:r>
          </w:p>
        </w:tc>
        <w:tc>
          <w:tcPr>
            <w:tcW w:w="1713" w:type="pct"/>
            <w:shd w:val="clear" w:color="auto" w:fill="FFFFFF"/>
          </w:tcPr>
          <w:p w14:paraId="4BA1EC6D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Stopień redukcji odpadów komunalnych ulegających biodegradacji kierowanych na składowiska w stosunku do odpadów wytworzonych w 1995 r.</w:t>
            </w:r>
          </w:p>
        </w:tc>
        <w:tc>
          <w:tcPr>
            <w:tcW w:w="1014" w:type="pct"/>
            <w:shd w:val="clear" w:color="auto" w:fill="FFFFFF"/>
          </w:tcPr>
          <w:p w14:paraId="1DF7F6E7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7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85%</w:t>
            </w:r>
          </w:p>
        </w:tc>
        <w:tc>
          <w:tcPr>
            <w:tcW w:w="1091" w:type="pct"/>
            <w:shd w:val="clear" w:color="auto" w:fill="92D050"/>
          </w:tcPr>
          <w:p w14:paraId="4CC7C592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12% [2016]</w:t>
            </w:r>
          </w:p>
        </w:tc>
        <w:tc>
          <w:tcPr>
            <w:tcW w:w="942" w:type="pct"/>
            <w:shd w:val="clear" w:color="auto" w:fill="FFFFFF"/>
          </w:tcPr>
          <w:p w14:paraId="26F36116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 w:right="140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35%</w:t>
            </w:r>
          </w:p>
        </w:tc>
      </w:tr>
      <w:tr w:rsidR="00BB7332" w:rsidRPr="00FC6DE2" w14:paraId="17704F4F" w14:textId="77777777" w:rsidTr="00886E7D">
        <w:trPr>
          <w:trHeight w:hRule="exact" w:val="1422"/>
          <w:jc w:val="center"/>
        </w:trPr>
        <w:tc>
          <w:tcPr>
            <w:tcW w:w="240" w:type="pct"/>
            <w:shd w:val="clear" w:color="auto" w:fill="FFFFFF"/>
          </w:tcPr>
          <w:p w14:paraId="73964C97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14</w:t>
            </w:r>
          </w:p>
        </w:tc>
        <w:tc>
          <w:tcPr>
            <w:tcW w:w="1713" w:type="pct"/>
            <w:shd w:val="clear" w:color="auto" w:fill="FFFFFF"/>
          </w:tcPr>
          <w:p w14:paraId="68052860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Liczba polskich technologii środowiskowych zweryfikowanych w ramach systemu ETV (Program Weryfikacji Technologii Środowiskowych Unii Europejskiej)</w:t>
            </w:r>
          </w:p>
        </w:tc>
        <w:tc>
          <w:tcPr>
            <w:tcW w:w="1014" w:type="pct"/>
            <w:shd w:val="clear" w:color="auto" w:fill="FFFFFF"/>
          </w:tcPr>
          <w:p w14:paraId="28EADDE4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7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0</w:t>
            </w:r>
          </w:p>
        </w:tc>
        <w:tc>
          <w:tcPr>
            <w:tcW w:w="1091" w:type="pct"/>
            <w:shd w:val="clear" w:color="auto" w:fill="FFC000"/>
          </w:tcPr>
          <w:p w14:paraId="554F46B3" w14:textId="5C6D7CC5" w:rsidR="00BB7332" w:rsidRPr="00FC6DE2" w:rsidRDefault="0066703F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2 [2017</w:t>
            </w:r>
            <w:r w:rsidR="00BB7332" w:rsidRPr="00FC6DE2">
              <w:rPr>
                <w:sz w:val="20"/>
                <w:szCs w:val="20"/>
                <w:lang w:bidi="pl-PL"/>
              </w:rPr>
              <w:t>]</w:t>
            </w:r>
          </w:p>
        </w:tc>
        <w:tc>
          <w:tcPr>
            <w:tcW w:w="942" w:type="pct"/>
            <w:shd w:val="clear" w:color="auto" w:fill="FFFFFF"/>
          </w:tcPr>
          <w:p w14:paraId="5D5816D2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 w:right="140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20</w:t>
            </w:r>
          </w:p>
        </w:tc>
      </w:tr>
      <w:tr w:rsidR="00BB7332" w:rsidRPr="00FC6DE2" w14:paraId="5A2669C5" w14:textId="77777777" w:rsidTr="00886E7D">
        <w:trPr>
          <w:trHeight w:hRule="exact" w:val="577"/>
          <w:jc w:val="center"/>
        </w:trPr>
        <w:tc>
          <w:tcPr>
            <w:tcW w:w="240" w:type="pct"/>
            <w:shd w:val="clear" w:color="auto" w:fill="FFFFFF"/>
          </w:tcPr>
          <w:p w14:paraId="4A9F3515" w14:textId="77777777" w:rsidR="00BB7332" w:rsidRPr="00FC6DE2" w:rsidRDefault="00BB7332" w:rsidP="00886E7D">
            <w:pPr>
              <w:tabs>
                <w:tab w:val="left" w:pos="2816"/>
              </w:tabs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15</w:t>
            </w:r>
          </w:p>
        </w:tc>
        <w:tc>
          <w:tcPr>
            <w:tcW w:w="1713" w:type="pct"/>
            <w:shd w:val="clear" w:color="auto" w:fill="FFFFFF"/>
          </w:tcPr>
          <w:p w14:paraId="58C446FC" w14:textId="77777777" w:rsidR="00BB7332" w:rsidRPr="00FC6DE2" w:rsidRDefault="00BB7332" w:rsidP="00886E7D">
            <w:pPr>
              <w:tabs>
                <w:tab w:val="left" w:pos="2816"/>
              </w:tabs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Odsetek zielonych zamówień publicznych</w:t>
            </w:r>
          </w:p>
        </w:tc>
        <w:tc>
          <w:tcPr>
            <w:tcW w:w="1014" w:type="pct"/>
            <w:shd w:val="clear" w:color="auto" w:fill="FFFFFF"/>
          </w:tcPr>
          <w:p w14:paraId="7CE42203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7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9%</w:t>
            </w:r>
          </w:p>
        </w:tc>
        <w:tc>
          <w:tcPr>
            <w:tcW w:w="1091" w:type="pct"/>
            <w:shd w:val="clear" w:color="auto" w:fill="FFC000"/>
          </w:tcPr>
          <w:p w14:paraId="56F9BF94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-8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9% [2014]</w:t>
            </w:r>
          </w:p>
        </w:tc>
        <w:tc>
          <w:tcPr>
            <w:tcW w:w="942" w:type="pct"/>
            <w:shd w:val="clear" w:color="auto" w:fill="FFFFFF"/>
          </w:tcPr>
          <w:p w14:paraId="46377F96" w14:textId="77777777" w:rsidR="00BB7332" w:rsidRPr="00FC6DE2" w:rsidRDefault="00BB7332" w:rsidP="00886E7D">
            <w:pPr>
              <w:pStyle w:val="Akapitzlist"/>
              <w:tabs>
                <w:tab w:val="left" w:pos="2816"/>
              </w:tabs>
              <w:ind w:left="0" w:right="140"/>
              <w:jc w:val="center"/>
              <w:rPr>
                <w:sz w:val="20"/>
                <w:szCs w:val="20"/>
                <w:lang w:bidi="pl-PL"/>
              </w:rPr>
            </w:pPr>
            <w:r w:rsidRPr="00FC6DE2">
              <w:rPr>
                <w:sz w:val="20"/>
                <w:szCs w:val="20"/>
                <w:lang w:bidi="pl-PL"/>
              </w:rPr>
              <w:t>25%</w:t>
            </w:r>
          </w:p>
        </w:tc>
      </w:tr>
    </w:tbl>
    <w:p w14:paraId="0EB480F6" w14:textId="77777777" w:rsidR="00BB7332" w:rsidRDefault="00BB7332" w:rsidP="00BB7332">
      <w:pPr>
        <w:pStyle w:val="Akapitzlist"/>
        <w:tabs>
          <w:tab w:val="left" w:pos="2816"/>
        </w:tabs>
        <w:jc w:val="both"/>
        <w:rPr>
          <w:sz w:val="20"/>
          <w:szCs w:val="20"/>
        </w:rPr>
      </w:pPr>
    </w:p>
    <w:p w14:paraId="3DC42167" w14:textId="77777777" w:rsidR="00BB7332" w:rsidRDefault="00BB7332" w:rsidP="00BB7332">
      <w:pPr>
        <w:pStyle w:val="Akapitzlist"/>
        <w:tabs>
          <w:tab w:val="left" w:pos="2816"/>
        </w:tabs>
        <w:ind w:hanging="720"/>
        <w:jc w:val="both"/>
      </w:pPr>
      <w:r w:rsidRPr="00FF6B50">
        <w:rPr>
          <w:sz w:val="20"/>
          <w:szCs w:val="20"/>
        </w:rPr>
        <w:t>Legenda: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BB7332" w:rsidRPr="00FC6DE2" w14:paraId="1126A84F" w14:textId="77777777" w:rsidTr="00886E7D">
        <w:tc>
          <w:tcPr>
            <w:tcW w:w="7054" w:type="dxa"/>
            <w:shd w:val="clear" w:color="auto" w:fill="92D050"/>
          </w:tcPr>
          <w:p w14:paraId="28424390" w14:textId="77777777" w:rsidR="00BB7332" w:rsidRPr="00FC6DE2" w:rsidRDefault="00BB7332" w:rsidP="00886E7D">
            <w:pPr>
              <w:tabs>
                <w:tab w:val="left" w:pos="2816"/>
              </w:tabs>
              <w:spacing w:after="0" w:line="240" w:lineRule="auto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</w:rPr>
              <w:t>Osiągnięta wartość docelowa na 2020 r.</w:t>
            </w:r>
          </w:p>
        </w:tc>
      </w:tr>
      <w:tr w:rsidR="00BB7332" w:rsidRPr="00FC6DE2" w14:paraId="7006E396" w14:textId="77777777" w:rsidTr="00886E7D">
        <w:tc>
          <w:tcPr>
            <w:tcW w:w="7054" w:type="dxa"/>
            <w:shd w:val="clear" w:color="auto" w:fill="FF0000"/>
          </w:tcPr>
          <w:p w14:paraId="13138CA2" w14:textId="77777777" w:rsidR="00BB7332" w:rsidRPr="00FC6DE2" w:rsidRDefault="00BB7332" w:rsidP="00886E7D">
            <w:pPr>
              <w:tabs>
                <w:tab w:val="left" w:pos="2816"/>
              </w:tabs>
              <w:spacing w:after="0" w:line="240" w:lineRule="auto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</w:rPr>
              <w:t xml:space="preserve">Negatywny trend zmiany wartości wskaźnika </w:t>
            </w:r>
          </w:p>
        </w:tc>
      </w:tr>
      <w:tr w:rsidR="00BB7332" w:rsidRPr="00FC6DE2" w14:paraId="22CA0F8D" w14:textId="77777777" w:rsidTr="00886E7D">
        <w:tc>
          <w:tcPr>
            <w:tcW w:w="7054" w:type="dxa"/>
            <w:shd w:val="clear" w:color="auto" w:fill="FFC000"/>
          </w:tcPr>
          <w:p w14:paraId="5355EF4C" w14:textId="77777777" w:rsidR="00BB7332" w:rsidRPr="00FC6DE2" w:rsidRDefault="00BB7332" w:rsidP="00886E7D">
            <w:pPr>
              <w:tabs>
                <w:tab w:val="left" w:pos="2816"/>
              </w:tabs>
              <w:spacing w:after="0" w:line="240" w:lineRule="auto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</w:rPr>
              <w:t>Zagrożone osiągnięcie wskaźnika w roku 2020</w:t>
            </w:r>
          </w:p>
        </w:tc>
      </w:tr>
      <w:tr w:rsidR="00BB7332" w:rsidRPr="00FC6DE2" w14:paraId="2E20677B" w14:textId="77777777" w:rsidTr="00886E7D">
        <w:tc>
          <w:tcPr>
            <w:tcW w:w="7054" w:type="dxa"/>
            <w:shd w:val="clear" w:color="auto" w:fill="auto"/>
          </w:tcPr>
          <w:p w14:paraId="3CC35F00" w14:textId="77777777" w:rsidR="00BB7332" w:rsidRPr="00FC6DE2" w:rsidRDefault="00BB7332" w:rsidP="00886E7D">
            <w:pPr>
              <w:tabs>
                <w:tab w:val="left" w:pos="2816"/>
              </w:tabs>
              <w:spacing w:after="0" w:line="240" w:lineRule="auto"/>
              <w:rPr>
                <w:sz w:val="20"/>
                <w:szCs w:val="20"/>
              </w:rPr>
            </w:pPr>
            <w:r w:rsidRPr="00FC6DE2">
              <w:rPr>
                <w:sz w:val="20"/>
                <w:szCs w:val="20"/>
              </w:rPr>
              <w:t>Pozytywny trend zmiany wartości wskaźnika albo brak zmiany wartości wskaźnika</w:t>
            </w:r>
          </w:p>
        </w:tc>
      </w:tr>
    </w:tbl>
    <w:p w14:paraId="2C2EA36A" w14:textId="77777777" w:rsidR="00BB7332" w:rsidRDefault="00BB7332" w:rsidP="00BB7332">
      <w:pPr>
        <w:tabs>
          <w:tab w:val="left" w:pos="2816"/>
        </w:tabs>
        <w:jc w:val="both"/>
        <w:rPr>
          <w:sz w:val="20"/>
          <w:szCs w:val="20"/>
        </w:rPr>
      </w:pPr>
    </w:p>
    <w:p w14:paraId="143FE929" w14:textId="77777777" w:rsidR="00BB7332" w:rsidRPr="005E01A9" w:rsidRDefault="00BB7332" w:rsidP="00BB7332">
      <w:pPr>
        <w:tabs>
          <w:tab w:val="left" w:pos="2816"/>
        </w:tabs>
        <w:jc w:val="both"/>
        <w:rPr>
          <w:b/>
          <w:i/>
        </w:rPr>
      </w:pPr>
      <w:r w:rsidRPr="005E01A9">
        <w:rPr>
          <w:b/>
          <w:i/>
        </w:rPr>
        <w:lastRenderedPageBreak/>
        <w:t>Zużycie wody</w:t>
      </w:r>
    </w:p>
    <w:p w14:paraId="72E08097" w14:textId="77777777" w:rsidR="00BB7332" w:rsidRPr="005E01A9" w:rsidRDefault="00BB7332" w:rsidP="00BB7332">
      <w:pPr>
        <w:tabs>
          <w:tab w:val="left" w:pos="2816"/>
        </w:tabs>
        <w:jc w:val="both"/>
      </w:pPr>
      <w:r w:rsidRPr="005E01A9">
        <w:t>Zużycie wody na potrzeby gospodarki narodowej i ludności ogółem obejmuje zużycie wody na potrzeby przemysłu, na cele rolnicze, leśne, do napełniania</w:t>
      </w:r>
      <w:r>
        <w:t xml:space="preserve"> i uzupełniania</w:t>
      </w:r>
      <w:r w:rsidRPr="005E01A9">
        <w:t xml:space="preserve"> stawów rybnych</w:t>
      </w:r>
      <w:r>
        <w:t>,</w:t>
      </w:r>
      <w:r w:rsidRPr="005E01A9">
        <w:t xml:space="preserve"> na cele eksploatacyjne sieci wodociągowej</w:t>
      </w:r>
      <w:r>
        <w:t xml:space="preserve"> oraz</w:t>
      </w:r>
      <w:r w:rsidRPr="00876888">
        <w:t xml:space="preserve"> na potrzeby indywidualnych gospodarstw</w:t>
      </w:r>
      <w:r>
        <w:t xml:space="preserve"> domowych</w:t>
      </w:r>
      <w:r w:rsidRPr="005E01A9">
        <w:t xml:space="preserve">. Zużycie to wyniosło w </w:t>
      </w:r>
      <w:r>
        <w:t>2017</w:t>
      </w:r>
      <w:r w:rsidRPr="005E01A9">
        <w:t xml:space="preserve"> r. </w:t>
      </w:r>
      <w:r>
        <w:t>9656,3</w:t>
      </w:r>
      <w:r w:rsidRPr="00A25F39">
        <w:t xml:space="preserve"> </w:t>
      </w:r>
      <w:r w:rsidRPr="005E01A9">
        <w:t xml:space="preserve"> hm</w:t>
      </w:r>
      <w:r w:rsidRPr="005E01A9">
        <w:rPr>
          <w:vertAlign w:val="superscript"/>
        </w:rPr>
        <w:t>3</w:t>
      </w:r>
      <w:r w:rsidRPr="005E01A9">
        <w:t xml:space="preserve">, a więc </w:t>
      </w:r>
      <w:r>
        <w:t>poniżej</w:t>
      </w:r>
      <w:r w:rsidRPr="005E01A9">
        <w:t xml:space="preserve"> wartości docelowej dla roku 2020 (10100 hm</w:t>
      </w:r>
      <w:r w:rsidRPr="005E01A9">
        <w:rPr>
          <w:vertAlign w:val="superscript"/>
        </w:rPr>
        <w:t>3</w:t>
      </w:r>
      <w:r w:rsidRPr="005E01A9">
        <w:t>). Trend na przestrzeni lat 2010–201</w:t>
      </w:r>
      <w:r>
        <w:t>7</w:t>
      </w:r>
      <w:r w:rsidRPr="005E01A9">
        <w:t xml:space="preserve">, mimo notowanego </w:t>
      </w:r>
      <w:r>
        <w:t>rozwoju</w:t>
      </w:r>
      <w:r w:rsidRPr="005E01A9">
        <w:t xml:space="preserve"> gospodarczego, był spadkowy.</w:t>
      </w:r>
    </w:p>
    <w:p w14:paraId="29B211A0" w14:textId="62A86434" w:rsidR="00BB7332" w:rsidRPr="005E01A9" w:rsidRDefault="00BB7332" w:rsidP="00BB7332">
      <w:pPr>
        <w:tabs>
          <w:tab w:val="left" w:pos="2816"/>
        </w:tabs>
        <w:jc w:val="both"/>
      </w:pPr>
      <w:r w:rsidRPr="005E01A9">
        <w:t xml:space="preserve">Wdrażając </w:t>
      </w:r>
      <w:r>
        <w:t>postanowienia</w:t>
      </w:r>
      <w:r w:rsidRPr="005E01A9">
        <w:t xml:space="preserve"> </w:t>
      </w:r>
      <w:proofErr w:type="spellStart"/>
      <w:r>
        <w:t>BEiŚ</w:t>
      </w:r>
      <w:proofErr w:type="spellEnd"/>
      <w:r w:rsidRPr="005E01A9">
        <w:t>, dążono do gospodarowania wodami zgodnie z zasadą „użytkownik płaci”. Podejmowane działania miały zachęcać użytkowników do oszczędzania wody. Racjonalizacja korzystania z wód oraz specjalna ochrona zasobów wód wysokiej jakości była postrzegana jako najbardziej efektywna metoda zapewnienia pełnego dostępu do wód dobrej jakości dla polskiego społeczeństwa.</w:t>
      </w:r>
      <w:r w:rsidR="00FB7944">
        <w:t xml:space="preserve"> Jednym z kluczowych instrumentów optymalizowania zużycia wody jest nowa ustawa – Prawo wodne, która została przyjęta w 2017 r.</w:t>
      </w:r>
    </w:p>
    <w:p w14:paraId="2F5AE8D7" w14:textId="33A7363A" w:rsidR="00BB7332" w:rsidRPr="00326DCF" w:rsidRDefault="001A0237" w:rsidP="00BB7332">
      <w:pPr>
        <w:pStyle w:val="Akapitzlist"/>
        <w:tabs>
          <w:tab w:val="left" w:pos="2816"/>
        </w:tabs>
        <w:ind w:left="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0D80E89" wp14:editId="171DE6E9">
            <wp:extent cx="5638800" cy="4543425"/>
            <wp:effectExtent l="0" t="0" r="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A33F0B" w14:textId="77777777" w:rsidR="00BB7332" w:rsidRPr="00BA550F" w:rsidRDefault="00BB7332" w:rsidP="00BB7332">
      <w:pPr>
        <w:pStyle w:val="Akapitzlist"/>
        <w:tabs>
          <w:tab w:val="left" w:pos="2816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Źródło: </w:t>
      </w:r>
      <w:r w:rsidRPr="00BA550F">
        <w:rPr>
          <w:i/>
          <w:sz w:val="20"/>
          <w:szCs w:val="20"/>
          <w:u w:val="single"/>
        </w:rPr>
        <w:t>Opracowanie własne na podstawie danych w bazie STRATEG</w:t>
      </w:r>
      <w:r>
        <w:rPr>
          <w:i/>
          <w:sz w:val="20"/>
          <w:szCs w:val="20"/>
          <w:u w:val="single"/>
        </w:rPr>
        <w:t>.</w:t>
      </w:r>
    </w:p>
    <w:p w14:paraId="60FE30B4" w14:textId="77777777" w:rsidR="00BB7332" w:rsidRPr="005E01A9" w:rsidRDefault="00BB7332" w:rsidP="00BB7332">
      <w:pPr>
        <w:jc w:val="both"/>
        <w:rPr>
          <w:b/>
          <w:i/>
        </w:rPr>
      </w:pPr>
      <w:r w:rsidRPr="005E01A9">
        <w:rPr>
          <w:b/>
          <w:i/>
        </w:rPr>
        <w:t>Oczyszczanie ścieków</w:t>
      </w:r>
    </w:p>
    <w:p w14:paraId="129F5B6F" w14:textId="1E2168F9" w:rsidR="00BB7332" w:rsidRDefault="00BB7332" w:rsidP="00BB7332">
      <w:pPr>
        <w:tabs>
          <w:tab w:val="left" w:pos="2816"/>
        </w:tabs>
        <w:jc w:val="both"/>
      </w:pPr>
      <w:r w:rsidRPr="005E01A9">
        <w:t xml:space="preserve">W </w:t>
      </w:r>
      <w:proofErr w:type="spellStart"/>
      <w:r>
        <w:t>BEiŚ</w:t>
      </w:r>
      <w:proofErr w:type="spellEnd"/>
      <w:r w:rsidRPr="005E01A9">
        <w:t xml:space="preserve"> oceniono, że dla poprawy jakości wód istotna jest rozbudowa infrastruktury oczyszczania ścieków. Na przestrzeni ostatnich lat dokonano znacznych inwestycji w tym zakresie. W efekcie, w latach 2010–201</w:t>
      </w:r>
      <w:r>
        <w:t>7</w:t>
      </w:r>
      <w:r w:rsidRPr="005E01A9">
        <w:t xml:space="preserve"> odsetek ludności korzystającej z oczyszczalni ścieków wzrósł o </w:t>
      </w:r>
      <w:r w:rsidR="00C80D7F">
        <w:t>8,9</w:t>
      </w:r>
      <w:r w:rsidRPr="005E01A9">
        <w:t xml:space="preserve"> punkt</w:t>
      </w:r>
      <w:r>
        <w:t>u</w:t>
      </w:r>
      <w:r w:rsidRPr="005E01A9">
        <w:t xml:space="preserve"> </w:t>
      </w:r>
      <w:r w:rsidRPr="005E01A9">
        <w:lastRenderedPageBreak/>
        <w:t xml:space="preserve">procentowego, tj. do poziomu </w:t>
      </w:r>
      <w:r>
        <w:t>73,6</w:t>
      </w:r>
      <w:r w:rsidRPr="005E01A9">
        <w:t xml:space="preserve">%. Wartość docelowa dla roku 2020 została osiągnięta już w roku 2014. </w:t>
      </w:r>
    </w:p>
    <w:p w14:paraId="3143B1C1" w14:textId="77777777" w:rsidR="0025038D" w:rsidRDefault="0025038D" w:rsidP="0025038D">
      <w:pPr>
        <w:tabs>
          <w:tab w:val="left" w:pos="2816"/>
        </w:tabs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F475C29" wp14:editId="68EF4F57">
            <wp:extent cx="5760720" cy="3763645"/>
            <wp:effectExtent l="0" t="0" r="11430" b="825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06F73B" w14:textId="77777777" w:rsidR="0025038D" w:rsidRPr="0042758F" w:rsidRDefault="0025038D" w:rsidP="0025038D">
      <w:pPr>
        <w:pStyle w:val="Akapitzlist"/>
        <w:tabs>
          <w:tab w:val="left" w:pos="2816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Źródło: </w:t>
      </w:r>
      <w:r w:rsidRPr="00603A16">
        <w:rPr>
          <w:i/>
          <w:sz w:val="20"/>
          <w:szCs w:val="20"/>
          <w:u w:val="single"/>
        </w:rPr>
        <w:t>Opracowanie własne na podstawie danych w bazie STRATEG</w:t>
      </w:r>
      <w:r>
        <w:rPr>
          <w:i/>
          <w:sz w:val="20"/>
          <w:szCs w:val="20"/>
          <w:u w:val="single"/>
        </w:rPr>
        <w:t>.</w:t>
      </w:r>
    </w:p>
    <w:p w14:paraId="06837656" w14:textId="01B89A20" w:rsidR="00BB7332" w:rsidRDefault="00BB7332" w:rsidP="0025038D">
      <w:pPr>
        <w:tabs>
          <w:tab w:val="left" w:pos="2816"/>
        </w:tabs>
        <w:jc w:val="both"/>
      </w:pPr>
      <w:r>
        <w:t xml:space="preserve">Długość sieci kanalizacyjnej w Polsce </w:t>
      </w:r>
      <w:r w:rsidR="000B65FE">
        <w:t>w 2017</w:t>
      </w:r>
      <w:r w:rsidRPr="009C731E">
        <w:t xml:space="preserve"> r. </w:t>
      </w:r>
      <w:r>
        <w:t xml:space="preserve">wyniosła </w:t>
      </w:r>
      <w:r w:rsidR="000B65FE">
        <w:t>156,8</w:t>
      </w:r>
      <w:r w:rsidRPr="009C731E">
        <w:t xml:space="preserve"> tys. km</w:t>
      </w:r>
      <w:r w:rsidR="000B65FE">
        <w:rPr>
          <w:rStyle w:val="Odwoanieprzypisudolnego"/>
        </w:rPr>
        <w:footnoteReference w:id="3"/>
      </w:r>
      <w:r w:rsidRPr="009C731E">
        <w:t xml:space="preserve">. W miastach z sieci korzystało </w:t>
      </w:r>
      <w:r w:rsidR="0025038D">
        <w:t>ok. 95</w:t>
      </w:r>
      <w:r w:rsidRPr="009C731E">
        <w:t>% ludnośc</w:t>
      </w:r>
      <w:r w:rsidR="0025038D">
        <w:t>i, a na obszarach wiejskich 42</w:t>
      </w:r>
      <w:r w:rsidRPr="009C731E">
        <w:t xml:space="preserve">%. </w:t>
      </w:r>
      <w:r w:rsidR="0025038D">
        <w:t>Na ogólną liczbę 923 miast w Polsce w 2017 r. 2 miasta nie były obsługiwane przez oczyszczalnie ścieków</w:t>
      </w:r>
      <w:r w:rsidR="0025038D">
        <w:rPr>
          <w:rStyle w:val="Odwoanieprzypisudolnego"/>
        </w:rPr>
        <w:footnoteReference w:id="4"/>
      </w:r>
      <w:r w:rsidR="0025038D">
        <w:t xml:space="preserve">. </w:t>
      </w:r>
      <w:r w:rsidRPr="009C731E">
        <w:t>W obszarach wiejskich o</w:t>
      </w:r>
      <w:r>
        <w:t xml:space="preserve"> niskiej gęstości zaludnienia i </w:t>
      </w:r>
      <w:r w:rsidRPr="009C731E">
        <w:t xml:space="preserve">rozwijającej się infrastrukturze turystycznej </w:t>
      </w:r>
      <w:r>
        <w:t xml:space="preserve">nadal </w:t>
      </w:r>
      <w:r w:rsidRPr="009C731E">
        <w:t>brakuje l</w:t>
      </w:r>
      <w:r>
        <w:t>okalnych systemów kanalizacji i </w:t>
      </w:r>
      <w:r w:rsidRPr="009C731E">
        <w:t>oczyszczania ścieków.</w:t>
      </w:r>
    </w:p>
    <w:p w14:paraId="4A2A739D" w14:textId="063893F3" w:rsidR="0025038D" w:rsidRDefault="0025038D" w:rsidP="0025038D">
      <w:pPr>
        <w:tabs>
          <w:tab w:val="left" w:pos="2816"/>
        </w:tabs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43907851" wp14:editId="10F8422F">
            <wp:extent cx="5734050" cy="3923297"/>
            <wp:effectExtent l="0" t="0" r="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471" t="18820" r="15840" b="8547"/>
                    <a:stretch/>
                  </pic:blipFill>
                  <pic:spPr bwMode="auto">
                    <a:xfrm>
                      <a:off x="0" y="0"/>
                      <a:ext cx="5745338" cy="3931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39FFE" w14:textId="3038D054" w:rsidR="0025038D" w:rsidRPr="0042758F" w:rsidRDefault="0025038D" w:rsidP="0025038D">
      <w:pPr>
        <w:pStyle w:val="Akapitzlist"/>
        <w:tabs>
          <w:tab w:val="left" w:pos="2816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Źródło: „</w:t>
      </w:r>
      <w:r w:rsidRPr="0025038D">
        <w:rPr>
          <w:i/>
          <w:sz w:val="20"/>
          <w:szCs w:val="20"/>
          <w:u w:val="single"/>
        </w:rPr>
        <w:t>Ochrona środowiska 2018</w:t>
      </w:r>
      <w:r>
        <w:rPr>
          <w:i/>
          <w:sz w:val="20"/>
          <w:szCs w:val="20"/>
          <w:u w:val="single"/>
        </w:rPr>
        <w:t>”,</w:t>
      </w:r>
      <w:r w:rsidRPr="0025038D">
        <w:rPr>
          <w:i/>
          <w:sz w:val="20"/>
          <w:szCs w:val="20"/>
          <w:u w:val="single"/>
        </w:rPr>
        <w:t xml:space="preserve"> Głó</w:t>
      </w:r>
      <w:r>
        <w:rPr>
          <w:i/>
          <w:sz w:val="20"/>
          <w:szCs w:val="20"/>
          <w:u w:val="single"/>
        </w:rPr>
        <w:t>wny Urząd Statystyczny, s. 66.</w:t>
      </w:r>
    </w:p>
    <w:p w14:paraId="7C5F7FE1" w14:textId="77777777" w:rsidR="00BB7332" w:rsidRPr="005E01A9" w:rsidRDefault="00BB7332" w:rsidP="00BB7332">
      <w:pPr>
        <w:tabs>
          <w:tab w:val="left" w:pos="2816"/>
        </w:tabs>
        <w:jc w:val="both"/>
      </w:pPr>
      <w:r w:rsidRPr="005E01A9">
        <w:t xml:space="preserve">Mimo osiągnięcia wskaźnika dotyczącego odsetka osób korzystających z oczyszczalni ścieków, nie przekłada się to na osiągnięcie celu </w:t>
      </w:r>
      <w:proofErr w:type="spellStart"/>
      <w:r>
        <w:t>BEiŚ</w:t>
      </w:r>
      <w:proofErr w:type="spellEnd"/>
      <w:r w:rsidRPr="005E01A9">
        <w:t xml:space="preserve">, jakim jest poprawa stanu jednolitych części wód. Ma to związek przede wszystkim z czasem potrzebnym na reakcję środowiska wodnego oraz z istnieniem innych źródeł zanieczyszczeń, zwłaszcza źródeł rolniczych. </w:t>
      </w:r>
      <w:r w:rsidRPr="005D73BA">
        <w:t>Z tego powodu 5 czerwca 2018 r. Rada Ministrów przyjęła rozp</w:t>
      </w:r>
      <w:r>
        <w:t xml:space="preserve">orządzenie w sprawie przyjęcia </w:t>
      </w:r>
      <w:r w:rsidRPr="00886E7D">
        <w:rPr>
          <w:i/>
        </w:rPr>
        <w:t>Programu działań mających na celu zmniejszenie zanieczyszczenia wód azotanami pochodzącymi ze źródeł rolniczych oraz zapobieganie dalszemu zanieczyszczeniu</w:t>
      </w:r>
      <w:r>
        <w:rPr>
          <w:rStyle w:val="Odwoanieprzypisudolnego"/>
        </w:rPr>
        <w:footnoteReference w:id="5"/>
      </w:r>
      <w:r w:rsidRPr="005D73BA">
        <w:t xml:space="preserve">. Prawidłowa realizacja wymogów </w:t>
      </w:r>
      <w:r w:rsidRPr="00886E7D">
        <w:rPr>
          <w:i/>
        </w:rPr>
        <w:t>Programu działań</w:t>
      </w:r>
      <w:r w:rsidRPr="005D73BA">
        <w:t xml:space="preserve"> </w:t>
      </w:r>
      <w:r>
        <w:t xml:space="preserve">ma </w:t>
      </w:r>
      <w:r w:rsidRPr="005D73BA">
        <w:t>przyczyni</w:t>
      </w:r>
      <w:r>
        <w:t>ć</w:t>
      </w:r>
      <w:r w:rsidRPr="005D73BA">
        <w:t xml:space="preserve"> się do zmniejszenia udziału rolnictwa w ilości ładunków azotu odprowadzanego do wód.</w:t>
      </w:r>
    </w:p>
    <w:p w14:paraId="164FD15B" w14:textId="64EDFDFC" w:rsidR="00BB7332" w:rsidRPr="005E01A9" w:rsidRDefault="00BB7332" w:rsidP="00BB7332">
      <w:pPr>
        <w:tabs>
          <w:tab w:val="left" w:pos="2816"/>
        </w:tabs>
        <w:jc w:val="both"/>
      </w:pPr>
      <w:r w:rsidRPr="005E01A9">
        <w:t>Obsługa mieszkańców przez oczyszczalnie ścieków jest najpowszechniejsza w województwach: pomorskim</w:t>
      </w:r>
      <w:r>
        <w:t>,</w:t>
      </w:r>
      <w:r w:rsidR="002361E9">
        <w:t xml:space="preserve"> </w:t>
      </w:r>
      <w:r w:rsidR="002361E9" w:rsidRPr="005E01A9">
        <w:t>zachodniopomorskim,</w:t>
      </w:r>
      <w:r w:rsidRPr="005E01A9">
        <w:t> </w:t>
      </w:r>
      <w:r>
        <w:t>dolnośląskim</w:t>
      </w:r>
      <w:r w:rsidR="002361E9">
        <w:t xml:space="preserve"> i śląskim</w:t>
      </w:r>
      <w:r w:rsidRPr="005E01A9">
        <w:t xml:space="preserve"> – wskaźnik osiąga tam wartość powyżej 80%. Najmniejszy odsetek ludności korzystającej z oczyszczalni ścieków znajduje się w woj. lubelskim i wynosi poniżej 60%. Wyraźne zróżnicowanie odsetka ludności obsługiwanej przez oczyszczalnie ścieków jest widoczne zarówno na poziomie województw, jak i powiatów, co sugerować może konieczność skupienia działań w przyszłości na wybranych jednostkach samorządu terytorialnego.</w:t>
      </w:r>
      <w:r>
        <w:t xml:space="preserve"> </w:t>
      </w:r>
      <w:r w:rsidRPr="006B2943">
        <w:t>Zastosowana technologia powinna być efektywna ekonomicznie</w:t>
      </w:r>
      <w:r>
        <w:t>,</w:t>
      </w:r>
      <w:r w:rsidRPr="006B2943">
        <w:t xml:space="preserve"> czemu sprzyja budowa przy lokalnych oczyszczalniach instalacji biogazowych, co dodatkowo wpływa pozytywnie na poprawę bezpieczeństwa energetycznego danego obszaru.</w:t>
      </w:r>
    </w:p>
    <w:p w14:paraId="0F1F44A9" w14:textId="77777777" w:rsidR="00BB7332" w:rsidRPr="00326DCF" w:rsidRDefault="00BB7332" w:rsidP="00BB7332">
      <w:pPr>
        <w:pStyle w:val="Akapitzlist"/>
        <w:tabs>
          <w:tab w:val="left" w:pos="2816"/>
        </w:tabs>
        <w:ind w:left="0"/>
        <w:jc w:val="center"/>
        <w:rPr>
          <w:sz w:val="28"/>
          <w:szCs w:val="28"/>
        </w:rPr>
      </w:pPr>
      <w:r w:rsidRPr="00FC6DE2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4BDFD797" wp14:editId="7CCE9FE0">
            <wp:extent cx="5753100" cy="3143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9CE81" w14:textId="77777777" w:rsidR="00BB7332" w:rsidRPr="00603A16" w:rsidRDefault="00BB7332" w:rsidP="00BB7332">
      <w:pPr>
        <w:pStyle w:val="Akapitzlist"/>
        <w:tabs>
          <w:tab w:val="left" w:pos="2816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Źródło: </w:t>
      </w:r>
      <w:r w:rsidRPr="00603A16">
        <w:rPr>
          <w:i/>
          <w:sz w:val="20"/>
          <w:szCs w:val="20"/>
          <w:u w:val="single"/>
        </w:rPr>
        <w:t>Opracowanie własne na podstawie danych w bazie STRATEG</w:t>
      </w:r>
      <w:r>
        <w:rPr>
          <w:i/>
          <w:sz w:val="20"/>
          <w:szCs w:val="20"/>
          <w:u w:val="single"/>
        </w:rPr>
        <w:t>.</w:t>
      </w:r>
    </w:p>
    <w:p w14:paraId="5093ECCD" w14:textId="77777777" w:rsidR="00BB7332" w:rsidRPr="00326DCF" w:rsidRDefault="00BB7332" w:rsidP="00BB7332">
      <w:pPr>
        <w:pStyle w:val="Akapitzlist"/>
        <w:tabs>
          <w:tab w:val="left" w:pos="2816"/>
        </w:tabs>
        <w:rPr>
          <w:b/>
          <w:sz w:val="28"/>
          <w:szCs w:val="28"/>
          <w:u w:val="single"/>
        </w:rPr>
      </w:pPr>
    </w:p>
    <w:p w14:paraId="55F04851" w14:textId="77777777" w:rsidR="00BB7332" w:rsidRPr="005E01A9" w:rsidRDefault="00BB7332" w:rsidP="00BB7332">
      <w:pPr>
        <w:jc w:val="both"/>
        <w:rPr>
          <w:b/>
          <w:i/>
        </w:rPr>
      </w:pPr>
      <w:r w:rsidRPr="005E01A9">
        <w:rPr>
          <w:b/>
          <w:i/>
        </w:rPr>
        <w:t>Gospodarka odpadami</w:t>
      </w:r>
    </w:p>
    <w:p w14:paraId="7E132F14" w14:textId="77777777" w:rsidR="00BB7332" w:rsidRDefault="00BB7332" w:rsidP="00BB7332">
      <w:pPr>
        <w:tabs>
          <w:tab w:val="left" w:pos="2816"/>
        </w:tabs>
        <w:jc w:val="both"/>
      </w:pPr>
      <w:r w:rsidRPr="005E01A9">
        <w:t xml:space="preserve">Gospodarkę odpadami uznano w </w:t>
      </w:r>
      <w:proofErr w:type="spellStart"/>
      <w:r>
        <w:t>BEiŚ</w:t>
      </w:r>
      <w:proofErr w:type="spellEnd"/>
      <w:r w:rsidRPr="005E01A9">
        <w:t xml:space="preserve"> za jeden z najtrudniejszych obszarów ochrony środowiska. Podejmowano działania na rzecz stopniowego przechodzenia z systemu polegającego na składowaniu odpadów na system wspierający przetworzenie i odzysk surowców oraz energetyczne wykorzystanie odpadów. Zgodnie z dyrektywą ramową o odpadach do 2020 r. co najmniej 50% czterech frakcji odpadów komunalnych – papier, szkło, metale i tworzywa sztuczne – powinno zostać przygotowane do ponownego użycia i poddane recyklingowi. Na przestrzeni lat 2012–2016 wskaźnik ten wzrósł z 18 do 28%. Rok 2014 był pierwszym pełnym rokiem obowiązywania wprowadzonej nowelizacji ustawy o</w:t>
      </w:r>
      <w:r>
        <w:t> </w:t>
      </w:r>
      <w:r w:rsidRPr="005E01A9">
        <w:t xml:space="preserve">utrzymaniu czystości i porządku w gminach. Dotychczasowa szybkość przyrostu wartości wskaźnika nie gwarantuje osiągnięcia w 2020 r. wartości docelowej, m.in. ze względu na zbyt niski udział selektywnie zebranych odpadów komunalnych w całym strumieniu tych odpadów. </w:t>
      </w:r>
      <w:r w:rsidRPr="00C62D94">
        <w:t>Należy jednocześnie zwrócić uwagę na to, że iloś</w:t>
      </w:r>
      <w:r>
        <w:t>ć</w:t>
      </w:r>
      <w:r w:rsidRPr="00C62D94">
        <w:t xml:space="preserve"> odpadów poddawanych recyklingowi ma sukcesywnie wzrastać w kolejnych latach.</w:t>
      </w:r>
    </w:p>
    <w:p w14:paraId="4102026F" w14:textId="1941370A" w:rsidR="00BB7332" w:rsidRDefault="002D516B" w:rsidP="00BB7332">
      <w:pPr>
        <w:tabs>
          <w:tab w:val="left" w:pos="2816"/>
        </w:tabs>
        <w:jc w:val="both"/>
      </w:pPr>
      <w:r>
        <w:t>Zintensyfikowano</w:t>
      </w:r>
      <w:r w:rsidR="00BB7332">
        <w:t xml:space="preserve"> </w:t>
      </w:r>
      <w:r w:rsidR="00BB7332" w:rsidRPr="005E01A9">
        <w:t>działa</w:t>
      </w:r>
      <w:r w:rsidR="00BB7332">
        <w:t>nia</w:t>
      </w:r>
      <w:r w:rsidR="00BB7332" w:rsidRPr="005E01A9">
        <w:t xml:space="preserve"> mając</w:t>
      </w:r>
      <w:r w:rsidR="00BB7332">
        <w:t>e</w:t>
      </w:r>
      <w:r w:rsidR="00BB7332" w:rsidRPr="005E01A9">
        <w:t xml:space="preserve"> na celu osiągnięcie wymaganych poziomów.</w:t>
      </w:r>
      <w:r w:rsidR="00BB7332">
        <w:t xml:space="preserve"> Wśród podjętych działań należy wymienić m.in: </w:t>
      </w:r>
    </w:p>
    <w:p w14:paraId="05243305" w14:textId="77777777" w:rsidR="00BB7332" w:rsidRDefault="00BB7332" w:rsidP="00BB7332">
      <w:pPr>
        <w:pStyle w:val="Akapitzlist"/>
        <w:numPr>
          <w:ilvl w:val="0"/>
          <w:numId w:val="3"/>
        </w:numPr>
        <w:tabs>
          <w:tab w:val="left" w:pos="1418"/>
        </w:tabs>
        <w:jc w:val="both"/>
      </w:pPr>
      <w:r>
        <w:t xml:space="preserve">wydanie rozporządzenia </w:t>
      </w:r>
      <w:r w:rsidRPr="004E7C7F">
        <w:t>w sprawie szczegółowego sposobu selektywnego zbierania wybranych frakcji odpadów</w:t>
      </w:r>
      <w:r>
        <w:rPr>
          <w:rStyle w:val="Odwoanieprzypisudolnego"/>
        </w:rPr>
        <w:footnoteReference w:id="6"/>
      </w:r>
      <w:r>
        <w:t xml:space="preserve">, które </w:t>
      </w:r>
      <w:r w:rsidRPr="004E7C7F">
        <w:t>wprowadza jednolite standardy selektywnego zbierania odpadów komunalnych w całym kraju</w:t>
      </w:r>
      <w:r>
        <w:t>,</w:t>
      </w:r>
    </w:p>
    <w:p w14:paraId="58C6005C" w14:textId="77777777" w:rsidR="00BB7332" w:rsidRDefault="00BB7332" w:rsidP="00BB7332">
      <w:pPr>
        <w:pStyle w:val="Akapitzlist"/>
        <w:numPr>
          <w:ilvl w:val="0"/>
          <w:numId w:val="3"/>
        </w:numPr>
        <w:tabs>
          <w:tab w:val="left" w:pos="1418"/>
        </w:tabs>
        <w:jc w:val="both"/>
      </w:pPr>
      <w:r>
        <w:lastRenderedPageBreak/>
        <w:t>w</w:t>
      </w:r>
      <w:r w:rsidRPr="004E7C7F">
        <w:t>ydan</w:t>
      </w:r>
      <w:r>
        <w:t>i</w:t>
      </w:r>
      <w:r w:rsidRPr="004E7C7F">
        <w:t xml:space="preserve">e </w:t>
      </w:r>
      <w:r>
        <w:t xml:space="preserve">nowelizacji </w:t>
      </w:r>
      <w:r w:rsidRPr="004E7C7F">
        <w:t>rozporządzeni</w:t>
      </w:r>
      <w:r>
        <w:t xml:space="preserve">a </w:t>
      </w:r>
      <w:r w:rsidRPr="004E7C7F">
        <w:t>w sprawie opłat za korzystanie ze środowiska</w:t>
      </w:r>
      <w:r>
        <w:rPr>
          <w:rStyle w:val="Odwoanieprzypisudolnego"/>
        </w:rPr>
        <w:footnoteReference w:id="7"/>
      </w:r>
      <w:r w:rsidRPr="004E7C7F">
        <w:t xml:space="preserve">, </w:t>
      </w:r>
      <w:r>
        <w:t>przewidujące</w:t>
      </w:r>
      <w:r w:rsidRPr="004E7C7F">
        <w:t xml:space="preserve"> podwyższenie opłat za składowanie odpadów, które powinny być poddane recyklingowi</w:t>
      </w:r>
      <w:r>
        <w:t>,</w:t>
      </w:r>
    </w:p>
    <w:p w14:paraId="3F08B671" w14:textId="77777777" w:rsidR="00BB7332" w:rsidRDefault="00BB7332" w:rsidP="00BB7332">
      <w:pPr>
        <w:pStyle w:val="Akapitzlist"/>
        <w:numPr>
          <w:ilvl w:val="0"/>
          <w:numId w:val="3"/>
        </w:numPr>
        <w:tabs>
          <w:tab w:val="left" w:pos="1418"/>
        </w:tabs>
        <w:jc w:val="both"/>
      </w:pPr>
      <w:r>
        <w:t>wprowadzenie obowiąz</w:t>
      </w:r>
      <w:r w:rsidRPr="004E7C7F">
        <w:t>k</w:t>
      </w:r>
      <w:r>
        <w:t>u</w:t>
      </w:r>
      <w:r>
        <w:rPr>
          <w:rStyle w:val="Odwoanieprzypisudolnego"/>
        </w:rPr>
        <w:footnoteReference w:id="8"/>
      </w:r>
      <w:r w:rsidRPr="004E7C7F">
        <w:t xml:space="preserve"> sporządzania sprawozdań </w:t>
      </w:r>
      <w:r>
        <w:t>przez podmioty, które</w:t>
      </w:r>
      <w:r w:rsidRPr="004E7C7F">
        <w:t xml:space="preserve"> zbierają odpady komunalne, stanowiące frakcje odpadów komunalnych: papieru, metali, tworzyw sztucznych i szkła</w:t>
      </w:r>
      <w:r>
        <w:t xml:space="preserve">, co daje możliwość </w:t>
      </w:r>
      <w:r w:rsidRPr="004E7C7F">
        <w:t>wliczani</w:t>
      </w:r>
      <w:r>
        <w:t>a</w:t>
      </w:r>
      <w:r w:rsidRPr="004E7C7F">
        <w:t xml:space="preserve"> tych odpadów do osiąganych przez gminy poziomów recyklingu i przygotowania do ponownego użyci</w:t>
      </w:r>
      <w:r>
        <w:t>a;</w:t>
      </w:r>
    </w:p>
    <w:p w14:paraId="4C4BF1E7" w14:textId="77777777" w:rsidR="00BB7332" w:rsidRPr="005E01A9" w:rsidRDefault="00BB7332" w:rsidP="00BB7332">
      <w:pPr>
        <w:pStyle w:val="Akapitzlist"/>
        <w:numPr>
          <w:ilvl w:val="0"/>
          <w:numId w:val="3"/>
        </w:numPr>
        <w:tabs>
          <w:tab w:val="left" w:pos="1418"/>
        </w:tabs>
        <w:jc w:val="both"/>
      </w:pPr>
      <w:r>
        <w:t>w</w:t>
      </w:r>
      <w:r w:rsidRPr="00D630EA">
        <w:t>prowadzenie zasady rozszerzonej odpowiedzialności producenta w odniesieniu do uciążliwych odpadów, w tym odpadów opakowaniowych</w:t>
      </w:r>
      <w:r>
        <w:t xml:space="preserve">. </w:t>
      </w:r>
    </w:p>
    <w:p w14:paraId="188C177E" w14:textId="77777777" w:rsidR="00BB7332" w:rsidRDefault="00BB7332" w:rsidP="00BB7332">
      <w:pPr>
        <w:tabs>
          <w:tab w:val="left" w:pos="2816"/>
        </w:tabs>
        <w:jc w:val="both"/>
        <w:rPr>
          <w:sz w:val="28"/>
          <w:szCs w:val="28"/>
        </w:rPr>
      </w:pPr>
      <w:r w:rsidRPr="00FC6DE2">
        <w:rPr>
          <w:noProof/>
          <w:sz w:val="28"/>
          <w:szCs w:val="28"/>
          <w:lang w:eastAsia="pl-PL"/>
        </w:rPr>
        <w:drawing>
          <wp:inline distT="0" distB="0" distL="0" distR="0" wp14:anchorId="7A22CE01" wp14:editId="412DFF87">
            <wp:extent cx="5667375" cy="4253865"/>
            <wp:effectExtent l="0" t="0" r="0" b="0"/>
            <wp:docPr id="5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6DF7D1" w14:textId="77777777" w:rsidR="00BB7332" w:rsidRPr="0042758F" w:rsidRDefault="00BB7332" w:rsidP="00BB7332">
      <w:pPr>
        <w:pStyle w:val="Akapitzlist"/>
        <w:tabs>
          <w:tab w:val="left" w:pos="2816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Źródło: </w:t>
      </w:r>
      <w:r w:rsidRPr="00603A16">
        <w:rPr>
          <w:i/>
          <w:sz w:val="20"/>
          <w:szCs w:val="20"/>
          <w:u w:val="single"/>
        </w:rPr>
        <w:t>Opracowanie własne na podstawie danych w bazie STRATEG</w:t>
      </w:r>
      <w:r>
        <w:rPr>
          <w:i/>
          <w:sz w:val="20"/>
          <w:szCs w:val="20"/>
          <w:u w:val="single"/>
        </w:rPr>
        <w:t>.</w:t>
      </w:r>
    </w:p>
    <w:p w14:paraId="02C8EBDD" w14:textId="77777777" w:rsidR="00BB7332" w:rsidRPr="005B26C4" w:rsidRDefault="00BB7332" w:rsidP="00BB7332">
      <w:pPr>
        <w:tabs>
          <w:tab w:val="left" w:pos="2816"/>
        </w:tabs>
        <w:jc w:val="both"/>
      </w:pPr>
      <w:r w:rsidRPr="005B26C4">
        <w:t xml:space="preserve">Korzystniej przedstawia się poziom odzysku odpadów budowlanych i rozbiórkowych. Gruz betonowy, ceglany i ceramiczny, zawarty w odpadach budowlanych i rozbiórkowych, po prostym przetworzeniu może stanowić pełnowartościowe kruszywo budowlane. Wykorzystywane jest ono przy produkcji materiałów i elementów budowlanych oraz do budowy obiektów i dróg. Z tego też względu poziom odzysku tego rodzaju odpadów ma nie tylko znaczenie środowiskowe, lecz także gospodarcze. </w:t>
      </w:r>
    </w:p>
    <w:p w14:paraId="710D3614" w14:textId="77777777" w:rsidR="00BB7332" w:rsidRPr="005B26C4" w:rsidRDefault="00BB7332" w:rsidP="00BB7332">
      <w:pPr>
        <w:tabs>
          <w:tab w:val="left" w:pos="2816"/>
        </w:tabs>
        <w:jc w:val="both"/>
      </w:pPr>
      <w:r>
        <w:lastRenderedPageBreak/>
        <w:t xml:space="preserve">Wartość docelowa wskaźnika </w:t>
      </w:r>
      <w:r>
        <w:rPr>
          <w:lang w:bidi="pl-PL"/>
        </w:rPr>
        <w:t>p</w:t>
      </w:r>
      <w:r w:rsidRPr="00C47D5B">
        <w:rPr>
          <w:lang w:bidi="pl-PL"/>
        </w:rPr>
        <w:t>oziom</w:t>
      </w:r>
      <w:r>
        <w:rPr>
          <w:lang w:bidi="pl-PL"/>
        </w:rPr>
        <w:t>u</w:t>
      </w:r>
      <w:r w:rsidRPr="00C47D5B">
        <w:rPr>
          <w:lang w:bidi="pl-PL"/>
        </w:rPr>
        <w:t xml:space="preserve"> recyklingu, przygotowania do ponownego użycia i odzysku innymi metodami innych niż niebezpieczne odpadów budowlanych i rozbiórkowych</w:t>
      </w:r>
      <w:r>
        <w:rPr>
          <w:lang w:bidi="pl-PL"/>
        </w:rPr>
        <w:t xml:space="preserve"> określona dla roku 2020 w wysokości 70%, została już w Polsce osiągnięta. </w:t>
      </w:r>
      <w:r w:rsidRPr="005B26C4">
        <w:t xml:space="preserve">Wskaźnik </w:t>
      </w:r>
      <w:r>
        <w:t xml:space="preserve">ten </w:t>
      </w:r>
      <w:r w:rsidRPr="005B26C4">
        <w:t>w latach 2010–2015 oscylował wokół wartości docelowej</w:t>
      </w:r>
      <w:r>
        <w:t xml:space="preserve">. </w:t>
      </w:r>
      <w:r w:rsidRPr="005B26C4">
        <w:t>W 2015 r. wskaźnik osiągnął aż 105%, co może wynikać z przetworzenia odpadów zmagazynowanych w poprzednich latach.</w:t>
      </w:r>
    </w:p>
    <w:p w14:paraId="22E09156" w14:textId="77777777" w:rsidR="00BB7332" w:rsidRDefault="00BB7332" w:rsidP="00BB7332">
      <w:pPr>
        <w:pStyle w:val="Akapitzlist"/>
        <w:tabs>
          <w:tab w:val="left" w:pos="2816"/>
        </w:tabs>
        <w:ind w:left="0"/>
        <w:jc w:val="center"/>
        <w:rPr>
          <w:sz w:val="28"/>
          <w:szCs w:val="28"/>
        </w:rPr>
      </w:pPr>
      <w:r w:rsidRPr="00FC6DE2">
        <w:rPr>
          <w:noProof/>
          <w:sz w:val="28"/>
          <w:szCs w:val="28"/>
          <w:lang w:eastAsia="pl-PL"/>
        </w:rPr>
        <w:drawing>
          <wp:inline distT="0" distB="0" distL="0" distR="0" wp14:anchorId="29A13353" wp14:editId="0DF831B0">
            <wp:extent cx="5029200" cy="4724400"/>
            <wp:effectExtent l="0" t="0" r="0" b="0"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C344239" w14:textId="77777777" w:rsidR="00BB7332" w:rsidRPr="0042758F" w:rsidRDefault="00BB7332" w:rsidP="00BB7332">
      <w:pPr>
        <w:pStyle w:val="Akapitzlist"/>
        <w:tabs>
          <w:tab w:val="left" w:pos="2816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Źródło: </w:t>
      </w:r>
      <w:r w:rsidRPr="00603A16">
        <w:rPr>
          <w:i/>
          <w:sz w:val="20"/>
          <w:szCs w:val="20"/>
          <w:u w:val="single"/>
        </w:rPr>
        <w:t>Opracowanie własne na podstawie danych w bazie STRATEG</w:t>
      </w:r>
      <w:r>
        <w:rPr>
          <w:i/>
          <w:sz w:val="20"/>
          <w:szCs w:val="20"/>
          <w:u w:val="single"/>
        </w:rPr>
        <w:t>.</w:t>
      </w:r>
    </w:p>
    <w:p w14:paraId="1BDD3E1B" w14:textId="77777777" w:rsidR="00BB7332" w:rsidRPr="005B26C4" w:rsidRDefault="00BB7332" w:rsidP="00BB7332">
      <w:pPr>
        <w:tabs>
          <w:tab w:val="left" w:pos="2816"/>
        </w:tabs>
        <w:jc w:val="both"/>
      </w:pPr>
      <w:r w:rsidRPr="005B26C4">
        <w:t xml:space="preserve">Istotnym elementem polityki środowiskowej jest ograniczanie ilości składowanych odpadów. Działania podejmowane w tym obszarze skutkowały stopniową redukcją masy odpadów komunalnych ulegających biodegradacji, które przekazywano do składowania. </w:t>
      </w:r>
      <w:r>
        <w:t>O</w:t>
      </w:r>
      <w:r w:rsidRPr="005B26C4">
        <w:t xml:space="preserve">siągnięto </w:t>
      </w:r>
      <w:r>
        <w:t xml:space="preserve">już </w:t>
      </w:r>
      <w:r w:rsidRPr="005B26C4">
        <w:t>wartość docelową dla roku 2020.</w:t>
      </w:r>
    </w:p>
    <w:p w14:paraId="11A44A88" w14:textId="77777777" w:rsidR="00BB7332" w:rsidRPr="005B26C4" w:rsidRDefault="00BB7332" w:rsidP="00BB7332">
      <w:pPr>
        <w:tabs>
          <w:tab w:val="left" w:pos="2816"/>
        </w:tabs>
        <w:jc w:val="both"/>
      </w:pPr>
      <w:r w:rsidRPr="005B26C4">
        <w:t>Zagospodarowanie odpadów komunalnych odbywa się z uwzględnieniem hierarchii sposobów post</w:t>
      </w:r>
      <w:r>
        <w:t>ę</w:t>
      </w:r>
      <w:r w:rsidRPr="005B26C4">
        <w:t xml:space="preserve">powania z odpadami. </w:t>
      </w:r>
      <w:r w:rsidRPr="00CE45D5">
        <w:t>Odpady komunalne</w:t>
      </w:r>
      <w:r>
        <w:t>, którym powstaniu nie udało się zapobiec,</w:t>
      </w:r>
      <w:r w:rsidRPr="00CE45D5">
        <w:t xml:space="preserve"> poddawane są procesom: odzysku, w tym przygotowania do powtórnego użycia</w:t>
      </w:r>
      <w:bookmarkStart w:id="2" w:name="_msoanchor_1"/>
      <w:bookmarkEnd w:id="2"/>
      <w:r w:rsidRPr="00CE45D5">
        <w:rPr>
          <w:color w:val="000000"/>
          <w:sz w:val="16"/>
          <w:szCs w:val="16"/>
          <w:shd w:val="clear" w:color="auto" w:fill="FDFDFD"/>
        </w:rPr>
        <w:t> </w:t>
      </w:r>
      <w:r w:rsidRPr="00CE45D5">
        <w:rPr>
          <w:color w:val="000000"/>
          <w:shd w:val="clear" w:color="auto" w:fill="FDFDFD"/>
        </w:rPr>
        <w:t>i recyklingu, oraz innym procesom przetwarzania</w:t>
      </w:r>
      <w:r>
        <w:rPr>
          <w:color w:val="000000"/>
          <w:shd w:val="clear" w:color="auto" w:fill="FDFDFD"/>
        </w:rPr>
        <w:t>,</w:t>
      </w:r>
      <w:r w:rsidRPr="00CE45D5">
        <w:rPr>
          <w:color w:val="000000"/>
          <w:shd w:val="clear" w:color="auto" w:fill="FDFDFD"/>
        </w:rPr>
        <w:t xml:space="preserve"> np. przekształcania termicznego, obróbki biologicznej i składowania (odpady zmieszane trafiają na składowisko po wcześniejszych procesach</w:t>
      </w:r>
      <w:r>
        <w:rPr>
          <w:color w:val="000000"/>
          <w:sz w:val="28"/>
          <w:szCs w:val="28"/>
          <w:shd w:val="clear" w:color="auto" w:fill="FDFDFD"/>
        </w:rPr>
        <w:t xml:space="preserve"> </w:t>
      </w:r>
      <w:r w:rsidRPr="00CE45D5">
        <w:rPr>
          <w:color w:val="000000"/>
          <w:shd w:val="clear" w:color="auto" w:fill="FDFDFD"/>
        </w:rPr>
        <w:t>przetwarzania).</w:t>
      </w:r>
      <w:r w:rsidRPr="005B26C4">
        <w:t xml:space="preserve"> </w:t>
      </w:r>
      <w:r w:rsidRPr="00A16D60">
        <w:t>Ilość odpadów komunalnych</w:t>
      </w:r>
      <w:r>
        <w:t xml:space="preserve"> poddanych </w:t>
      </w:r>
      <w:r w:rsidRPr="00A16D60">
        <w:t>recykling</w:t>
      </w:r>
      <w:r>
        <w:t>ow</w:t>
      </w:r>
      <w:r w:rsidRPr="00A16D60">
        <w:t>i w 2016 roku w stosunku do roku 2012 wzrosła czterokrotnie, a ilość odpadów przekształconych termicznie zwiększyła się czterdzieści dwa razy.</w:t>
      </w:r>
      <w:r w:rsidRPr="005B26C4">
        <w:t xml:space="preserve"> Tak duży wzrost strumienia odpadów </w:t>
      </w:r>
      <w:r w:rsidRPr="005B26C4">
        <w:lastRenderedPageBreak/>
        <w:t>kierowanych do przekształcenia termicznego spowodowany był uruchomieniem nowych spalarni odpadów komunalnych, które rozpoczęły działalność na przełomie lat 2015/2016</w:t>
      </w:r>
      <w:r w:rsidRPr="005B26C4">
        <w:rPr>
          <w:vertAlign w:val="superscript"/>
        </w:rPr>
        <w:footnoteReference w:id="9"/>
      </w:r>
      <w:r w:rsidRPr="005B26C4">
        <w:t>. Pośredni wpływ na wzrost ilości odpadów kierowanych do przekształcenia termicznego miało rozporządzenie Ministra Gospodarki z dnia 8 stycznia 2013 r. w sprawie kryteriów oraz procedur dopuszczania odpadów do składowania na składowisku</w:t>
      </w:r>
      <w:r>
        <w:rPr>
          <w:rStyle w:val="Odwoanieprzypisudolnego"/>
        </w:rPr>
        <w:footnoteReference w:id="10"/>
      </w:r>
      <w:r w:rsidRPr="005B26C4">
        <w:t xml:space="preserve">. </w:t>
      </w:r>
    </w:p>
    <w:p w14:paraId="66CC0A23" w14:textId="77777777" w:rsidR="00BB7332" w:rsidRPr="007F4A8E" w:rsidRDefault="00BB7332" w:rsidP="00BB7332">
      <w:pPr>
        <w:tabs>
          <w:tab w:val="left" w:pos="2816"/>
        </w:tabs>
        <w:jc w:val="both"/>
        <w:rPr>
          <w:sz w:val="28"/>
          <w:szCs w:val="28"/>
        </w:rPr>
      </w:pPr>
      <w:r w:rsidRPr="00FD729C">
        <w:t>W latach 2012–2016 ilość odpadów komunalnych poddanych procesom</w:t>
      </w:r>
      <w:r>
        <w:t xml:space="preserve">  biologicznym wzrosła o 67%, </w:t>
      </w:r>
      <w:r w:rsidRPr="00FD729C">
        <w:t xml:space="preserve">podczas gdy masa odpadów komunalnych przekazanych do składowania spadła aż o 40%. </w:t>
      </w:r>
    </w:p>
    <w:p w14:paraId="3CADCC8A" w14:textId="77777777" w:rsidR="00BB7332" w:rsidRPr="00326DCF" w:rsidRDefault="00BB7332" w:rsidP="00BB7332">
      <w:pPr>
        <w:pStyle w:val="Akapitzlist"/>
        <w:tabs>
          <w:tab w:val="left" w:pos="2816"/>
        </w:tabs>
        <w:ind w:left="0"/>
        <w:jc w:val="center"/>
        <w:rPr>
          <w:sz w:val="28"/>
          <w:szCs w:val="28"/>
        </w:rPr>
      </w:pPr>
      <w:r w:rsidRPr="00FC6DE2">
        <w:rPr>
          <w:noProof/>
          <w:sz w:val="28"/>
          <w:szCs w:val="28"/>
          <w:lang w:eastAsia="pl-PL"/>
        </w:rPr>
        <w:drawing>
          <wp:inline distT="0" distB="0" distL="0" distR="0" wp14:anchorId="70A4B225" wp14:editId="7A685743">
            <wp:extent cx="5550535" cy="5727700"/>
            <wp:effectExtent l="0" t="0" r="0" b="6350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28C8C38" w14:textId="77777777" w:rsidR="00BB7332" w:rsidRPr="00603A16" w:rsidRDefault="00BB7332" w:rsidP="00BB7332">
      <w:pPr>
        <w:pStyle w:val="Akapitzlist"/>
        <w:tabs>
          <w:tab w:val="left" w:pos="2816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Źródło: </w:t>
      </w:r>
      <w:r w:rsidRPr="00603A16">
        <w:rPr>
          <w:i/>
          <w:sz w:val="20"/>
          <w:szCs w:val="20"/>
          <w:u w:val="single"/>
        </w:rPr>
        <w:t>Opracowanie własne na podstawie danych w bazie STRATEG</w:t>
      </w:r>
      <w:r>
        <w:rPr>
          <w:i/>
          <w:sz w:val="20"/>
          <w:szCs w:val="20"/>
          <w:u w:val="single"/>
        </w:rPr>
        <w:t>.</w:t>
      </w:r>
    </w:p>
    <w:p w14:paraId="14EC2221" w14:textId="77777777" w:rsidR="00BB7332" w:rsidRPr="00326DCF" w:rsidRDefault="00BB7332" w:rsidP="00BB7332">
      <w:pPr>
        <w:pStyle w:val="Akapitzlist"/>
        <w:tabs>
          <w:tab w:val="left" w:pos="2816"/>
        </w:tabs>
        <w:rPr>
          <w:b/>
          <w:sz w:val="28"/>
          <w:szCs w:val="28"/>
          <w:u w:val="single"/>
        </w:rPr>
      </w:pPr>
      <w:r w:rsidRPr="00326DCF">
        <w:rPr>
          <w:b/>
          <w:sz w:val="28"/>
          <w:szCs w:val="28"/>
          <w:u w:val="single"/>
        </w:rPr>
        <w:lastRenderedPageBreak/>
        <w:br w:type="page"/>
      </w:r>
    </w:p>
    <w:p w14:paraId="41E6011D" w14:textId="77777777" w:rsidR="00BB7332" w:rsidRPr="005B26C4" w:rsidRDefault="00BB7332" w:rsidP="00BB7332">
      <w:pPr>
        <w:jc w:val="both"/>
        <w:rPr>
          <w:b/>
          <w:i/>
        </w:rPr>
      </w:pPr>
      <w:r w:rsidRPr="005B26C4">
        <w:rPr>
          <w:b/>
          <w:i/>
        </w:rPr>
        <w:lastRenderedPageBreak/>
        <w:t>Jakość powietrza</w:t>
      </w:r>
    </w:p>
    <w:p w14:paraId="2FC5870F" w14:textId="2B75B2D1" w:rsidR="00BB7332" w:rsidRDefault="00BB7332" w:rsidP="00BB7332">
      <w:pPr>
        <w:tabs>
          <w:tab w:val="left" w:pos="2816"/>
        </w:tabs>
        <w:jc w:val="both"/>
      </w:pPr>
      <w:r w:rsidRPr="005B26C4">
        <w:t xml:space="preserve">Pomimo określenia w </w:t>
      </w:r>
      <w:proofErr w:type="spellStart"/>
      <w:r>
        <w:t>BEiŚ</w:t>
      </w:r>
      <w:proofErr w:type="spellEnd"/>
      <w:r w:rsidRPr="005B26C4">
        <w:t xml:space="preserve"> ograniczenia zanieczyszczeń powietrza jako priorytetu, </w:t>
      </w:r>
      <w:r>
        <w:t xml:space="preserve">w ostatnich latach </w:t>
      </w:r>
      <w:r w:rsidRPr="005B26C4">
        <w:t xml:space="preserve">na przeważającej części kraju </w:t>
      </w:r>
      <w:r>
        <w:t xml:space="preserve">nadal </w:t>
      </w:r>
      <w:r w:rsidRPr="005B26C4">
        <w:t>odnotowywane były przekroczenia stężeń zanieczyszczeń. W</w:t>
      </w:r>
      <w:r>
        <w:t> </w:t>
      </w:r>
      <w:r w:rsidR="00700B11">
        <w:t>2016 r. w 76</w:t>
      </w:r>
      <w:r w:rsidRPr="005B26C4">
        <w:t xml:space="preserve">% stref, w których dokonywane są pomiary, odnotowano przekroczenia standardów jakości powietrza. Osiągnięcie wartości docelowej w 2020 r. (45%) na podstawie podejmowanych działań jest mało prawdopodobne, co bezpośrednio przekłada się na jakość życia, zdrowie mieszkańców oraz kondycję ekosystemów. </w:t>
      </w:r>
    </w:p>
    <w:p w14:paraId="47DB15E7" w14:textId="77777777" w:rsidR="00BB7332" w:rsidRDefault="00BB7332" w:rsidP="00BB7332">
      <w:pPr>
        <w:tabs>
          <w:tab w:val="left" w:pos="2816"/>
        </w:tabs>
        <w:jc w:val="both"/>
      </w:pPr>
      <w:r w:rsidRPr="005B26C4">
        <w:t xml:space="preserve">Mając na uwadze niezadowalający stan jakości powietrza, Ministerstwo Środowiska w 2015 r. zintensyfikowało swoje działania, przyjmując </w:t>
      </w:r>
      <w:r w:rsidRPr="005B26C4">
        <w:rPr>
          <w:i/>
        </w:rPr>
        <w:t>Krajowy Program Ochrony Powietrza</w:t>
      </w:r>
      <w:r w:rsidRPr="005B26C4">
        <w:t xml:space="preserve"> (KPOP). Jego celem jest osiągnięcie w możliwie krótkim czasie dopuszczalnych poziomów pyłu zawieszonego </w:t>
      </w:r>
      <w:r>
        <w:br/>
      </w:r>
      <w:r w:rsidRPr="005B26C4">
        <w:t xml:space="preserve">i innych szkodliwych substancji w powietrzu, wynikających z przepisów prawa unijnego, </w:t>
      </w:r>
      <w:r>
        <w:br/>
      </w:r>
      <w:r w:rsidRPr="005B26C4">
        <w:t xml:space="preserve">a w perspektywie do 2030 r. – poziomów wskazywanych przez Światową Organizację Zdrowia. </w:t>
      </w:r>
      <w:r>
        <w:br/>
      </w:r>
      <w:r w:rsidRPr="005B26C4">
        <w:t>W ramach nowelizacji ustawy – Prawo ochrony środowiska</w:t>
      </w:r>
      <w:r w:rsidRPr="005B26C4">
        <w:rPr>
          <w:vertAlign w:val="superscript"/>
        </w:rPr>
        <w:footnoteReference w:id="11"/>
      </w:r>
      <w:r w:rsidRPr="005B26C4">
        <w:t xml:space="preserve"> wzmocniono skuteczność działań wynikających z programów ochrony powietrza i planów działań krótkoterminowych. Dzięki tej nowelizacji sejmik województwa może w drodze uchwały wprowadzić ograniczenia lub zakazy w</w:t>
      </w:r>
      <w:r>
        <w:t> </w:t>
      </w:r>
      <w:r w:rsidRPr="005B26C4">
        <w:t xml:space="preserve">zakresie eksploatacji instalacji, w których następuje spalanie paliw, oraz określić rodzaje lub jakość paliw dopuszczonych do stosowania. Dotychczas przygotowano i realizowane są uchwały antysmogowe dla Krakowa oraz </w:t>
      </w:r>
      <w:r>
        <w:t xml:space="preserve">dziesięciu </w:t>
      </w:r>
      <w:r w:rsidRPr="005B26C4">
        <w:t xml:space="preserve">województw: </w:t>
      </w:r>
      <w:r w:rsidRPr="002D1EED">
        <w:t>małopolskiego, śląskiego, opolskiego, mazowieckiego, łódzkiego, dolnośląskiego</w:t>
      </w:r>
      <w:r>
        <w:t>, lubuskiego,</w:t>
      </w:r>
      <w:r w:rsidRPr="002D1EED">
        <w:t xml:space="preserve"> wielkopolskiego</w:t>
      </w:r>
      <w:r>
        <w:t>, podkarpackiego i zachodniopomorskiego</w:t>
      </w:r>
      <w:r w:rsidRPr="002D1EED">
        <w:t xml:space="preserve">. Prace nad uchwałą dla </w:t>
      </w:r>
      <w:r>
        <w:t xml:space="preserve">województwa lubelskiego </w:t>
      </w:r>
      <w:r w:rsidRPr="002D1EED">
        <w:t>są na ukończeniu</w:t>
      </w:r>
      <w:r w:rsidRPr="005B26C4">
        <w:t>.</w:t>
      </w:r>
    </w:p>
    <w:p w14:paraId="3AE41563" w14:textId="5D59BA90" w:rsidR="00BB7332" w:rsidRPr="005B26C4" w:rsidRDefault="00BB7332" w:rsidP="00BB7332">
      <w:pPr>
        <w:tabs>
          <w:tab w:val="left" w:pos="2816"/>
        </w:tabs>
        <w:jc w:val="both"/>
      </w:pPr>
      <w:r w:rsidRPr="005B26C4">
        <w:t xml:space="preserve">W 2017 r. Komitet Ekonomiczny Rady Ministrów, na polecenie Prezesa Rady Ministrów, przedstawił rekomendacje pod nazwą </w:t>
      </w:r>
      <w:r w:rsidRPr="007F4A8E">
        <w:rPr>
          <w:i/>
        </w:rPr>
        <w:t>Program „Czyste Powietrze”</w:t>
      </w:r>
      <w:r w:rsidRPr="005B26C4">
        <w:t xml:space="preserve">. Działania na rzecz poprawy jakości powietrza uwzględnione zostały także w rządowych dokumentach strategicznych – </w:t>
      </w:r>
      <w:r w:rsidRPr="007F4A8E">
        <w:rPr>
          <w:i/>
        </w:rPr>
        <w:t>Strategii na rzecz Odpowiedzialnego Rozwoju do roku 2020 (z perspektywą do 2030 r.)</w:t>
      </w:r>
      <w:r w:rsidRPr="005B26C4">
        <w:t xml:space="preserve"> oraz w </w:t>
      </w:r>
      <w:r w:rsidRPr="007F4A8E">
        <w:rPr>
          <w:i/>
        </w:rPr>
        <w:t xml:space="preserve">Planie Rozwoju </w:t>
      </w:r>
      <w:proofErr w:type="spellStart"/>
      <w:r w:rsidRPr="007F4A8E">
        <w:rPr>
          <w:i/>
        </w:rPr>
        <w:t>Elektromobilności</w:t>
      </w:r>
      <w:proofErr w:type="spellEnd"/>
      <w:r w:rsidRPr="007F4A8E">
        <w:rPr>
          <w:i/>
        </w:rPr>
        <w:t xml:space="preserve"> „Energia dla Przyszłości”</w:t>
      </w:r>
      <w:r w:rsidRPr="005B26C4">
        <w:t xml:space="preserve">. </w:t>
      </w:r>
      <w:r w:rsidR="00700B11">
        <w:t>Obecnie trwa faza wdrażania działań na rzecz poprawy jakości powietrza.</w:t>
      </w:r>
    </w:p>
    <w:p w14:paraId="5B1541F7" w14:textId="54DCC750" w:rsidR="00BB7332" w:rsidRDefault="00BB7332" w:rsidP="00BB7332">
      <w:pPr>
        <w:tabs>
          <w:tab w:val="left" w:pos="2816"/>
        </w:tabs>
        <w:jc w:val="both"/>
      </w:pPr>
      <w:r w:rsidRPr="005B26C4">
        <w:t xml:space="preserve">W działaniach zmierzających do poprawy jakości powietrza bardzo ważne jest podnoszenie świadomości </w:t>
      </w:r>
      <w:r w:rsidRPr="004D30AE">
        <w:t>ekologicznej i kształtowanie odpowiednich postaw społecznych, gdyż to właśnie sektor komunalno-bytowy jest głównym źródłem emisji szkodliwych związków, tzw. niskiej emisji.</w:t>
      </w:r>
      <w:r>
        <w:t xml:space="preserve"> </w:t>
      </w:r>
      <w:r w:rsidRPr="005B26C4">
        <w:t xml:space="preserve">Dlatego też jednym z kierunków działań, na który kładzie się nacisk, jest kształtowanie właściwych </w:t>
      </w:r>
      <w:proofErr w:type="spellStart"/>
      <w:r w:rsidRPr="005B26C4">
        <w:t>zachowań</w:t>
      </w:r>
      <w:proofErr w:type="spellEnd"/>
      <w:r w:rsidRPr="005B26C4">
        <w:t xml:space="preserve"> i postaw społeczeństwa poprzez przeprowadzanie kampanii edukacyjnych, w tym na temat optymalnych sposobów palenia</w:t>
      </w:r>
      <w:r w:rsidRPr="005B26C4">
        <w:rPr>
          <w:sz w:val="28"/>
          <w:szCs w:val="28"/>
        </w:rPr>
        <w:t xml:space="preserve"> </w:t>
      </w:r>
      <w:r w:rsidRPr="005B26C4">
        <w:t xml:space="preserve">w kotłach oraz związanych z tym skutków. Działania edukacyjne będą kontynuowane w ramach </w:t>
      </w:r>
      <w:r w:rsidR="00FB2699">
        <w:t>PEP2030</w:t>
      </w:r>
      <w:r w:rsidR="00700B11">
        <w:t>2030</w:t>
      </w:r>
      <w:r w:rsidRPr="005B26C4">
        <w:t>.</w:t>
      </w:r>
    </w:p>
    <w:p w14:paraId="59909A1D" w14:textId="464C1E83" w:rsidR="00BB7332" w:rsidRPr="005B26C4" w:rsidRDefault="00BB7332" w:rsidP="00BB7332">
      <w:pPr>
        <w:tabs>
          <w:tab w:val="left" w:pos="2816"/>
        </w:tabs>
        <w:jc w:val="both"/>
      </w:pPr>
      <w:r>
        <w:t>Problemem jest także zły standard energetyczny budynków, jego rozwiązanie leży w szerokim upowszechnieniu głębokiej termomodernizacji budynków przy wykorzystaniu najefektywniejszych technologii,</w:t>
      </w:r>
      <w:r w:rsidRPr="00D83DCB">
        <w:t xml:space="preserve"> jak również w </w:t>
      </w:r>
      <w:r>
        <w:t>egzekwowaniu</w:t>
      </w:r>
      <w:r w:rsidRPr="00D83DCB">
        <w:t xml:space="preserve"> </w:t>
      </w:r>
      <w:r>
        <w:t>obowiązu</w:t>
      </w:r>
      <w:r w:rsidRPr="00D83DCB">
        <w:t>jącego prawa</w:t>
      </w:r>
      <w:r>
        <w:t>.</w:t>
      </w:r>
      <w:r w:rsidR="00344FC3">
        <w:t xml:space="preserve"> Kompleksowe działania na rzecz poprawy jakości powietrza będą prowadzone w ramach projektu strategicznego „Czyste powietrze”.</w:t>
      </w:r>
    </w:p>
    <w:p w14:paraId="1B752E44" w14:textId="77777777" w:rsidR="00BB7332" w:rsidRDefault="00BB7332" w:rsidP="00BB7332">
      <w:pPr>
        <w:pStyle w:val="Akapitzlist"/>
        <w:tabs>
          <w:tab w:val="left" w:pos="2816"/>
        </w:tabs>
        <w:ind w:left="0"/>
        <w:jc w:val="center"/>
        <w:rPr>
          <w:sz w:val="28"/>
          <w:szCs w:val="28"/>
        </w:rPr>
      </w:pPr>
      <w:r w:rsidRPr="000E4805">
        <w:rPr>
          <w:noProof/>
          <w:lang w:eastAsia="pl-PL"/>
        </w:rPr>
        <w:lastRenderedPageBreak/>
        <w:drawing>
          <wp:inline distT="0" distB="0" distL="0" distR="0" wp14:anchorId="06B9BE13" wp14:editId="7E8F5000">
            <wp:extent cx="5762625" cy="5029200"/>
            <wp:effectExtent l="0" t="0" r="0" b="0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7CB779" w14:textId="77777777" w:rsidR="00BB7332" w:rsidRPr="00603A16" w:rsidRDefault="00BB7332" w:rsidP="00BB7332">
      <w:pPr>
        <w:pStyle w:val="Akapitzlist"/>
        <w:tabs>
          <w:tab w:val="left" w:pos="2816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Źródło: </w:t>
      </w:r>
      <w:r w:rsidRPr="00603A16">
        <w:rPr>
          <w:i/>
          <w:sz w:val="20"/>
          <w:szCs w:val="20"/>
          <w:u w:val="single"/>
        </w:rPr>
        <w:t>Opracowanie własne na podstawie danych w bazie STRATEG</w:t>
      </w:r>
      <w:r>
        <w:rPr>
          <w:i/>
          <w:sz w:val="20"/>
          <w:szCs w:val="20"/>
          <w:u w:val="single"/>
        </w:rPr>
        <w:t>.</w:t>
      </w:r>
    </w:p>
    <w:p w14:paraId="409795D1" w14:textId="77777777" w:rsidR="00BB7332" w:rsidRPr="00326DCF" w:rsidRDefault="00BB7332" w:rsidP="00BB7332">
      <w:pPr>
        <w:pStyle w:val="Akapitzlist"/>
        <w:tabs>
          <w:tab w:val="left" w:pos="2816"/>
        </w:tabs>
        <w:ind w:left="0"/>
        <w:jc w:val="center"/>
        <w:rPr>
          <w:sz w:val="28"/>
          <w:szCs w:val="28"/>
        </w:rPr>
      </w:pPr>
    </w:p>
    <w:p w14:paraId="61E6E7D2" w14:textId="77777777" w:rsidR="000D75EA" w:rsidRPr="005E01A9" w:rsidRDefault="000D75EA" w:rsidP="000D75EA">
      <w:pPr>
        <w:jc w:val="both"/>
        <w:rPr>
          <w:b/>
          <w:i/>
        </w:rPr>
      </w:pPr>
      <w:r w:rsidRPr="005E01A9">
        <w:rPr>
          <w:b/>
          <w:i/>
        </w:rPr>
        <w:t>Lesistość</w:t>
      </w:r>
    </w:p>
    <w:p w14:paraId="72584BE3" w14:textId="77777777" w:rsidR="000D75EA" w:rsidRDefault="000D75EA" w:rsidP="000D75EA">
      <w:pPr>
        <w:tabs>
          <w:tab w:val="left" w:pos="2816"/>
        </w:tabs>
        <w:jc w:val="both"/>
      </w:pPr>
      <w:r w:rsidRPr="005E01A9">
        <w:t>Udział powierzchni lasów do ogólnej powierzchni kraju su</w:t>
      </w:r>
      <w:r>
        <w:t>kcesywnie rósł, osiągając w 2017 r. poziom 29,6</w:t>
      </w:r>
      <w:r w:rsidRPr="005E01A9">
        <w:t>%. Pozytywny trend w omawianym okresie jest w dużej mierze efektem zalesiania prywatnych gruntów rolnych, nie</w:t>
      </w:r>
      <w:r>
        <w:t>przydatnych do produkcji rolnej. Zalesienia prowadzono głównie</w:t>
      </w:r>
      <w:r w:rsidRPr="005E01A9">
        <w:t xml:space="preserve"> w ramach Programu Rozwoju Obszarów Wiejskich oraz w wyniku przekwalifikowania gruntów, na których zalesienia powstały w wyniku sukcesji naturalnej. </w:t>
      </w:r>
    </w:p>
    <w:p w14:paraId="4064332F" w14:textId="77777777" w:rsidR="000D75EA" w:rsidRPr="00326DCF" w:rsidRDefault="000D75EA" w:rsidP="000D75EA">
      <w:pPr>
        <w:pStyle w:val="Akapitzlist"/>
        <w:tabs>
          <w:tab w:val="left" w:pos="2816"/>
        </w:tabs>
        <w:ind w:left="-284"/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37FA3BD" wp14:editId="72B95748">
            <wp:extent cx="5760720" cy="3763645"/>
            <wp:effectExtent l="0" t="0" r="11430" b="825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F0C6551" w14:textId="77777777" w:rsidR="000D75EA" w:rsidRPr="00BA550F" w:rsidRDefault="000D75EA" w:rsidP="000D75EA">
      <w:pPr>
        <w:pStyle w:val="Akapitzlist"/>
        <w:tabs>
          <w:tab w:val="left" w:pos="2816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Źródło: </w:t>
      </w:r>
      <w:r w:rsidRPr="00603A16">
        <w:rPr>
          <w:i/>
          <w:sz w:val="20"/>
          <w:szCs w:val="20"/>
          <w:u w:val="single"/>
        </w:rPr>
        <w:t>Opracowanie własne na podstawie danych w bazie STRATEG</w:t>
      </w:r>
      <w:r>
        <w:rPr>
          <w:i/>
          <w:sz w:val="20"/>
          <w:szCs w:val="20"/>
          <w:u w:val="single"/>
        </w:rPr>
        <w:t>.</w:t>
      </w:r>
    </w:p>
    <w:p w14:paraId="7997CD0F" w14:textId="77777777" w:rsidR="000D75EA" w:rsidRDefault="000D75EA" w:rsidP="000D75EA">
      <w:pPr>
        <w:tabs>
          <w:tab w:val="left" w:pos="2816"/>
        </w:tabs>
        <w:jc w:val="both"/>
      </w:pPr>
      <w:r w:rsidRPr="005E01A9">
        <w:t>Pomimo pozytywnego trendu, osiągnięcie wartości docelowej (30%) może być zagrożone z powodu malejącej powierzchni dostępnych gruntów do zalesień. Od roku bazowego corocznie zmniejsza się powierzchnia gruntów przeznaczonych do zalesienia. W 201</w:t>
      </w:r>
      <w:r>
        <w:t>7</w:t>
      </w:r>
      <w:r w:rsidRPr="005E01A9">
        <w:t xml:space="preserve"> r. zalesiono łącznie </w:t>
      </w:r>
      <w:r>
        <w:t>1628</w:t>
      </w:r>
      <w:r w:rsidRPr="005E01A9">
        <w:t xml:space="preserve"> ha, w tym </w:t>
      </w:r>
      <w:r>
        <w:br/>
        <w:t>487</w:t>
      </w:r>
      <w:r w:rsidRPr="005E01A9">
        <w:t xml:space="preserve"> ha należących do Lasów Państwowych</w:t>
      </w:r>
      <w:r>
        <w:rPr>
          <w:rStyle w:val="Odwoanieprzypisudolnego"/>
        </w:rPr>
        <w:footnoteReference w:id="12"/>
      </w:r>
      <w:r>
        <w:t>.</w:t>
      </w:r>
    </w:p>
    <w:p w14:paraId="4FA2A339" w14:textId="77777777" w:rsidR="000D75EA" w:rsidRDefault="000D75EA" w:rsidP="000D75EA">
      <w:pPr>
        <w:tabs>
          <w:tab w:val="left" w:pos="2816"/>
        </w:tabs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4B566C40" wp14:editId="4D83C045">
            <wp:extent cx="6076950" cy="442666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7037" t="20879" r="11210" b="12076"/>
                    <a:stretch/>
                  </pic:blipFill>
                  <pic:spPr bwMode="auto">
                    <a:xfrm>
                      <a:off x="0" y="0"/>
                      <a:ext cx="6085784" cy="443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C9567" w14:textId="77777777" w:rsidR="000D75EA" w:rsidRPr="0042758F" w:rsidRDefault="000D75EA" w:rsidP="000D75EA">
      <w:pPr>
        <w:pStyle w:val="Akapitzlist"/>
        <w:tabs>
          <w:tab w:val="left" w:pos="2816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Źródło: „</w:t>
      </w:r>
      <w:r w:rsidRPr="0025038D">
        <w:rPr>
          <w:i/>
          <w:sz w:val="20"/>
          <w:szCs w:val="20"/>
          <w:u w:val="single"/>
        </w:rPr>
        <w:t>Ochrona środowiska 2018</w:t>
      </w:r>
      <w:r>
        <w:rPr>
          <w:i/>
          <w:sz w:val="20"/>
          <w:szCs w:val="20"/>
          <w:u w:val="single"/>
        </w:rPr>
        <w:t>”,</w:t>
      </w:r>
      <w:r w:rsidRPr="0025038D">
        <w:rPr>
          <w:i/>
          <w:sz w:val="20"/>
          <w:szCs w:val="20"/>
          <w:u w:val="single"/>
        </w:rPr>
        <w:t xml:space="preserve"> Głó</w:t>
      </w:r>
      <w:r>
        <w:rPr>
          <w:i/>
          <w:sz w:val="20"/>
          <w:szCs w:val="20"/>
          <w:u w:val="single"/>
        </w:rPr>
        <w:t>wny Urząd Statystyczny, s. 135.</w:t>
      </w:r>
    </w:p>
    <w:p w14:paraId="53DC6623" w14:textId="77777777" w:rsidR="000D75EA" w:rsidRPr="005E01A9" w:rsidRDefault="000D75EA" w:rsidP="000D75EA">
      <w:pPr>
        <w:tabs>
          <w:tab w:val="left" w:pos="2816"/>
        </w:tabs>
      </w:pPr>
      <w:r w:rsidRPr="005E01A9">
        <w:t>Lesistość kraju nie jest równomie</w:t>
      </w:r>
      <w:r>
        <w:t>rna. Jej poziom waha się od 21,5</w:t>
      </w:r>
      <w:r w:rsidRPr="005E01A9">
        <w:t>% w woj. łódzkim do 49,3% w woj. lubuskim.</w:t>
      </w:r>
    </w:p>
    <w:p w14:paraId="49471EC3" w14:textId="77777777" w:rsidR="000D75EA" w:rsidRDefault="000D75EA" w:rsidP="000D75EA">
      <w:pPr>
        <w:pStyle w:val="Akapitzlist"/>
        <w:tabs>
          <w:tab w:val="left" w:pos="281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5273FBEB" wp14:editId="469452F1">
            <wp:extent cx="3695700" cy="329884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pa lesistosc 2017.jpe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 t="15612" r="24438" b="19499"/>
                    <a:stretch/>
                  </pic:blipFill>
                  <pic:spPr bwMode="auto">
                    <a:xfrm>
                      <a:off x="0" y="0"/>
                      <a:ext cx="3699874" cy="330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3F4B5" w14:textId="77777777" w:rsidR="000D75EA" w:rsidRDefault="000D75EA" w:rsidP="000D75EA">
      <w:pPr>
        <w:tabs>
          <w:tab w:val="left" w:pos="2816"/>
        </w:tabs>
        <w:rPr>
          <w:b/>
          <w:sz w:val="28"/>
          <w:szCs w:val="28"/>
          <w:u w:val="single"/>
        </w:rPr>
      </w:pPr>
      <w:r>
        <w:rPr>
          <w:i/>
          <w:sz w:val="20"/>
          <w:szCs w:val="20"/>
          <w:u w:val="single"/>
        </w:rPr>
        <w:t xml:space="preserve">Lesistość wg województw w 2017 r.  </w:t>
      </w:r>
      <w:r w:rsidRPr="00603A16">
        <w:rPr>
          <w:i/>
          <w:sz w:val="20"/>
          <w:szCs w:val="20"/>
          <w:u w:val="single"/>
        </w:rPr>
        <w:t>Opracowan</w:t>
      </w:r>
      <w:r>
        <w:rPr>
          <w:i/>
          <w:sz w:val="20"/>
          <w:szCs w:val="20"/>
          <w:u w:val="single"/>
        </w:rPr>
        <w:t>o z wykorzystaniem danych i narzędzia bazy</w:t>
      </w:r>
      <w:r w:rsidRPr="00603A16">
        <w:rPr>
          <w:i/>
          <w:sz w:val="20"/>
          <w:szCs w:val="20"/>
          <w:u w:val="single"/>
        </w:rPr>
        <w:t xml:space="preserve"> STRATEG</w:t>
      </w:r>
      <w:r>
        <w:rPr>
          <w:i/>
          <w:sz w:val="20"/>
          <w:szCs w:val="20"/>
          <w:u w:val="single"/>
        </w:rPr>
        <w:t>.</w:t>
      </w:r>
    </w:p>
    <w:p w14:paraId="3F7E0DDF" w14:textId="77777777" w:rsidR="000D75EA" w:rsidRDefault="000D75EA" w:rsidP="00BB7332">
      <w:pPr>
        <w:tabs>
          <w:tab w:val="left" w:pos="2816"/>
        </w:tabs>
        <w:rPr>
          <w:b/>
          <w:i/>
        </w:rPr>
      </w:pPr>
    </w:p>
    <w:p w14:paraId="125B4C51" w14:textId="77777777" w:rsidR="00BB7332" w:rsidRDefault="00BB7332" w:rsidP="00BB7332">
      <w:pPr>
        <w:tabs>
          <w:tab w:val="left" w:pos="2816"/>
        </w:tabs>
        <w:rPr>
          <w:b/>
          <w:i/>
        </w:rPr>
      </w:pPr>
      <w:r w:rsidRPr="005B26C4">
        <w:rPr>
          <w:b/>
          <w:i/>
        </w:rPr>
        <w:t>Liczebność pospolitych ptaków krajobrazu rolniczego</w:t>
      </w:r>
    </w:p>
    <w:p w14:paraId="2BC60B6C" w14:textId="054C2137" w:rsidR="00BB7332" w:rsidRDefault="00BB7332" w:rsidP="00BB733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C6DE2">
        <w:rPr>
          <w:rFonts w:ascii="Calibri" w:hAnsi="Calibri"/>
          <w:color w:val="000000"/>
          <w:sz w:val="22"/>
          <w:szCs w:val="22"/>
        </w:rPr>
        <w:t>Wska</w:t>
      </w:r>
      <w:r w:rsidRPr="00FC6DE2">
        <w:rPr>
          <w:rFonts w:ascii="Calibri" w:hAnsi="Calibri" w:hint="eastAsia"/>
          <w:color w:val="000000"/>
          <w:sz w:val="22"/>
          <w:szCs w:val="22"/>
        </w:rPr>
        <w:t>ź</w:t>
      </w:r>
      <w:r w:rsidRPr="00FC6DE2">
        <w:rPr>
          <w:rFonts w:ascii="Calibri" w:hAnsi="Calibri"/>
          <w:color w:val="000000"/>
          <w:sz w:val="22"/>
          <w:szCs w:val="22"/>
        </w:rPr>
        <w:t>nik liczebno</w:t>
      </w:r>
      <w:r w:rsidRPr="00FC6DE2">
        <w:rPr>
          <w:rFonts w:ascii="Calibri" w:hAnsi="Calibri" w:hint="eastAsia"/>
          <w:color w:val="000000"/>
          <w:sz w:val="22"/>
          <w:szCs w:val="22"/>
        </w:rPr>
        <w:t>ś</w:t>
      </w:r>
      <w:r w:rsidRPr="00FC6DE2">
        <w:rPr>
          <w:rFonts w:ascii="Calibri" w:hAnsi="Calibri"/>
          <w:color w:val="000000"/>
          <w:sz w:val="22"/>
          <w:szCs w:val="22"/>
        </w:rPr>
        <w:t>ci pospolitych ptak</w:t>
      </w:r>
      <w:r w:rsidRPr="00FC6DE2">
        <w:rPr>
          <w:rFonts w:ascii="Calibri" w:hAnsi="Calibri" w:hint="eastAsia"/>
          <w:color w:val="000000"/>
          <w:sz w:val="22"/>
          <w:szCs w:val="22"/>
        </w:rPr>
        <w:t>ó</w:t>
      </w:r>
      <w:r w:rsidRPr="00FC6DE2">
        <w:rPr>
          <w:rFonts w:ascii="Calibri" w:hAnsi="Calibri"/>
          <w:color w:val="000000"/>
          <w:sz w:val="22"/>
          <w:szCs w:val="22"/>
        </w:rPr>
        <w:t>w krajobrazu rolniczego (FBI) to indeks stanu populacji 22 gatunk</w:t>
      </w:r>
      <w:r w:rsidRPr="00FC6DE2">
        <w:rPr>
          <w:rFonts w:ascii="Calibri" w:hAnsi="Calibri" w:hint="eastAsia"/>
          <w:color w:val="000000"/>
          <w:sz w:val="22"/>
          <w:szCs w:val="22"/>
        </w:rPr>
        <w:t>ó</w:t>
      </w:r>
      <w:r w:rsidRPr="00FC6DE2">
        <w:rPr>
          <w:rFonts w:ascii="Calibri" w:hAnsi="Calibri"/>
          <w:color w:val="000000"/>
          <w:sz w:val="22"/>
          <w:szCs w:val="22"/>
        </w:rPr>
        <w:t>w ptak</w:t>
      </w:r>
      <w:r w:rsidRPr="00FC6DE2">
        <w:rPr>
          <w:rFonts w:ascii="Calibri" w:hAnsi="Calibri" w:hint="eastAsia"/>
          <w:color w:val="000000"/>
          <w:sz w:val="22"/>
          <w:szCs w:val="22"/>
        </w:rPr>
        <w:t>ó</w:t>
      </w:r>
      <w:r w:rsidRPr="00FC6DE2">
        <w:rPr>
          <w:rFonts w:ascii="Calibri" w:hAnsi="Calibri"/>
          <w:color w:val="000000"/>
          <w:sz w:val="22"/>
          <w:szCs w:val="22"/>
        </w:rPr>
        <w:t>w typowych dla siedlisk krajobrazu rolniczego. Jest on traktowany jako wska</w:t>
      </w:r>
      <w:r w:rsidRPr="00FC6DE2">
        <w:rPr>
          <w:rFonts w:ascii="Calibri" w:hAnsi="Calibri" w:hint="eastAsia"/>
          <w:color w:val="000000"/>
          <w:sz w:val="22"/>
          <w:szCs w:val="22"/>
        </w:rPr>
        <w:t>ź</w:t>
      </w:r>
      <w:r w:rsidRPr="00FC6DE2">
        <w:rPr>
          <w:rFonts w:ascii="Calibri" w:hAnsi="Calibri"/>
          <w:color w:val="000000"/>
          <w:sz w:val="22"/>
          <w:szCs w:val="22"/>
        </w:rPr>
        <w:t>nik stanu "zdrowia" ekosystem</w:t>
      </w:r>
      <w:r w:rsidRPr="00FC6DE2">
        <w:rPr>
          <w:rFonts w:ascii="Calibri" w:hAnsi="Calibri" w:hint="eastAsia"/>
          <w:color w:val="000000"/>
          <w:sz w:val="22"/>
          <w:szCs w:val="22"/>
        </w:rPr>
        <w:t>ó</w:t>
      </w:r>
      <w:r w:rsidRPr="00FC6DE2">
        <w:rPr>
          <w:rFonts w:ascii="Calibri" w:hAnsi="Calibri"/>
          <w:color w:val="000000"/>
          <w:sz w:val="22"/>
          <w:szCs w:val="22"/>
        </w:rPr>
        <w:t>w u</w:t>
      </w:r>
      <w:r w:rsidRPr="00FC6DE2">
        <w:rPr>
          <w:rFonts w:ascii="Calibri" w:hAnsi="Calibri" w:hint="eastAsia"/>
          <w:color w:val="000000"/>
          <w:sz w:val="22"/>
          <w:szCs w:val="22"/>
        </w:rPr>
        <w:t>ż</w:t>
      </w:r>
      <w:r w:rsidRPr="00FC6DE2">
        <w:rPr>
          <w:rFonts w:ascii="Calibri" w:hAnsi="Calibri"/>
          <w:color w:val="000000"/>
          <w:sz w:val="22"/>
          <w:szCs w:val="22"/>
        </w:rPr>
        <w:t>ytkowanych rolniczo, stanowi</w:t>
      </w:r>
      <w:r w:rsidRPr="00FC6DE2">
        <w:rPr>
          <w:rFonts w:ascii="Calibri" w:hAnsi="Calibri" w:hint="eastAsia"/>
          <w:color w:val="000000"/>
          <w:sz w:val="22"/>
          <w:szCs w:val="22"/>
        </w:rPr>
        <w:t>ą</w:t>
      </w:r>
      <w:r w:rsidRPr="00FC6DE2">
        <w:rPr>
          <w:rFonts w:ascii="Calibri" w:hAnsi="Calibri"/>
          <w:color w:val="000000"/>
          <w:sz w:val="22"/>
          <w:szCs w:val="22"/>
        </w:rPr>
        <w:t>cych ok. 60% powierzchni naszego kraju.</w:t>
      </w:r>
      <w:r w:rsidRPr="00FC6DE2">
        <w:rPr>
          <w:rFonts w:ascii="Calibri" w:hAnsi="Calibri" w:hint="eastAsia"/>
          <w:color w:val="000000"/>
          <w:sz w:val="22"/>
          <w:szCs w:val="22"/>
        </w:rPr>
        <w:t> </w:t>
      </w:r>
      <w:r w:rsidRPr="00FC6DE2">
        <w:rPr>
          <w:rFonts w:ascii="Calibri" w:hAnsi="Calibri"/>
          <w:color w:val="000000"/>
          <w:sz w:val="22"/>
          <w:szCs w:val="22"/>
        </w:rPr>
        <w:t>W skład polskiego koszyka gatunków, których indeksy liczebności składają się na FBI wchodzą obecnie: bocian biały, pustułka, czajka, rycyk, dudek, turkawka, skowronek, dzierlatka, świergotek łąkowy, pliszka żółta, dymówka, pokląskwa, kląskawka, cierniówka, gąsiorek, mazurek, szpak, makolągwa, kulczyk, potrzeszcz, trznadel i ortolan.</w:t>
      </w:r>
    </w:p>
    <w:p w14:paraId="67FCFA85" w14:textId="77777777" w:rsidR="00700B11" w:rsidRDefault="00700B11" w:rsidP="00700B1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0B45CED4" w14:textId="6D831D83" w:rsidR="00700B11" w:rsidRDefault="00700B11" w:rsidP="00700B1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00B11">
        <w:rPr>
          <w:rFonts w:ascii="Calibri" w:hAnsi="Calibri"/>
          <w:color w:val="000000"/>
          <w:sz w:val="22"/>
          <w:szCs w:val="22"/>
        </w:rPr>
        <w:t>W 2017 r. war</w:t>
      </w:r>
      <w:r w:rsidR="00D20EC8">
        <w:rPr>
          <w:rFonts w:ascii="Calibri" w:hAnsi="Calibri"/>
          <w:color w:val="000000"/>
          <w:sz w:val="22"/>
          <w:szCs w:val="22"/>
        </w:rPr>
        <w:t>tość wskaźnika FBI wyniosła 0,7998</w:t>
      </w:r>
      <w:r w:rsidRPr="00700B11">
        <w:rPr>
          <w:rFonts w:ascii="Calibri" w:hAnsi="Calibri"/>
          <w:color w:val="000000"/>
          <w:sz w:val="22"/>
          <w:szCs w:val="22"/>
        </w:rPr>
        <w:t xml:space="preserve"> i był to najniższy poziom w historii badań. Trend zmiany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00B11">
        <w:rPr>
          <w:rFonts w:ascii="Calibri" w:hAnsi="Calibri"/>
          <w:color w:val="000000"/>
          <w:sz w:val="22"/>
          <w:szCs w:val="22"/>
        </w:rPr>
        <w:t>liczebności gatunków jest spadkowy. Względem 2000 r. wartość wskaźnika zmalała o 20%. Najwyższy poziom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00B11">
        <w:rPr>
          <w:rFonts w:ascii="Calibri" w:hAnsi="Calibri"/>
          <w:color w:val="000000"/>
          <w:sz w:val="22"/>
          <w:szCs w:val="22"/>
        </w:rPr>
        <w:t>wskaźnika odnotowano w 2008 r. (0,99). Z danych składowych wynika, że wartość wskaźnika względem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00B11">
        <w:rPr>
          <w:rFonts w:ascii="Calibri" w:hAnsi="Calibri"/>
          <w:color w:val="000000"/>
          <w:sz w:val="22"/>
          <w:szCs w:val="22"/>
        </w:rPr>
        <w:t>roku bazowego wzrosła najbardziej dla kląskawki (o 66%), zaś najbardziej zmalała dla czajki (o 76%).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00B11">
        <w:rPr>
          <w:rFonts w:ascii="Calibri" w:hAnsi="Calibri"/>
          <w:color w:val="000000"/>
          <w:sz w:val="22"/>
          <w:szCs w:val="22"/>
        </w:rPr>
        <w:t>Według danych Eurostatu zagregowany wskaźnik dla krajów Unii Europejskiej w 2014 r. wyniósł 0,84 i był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00B11">
        <w:rPr>
          <w:rFonts w:ascii="Calibri" w:hAnsi="Calibri"/>
          <w:color w:val="000000"/>
          <w:sz w:val="22"/>
          <w:szCs w:val="22"/>
        </w:rPr>
        <w:t>niższy w stosunku do roku bazowego o 16%</w:t>
      </w:r>
      <w:r>
        <w:rPr>
          <w:rStyle w:val="Odwoanieprzypisudolnego"/>
          <w:rFonts w:ascii="Calibri" w:hAnsi="Calibri"/>
          <w:color w:val="000000"/>
          <w:sz w:val="22"/>
          <w:szCs w:val="22"/>
        </w:rPr>
        <w:footnoteReference w:id="13"/>
      </w:r>
      <w:r w:rsidRPr="00700B11">
        <w:rPr>
          <w:rFonts w:ascii="Calibri" w:hAnsi="Calibri"/>
          <w:color w:val="000000"/>
          <w:sz w:val="22"/>
          <w:szCs w:val="22"/>
        </w:rPr>
        <w:t>.</w:t>
      </w:r>
    </w:p>
    <w:p w14:paraId="23069019" w14:textId="77777777" w:rsidR="00D20EC8" w:rsidRDefault="00D20EC8" w:rsidP="00D20EC8">
      <w:pPr>
        <w:shd w:val="clear" w:color="auto" w:fill="FFFFFF"/>
        <w:jc w:val="both"/>
        <w:rPr>
          <w:rFonts w:ascii="titilliumtext22llight" w:hAnsi="titilliumtext22llight"/>
          <w:color w:val="000000"/>
          <w:sz w:val="21"/>
          <w:szCs w:val="21"/>
        </w:rPr>
      </w:pPr>
      <w:r>
        <w:rPr>
          <w:noProof/>
          <w:lang w:eastAsia="pl-PL"/>
        </w:rPr>
        <w:lastRenderedPageBreak/>
        <w:drawing>
          <wp:inline distT="0" distB="0" distL="0" distR="0" wp14:anchorId="2C55F8E7" wp14:editId="793A887C">
            <wp:extent cx="5705475" cy="3671662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6706" t="34111" r="10880" b="5901"/>
                    <a:stretch/>
                  </pic:blipFill>
                  <pic:spPr bwMode="auto">
                    <a:xfrm>
                      <a:off x="0" y="0"/>
                      <a:ext cx="5718020" cy="367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2D584" w14:textId="77777777" w:rsidR="00D20EC8" w:rsidRPr="0042758F" w:rsidRDefault="00D20EC8" w:rsidP="00D20EC8">
      <w:pPr>
        <w:pStyle w:val="Akapitzlist"/>
        <w:tabs>
          <w:tab w:val="left" w:pos="2816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Źródło: „</w:t>
      </w:r>
      <w:r w:rsidRPr="0025038D">
        <w:rPr>
          <w:i/>
          <w:sz w:val="20"/>
          <w:szCs w:val="20"/>
          <w:u w:val="single"/>
        </w:rPr>
        <w:t>Ochrona środowiska 2018</w:t>
      </w:r>
      <w:r>
        <w:rPr>
          <w:i/>
          <w:sz w:val="20"/>
          <w:szCs w:val="20"/>
          <w:u w:val="single"/>
        </w:rPr>
        <w:t>”,</w:t>
      </w:r>
      <w:r w:rsidRPr="0025038D">
        <w:rPr>
          <w:i/>
          <w:sz w:val="20"/>
          <w:szCs w:val="20"/>
          <w:u w:val="single"/>
        </w:rPr>
        <w:t xml:space="preserve"> Głó</w:t>
      </w:r>
      <w:r>
        <w:rPr>
          <w:i/>
          <w:sz w:val="20"/>
          <w:szCs w:val="20"/>
          <w:u w:val="single"/>
        </w:rPr>
        <w:t>wny Urząd Statystyczny, s. 123.</w:t>
      </w:r>
    </w:p>
    <w:p w14:paraId="101C4CC5" w14:textId="77777777" w:rsidR="00700B11" w:rsidRDefault="00700B11" w:rsidP="00BB733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67B0FA36" w14:textId="6792F174" w:rsidR="00BB7332" w:rsidRPr="00FC6DE2" w:rsidRDefault="00BB7332" w:rsidP="00BB733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A79B0">
        <w:rPr>
          <w:rFonts w:ascii="Calibri" w:hAnsi="Calibri"/>
          <w:color w:val="000000"/>
          <w:sz w:val="22"/>
          <w:szCs w:val="22"/>
        </w:rPr>
        <w:t>Ochronie wielu rzadkich i zagrożonych wyginięciem gatunków ptaków służy obecna WPR. W ramach Działania rolno-środowiskowo-klimatycznego Programu Rozwoju Obszarów Wiejskich na lata 2014</w:t>
      </w:r>
      <w:r>
        <w:rPr>
          <w:rFonts w:ascii="Calibri" w:hAnsi="Calibri"/>
          <w:color w:val="000000"/>
          <w:sz w:val="22"/>
          <w:szCs w:val="22"/>
        </w:rPr>
        <w:t>–</w:t>
      </w:r>
      <w:r w:rsidRPr="006A79B0">
        <w:rPr>
          <w:rFonts w:ascii="Calibri" w:hAnsi="Calibri"/>
          <w:color w:val="000000"/>
          <w:sz w:val="22"/>
          <w:szCs w:val="22"/>
        </w:rPr>
        <w:t xml:space="preserve">2020 wspierane są praktyki środowiskowe sprzyjające m.in. zachowaniu siedlisk lęgowych zagrożonych gatunków ptaków na obszarze specjalnej ochrony ptaków (OSO). Wsparcie dedykowane jest  w szczególności takim gatunkom jak: rycyk, kszyk, </w:t>
      </w:r>
      <w:proofErr w:type="spellStart"/>
      <w:r w:rsidRPr="006A79B0">
        <w:rPr>
          <w:rFonts w:ascii="Calibri" w:hAnsi="Calibri"/>
          <w:color w:val="000000"/>
          <w:sz w:val="22"/>
          <w:szCs w:val="22"/>
        </w:rPr>
        <w:t>krwawodziób</w:t>
      </w:r>
      <w:proofErr w:type="spellEnd"/>
      <w:r w:rsidRPr="006A79B0">
        <w:rPr>
          <w:rFonts w:ascii="Calibri" w:hAnsi="Calibri"/>
          <w:color w:val="000000"/>
          <w:sz w:val="22"/>
          <w:szCs w:val="22"/>
        </w:rPr>
        <w:t>, czajka, wodniczka, dubelt, kulik wielki oraz derkacz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0B7BCA81" w14:textId="77777777" w:rsidR="00BB7332" w:rsidRDefault="00BB7332" w:rsidP="00BB733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14:paraId="27146505" w14:textId="77777777" w:rsidR="00BB7332" w:rsidRDefault="00BB7332" w:rsidP="00BB733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C6DE2">
        <w:rPr>
          <w:rFonts w:ascii="Calibri" w:hAnsi="Calibri"/>
          <w:sz w:val="22"/>
          <w:szCs w:val="22"/>
        </w:rPr>
        <w:t>Pakiety działań, przyczyniających się do zahamowania spadku liczebności wskaźnikowych gatunków krajobrazu rolniczego, realizowane są w Programie Rozwoju Obszarów Wiejskich 2007–2013 i 2014–2020</w:t>
      </w:r>
      <w:r>
        <w:rPr>
          <w:rFonts w:ascii="Calibri" w:hAnsi="Calibri"/>
          <w:sz w:val="22"/>
          <w:szCs w:val="22"/>
        </w:rPr>
        <w:t>, przy czym w perspektywie 2014–2020 zostały dedykowane terenom rolnym położonym na obszarach specjalnej ochrony ptaków</w:t>
      </w:r>
      <w:r w:rsidRPr="00FC6DE2">
        <w:rPr>
          <w:rFonts w:ascii="Calibri" w:hAnsi="Calibri"/>
          <w:sz w:val="22"/>
          <w:szCs w:val="22"/>
        </w:rPr>
        <w:t>.</w:t>
      </w:r>
    </w:p>
    <w:p w14:paraId="497C6940" w14:textId="77777777" w:rsidR="00700B11" w:rsidRPr="000D3C4C" w:rsidRDefault="00700B11" w:rsidP="00BB733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C3208E7" w14:textId="77777777" w:rsidR="00BB7332" w:rsidRPr="005B26C4" w:rsidRDefault="00BB7332" w:rsidP="00BB7332">
      <w:pPr>
        <w:jc w:val="both"/>
        <w:rPr>
          <w:b/>
          <w:i/>
        </w:rPr>
      </w:pPr>
      <w:r w:rsidRPr="005B26C4">
        <w:rPr>
          <w:b/>
          <w:i/>
        </w:rPr>
        <w:t>Technologie środowiskowe</w:t>
      </w:r>
    </w:p>
    <w:p w14:paraId="068C6588" w14:textId="49A01697" w:rsidR="00BB7332" w:rsidRDefault="00BB7332" w:rsidP="00BB7332">
      <w:pPr>
        <w:tabs>
          <w:tab w:val="left" w:pos="2816"/>
        </w:tabs>
        <w:jc w:val="both"/>
      </w:pPr>
      <w:proofErr w:type="spellStart"/>
      <w:r>
        <w:t>BEiŚ</w:t>
      </w:r>
      <w:proofErr w:type="spellEnd"/>
      <w:r>
        <w:t xml:space="preserve"> wskazał na konieczność wzmocnienia badań, wdrażania i promocji technologii środowiskowych jako niezbędne dla osiągnięcia innowacyjnej gospodarki niskoemisyjnej i przyjaznej środowisku. Sprzyjać temu </w:t>
      </w:r>
      <w:r w:rsidR="00D20EC8">
        <w:t xml:space="preserve">miały działania takie jak promocja polskich technologii środowiskowych za granicą w ramach projektu </w:t>
      </w:r>
      <w:proofErr w:type="spellStart"/>
      <w:r w:rsidR="00D20EC8">
        <w:t>GreenE</w:t>
      </w:r>
      <w:r>
        <w:t>vo</w:t>
      </w:r>
      <w:proofErr w:type="spellEnd"/>
      <w:r>
        <w:t xml:space="preserve"> czy wdrożenie w Polsce systemu ETV. Miały one przyczynić się do wzmocnienia transferu wyników badań dotyczących </w:t>
      </w:r>
      <w:proofErr w:type="spellStart"/>
      <w:r>
        <w:t>ekoinnowacji</w:t>
      </w:r>
      <w:proofErr w:type="spellEnd"/>
      <w:r>
        <w:t xml:space="preserve"> do praktyki rynkowej, wspomóc komercjalizację technologii środowiskowych i stworzyć ofertę rynkową tych rozwiązań na rynek krajowy i zagraniczny.</w:t>
      </w:r>
    </w:p>
    <w:p w14:paraId="531FBD31" w14:textId="77777777" w:rsidR="00BB7332" w:rsidRDefault="00BB7332" w:rsidP="00BB7332">
      <w:pPr>
        <w:tabs>
          <w:tab w:val="left" w:pos="2816"/>
        </w:tabs>
        <w:jc w:val="both"/>
      </w:pPr>
      <w:r w:rsidRPr="005B26C4">
        <w:lastRenderedPageBreak/>
        <w:t>System weryfikacji technologii środowiskowych (ETV)</w:t>
      </w:r>
      <w:r>
        <w:t xml:space="preserve">, oparty o </w:t>
      </w:r>
      <w:r w:rsidRPr="00D50E7C">
        <w:rPr>
          <w:i/>
        </w:rPr>
        <w:t>Pilotażowy Program Weryfikacji Technologii Środowiskowych ETV Unii Europejskiej</w:t>
      </w:r>
      <w:r>
        <w:rPr>
          <w:rStyle w:val="Odwoanieprzypisudolnego"/>
        </w:rPr>
        <w:footnoteReference w:id="14"/>
      </w:r>
      <w:r>
        <w:t>,</w:t>
      </w:r>
      <w:r w:rsidRPr="005B26C4">
        <w:t xml:space="preserve"> potwierdza deklarowany przez producenta efekt działania danej technologii. </w:t>
      </w:r>
      <w:r w:rsidRPr="001D0011">
        <w:t>Weryfikacji dokonują akredytowane przez Polskie Centrum Akredytacji (PCA)</w:t>
      </w:r>
      <w:r>
        <w:t xml:space="preserve"> Jednostki Weryfikujące ETV (JW). Od sierpnia 2016 r.</w:t>
      </w:r>
      <w:r w:rsidRPr="001D0011">
        <w:t xml:space="preserve"> w Polsce </w:t>
      </w:r>
      <w:r>
        <w:t>funkcjonują cztery</w:t>
      </w:r>
      <w:r w:rsidRPr="001D0011">
        <w:t xml:space="preserve"> takie jednostki, które są gotowe do weryfikacji technologii środowiskowych we wszystkich obszarach pilotażu UE. Każda Jednostka Weryfikująca uzyskała akredytację jednostki inspekcyjnej typu A, czyli o najwyższym stopniu bezstronności i rzetelności wykonywanych badań. </w:t>
      </w:r>
      <w:r w:rsidRPr="005B26C4">
        <w:t xml:space="preserve">W ten sposób ETV </w:t>
      </w:r>
      <w:r>
        <w:t xml:space="preserve">realnie </w:t>
      </w:r>
      <w:r w:rsidRPr="005B26C4">
        <w:t>wspiera komercjalizację i upowszechnianie innowacyjnych technologii środowiskowych</w:t>
      </w:r>
      <w:r w:rsidRPr="001D0011">
        <w:t>, a uzyskiwane przez przedsiębiorców Świadectwo Weryfikacji ułatwia, a niejednokrotnie umożliwia</w:t>
      </w:r>
      <w:r>
        <w:t>,</w:t>
      </w:r>
      <w:r w:rsidRPr="001D0011">
        <w:t xml:space="preserve"> im dostęp do rynków zagranicznych.</w:t>
      </w:r>
      <w:r w:rsidRPr="005B26C4">
        <w:t xml:space="preserve"> </w:t>
      </w:r>
    </w:p>
    <w:p w14:paraId="03A9CFC7" w14:textId="74DFAC2D" w:rsidR="00BB7332" w:rsidRDefault="00BB7332" w:rsidP="00BB7332">
      <w:pPr>
        <w:tabs>
          <w:tab w:val="left" w:pos="2816"/>
        </w:tabs>
        <w:jc w:val="both"/>
      </w:pPr>
      <w:r w:rsidRPr="005B26C4">
        <w:t xml:space="preserve">W </w:t>
      </w:r>
      <w:proofErr w:type="spellStart"/>
      <w:r>
        <w:t>BEiŚ</w:t>
      </w:r>
      <w:proofErr w:type="spellEnd"/>
      <w:r w:rsidRPr="005B26C4">
        <w:t xml:space="preserve"> założono, że do 2020 r. 20 polskich technologii zostanie zweryfikowanych w ramach ETV. </w:t>
      </w:r>
      <w:r>
        <w:t xml:space="preserve">Jednakże </w:t>
      </w:r>
      <w:r w:rsidRPr="005B26C4">
        <w:t xml:space="preserve">osiągnięcie </w:t>
      </w:r>
      <w:r>
        <w:t xml:space="preserve">szacowanego w </w:t>
      </w:r>
      <w:proofErr w:type="spellStart"/>
      <w:r>
        <w:t>BEiŚ</w:t>
      </w:r>
      <w:proofErr w:type="spellEnd"/>
      <w:r>
        <w:t xml:space="preserve"> </w:t>
      </w:r>
      <w:r w:rsidRPr="005B26C4">
        <w:t>wskaźnika jest mało prawdopodobne.</w:t>
      </w:r>
      <w:r w:rsidR="00D20EC8">
        <w:t xml:space="preserve"> Do końca 2018 r. zweryfikowano</w:t>
      </w:r>
      <w:r>
        <w:t xml:space="preserve"> </w:t>
      </w:r>
      <w:r w:rsidR="00D20EC8">
        <w:t xml:space="preserve">dwie polskie technologie, przy ogólnej liczbie 29 weryfikacji w UE. </w:t>
      </w:r>
      <w:r>
        <w:t xml:space="preserve">Głównymi powodami są wysokie koszty weryfikacji oraz słaba rozpoznawalność świadectw weryfikacji ETV na rynku. Wynika ona z niewystarczającej wiedzy przedsiębiorców i administracji, jednostek finansujących badania i wdrażanie </w:t>
      </w:r>
      <w:proofErr w:type="spellStart"/>
      <w:r>
        <w:t>ekoinnowacji</w:t>
      </w:r>
      <w:proofErr w:type="spellEnd"/>
      <w:r>
        <w:t xml:space="preserve"> oraz projekty inwestycyjne, jak również konsorcjów naukowo-przemysłowych, realizujących projekty B+R+I, na temat ETV i możliwości wykorzystania tego narzędzia do zwiększenia prawdopodobieństwa wdrożenia technologii i wzmocnienia jej potencjału komercjalizacyjnego, budowania konkurencyjnej pozycji firmy na rynku. ETV może być także wykorzystywane do uwiarygodnienia innowacyjności, potwierdzenia efektu ekologicznego technologii, w zielonych zamówieniach publicznych jako p</w:t>
      </w:r>
      <w:r w:rsidRPr="00E40FAD">
        <w:t>otwierdzenie spełniania przez oferowaną technologię oczekiwań zamawiającego</w:t>
      </w:r>
      <w:r>
        <w:t xml:space="preserve">. Innym powodem ograniczającym liczbę zweryfikowanych technologii jest wolniejsze niż zakładano tempo przeprowadzania weryfikacji. Długość procesu weryfikacji jest </w:t>
      </w:r>
      <w:r w:rsidRPr="005B26C4">
        <w:t>zależna od</w:t>
      </w:r>
      <w:r>
        <w:t xml:space="preserve"> rodzaju i</w:t>
      </w:r>
      <w:r w:rsidRPr="005B26C4">
        <w:t xml:space="preserve"> stopnia </w:t>
      </w:r>
      <w:r>
        <w:t>skomplikowania</w:t>
      </w:r>
      <w:r w:rsidRPr="005B26C4">
        <w:t xml:space="preserve"> technologii </w:t>
      </w:r>
      <w:r>
        <w:t xml:space="preserve">i parametrów działania </w:t>
      </w:r>
      <w:r w:rsidRPr="005B26C4">
        <w:t>do weryfikacji</w:t>
      </w:r>
      <w:r>
        <w:t xml:space="preserve"> </w:t>
      </w:r>
      <w:r w:rsidRPr="005B26C4">
        <w:t xml:space="preserve">Niektóre technologie </w:t>
      </w:r>
      <w:r>
        <w:t xml:space="preserve">mogą </w:t>
      </w:r>
      <w:r w:rsidRPr="005B26C4">
        <w:t>wymaga</w:t>
      </w:r>
      <w:r>
        <w:t>ć</w:t>
      </w:r>
      <w:r w:rsidRPr="005B26C4">
        <w:t xml:space="preserve"> badań potwierdzających sprawność w ciągu całego roku (np. technologie oczyszczania ścieków), stąd proces weryfikacji do momentu wydania </w:t>
      </w:r>
      <w:r>
        <w:t>ś</w:t>
      </w:r>
      <w:r w:rsidRPr="005B26C4">
        <w:t xml:space="preserve">wiadectwa </w:t>
      </w:r>
      <w:r>
        <w:t>w</w:t>
      </w:r>
      <w:r w:rsidRPr="005B26C4">
        <w:t>eryfikacji ETV może trwać</w:t>
      </w:r>
      <w:r>
        <w:t xml:space="preserve"> od kilku do nawet</w:t>
      </w:r>
      <w:r w:rsidRPr="005B26C4">
        <w:t xml:space="preserve"> kilk</w:t>
      </w:r>
      <w:r>
        <w:t xml:space="preserve">unastu </w:t>
      </w:r>
      <w:r w:rsidRPr="005B26C4">
        <w:t>miesięcy.</w:t>
      </w:r>
      <w:r>
        <w:t xml:space="preserve"> Ponadto przebieg weryfikacji zwalniają także stopień i możliwości zaangażowania przedsiębiorcy w proces, dostępność środków, jakimi dysponuje przedsiębiorca.</w:t>
      </w:r>
    </w:p>
    <w:p w14:paraId="2494CA01" w14:textId="507EC501" w:rsidR="00BB7332" w:rsidRDefault="00BB7332" w:rsidP="00BB7332">
      <w:pPr>
        <w:tabs>
          <w:tab w:val="left" w:pos="2816"/>
        </w:tabs>
        <w:jc w:val="both"/>
      </w:pPr>
      <w:r>
        <w:t>Główną b</w:t>
      </w:r>
      <w:r w:rsidRPr="005B26C4">
        <w:t xml:space="preserve">arierą dla przedsiębiorców do przystępowania do programu </w:t>
      </w:r>
      <w:r>
        <w:t>okazały się</w:t>
      </w:r>
      <w:r w:rsidRPr="005B26C4">
        <w:t xml:space="preserve"> wysokie koszty</w:t>
      </w:r>
      <w:r>
        <w:t xml:space="preserve"> badań, prowadzonych przez wykwalifikowane jednostki badawcze , w tym akredytowane laboratoria</w:t>
      </w:r>
      <w:r w:rsidRPr="005B26C4">
        <w:t>. Odpowiedzią na ten problem jest program dotacyjny</w:t>
      </w:r>
      <w:r w:rsidRPr="00326DCF">
        <w:rPr>
          <w:sz w:val="28"/>
          <w:szCs w:val="28"/>
        </w:rPr>
        <w:t xml:space="preserve"> </w:t>
      </w:r>
      <w:r w:rsidRPr="005B26C4">
        <w:t>Narodowego Funduszu Ochrony Środowiska i Gospodarki Wodnej</w:t>
      </w:r>
      <w:r>
        <w:rPr>
          <w:rStyle w:val="Odwoanieprzypisudolnego"/>
        </w:rPr>
        <w:footnoteReference w:id="15"/>
      </w:r>
      <w:r w:rsidRPr="005B26C4">
        <w:t xml:space="preserve">, uruchomiony w 2017 r. </w:t>
      </w:r>
      <w:r>
        <w:t xml:space="preserve">Dofinansowanie dla przedsiębiorców jest realną zachętą do weryfikacji jak największej liczby polskich technologii </w:t>
      </w:r>
      <w:proofErr w:type="spellStart"/>
      <w:r>
        <w:t>ekoinnowacyjnych</w:t>
      </w:r>
      <w:proofErr w:type="spellEnd"/>
      <w:r>
        <w:t xml:space="preserve">. Jednakże przewidziany poziom </w:t>
      </w:r>
      <w:r w:rsidR="00D20EC8">
        <w:t xml:space="preserve">dofinansowania postrzegany był </w:t>
      </w:r>
      <w:r>
        <w:t>jako zbyt niski w porównaniu do zakładanych kosztów weryfikacji badaniami badań.</w:t>
      </w:r>
      <w:r w:rsidR="00D20EC8">
        <w:t xml:space="preserve"> Decyzję o zwiększeniu </w:t>
      </w:r>
      <w:r w:rsidR="00D8315A">
        <w:t xml:space="preserve">maksymalnej kwoty </w:t>
      </w:r>
      <w:r w:rsidR="00D20EC8">
        <w:t>dofinansowania podjęto w 2018 r.</w:t>
      </w:r>
      <w:r>
        <w:t xml:space="preserve"> Niedostateczny poziom dofinansowania w połączeniu ze słabą rozpoznawalnością ETV na rynku </w:t>
      </w:r>
      <w:r>
        <w:lastRenderedPageBreak/>
        <w:t>po</w:t>
      </w:r>
      <w:r w:rsidR="00D20EC8">
        <w:t>wodowały</w:t>
      </w:r>
      <w:r>
        <w:t xml:space="preserve"> ograniczone zainteresowanie polskich firm weryfikacjami. Z uwagi na fakt, że program wsparcia ETV w Polsce funkcjonuje od niedawna, e</w:t>
      </w:r>
      <w:r w:rsidRPr="005B26C4">
        <w:t>fekty działania programu będą znane dopiero w kolejnych latach.</w:t>
      </w:r>
      <w:r>
        <w:t xml:space="preserve"> Na zwiększenie liczby zweryfikowanych technologii w </w:t>
      </w:r>
      <w:r w:rsidR="00D8315A">
        <w:t>przyszłości wpływ powinno</w:t>
      </w:r>
      <w:r>
        <w:t xml:space="preserve"> mieć</w:t>
      </w:r>
      <w:r w:rsidR="00D8315A">
        <w:t xml:space="preserve"> zwiększone dofinansowanie NFOŚiGW oraz</w:t>
      </w:r>
      <w:r>
        <w:t xml:space="preserve"> skuteczniejsze upowszechnienie informacji na temat systemu ETV w celu zwiększenia rozpoznawalności świadectw weryfikacji ETV na rynku wśród dostawców oraz nabywców technologii, szczególnie z sektora finansów publicznych i administracji publicznej pod kątem wykorzystania w zamówieniach publicznych dla s</w:t>
      </w:r>
      <w:r w:rsidRPr="00021F61">
        <w:t>tymulowani</w:t>
      </w:r>
      <w:r>
        <w:t>a</w:t>
      </w:r>
      <w:r w:rsidRPr="00021F61">
        <w:t xml:space="preserve"> popytu na innowacje</w:t>
      </w:r>
      <w:r>
        <w:t>.</w:t>
      </w:r>
      <w:r w:rsidRPr="00021F61">
        <w:t xml:space="preserve"> </w:t>
      </w:r>
    </w:p>
    <w:p w14:paraId="7B16517D" w14:textId="77777777" w:rsidR="00BB7332" w:rsidRDefault="00BB7332" w:rsidP="00BB7332">
      <w:pPr>
        <w:tabs>
          <w:tab w:val="left" w:pos="2816"/>
        </w:tabs>
        <w:jc w:val="both"/>
      </w:pPr>
      <w:r>
        <w:t xml:space="preserve">Znaczący wpływ na liczbę weryfikacji może mieć także </w:t>
      </w:r>
      <w:r w:rsidRPr="00021F61">
        <w:t>rozszerz</w:t>
      </w:r>
      <w:r>
        <w:t xml:space="preserve">enie </w:t>
      </w:r>
      <w:r w:rsidRPr="00021F61">
        <w:t>obszar</w:t>
      </w:r>
      <w:r>
        <w:t>ów</w:t>
      </w:r>
      <w:r w:rsidRPr="00021F61">
        <w:t xml:space="preserve"> technologicznych</w:t>
      </w:r>
      <w:r>
        <w:t xml:space="preserve"> wraz z wdrożeniem pełnego programu ETV na poziomie UE. Rozszerzenie to obejmuje </w:t>
      </w:r>
      <w:r w:rsidRPr="00021F61">
        <w:t xml:space="preserve">obszary </w:t>
      </w:r>
      <w:r>
        <w:t xml:space="preserve">technologiczne ściśle powiązane z realizacją w Polsce strategicznych projektów, wymagających innowacyjnych rozwiązań technicznych i technologicznych, w tym np. dla usprawnienia </w:t>
      </w:r>
      <w:r w:rsidRPr="002366AC">
        <w:t>systemu zarządzania jakością powietrza</w:t>
      </w:r>
      <w:r>
        <w:t xml:space="preserve">, poprawy produktywności korzystania z zasobów, ochrony powierzchni ziemi czy nowych technologii surowcowych. </w:t>
      </w:r>
    </w:p>
    <w:p w14:paraId="22413367" w14:textId="77777777" w:rsidR="00BB7332" w:rsidRDefault="00BB7332" w:rsidP="00BB7332">
      <w:pPr>
        <w:tabs>
          <w:tab w:val="left" w:pos="2816"/>
        </w:tabs>
        <w:jc w:val="both"/>
      </w:pPr>
      <w:r>
        <w:t>Na wzrost zainteresowania ETV wpłyną też szersze możliwości wykorzystania świadectw weryfikacji ETV dzięki prowadzeniu przez jednostki weryfikujące procesu zgodnie z ogólnoświatową normą przyjętą także w Polsce</w:t>
      </w:r>
      <w:r>
        <w:rPr>
          <w:rStyle w:val="Odwoanieprzypisudolnego"/>
        </w:rPr>
        <w:footnoteReference w:id="16"/>
      </w:r>
      <w:r>
        <w:t>. Zwiększy to uznawalność świadectw weryfikacji, wydawanych polskim technologiom, na rynkach międzynarodowych, np. w Ameryce Płn. i Azji. Zwiększeniem liczby weryfikowanych technologii powinno także skutkować wykorzystanie ETV jako elementu systemowego do zwiększania prawdopodobieństwa wdrożenia oraz potencjału komercjalizacyjnego nowych technologii środowiskowych w projektach B+R+I.</w:t>
      </w:r>
    </w:p>
    <w:p w14:paraId="3A5DCE29" w14:textId="77777777" w:rsidR="00B4304D" w:rsidRPr="00BB7332" w:rsidRDefault="00B4304D" w:rsidP="00BB7332"/>
    <w:sectPr w:rsidR="00B4304D" w:rsidRPr="00BB7332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6CB55" w14:textId="77777777" w:rsidR="00C9002A" w:rsidRDefault="00C9002A" w:rsidP="00BB7332">
      <w:pPr>
        <w:spacing w:after="0" w:line="240" w:lineRule="auto"/>
      </w:pPr>
      <w:r>
        <w:separator/>
      </w:r>
    </w:p>
  </w:endnote>
  <w:endnote w:type="continuationSeparator" w:id="0">
    <w:p w14:paraId="4EBF9D84" w14:textId="77777777" w:rsidR="00C9002A" w:rsidRDefault="00C9002A" w:rsidP="00BB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2l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DD82" w14:textId="77777777" w:rsidR="00C9002A" w:rsidRDefault="00C9002A" w:rsidP="00BB7332">
      <w:pPr>
        <w:spacing w:after="0" w:line="240" w:lineRule="auto"/>
      </w:pPr>
      <w:r>
        <w:separator/>
      </w:r>
    </w:p>
  </w:footnote>
  <w:footnote w:type="continuationSeparator" w:id="0">
    <w:p w14:paraId="68C9C2E7" w14:textId="77777777" w:rsidR="00C9002A" w:rsidRDefault="00C9002A" w:rsidP="00BB7332">
      <w:pPr>
        <w:spacing w:after="0" w:line="240" w:lineRule="auto"/>
      </w:pPr>
      <w:r>
        <w:continuationSeparator/>
      </w:r>
    </w:p>
  </w:footnote>
  <w:footnote w:id="1">
    <w:p w14:paraId="3202AF21" w14:textId="77777777" w:rsidR="00BB7332" w:rsidRDefault="00BB7332" w:rsidP="00BB73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Uchwała Nr 58 Rady Ministrów z dnia 15 kwietnia 2014 r. w sprawie przyjęcia Strategii „Bezpieczeństwo Energetyczne i Środowisko – perspektywa do 2020 r.”, M.P.2017.469.</w:t>
      </w:r>
    </w:p>
  </w:footnote>
  <w:footnote w:id="2">
    <w:p w14:paraId="2C05498D" w14:textId="77777777" w:rsidR="00BB7332" w:rsidRDefault="00BB7332" w:rsidP="00BB73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6 grudnia 2006 r. o zasadach prowadzenia polityki rozwoju (Dz. U. z 2009 r. Nr 84, poz. 712, z </w:t>
      </w:r>
      <w:proofErr w:type="spellStart"/>
      <w:r>
        <w:t>późn</w:t>
      </w:r>
      <w:proofErr w:type="spellEnd"/>
      <w:r>
        <w:t>. zm.).</w:t>
      </w:r>
    </w:p>
  </w:footnote>
  <w:footnote w:id="3">
    <w:p w14:paraId="668F36BF" w14:textId="7D2A0B32" w:rsidR="000B65FE" w:rsidRDefault="000B65FE" w:rsidP="000B65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65FE">
        <w:rPr>
          <w:i/>
        </w:rPr>
        <w:t>Gospodarka wodociągowa i kanalizacyjna w Polsce w 2017 roku</w:t>
      </w:r>
      <w:r>
        <w:t>.</w:t>
      </w:r>
      <w:r w:rsidR="0025038D">
        <w:t xml:space="preserve"> Główny Urząd Statystyczny.</w:t>
      </w:r>
    </w:p>
  </w:footnote>
  <w:footnote w:id="4">
    <w:p w14:paraId="21FD5FA5" w14:textId="387C90B9" w:rsidR="0025038D" w:rsidRDefault="002503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038D">
        <w:rPr>
          <w:i/>
        </w:rPr>
        <w:t>Ochrona środowiska 2018</w:t>
      </w:r>
      <w:r>
        <w:t>, Główny Urząd Statystyczny, s. 66.</w:t>
      </w:r>
    </w:p>
  </w:footnote>
  <w:footnote w:id="5">
    <w:p w14:paraId="6B1D0C60" w14:textId="77777777" w:rsidR="00BB7332" w:rsidRDefault="00BB7332" w:rsidP="00BB73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3BA">
        <w:t>Dz. U. 2018, poz. 1339</w:t>
      </w:r>
      <w:r>
        <w:t>.</w:t>
      </w:r>
    </w:p>
  </w:footnote>
  <w:footnote w:id="6">
    <w:p w14:paraId="5470BC27" w14:textId="77777777" w:rsidR="00BB7332" w:rsidRDefault="00BB7332" w:rsidP="00BB73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42758F">
        <w:t xml:space="preserve"> Ministra Środowiska z dnia 29 grudnia 2016 r. w sprawie szczegółowego sposobu selektywnego zbierania wybranych frakcji odpadów (Dz. U. z 2017 r. poz. 19)</w:t>
      </w:r>
      <w:r>
        <w:t>.</w:t>
      </w:r>
    </w:p>
  </w:footnote>
  <w:footnote w:id="7">
    <w:p w14:paraId="03EF18FC" w14:textId="77777777" w:rsidR="00BB7332" w:rsidRDefault="00BB7332" w:rsidP="00BB73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42758F">
        <w:t xml:space="preserve"> Rady Ministrów z dnia 6 marca 2017 r. zmieniające rozporządzenie w sprawie opłat za korzystanie ze środowiska (Dz. U. poz. 723)</w:t>
      </w:r>
      <w:r>
        <w:t>.</w:t>
      </w:r>
    </w:p>
  </w:footnote>
  <w:footnote w:id="8">
    <w:p w14:paraId="069E35D8" w14:textId="77777777" w:rsidR="00BB7332" w:rsidRDefault="00BB7332" w:rsidP="00BB73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</w:t>
      </w:r>
      <w:r w:rsidRPr="0042758F">
        <w:t>bowiązek wprowadzon</w:t>
      </w:r>
      <w:r>
        <w:t>o</w:t>
      </w:r>
      <w:r w:rsidRPr="0042758F">
        <w:t xml:space="preserve"> przepisami ustawy z dnia 12 października 2017 r. o zmianie ustawy o gospodarce opakowaniami i odpadami opakowaniowy</w:t>
      </w:r>
      <w:r>
        <w:t>mi oraz niektórych innych ustaw</w:t>
      </w:r>
      <w:r w:rsidRPr="0042758F">
        <w:t xml:space="preserve"> </w:t>
      </w:r>
      <w:r>
        <w:t>(</w:t>
      </w:r>
      <w:r w:rsidRPr="0042758F">
        <w:t>Dz. U. poz. 2056)</w:t>
      </w:r>
      <w:r>
        <w:t>.</w:t>
      </w:r>
    </w:p>
  </w:footnote>
  <w:footnote w:id="9">
    <w:p w14:paraId="7E845F14" w14:textId="77777777" w:rsidR="00BB7332" w:rsidRDefault="00BB7332" w:rsidP="00BB73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B4815">
        <w:rPr>
          <w:i/>
        </w:rPr>
        <w:t>Zmiana systemu gospodarki odpadami komunalnymi w Polsce w latach 2012–2016</w:t>
      </w:r>
      <w:r>
        <w:t>, Główny Urząd Statystyczny, 29.09.2017.</w:t>
      </w:r>
    </w:p>
  </w:footnote>
  <w:footnote w:id="10">
    <w:p w14:paraId="37408AA3" w14:textId="77777777" w:rsidR="00BB7332" w:rsidRDefault="00BB7332" w:rsidP="00BB73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42758F">
        <w:t>ozporządzenie Ministra Gospodarki z dnia 8 stycznia 2013 r. w sprawie kryteriów oraz procedur dopuszczania odpadów do składowania na składowisku</w:t>
      </w:r>
      <w:r>
        <w:t>.</w:t>
      </w:r>
    </w:p>
  </w:footnote>
  <w:footnote w:id="11">
    <w:p w14:paraId="4213592B" w14:textId="77777777" w:rsidR="00BB7332" w:rsidRDefault="00BB7332" w:rsidP="00BB7332">
      <w:pPr>
        <w:pStyle w:val="Tekstprzypisudolnego"/>
      </w:pPr>
      <w:r>
        <w:rPr>
          <w:rStyle w:val="Odwoanieprzypisudolnego"/>
        </w:rPr>
        <w:footnoteRef/>
      </w:r>
      <w:r>
        <w:t xml:space="preserve"> Ustawa o zmianie ustawy – Prawo ochrony środowiska z dnia 10 września 2015 r.</w:t>
      </w:r>
      <w:r w:rsidRPr="00DB7D52">
        <w:t xml:space="preserve"> </w:t>
      </w:r>
      <w:r w:rsidRPr="00262C47">
        <w:t>(Dz.U. z 2015 r. poz. 1593)</w:t>
      </w:r>
      <w:r>
        <w:t>.</w:t>
      </w:r>
    </w:p>
  </w:footnote>
  <w:footnote w:id="12">
    <w:p w14:paraId="433EC8F5" w14:textId="77777777" w:rsidR="000D75EA" w:rsidRDefault="000D75EA" w:rsidP="000D75EA">
      <w:pPr>
        <w:pStyle w:val="Tekstprzypisudolnego"/>
      </w:pPr>
      <w:r>
        <w:rPr>
          <w:rStyle w:val="Odwoanieprzypisudolnego"/>
        </w:rPr>
        <w:footnoteRef/>
      </w:r>
      <w:r>
        <w:t xml:space="preserve"> GUS.</w:t>
      </w:r>
    </w:p>
  </w:footnote>
  <w:footnote w:id="13">
    <w:p w14:paraId="0D6B79A1" w14:textId="64EEBDC8" w:rsidR="00700B11" w:rsidRDefault="00700B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0B11">
        <w:rPr>
          <w:i/>
        </w:rPr>
        <w:t>Ochrona środowiska 2018</w:t>
      </w:r>
      <w:r w:rsidRPr="00700B11">
        <w:t>, Gł</w:t>
      </w:r>
      <w:r>
        <w:t>ówny Urząd Statystyczny, s. 123.</w:t>
      </w:r>
    </w:p>
  </w:footnote>
  <w:footnote w:id="14">
    <w:p w14:paraId="7B50AB2C" w14:textId="77777777" w:rsidR="00BB7332" w:rsidRDefault="00BB7332" w:rsidP="00BB73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50E7C">
        <w:rPr>
          <w:i/>
        </w:rPr>
        <w:t xml:space="preserve">Pilotażowy Program Weryfikacji Technologii Środowiskowych </w:t>
      </w:r>
      <w:r>
        <w:rPr>
          <w:i/>
        </w:rPr>
        <w:t xml:space="preserve">(ETV) </w:t>
      </w:r>
      <w:r w:rsidRPr="00D50E7C">
        <w:rPr>
          <w:i/>
        </w:rPr>
        <w:t>Unii Europejskiej</w:t>
      </w:r>
      <w:r>
        <w:rPr>
          <w:i/>
        </w:rPr>
        <w:t xml:space="preserve"> (EU ETV Pilot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, </w:t>
      </w:r>
      <w:hyperlink r:id="rId1" w:history="1">
        <w:r w:rsidRPr="004E63BC">
          <w:rPr>
            <w:rStyle w:val="Hipercze"/>
            <w:i/>
          </w:rPr>
          <w:t>https://ec.europa.eu/environment/ecoap/etv/</w:t>
        </w:r>
      </w:hyperlink>
      <w:r>
        <w:rPr>
          <w:i/>
        </w:rPr>
        <w:t>)</w:t>
      </w:r>
    </w:p>
  </w:footnote>
  <w:footnote w:id="15">
    <w:p w14:paraId="60C3AE0B" w14:textId="77777777" w:rsidR="00BB7332" w:rsidRDefault="00BB7332" w:rsidP="00BB73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Program priorytetowy </w:t>
      </w:r>
      <w:r w:rsidRPr="007F4A8E">
        <w:rPr>
          <w:i/>
        </w:rPr>
        <w:t xml:space="preserve">Wsparcie dla innowacji sprzyjających </w:t>
      </w:r>
      <w:proofErr w:type="spellStart"/>
      <w:r w:rsidRPr="007F4A8E">
        <w:rPr>
          <w:i/>
        </w:rPr>
        <w:t>zasobooszczędnej</w:t>
      </w:r>
      <w:proofErr w:type="spellEnd"/>
      <w:r w:rsidRPr="007F4A8E">
        <w:rPr>
          <w:i/>
        </w:rPr>
        <w:t xml:space="preserve"> i niskoemisyjnej gospodarce. Część 2) Popularyzacja technologii zweryfikowanych w ramach Systemu Weryfikacji Technologii Środowiskowych ETV</w:t>
      </w:r>
      <w:r>
        <w:t>.</w:t>
      </w:r>
    </w:p>
  </w:footnote>
  <w:footnote w:id="16">
    <w:p w14:paraId="4DF8CDF6" w14:textId="77777777" w:rsidR="00BB7332" w:rsidRDefault="00BB7332" w:rsidP="00BB7332">
      <w:pPr>
        <w:pStyle w:val="Tekstprzypisudolnego"/>
      </w:pPr>
      <w:r>
        <w:rPr>
          <w:rStyle w:val="Odwoanieprzypisudolnego"/>
        </w:rPr>
        <w:footnoteRef/>
      </w:r>
      <w:r>
        <w:t xml:space="preserve"> Norma PN-ISO 14034:2016.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17E1" w14:textId="07AD9B72" w:rsidR="009D5407" w:rsidRDefault="009D5407">
    <w:pPr>
      <w:pStyle w:val="Nagwek"/>
    </w:pPr>
    <w:r>
      <w:rPr>
        <w:noProof/>
        <w:lang w:eastAsia="pl-PL"/>
      </w:rPr>
      <w:drawing>
        <wp:inline distT="0" distB="0" distL="0" distR="0" wp14:anchorId="2A311D23" wp14:editId="39378E73">
          <wp:extent cx="1678305" cy="628015"/>
          <wp:effectExtent l="0" t="0" r="0" b="635"/>
          <wp:docPr id="7" name="Obraz 7" descr="Logo Polityka ekologiczna panstwa 20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lityka ekologiczna panstwa 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1" t="27411" r="18956" b="29442"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0973D" w14:textId="77777777" w:rsidR="009D5407" w:rsidRDefault="009D54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A59"/>
    <w:multiLevelType w:val="hybridMultilevel"/>
    <w:tmpl w:val="971C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7148"/>
    <w:multiLevelType w:val="multilevel"/>
    <w:tmpl w:val="F88CC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AE4BDC"/>
    <w:multiLevelType w:val="hybridMultilevel"/>
    <w:tmpl w:val="17B29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2"/>
    <w:rsid w:val="000B65FE"/>
    <w:rsid w:val="000D75EA"/>
    <w:rsid w:val="001A0237"/>
    <w:rsid w:val="001F7540"/>
    <w:rsid w:val="002361E9"/>
    <w:rsid w:val="00241AE7"/>
    <w:rsid w:val="0025038D"/>
    <w:rsid w:val="00266EFA"/>
    <w:rsid w:val="002D516B"/>
    <w:rsid w:val="00307529"/>
    <w:rsid w:val="00344FC3"/>
    <w:rsid w:val="003703C4"/>
    <w:rsid w:val="00592464"/>
    <w:rsid w:val="00633F43"/>
    <w:rsid w:val="0066703F"/>
    <w:rsid w:val="00700B11"/>
    <w:rsid w:val="009D5407"/>
    <w:rsid w:val="009F2326"/>
    <w:rsid w:val="00A61297"/>
    <w:rsid w:val="00B4304D"/>
    <w:rsid w:val="00BB2CCA"/>
    <w:rsid w:val="00BB7332"/>
    <w:rsid w:val="00BC789D"/>
    <w:rsid w:val="00C027C3"/>
    <w:rsid w:val="00C33FFA"/>
    <w:rsid w:val="00C80D7F"/>
    <w:rsid w:val="00C9002A"/>
    <w:rsid w:val="00CA2A83"/>
    <w:rsid w:val="00D20EC8"/>
    <w:rsid w:val="00D8315A"/>
    <w:rsid w:val="00F4541F"/>
    <w:rsid w:val="00FB2699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91B"/>
  <w15:chartTrackingRefBased/>
  <w15:docId w15:val="{132AB6C7-CAB5-4AEA-A5B1-B406A9E0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3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332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7332"/>
    <w:rPr>
      <w:rFonts w:ascii="Cambria" w:eastAsia="Times New Roman" w:hAnsi="Cambria" w:cs="Times New Roman"/>
      <w:color w:val="365F91"/>
      <w:sz w:val="32"/>
      <w:szCs w:val="32"/>
    </w:rPr>
  </w:style>
  <w:style w:type="paragraph" w:styleId="Akapitzlist">
    <w:name w:val="List Paragraph"/>
    <w:aliases w:val="opis dzialania,K-P_odwolanie,Akapit z listą mon"/>
    <w:basedOn w:val="Normalny"/>
    <w:link w:val="AkapitzlistZnak"/>
    <w:uiPriority w:val="34"/>
    <w:qFormat/>
    <w:rsid w:val="00BB7332"/>
    <w:pPr>
      <w:ind w:left="720"/>
      <w:contextualSpacing/>
    </w:pPr>
  </w:style>
  <w:style w:type="paragraph" w:styleId="Tekstprzypisudolnego">
    <w:name w:val="footnote text"/>
    <w:aliases w:val="A_przypis,Znak,single space,FOOTNOTES,fn,Podrozdział,Fußnote,Footnote,Podrozdzia3,przypis,Tekst przypisu,Tekst przypisu Znak Znak Znak Znak,Tekst przypisu Znak Znak Znak Znak Znak,Tekst przypisu Znak Znak Znak Znak Znak Znak Znak"/>
    <w:basedOn w:val="Normalny"/>
    <w:link w:val="TekstprzypisudolnegoZnak"/>
    <w:uiPriority w:val="99"/>
    <w:unhideWhenUsed/>
    <w:qFormat/>
    <w:rsid w:val="00BB73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A_przypis Znak,Znak Znak,single space Znak,FOOTNOTES Znak,fn Znak,Podrozdział Znak,Fußnote Znak,Footnote Znak,Podrozdzia3 Znak,przypis Znak,Tekst przypisu Znak,Tekst przypisu Znak Znak Znak Znak Znak1"/>
    <w:basedOn w:val="Domylnaczcionkaakapitu"/>
    <w:link w:val="Tekstprzypisudolnego"/>
    <w:uiPriority w:val="99"/>
    <w:rsid w:val="00BB73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number,Footnote text,Footnote reference number,Footnote symbol,note TESI,-E Fußnotenzeichen,SUPERS,stylish,ftref,BVI fnr,Footnote Reference Superscript,Odwołanie przypisu,EN Footnote Reference,Ref"/>
    <w:uiPriority w:val="99"/>
    <w:unhideWhenUsed/>
    <w:qFormat/>
    <w:rsid w:val="00BB7332"/>
    <w:rPr>
      <w:vertAlign w:val="superscript"/>
    </w:rPr>
  </w:style>
  <w:style w:type="character" w:customStyle="1" w:styleId="AkapitzlistZnak">
    <w:name w:val="Akapit z listą Znak"/>
    <w:aliases w:val="opis dzialania Znak,K-P_odwolanie Znak,Akapit z listą mon Znak"/>
    <w:link w:val="Akapitzlist"/>
    <w:uiPriority w:val="34"/>
    <w:rsid w:val="00BB733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B7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B7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332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BB73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3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16B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4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40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C7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nvironment/ecoap/e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kaminsk\Desktop\Poci&#261;g%20Pozna&#324;\171205%20Wskazniki%20BE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kaminsk\Desktop\Poci&#261;g%20Pozna&#324;\171205%20Wskazniki%20BEi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nero\DZM\4.%20Wydzia&#322;%20Koordynacji%20Strategicznej\11.%20PEP%20Polityka%20ekologiczna%20pa&#324;stwa%202030\Diagnoza\podsumowanie%20BEI&#346;\171205%20Wskazniki%20BEiS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nero\DZM\4.%20Wydzia&#322;%20Koordynacji%20Strategicznej\11.%20PEP%20Polityka%20ekologiczna%20pa&#324;stwa%202030\Diagnoza\podsumowanie%20BEI&#346;\171205%20Wskazniki%20BEiS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nero\DZM\4.%20Wydzia&#322;%20Koordynacji%20Strategicznej\11.%20PEP%20Polityka%20ekologiczna%20pa&#324;stwa%202030\1.%20prace%20nad%20PEP\1.%20Diagnoza\podsumowanie%20BEI&#346;\171205%20Wskazniki%20BEiS.xlsx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kaminsk\Desktop\Poci&#261;g%20Pozna&#324;\171205%20Wskazniki%20BE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Zużycie wody na potrzeby gospodarki narodowej i ludności ogółem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'Strateg tablica'!$A$5</c:f>
              <c:strCache>
                <c:ptCount val="1"/>
                <c:pt idx="0">
                  <c:v>Zużycie wody na potrzeby gospodarki narodowej i ludności ogółem [hm3]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'Strateg tablica'!$I$1:$P$2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'Strateg tablica'!$I$5:$P$5</c:f>
              <c:numCache>
                <c:formatCode>0.0</c:formatCode>
                <c:ptCount val="8"/>
                <c:pt idx="0">
                  <c:v>10356.5</c:v>
                </c:pt>
                <c:pt idx="1">
                  <c:v>10679.1</c:v>
                </c:pt>
                <c:pt idx="2">
                  <c:v>10349.5</c:v>
                </c:pt>
                <c:pt idx="3">
                  <c:v>10106</c:v>
                </c:pt>
                <c:pt idx="4">
                  <c:v>10243.700000000001</c:v>
                </c:pt>
                <c:pt idx="5">
                  <c:v>10058.700000000001</c:v>
                </c:pt>
                <c:pt idx="6">
                  <c:v>10138.799999999999</c:v>
                </c:pt>
                <c:pt idx="7">
                  <c:v>9656.2999999999993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'Strateg tablica'!$A$6</c:f>
              <c:strCache>
                <c:ptCount val="1"/>
                <c:pt idx="0">
                  <c:v>Wartość docelowa w 2020 r.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l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'Strateg tablica'!$I$1:$P$2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'Strateg tablica'!$I$6:$P$6</c:f>
              <c:numCache>
                <c:formatCode>General</c:formatCode>
                <c:ptCount val="8"/>
                <c:pt idx="0">
                  <c:v>10100</c:v>
                </c:pt>
                <c:pt idx="1">
                  <c:v>10100</c:v>
                </c:pt>
                <c:pt idx="2">
                  <c:v>10100</c:v>
                </c:pt>
                <c:pt idx="3">
                  <c:v>10100</c:v>
                </c:pt>
                <c:pt idx="4">
                  <c:v>10100</c:v>
                </c:pt>
                <c:pt idx="5">
                  <c:v>10100</c:v>
                </c:pt>
                <c:pt idx="6">
                  <c:v>10100</c:v>
                </c:pt>
                <c:pt idx="7">
                  <c:v>10100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8195672"/>
        <c:axId val="438198024"/>
      </c:lineChart>
      <c:catAx>
        <c:axId val="438195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Rok</a:t>
                </a:r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crossAx val="438198024"/>
        <c:crosses val="autoZero"/>
        <c:auto val="1"/>
        <c:lblAlgn val="ctr"/>
        <c:lblOffset val="100"/>
        <c:noMultiLvlLbl val="0"/>
      </c:catAx>
      <c:valAx>
        <c:axId val="438198024"/>
        <c:scaling>
          <c:orientation val="minMax"/>
          <c:min val="96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hm</a:t>
                </a:r>
                <a:r>
                  <a:rPr lang="pl-PL" baseline="30000"/>
                  <a:t>3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438195672"/>
        <c:crosses val="autoZero"/>
        <c:crossBetween val="between"/>
      </c:valAx>
    </c:plotArea>
    <c:legend>
      <c:legendPos val="b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Odsetek ludności korzystającej z oczyszczalni ścieków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'Strateg tablica'!$A$31</c:f>
              <c:strCache>
                <c:ptCount val="1"/>
                <c:pt idx="0">
                  <c:v>Odsetek ludności korzystającej z oczyszczalni ścieków [%]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'Strateg tablica'!$I$1:$P$2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'Strateg tablica'!$I$31:$P$31</c:f>
              <c:numCache>
                <c:formatCode>General</c:formatCode>
                <c:ptCount val="8"/>
                <c:pt idx="0">
                  <c:v>64.7</c:v>
                </c:pt>
                <c:pt idx="1">
                  <c:v>65.7</c:v>
                </c:pt>
                <c:pt idx="2">
                  <c:v>68.599999999999994</c:v>
                </c:pt>
                <c:pt idx="3">
                  <c:v>70.3</c:v>
                </c:pt>
                <c:pt idx="4">
                  <c:v>71.5</c:v>
                </c:pt>
                <c:pt idx="5">
                  <c:v>72.7</c:v>
                </c:pt>
                <c:pt idx="6">
                  <c:v>73.5</c:v>
                </c:pt>
                <c:pt idx="7">
                  <c:v>73.599999999999994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'Strateg tablica'!$A$32</c:f>
              <c:strCache>
                <c:ptCount val="1"/>
                <c:pt idx="0">
                  <c:v>Wartość docelowa w 2020 r.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l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'Strateg tablica'!$I$1:$P$2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'Strateg tablica'!$I$32:$P$32</c:f>
              <c:numCache>
                <c:formatCode>General</c:formatCode>
                <c:ptCount val="8"/>
                <c:pt idx="0">
                  <c:v>71.5</c:v>
                </c:pt>
                <c:pt idx="1">
                  <c:v>71.5</c:v>
                </c:pt>
                <c:pt idx="2">
                  <c:v>71.5</c:v>
                </c:pt>
                <c:pt idx="3">
                  <c:v>71.5</c:v>
                </c:pt>
                <c:pt idx="4">
                  <c:v>71.5</c:v>
                </c:pt>
                <c:pt idx="5">
                  <c:v>71.5</c:v>
                </c:pt>
                <c:pt idx="6">
                  <c:v>71.5</c:v>
                </c:pt>
                <c:pt idx="7">
                  <c:v>71.5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888696"/>
        <c:axId val="440891048"/>
      </c:lineChart>
      <c:catAx>
        <c:axId val="440888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Rok</a:t>
                </a:r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crossAx val="440891048"/>
        <c:crosses val="autoZero"/>
        <c:auto val="1"/>
        <c:lblAlgn val="ctr"/>
        <c:lblOffset val="100"/>
        <c:noMultiLvlLbl val="0"/>
      </c:catAx>
      <c:valAx>
        <c:axId val="440891048"/>
        <c:scaling>
          <c:orientation val="minMax"/>
          <c:min val="6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40888696"/>
        <c:crosses val="autoZero"/>
        <c:crossBetween val="between"/>
      </c:valAx>
    </c:plotArea>
    <c:legend>
      <c:legendPos val="b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Poziom recyklingu i przygotowania do ponownego użycia wybranych frakcji odpadów: papier, metale, tworzywa sztuczne i szkło</a:t>
            </a:r>
            <a:endParaRPr lang="pl-PL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'Strateg tablica'!$A$33</c:f>
              <c:strCache>
                <c:ptCount val="1"/>
                <c:pt idx="0">
                  <c:v>Poziom recyklingu i przygotowania do ponownego użycia wybranych frakcji odpadów: papier, metale, tworzywa sztuczne i szkło [%]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bd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bd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'Strateg tablica'!$I$33:$O$33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18</c:v>
                </c:pt>
                <c:pt idx="3">
                  <c:v>22</c:v>
                </c:pt>
                <c:pt idx="4">
                  <c:v>26</c:v>
                </c:pt>
                <c:pt idx="5">
                  <c:v>26</c:v>
                </c:pt>
                <c:pt idx="6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0889872"/>
        <c:axId val="440890656"/>
      </c:barChart>
      <c:lineChart>
        <c:grouping val="standard"/>
        <c:varyColors val="0"/>
        <c:ser>
          <c:idx val="1"/>
          <c:order val="1"/>
          <c:tx>
            <c:strRef>
              <c:f>'Strateg tablica'!$A$32</c:f>
              <c:strCache>
                <c:ptCount val="1"/>
                <c:pt idx="0">
                  <c:v>Wartość docelowa w 2020 r.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'Strateg tablica'!$I$1:$O$2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'Strateg tablica'!$I$34:$O$34</c:f>
              <c:numCache>
                <c:formatCode>General</c:formatCode>
                <c:ptCount val="7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889872"/>
        <c:axId val="440890656"/>
      </c:lineChart>
      <c:catAx>
        <c:axId val="4408898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Rok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0890656"/>
        <c:crosses val="autoZero"/>
        <c:auto val="1"/>
        <c:lblAlgn val="ctr"/>
        <c:lblOffset val="100"/>
        <c:tickLblSkip val="1"/>
        <c:noMultiLvlLbl val="0"/>
      </c:catAx>
      <c:valAx>
        <c:axId val="44089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088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 sz="1400">
                <a:solidFill>
                  <a:schemeClr val="tx1">
                    <a:lumMod val="65000"/>
                    <a:lumOff val="35000"/>
                  </a:schemeClr>
                </a:solidFill>
              </a:rPr>
              <a:t>Poziom recyklingu, przygotowania do ponownego użycia i odzysku innymi metodami innych niż niebezpieczne odpadów budowlanych i rozbiórkowych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'Strateg tablica'!$A$35</c:f>
              <c:strCache>
                <c:ptCount val="1"/>
                <c:pt idx="0">
                  <c:v>Poziom recyklingu, przygotowania do ponownego użycia i odzysku innymi metodami innych niż niebezpieczne odpadów budowlanych i rozbiórkowych [%]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'Strateg tablica'!$I$1:$N$2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'Strateg tablica'!$I$35:$N$35</c:f>
              <c:numCache>
                <c:formatCode>General</c:formatCode>
                <c:ptCount val="6"/>
                <c:pt idx="0">
                  <c:v>69</c:v>
                </c:pt>
                <c:pt idx="1">
                  <c:v>90</c:v>
                </c:pt>
                <c:pt idx="2">
                  <c:v>73</c:v>
                </c:pt>
                <c:pt idx="3">
                  <c:v>84</c:v>
                </c:pt>
                <c:pt idx="4">
                  <c:v>91</c:v>
                </c:pt>
                <c:pt idx="5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889480"/>
        <c:axId val="440890264"/>
      </c:barChart>
      <c:lineChart>
        <c:grouping val="standard"/>
        <c:varyColors val="0"/>
        <c:ser>
          <c:idx val="1"/>
          <c:order val="1"/>
          <c:tx>
            <c:strRef>
              <c:f>'Strateg tablica'!$A$36</c:f>
              <c:strCache>
                <c:ptCount val="1"/>
                <c:pt idx="0">
                  <c:v>Wartość docelowa w 2020 r.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'Strateg tablica'!$I$36:$N$36</c:f>
              <c:numCache>
                <c:formatCode>General</c:formatCode>
                <c:ptCount val="6"/>
                <c:pt idx="0">
                  <c:v>70</c:v>
                </c:pt>
                <c:pt idx="1">
                  <c:v>70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889480"/>
        <c:axId val="440890264"/>
      </c:lineChart>
      <c:catAx>
        <c:axId val="440889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Rok</a:t>
                </a:r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crossAx val="440890264"/>
        <c:crosses val="autoZero"/>
        <c:auto val="1"/>
        <c:lblAlgn val="ctr"/>
        <c:lblOffset val="100"/>
        <c:noMultiLvlLbl val="0"/>
      </c:catAx>
      <c:valAx>
        <c:axId val="4408902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40889480"/>
        <c:crosses val="autoZero"/>
        <c:crossBetween val="between"/>
      </c:valAx>
    </c:plotArea>
    <c:legend>
      <c:legendPos val="b"/>
      <c:legendEntry>
        <c:idx val="2"/>
        <c:delete val="1"/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pl-PL" sz="1200">
                <a:solidFill>
                  <a:schemeClr val="tx1">
                    <a:lumMod val="65000"/>
                    <a:lumOff val="35000"/>
                  </a:schemeClr>
                </a:solidFill>
              </a:rPr>
              <a:t>Poziom ograniczenia masy odpadów komunalnych ulegających biodegradacji przekazywanych do składowania w stosunku do odpadów wytworzonych w 1995 r.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'Strateg tablica'!$A$37</c:f>
              <c:strCache>
                <c:ptCount val="1"/>
                <c:pt idx="0">
                  <c:v>Poziom ograniczenia masy odpadów komunalnych ulegających biodegradacji przekazywanych do składowania w stosunku do odpadów wytworzonych w 1995 r. [%]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'Strateg tablica'!$I$1:$O$2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'Strateg tablica'!$I$37:$O$37</c:f>
              <c:numCache>
                <c:formatCode>General</c:formatCode>
                <c:ptCount val="7"/>
                <c:pt idx="0">
                  <c:v>79</c:v>
                </c:pt>
                <c:pt idx="1">
                  <c:v>61</c:v>
                </c:pt>
                <c:pt idx="2">
                  <c:v>56</c:v>
                </c:pt>
                <c:pt idx="3">
                  <c:v>40</c:v>
                </c:pt>
                <c:pt idx="4">
                  <c:v>35</c:v>
                </c:pt>
                <c:pt idx="5">
                  <c:v>31</c:v>
                </c:pt>
                <c:pt idx="6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'Strateg tablica'!$A$38</c:f>
              <c:strCache>
                <c:ptCount val="1"/>
                <c:pt idx="0">
                  <c:v>Wartość docelowa w 2020 r.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'Strateg tablica'!$I$1:$O$2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'Strateg tablica'!$I$38:$O$38</c:f>
              <c:numCache>
                <c:formatCode>General</c:formatCode>
                <c:ptCount val="7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316648"/>
        <c:axId val="439315864"/>
      </c:lineChart>
      <c:catAx>
        <c:axId val="439316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Rok</a:t>
                </a:r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crossAx val="439315864"/>
        <c:crosses val="autoZero"/>
        <c:auto val="1"/>
        <c:lblAlgn val="ctr"/>
        <c:lblOffset val="100"/>
        <c:noMultiLvlLbl val="0"/>
      </c:catAx>
      <c:valAx>
        <c:axId val="4393158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39316648"/>
        <c:crosses val="autoZero"/>
        <c:crossBetween val="between"/>
      </c:valAx>
    </c:plotArea>
    <c:legend>
      <c:legendPos val="b"/>
      <c:legendEntry>
        <c:idx val="2"/>
        <c:delete val="1"/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600">
                <a:solidFill>
                  <a:schemeClr val="tx1">
                    <a:lumMod val="50000"/>
                    <a:lumOff val="50000"/>
                  </a:schemeClr>
                </a:solidFill>
              </a:rPr>
              <a:t>Stan</a:t>
            </a:r>
            <a:r>
              <a:rPr lang="pl-PL" sz="1600" baseline="0">
                <a:solidFill>
                  <a:schemeClr val="tx1">
                    <a:lumMod val="50000"/>
                    <a:lumOff val="50000"/>
                  </a:schemeClr>
                </a:solidFill>
              </a:rPr>
              <a:t> jakości powietrza - odsetek stref z przekroczeniami</a:t>
            </a:r>
            <a:endParaRPr lang="pl-PL" sz="1600">
              <a:solidFill>
                <a:schemeClr val="tx1">
                  <a:lumMod val="50000"/>
                  <a:lumOff val="50000"/>
                </a:schemeClr>
              </a:solidFill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Arkusz1!$D$3</c:f>
              <c:strCache>
                <c:ptCount val="1"/>
                <c:pt idx="0">
                  <c:v>Stan jakości powietrza - odsetek stref z przekroczeniami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1480051480051478E-3"/>
                  <c:y val="4.508018456936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1480051480051478E-3"/>
                  <c:y val="-4.1612478064025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5.2015597580032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296010296010296E-2"/>
                  <c:y val="-4.8547891074696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16001716001716E-3"/>
                  <c:y val="4.1612478064025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432003432003432E-3"/>
                  <c:y val="-3.4677065053354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Arkusz1!$C$4:$C$10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Arkusz1!$D$4:$D$10</c:f>
              <c:numCache>
                <c:formatCode>General</c:formatCode>
                <c:ptCount val="7"/>
                <c:pt idx="0">
                  <c:v>91.3</c:v>
                </c:pt>
                <c:pt idx="1">
                  <c:v>91.3</c:v>
                </c:pt>
                <c:pt idx="2">
                  <c:v>84.8</c:v>
                </c:pt>
                <c:pt idx="3">
                  <c:v>80.400000000000006</c:v>
                </c:pt>
                <c:pt idx="4">
                  <c:v>91.3</c:v>
                </c:pt>
                <c:pt idx="5">
                  <c:v>87</c:v>
                </c:pt>
                <c:pt idx="6">
                  <c:v>76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Arkusz1!$E$11</c:f>
              <c:strCache>
                <c:ptCount val="1"/>
                <c:pt idx="0">
                  <c:v>Wartość docelowa w 2020 r. </c:v>
                </c:pt>
              </c:strCache>
            </c:strRef>
          </c:tx>
          <c:marker>
            <c:symbol val="none"/>
          </c:marker>
          <c:cat>
            <c:numRef>
              <c:f>Arkusz1!$C$4:$C$10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Arkusz1!$E$4:$E$10</c:f>
              <c:numCache>
                <c:formatCode>General</c:formatCode>
                <c:ptCount val="7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  <c:pt idx="4">
                  <c:v>45</c:v>
                </c:pt>
                <c:pt idx="5">
                  <c:v>45</c:v>
                </c:pt>
                <c:pt idx="6">
                  <c:v>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9315472"/>
        <c:axId val="439317824"/>
      </c:lineChart>
      <c:catAx>
        <c:axId val="439315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Rok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439317824"/>
        <c:crosses val="autoZero"/>
        <c:auto val="1"/>
        <c:lblAlgn val="ctr"/>
        <c:lblOffset val="100"/>
        <c:noMultiLvlLbl val="0"/>
      </c:catAx>
      <c:valAx>
        <c:axId val="439317824"/>
        <c:scaling>
          <c:orientation val="minMax"/>
          <c:min val="4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 b="1"/>
                  <a:t>%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393154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Lesistość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'Strateg tablica'!$A$7</c:f>
              <c:strCache>
                <c:ptCount val="1"/>
                <c:pt idx="0">
                  <c:v>Lesistość [%]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'Strateg tablica'!$I$1:$P$2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'Strateg tablica'!$I$7:$P$7</c:f>
              <c:numCache>
                <c:formatCode>General</c:formatCode>
                <c:ptCount val="8"/>
                <c:pt idx="0">
                  <c:v>29.2</c:v>
                </c:pt>
                <c:pt idx="1">
                  <c:v>29.2</c:v>
                </c:pt>
                <c:pt idx="2">
                  <c:v>29.3</c:v>
                </c:pt>
                <c:pt idx="3">
                  <c:v>29.4</c:v>
                </c:pt>
                <c:pt idx="4">
                  <c:v>29.4</c:v>
                </c:pt>
                <c:pt idx="5">
                  <c:v>29.5</c:v>
                </c:pt>
                <c:pt idx="6">
                  <c:v>29.5</c:v>
                </c:pt>
                <c:pt idx="7">
                  <c:v>29.6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'Strateg tablica'!$A$8</c:f>
              <c:strCache>
                <c:ptCount val="1"/>
                <c:pt idx="0">
                  <c:v>Wartość docelowa w 2020 r.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l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'Strateg tablica'!$I$1:$P$2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'Strateg tablica'!$I$8:$P$8</c:f>
              <c:numCache>
                <c:formatCode>General</c:formatCode>
                <c:ptCount val="8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8031144"/>
        <c:axId val="438031536"/>
      </c:lineChart>
      <c:catAx>
        <c:axId val="438031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Rok</a:t>
                </a:r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crossAx val="438031536"/>
        <c:crosses val="autoZero"/>
        <c:auto val="1"/>
        <c:lblAlgn val="ctr"/>
        <c:lblOffset val="100"/>
        <c:noMultiLvlLbl val="0"/>
      </c:catAx>
      <c:valAx>
        <c:axId val="4380315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38031144"/>
        <c:crosses val="autoZero"/>
        <c:crossBetween val="between"/>
      </c:valAx>
    </c:plotArea>
    <c:legend>
      <c:legendPos val="b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76AF-C000-40C9-A78C-017CDB18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3736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Daniel</dc:creator>
  <cp:keywords/>
  <dc:description/>
  <cp:lastModifiedBy>Kamiński Daniel</cp:lastModifiedBy>
  <cp:revision>2</cp:revision>
  <dcterms:created xsi:type="dcterms:W3CDTF">2019-03-12T09:13:00Z</dcterms:created>
  <dcterms:modified xsi:type="dcterms:W3CDTF">2019-03-12T09:13:00Z</dcterms:modified>
</cp:coreProperties>
</file>