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0DC6" w14:textId="77777777" w:rsidR="00031C0A" w:rsidRPr="009276B2" w:rsidRDefault="00031C0A" w:rsidP="007E5A29">
      <w:pPr>
        <w:spacing w:after="0" w:line="240" w:lineRule="auto"/>
      </w:pPr>
    </w:p>
    <w:p w14:paraId="54AC3421" w14:textId="4003039A" w:rsidR="00031C0A" w:rsidRDefault="008C1E51" w:rsidP="007E5A29">
      <w:pPr>
        <w:spacing w:after="0" w:line="240" w:lineRule="auto"/>
      </w:pPr>
      <w:bookmarkStart w:id="0" w:name="ezdSprawaZnak"/>
      <w:bookmarkStart w:id="1" w:name="ezdAutorInicjaly"/>
      <w:r>
        <w:t>BKA-RI.0831.3.2022</w:t>
      </w:r>
      <w:bookmarkEnd w:id="0"/>
      <w:r>
        <w:t>.</w:t>
      </w:r>
      <w:bookmarkEnd w:id="1"/>
      <w:r w:rsidR="002F6421">
        <w:t>KZ</w:t>
      </w:r>
    </w:p>
    <w:p w14:paraId="6D58AF9A" w14:textId="77777777" w:rsidR="00031C0A" w:rsidRPr="00D05E25" w:rsidRDefault="00646052" w:rsidP="007E5A29">
      <w:pPr>
        <w:spacing w:after="0" w:line="240" w:lineRule="auto"/>
        <w:rPr>
          <w:sz w:val="18"/>
          <w:szCs w:val="18"/>
        </w:rPr>
      </w:pPr>
      <w:bookmarkStart w:id="2" w:name="ezdIdentyfikatorDokumentuPDF"/>
      <w:r w:rsidRPr="00D05E25">
        <w:rPr>
          <w:sz w:val="18"/>
          <w:szCs w:val="18"/>
        </w:rPr>
        <w:t>$</w:t>
      </w:r>
      <w:proofErr w:type="spellStart"/>
      <w:r w:rsidRPr="00D05E25">
        <w:rPr>
          <w:sz w:val="18"/>
          <w:szCs w:val="18"/>
        </w:rPr>
        <w:t>Id_dokumentu</w:t>
      </w:r>
      <w:bookmarkEnd w:id="2"/>
      <w:proofErr w:type="spellEnd"/>
    </w:p>
    <w:p w14:paraId="7E558A12" w14:textId="77777777" w:rsidR="00031C0A" w:rsidRPr="009276B2" w:rsidRDefault="00646052" w:rsidP="007E5A29">
      <w:pPr>
        <w:spacing w:after="0" w:line="240" w:lineRule="auto"/>
      </w:pPr>
      <w:r w:rsidRPr="00D05E25">
        <w:t xml:space="preserve">Warszawa, </w:t>
      </w:r>
      <w:bookmarkStart w:id="3" w:name="ezdDataPodpisu"/>
      <w:r>
        <w:t>$</w:t>
      </w:r>
      <w:r w:rsidRPr="00D05E25">
        <w:t>data</w:t>
      </w:r>
      <w:bookmarkEnd w:id="3"/>
    </w:p>
    <w:p w14:paraId="14203A15" w14:textId="77777777" w:rsidR="00031C0A" w:rsidRPr="009276B2" w:rsidRDefault="00031C0A" w:rsidP="009276B2">
      <w:pPr>
        <w:spacing w:after="0" w:line="240" w:lineRule="auto"/>
      </w:pPr>
    </w:p>
    <w:p w14:paraId="3360EA6E" w14:textId="77777777" w:rsidR="00031C0A" w:rsidRPr="009276B2" w:rsidRDefault="00031C0A" w:rsidP="009276B2">
      <w:pPr>
        <w:spacing w:after="0" w:line="240" w:lineRule="auto"/>
      </w:pPr>
    </w:p>
    <w:p w14:paraId="67537988" w14:textId="77777777" w:rsidR="008C1E51" w:rsidRPr="008C1E51" w:rsidRDefault="008C1E51" w:rsidP="008C1E51">
      <w:pPr>
        <w:spacing w:after="0" w:line="240" w:lineRule="auto"/>
        <w:rPr>
          <w:b/>
          <w:bCs/>
        </w:rPr>
      </w:pPr>
      <w:bookmarkStart w:id="4" w:name="_Hlk150262122"/>
      <w:r w:rsidRPr="008C1E51">
        <w:rPr>
          <w:b/>
          <w:bCs/>
        </w:rPr>
        <w:t>Pan</w:t>
      </w:r>
    </w:p>
    <w:p w14:paraId="086A3379" w14:textId="77777777" w:rsidR="008C1E51" w:rsidRPr="008C1E51" w:rsidRDefault="008C1E51" w:rsidP="008C1E51">
      <w:pPr>
        <w:spacing w:after="0" w:line="240" w:lineRule="auto"/>
        <w:rPr>
          <w:b/>
          <w:bCs/>
        </w:rPr>
      </w:pPr>
      <w:r w:rsidRPr="008C1E51">
        <w:rPr>
          <w:b/>
          <w:bCs/>
        </w:rPr>
        <w:t>Ryszard Prędki</w:t>
      </w:r>
    </w:p>
    <w:p w14:paraId="6D454CFF" w14:textId="77777777" w:rsidR="008C1E51" w:rsidRPr="008C1E51" w:rsidRDefault="008C1E51" w:rsidP="008C1E51">
      <w:pPr>
        <w:spacing w:after="0" w:line="240" w:lineRule="auto"/>
      </w:pPr>
      <w:r w:rsidRPr="008C1E51">
        <w:t>Dyrektor Bieszczadzkiego</w:t>
      </w:r>
    </w:p>
    <w:p w14:paraId="16A7BAA4" w14:textId="77777777" w:rsidR="008C1E51" w:rsidRPr="008C1E51" w:rsidRDefault="008C1E51" w:rsidP="008C1E51">
      <w:pPr>
        <w:spacing w:after="0" w:line="240" w:lineRule="auto"/>
      </w:pPr>
      <w:r w:rsidRPr="008C1E51">
        <w:t>Parku Narodowego</w:t>
      </w:r>
    </w:p>
    <w:bookmarkEnd w:id="4"/>
    <w:p w14:paraId="3BAFDD8D" w14:textId="77777777" w:rsidR="008C1E51" w:rsidRPr="008C1E51" w:rsidRDefault="008C1E51" w:rsidP="008C1E51">
      <w:pPr>
        <w:spacing w:before="120" w:after="120" w:line="276" w:lineRule="auto"/>
      </w:pPr>
    </w:p>
    <w:p w14:paraId="369C350A" w14:textId="40148867" w:rsidR="008C1E51" w:rsidRPr="008C1E51" w:rsidRDefault="008C1E51" w:rsidP="008C1E51">
      <w:pPr>
        <w:spacing w:before="120" w:after="120" w:line="276" w:lineRule="auto"/>
        <w:rPr>
          <w:b/>
          <w:bCs/>
        </w:rPr>
      </w:pPr>
      <w:r w:rsidRPr="008C1E51">
        <w:rPr>
          <w:b/>
          <w:bCs/>
        </w:rPr>
        <w:t>WYSTĄPIENI</w:t>
      </w:r>
      <w:r>
        <w:rPr>
          <w:b/>
          <w:bCs/>
        </w:rPr>
        <w:t>E</w:t>
      </w:r>
      <w:r w:rsidRPr="008C1E51">
        <w:rPr>
          <w:b/>
          <w:bCs/>
        </w:rPr>
        <w:t xml:space="preserve"> POKONTROLN</w:t>
      </w:r>
      <w:r w:rsidR="006E7ED0">
        <w:rPr>
          <w:b/>
          <w:bCs/>
        </w:rPr>
        <w:t>E</w:t>
      </w:r>
    </w:p>
    <w:p w14:paraId="21AB9F45" w14:textId="77777777" w:rsidR="008C1E51" w:rsidRPr="008C1E51" w:rsidRDefault="008C1E51" w:rsidP="008C1E51">
      <w:pPr>
        <w:spacing w:before="120" w:after="120" w:line="276" w:lineRule="auto"/>
      </w:pPr>
      <w:r w:rsidRPr="008C1E51">
        <w:t xml:space="preserve">Działając na podstawie upoważnienia Ministra Klimatu i Środowiska nr 18/2022 z 29 czerwca, nr 22/2022 z 30 września 2022 r., nr 4/2023 z 29 grudnia 2022 r., nr 4/2023 z 15 lutego 2023 r. i 6/2023 z 22 lutego 2023 r. zespół kontrolujący przeprowadził kontrolę planową w Bieszczadzkim Parku Narodowym (dalej </w:t>
      </w:r>
      <w:proofErr w:type="spellStart"/>
      <w:r w:rsidRPr="008C1E51">
        <w:t>BdPN</w:t>
      </w:r>
      <w:proofErr w:type="spellEnd"/>
      <w:r w:rsidRPr="008C1E51">
        <w:t>, Park) z siedzibą w Ustrzykach Górnych w zakresie:</w:t>
      </w:r>
    </w:p>
    <w:p w14:paraId="5009DD5A" w14:textId="77777777" w:rsidR="008C1E51" w:rsidRPr="008C1E51" w:rsidRDefault="008C1E51" w:rsidP="008C1E51">
      <w:pPr>
        <w:numPr>
          <w:ilvl w:val="0"/>
          <w:numId w:val="1"/>
        </w:numPr>
        <w:spacing w:after="0" w:line="276" w:lineRule="auto"/>
        <w:ind w:left="426" w:hanging="426"/>
      </w:pPr>
      <w:r w:rsidRPr="008C1E51">
        <w:rPr>
          <w:rFonts w:cs="Arial"/>
        </w:rPr>
        <w:t>Prowadzenie działań ochronnych oraz inne wybrane zadania parków narodowych (wskazane w ustawie o ochronie przyrody), w tym odstrzały redukcyjne.</w:t>
      </w:r>
    </w:p>
    <w:p w14:paraId="257DA3E2" w14:textId="77777777" w:rsidR="008C1E51" w:rsidRPr="008C1E51" w:rsidRDefault="008C1E51" w:rsidP="008C1E51">
      <w:pPr>
        <w:numPr>
          <w:ilvl w:val="0"/>
          <w:numId w:val="1"/>
        </w:numPr>
        <w:spacing w:after="0" w:line="276" w:lineRule="auto"/>
        <w:ind w:left="426" w:hanging="426"/>
      </w:pPr>
      <w:r w:rsidRPr="008C1E51">
        <w:rPr>
          <w:rFonts w:cs="Arial"/>
        </w:rPr>
        <w:t>Wybrane aspekty funkcjonowania parków narodowych, t. j.:</w:t>
      </w:r>
    </w:p>
    <w:p w14:paraId="6004D4F0" w14:textId="77777777" w:rsidR="008C1E51" w:rsidRPr="008C1E51" w:rsidRDefault="008C1E51" w:rsidP="008C1E51">
      <w:pPr>
        <w:numPr>
          <w:ilvl w:val="0"/>
          <w:numId w:val="2"/>
        </w:numPr>
        <w:spacing w:after="0" w:line="276" w:lineRule="auto"/>
        <w:ind w:hanging="294"/>
      </w:pPr>
      <w:r w:rsidRPr="008C1E51">
        <w:rPr>
          <w:rFonts w:cs="Arial"/>
        </w:rPr>
        <w:t>Wybrane zagadnienia w zakresie gospodarki finansowej.</w:t>
      </w:r>
    </w:p>
    <w:p w14:paraId="3469F21A" w14:textId="77777777" w:rsidR="008C1E51" w:rsidRPr="008C1E51" w:rsidRDefault="008C1E51" w:rsidP="008C1E51">
      <w:pPr>
        <w:numPr>
          <w:ilvl w:val="0"/>
          <w:numId w:val="2"/>
        </w:numPr>
        <w:spacing w:after="0" w:line="276" w:lineRule="auto"/>
        <w:ind w:hanging="294"/>
      </w:pPr>
      <w:r w:rsidRPr="008C1E51">
        <w:rPr>
          <w:rFonts w:cs="Arial"/>
        </w:rPr>
        <w:t>Funkcjonowanie Parku w zakresie udzielania zamówień publicznych.</w:t>
      </w:r>
    </w:p>
    <w:p w14:paraId="5F798D09" w14:textId="5F13707B" w:rsidR="008C1E51" w:rsidRPr="008C1E51" w:rsidRDefault="008C1E51" w:rsidP="008C1E51">
      <w:pPr>
        <w:numPr>
          <w:ilvl w:val="0"/>
          <w:numId w:val="2"/>
        </w:numPr>
        <w:spacing w:after="0" w:line="276" w:lineRule="auto"/>
        <w:ind w:hanging="294"/>
      </w:pPr>
      <w:r w:rsidRPr="008C1E51">
        <w:rPr>
          <w:rFonts w:cs="Arial"/>
        </w:rPr>
        <w:t xml:space="preserve">Gospodarowanie nieruchomościami Skarbu Państwa znajdującymi się </w:t>
      </w:r>
      <w:r w:rsidR="00211832" w:rsidRPr="008C1E51">
        <w:rPr>
          <w:rFonts w:cs="Arial"/>
        </w:rPr>
        <w:t>w zasobach</w:t>
      </w:r>
      <w:r w:rsidRPr="008C1E51">
        <w:rPr>
          <w:rFonts w:cs="Arial"/>
        </w:rPr>
        <w:t xml:space="preserve"> Parku.</w:t>
      </w:r>
    </w:p>
    <w:p w14:paraId="552477F2" w14:textId="77777777" w:rsidR="008C1E51" w:rsidRPr="008C1E51" w:rsidRDefault="008C1E51" w:rsidP="008C1E51">
      <w:pPr>
        <w:numPr>
          <w:ilvl w:val="0"/>
          <w:numId w:val="2"/>
        </w:numPr>
        <w:spacing w:after="0" w:line="276" w:lineRule="auto"/>
        <w:ind w:hanging="294"/>
      </w:pPr>
      <w:r w:rsidRPr="008C1E51">
        <w:rPr>
          <w:rFonts w:cs="Arial"/>
        </w:rPr>
        <w:t>Gospodarka transportowa Parku.</w:t>
      </w:r>
    </w:p>
    <w:p w14:paraId="731A6B68" w14:textId="77777777" w:rsidR="008C1E51" w:rsidRPr="008C1E51" w:rsidRDefault="008C1E51" w:rsidP="008C1E51">
      <w:pPr>
        <w:numPr>
          <w:ilvl w:val="0"/>
          <w:numId w:val="2"/>
        </w:numPr>
        <w:spacing w:after="0" w:line="276" w:lineRule="auto"/>
        <w:ind w:hanging="294"/>
      </w:pPr>
      <w:r w:rsidRPr="008C1E51">
        <w:rPr>
          <w:rFonts w:cs="Arial"/>
        </w:rPr>
        <w:t xml:space="preserve">Realizacja zadań w zakresie funkcjonowania Straży Parku Narodowego. </w:t>
      </w:r>
    </w:p>
    <w:p w14:paraId="57977595" w14:textId="77777777" w:rsidR="008C1E51" w:rsidRPr="008C1E51" w:rsidRDefault="008C1E51" w:rsidP="008C1E51">
      <w:pPr>
        <w:numPr>
          <w:ilvl w:val="0"/>
          <w:numId w:val="2"/>
        </w:numPr>
        <w:spacing w:after="0" w:line="276" w:lineRule="auto"/>
        <w:ind w:hanging="294"/>
      </w:pPr>
      <w:r w:rsidRPr="008C1E51">
        <w:rPr>
          <w:rFonts w:cs="Arial"/>
        </w:rPr>
        <w:t>Wybrane zagadnienia dotyczące polityki kadrowej i organizacji pracy pracowników</w:t>
      </w:r>
      <w:r w:rsidRPr="008C1E51">
        <w:br/>
      </w:r>
      <w:r w:rsidRPr="008C1E51">
        <w:rPr>
          <w:rFonts w:cs="Arial"/>
        </w:rPr>
        <w:t>Parku.</w:t>
      </w:r>
    </w:p>
    <w:p w14:paraId="6886B842" w14:textId="77777777" w:rsidR="008C1E51" w:rsidRPr="008C1E51" w:rsidRDefault="008C1E51" w:rsidP="008C1E51">
      <w:pPr>
        <w:numPr>
          <w:ilvl w:val="0"/>
          <w:numId w:val="2"/>
        </w:numPr>
        <w:spacing w:after="0" w:line="276" w:lineRule="auto"/>
        <w:ind w:hanging="294"/>
      </w:pPr>
      <w:r w:rsidRPr="008C1E51">
        <w:rPr>
          <w:rFonts w:cs="Arial"/>
        </w:rPr>
        <w:t>Wybrane zagadnienia w zakresie bezpieczeństwa przeciwpożarowego w Parku.</w:t>
      </w:r>
    </w:p>
    <w:p w14:paraId="1357A1BB" w14:textId="77777777" w:rsidR="008C1E51" w:rsidRPr="008C1E51" w:rsidRDefault="008C1E51" w:rsidP="008C1E51">
      <w:pPr>
        <w:numPr>
          <w:ilvl w:val="0"/>
          <w:numId w:val="2"/>
        </w:numPr>
        <w:spacing w:after="120" w:line="276" w:lineRule="auto"/>
        <w:ind w:hanging="295"/>
      </w:pPr>
      <w:r w:rsidRPr="008C1E51">
        <w:rPr>
          <w:rFonts w:cs="Arial"/>
        </w:rPr>
        <w:t>Realizacja przez Park wybranych zaleceń i wniosków pokontrolnych wydanych po kontrolach zewnętrznych.</w:t>
      </w:r>
    </w:p>
    <w:p w14:paraId="23E45009" w14:textId="77777777" w:rsidR="008C1E51" w:rsidRPr="008C1E51" w:rsidRDefault="008C1E51" w:rsidP="008C1E51">
      <w:pPr>
        <w:spacing w:before="120" w:after="120" w:line="276" w:lineRule="auto"/>
      </w:pPr>
      <w:r w:rsidRPr="008C1E51">
        <w:t>Kontrola została przeprowadzona przez zespół kontrolujący w składzie:</w:t>
      </w:r>
    </w:p>
    <w:p w14:paraId="08DF3F97" w14:textId="77777777" w:rsidR="008C1E51" w:rsidRPr="008C1E51" w:rsidDel="00412B05" w:rsidRDefault="008C1E51" w:rsidP="008C1E51">
      <w:pPr>
        <w:numPr>
          <w:ilvl w:val="0"/>
          <w:numId w:val="25"/>
        </w:numPr>
        <w:spacing w:before="120" w:after="120" w:line="276" w:lineRule="auto"/>
        <w:contextualSpacing/>
      </w:pPr>
      <w:r w:rsidRPr="008C1E51" w:rsidDel="00412B05">
        <w:t>Małgorzata Keller-Boroszko – Dyrektor w Biurze Kontroli i Audytu w Ministerstwie Klimatu i Środowiska,</w:t>
      </w:r>
    </w:p>
    <w:p w14:paraId="779740EB" w14:textId="77777777" w:rsidR="008C1E51" w:rsidRPr="008C1E51" w:rsidDel="00412B05" w:rsidRDefault="008C1E51" w:rsidP="008C1E51">
      <w:pPr>
        <w:numPr>
          <w:ilvl w:val="0"/>
          <w:numId w:val="25"/>
        </w:numPr>
        <w:spacing w:before="120" w:after="120" w:line="276" w:lineRule="auto"/>
        <w:contextualSpacing/>
      </w:pPr>
      <w:r w:rsidRPr="008C1E51" w:rsidDel="00412B05">
        <w:t>Jacek Grodzki – Naczelnik Wydziału w Biurze Kontroli i Audytu w Ministerstwie Klimatu i Środowiska,</w:t>
      </w:r>
    </w:p>
    <w:p w14:paraId="00A27900" w14:textId="24CF4D09" w:rsidR="008C1E51" w:rsidRPr="008C1E51" w:rsidDel="00412B05" w:rsidRDefault="008C1E51" w:rsidP="008C1E51">
      <w:pPr>
        <w:numPr>
          <w:ilvl w:val="0"/>
          <w:numId w:val="25"/>
        </w:numPr>
        <w:spacing w:before="120" w:after="0" w:line="276" w:lineRule="auto"/>
      </w:pPr>
      <w:r w:rsidRPr="008C1E51" w:rsidDel="00412B05">
        <w:t xml:space="preserve">Katarzyna Żebrowska – Główny </w:t>
      </w:r>
      <w:bookmarkStart w:id="5" w:name="_Hlk125635310"/>
      <w:r w:rsidR="00211832" w:rsidRPr="008C1E51" w:rsidDel="00412B05">
        <w:t>Specjalista w</w:t>
      </w:r>
      <w:r w:rsidRPr="008C1E51" w:rsidDel="00412B05">
        <w:t xml:space="preserve"> Biurze Kontroli i Audytu</w:t>
      </w:r>
      <w:r w:rsidRPr="008C1E51" w:rsidDel="00412B05">
        <w:br/>
        <w:t>w Ministerstwie Klimatu i Środowiska,</w:t>
      </w:r>
      <w:bookmarkEnd w:id="5"/>
    </w:p>
    <w:p w14:paraId="7408B1C4" w14:textId="77777777" w:rsidR="008C1E51" w:rsidRPr="008C1E51" w:rsidDel="00412B05" w:rsidRDefault="008C1E51" w:rsidP="008C1E51">
      <w:pPr>
        <w:numPr>
          <w:ilvl w:val="0"/>
          <w:numId w:val="25"/>
        </w:numPr>
        <w:spacing w:after="0" w:line="276" w:lineRule="auto"/>
        <w:ind w:left="714" w:hanging="357"/>
      </w:pPr>
      <w:r w:rsidRPr="008C1E51" w:rsidDel="00412B05">
        <w:t xml:space="preserve">Katarzyna </w:t>
      </w:r>
      <w:proofErr w:type="spellStart"/>
      <w:r w:rsidRPr="008C1E51" w:rsidDel="00412B05">
        <w:t>Tatkiewicz</w:t>
      </w:r>
      <w:proofErr w:type="spellEnd"/>
      <w:r w:rsidRPr="008C1E51" w:rsidDel="00412B05">
        <w:t xml:space="preserve"> – Główny specjalista w Biurze Kontroli i Audytu</w:t>
      </w:r>
      <w:r w:rsidRPr="008C1E51" w:rsidDel="00412B05">
        <w:br/>
        <w:t>w Ministerstwie Klimatu i Środowiska,</w:t>
      </w:r>
    </w:p>
    <w:p w14:paraId="0C9891F6" w14:textId="59139E36" w:rsidR="008C1E51" w:rsidRPr="008C1E51" w:rsidDel="00412B05" w:rsidRDefault="008C1E51" w:rsidP="008C1E51">
      <w:pPr>
        <w:numPr>
          <w:ilvl w:val="0"/>
          <w:numId w:val="25"/>
        </w:numPr>
        <w:spacing w:after="0" w:line="276" w:lineRule="auto"/>
        <w:ind w:left="714" w:hanging="357"/>
      </w:pPr>
      <w:r w:rsidRPr="008C1E51" w:rsidDel="00412B05">
        <w:t xml:space="preserve">Michał Gałkowski – Starszy </w:t>
      </w:r>
      <w:r w:rsidR="007F6DBC">
        <w:t>S</w:t>
      </w:r>
      <w:r w:rsidR="00211832" w:rsidRPr="008C1E51" w:rsidDel="00412B05">
        <w:t xml:space="preserve">pecjalista </w:t>
      </w:r>
      <w:r w:rsidR="007F6DBC">
        <w:t xml:space="preserve">w </w:t>
      </w:r>
      <w:r w:rsidR="00211832" w:rsidRPr="008C1E51" w:rsidDel="00412B05">
        <w:t>Biurze</w:t>
      </w:r>
      <w:r w:rsidRPr="008C1E51" w:rsidDel="00412B05">
        <w:t xml:space="preserve"> Kontroli i Audytu w Ministerstwie Klimatu i Środowiska,</w:t>
      </w:r>
    </w:p>
    <w:p w14:paraId="54243CA5" w14:textId="77777777" w:rsidR="008C1E51" w:rsidRPr="008C1E51" w:rsidDel="00412B05" w:rsidRDefault="008C1E51" w:rsidP="008C1E51">
      <w:pPr>
        <w:numPr>
          <w:ilvl w:val="0"/>
          <w:numId w:val="25"/>
        </w:numPr>
        <w:spacing w:after="0" w:line="276" w:lineRule="auto"/>
        <w:ind w:left="714" w:hanging="357"/>
      </w:pPr>
      <w:r w:rsidRPr="008C1E51" w:rsidDel="00412B05">
        <w:t>Rafał Prus – Młodszy specjalista w Biurze Kontroli i Audytu w Ministerstwie Klimatu i Środowiska,</w:t>
      </w:r>
    </w:p>
    <w:p w14:paraId="0D375B37" w14:textId="77777777" w:rsidR="008C1E51" w:rsidRPr="008C1E51" w:rsidDel="00412B05" w:rsidRDefault="008C1E51" w:rsidP="008C1E51">
      <w:pPr>
        <w:numPr>
          <w:ilvl w:val="0"/>
          <w:numId w:val="25"/>
        </w:numPr>
        <w:spacing w:after="120" w:line="276" w:lineRule="auto"/>
        <w:ind w:left="714" w:hanging="357"/>
      </w:pPr>
      <w:r w:rsidRPr="008C1E51" w:rsidDel="00412B05">
        <w:lastRenderedPageBreak/>
        <w:t>Michał Ferenc – Naczelnik w Regionalne Dyrekcji Ochrony Środowiska i Gospodarki Wodnej w Rzeszowie.</w:t>
      </w:r>
    </w:p>
    <w:p w14:paraId="1FB2F538" w14:textId="77777777" w:rsidR="008C1E51" w:rsidRPr="008C1E51" w:rsidRDefault="008C1E51" w:rsidP="008C1E51">
      <w:pPr>
        <w:spacing w:before="120" w:after="120" w:line="276" w:lineRule="auto"/>
      </w:pPr>
      <w:r w:rsidRPr="008C1E51">
        <w:t>Kontrola obejmowała okres od 1 stycznia 2019 r. do czasu zakończenia czynności kontrolnych (tj. do dnia 31 marca 2023 r.).</w:t>
      </w:r>
    </w:p>
    <w:p w14:paraId="2F762D93" w14:textId="3AAECCAD" w:rsidR="008C1E51" w:rsidRPr="008C1E51" w:rsidRDefault="008C1E51" w:rsidP="008C1E51">
      <w:pPr>
        <w:spacing w:before="120" w:after="120" w:line="276" w:lineRule="auto"/>
      </w:pPr>
      <w:r w:rsidRPr="008C1E51">
        <w:t>Kontrola została przeprowadzona na podstawie art. 6 ust. 3 pkt 1 ustawy z 15 lipca 2011 r. o kontroli w administracji rządowej</w:t>
      </w:r>
      <w:r w:rsidRPr="008C1E51">
        <w:rPr>
          <w:vertAlign w:val="superscript"/>
        </w:rPr>
        <w:footnoteReference w:id="1"/>
      </w:r>
      <w:r w:rsidRPr="008C1E51">
        <w:t xml:space="preserve"> w związku z art. 9 ust. 1 ustawy </w:t>
      </w:r>
      <w:bookmarkStart w:id="6" w:name="_Hlk85705561"/>
      <w:r w:rsidRPr="008C1E51">
        <w:t>z 16 kwietnia 2004 r. o ochronie przyrody</w:t>
      </w:r>
      <w:r w:rsidRPr="008C1E51">
        <w:rPr>
          <w:vertAlign w:val="superscript"/>
        </w:rPr>
        <w:footnoteReference w:id="2"/>
      </w:r>
      <w:bookmarkEnd w:id="6"/>
      <w:r w:rsidRPr="008C1E51">
        <w:t xml:space="preserve"> (dalej: uop) oraz obwieszczeniem Ministra Klimatu i Środowiska z 12 kwietnia 2021 r. w sprawie wykazu jednostek organizacyjnych podległych Ministrowi Klimatu </w:t>
      </w:r>
      <w:r w:rsidR="00211832" w:rsidRPr="008C1E51">
        <w:t>i Środowiska</w:t>
      </w:r>
      <w:r w:rsidRPr="008C1E51">
        <w:t xml:space="preserve"> lub przez niego nadzorowanych</w:t>
      </w:r>
      <w:r w:rsidRPr="008C1E51">
        <w:rPr>
          <w:vertAlign w:val="superscript"/>
        </w:rPr>
        <w:footnoteReference w:id="3"/>
      </w:r>
      <w:r w:rsidRPr="008C1E51">
        <w:t>.</w:t>
      </w:r>
    </w:p>
    <w:p w14:paraId="63BF3E23" w14:textId="77777777" w:rsidR="008C1E51" w:rsidRPr="008C1E51" w:rsidRDefault="008C1E51" w:rsidP="008C1E51">
      <w:pPr>
        <w:spacing w:before="120" w:after="120" w:line="276" w:lineRule="auto"/>
        <w:rPr>
          <w:lang w:bidi="pl-PL"/>
        </w:rPr>
      </w:pPr>
      <w:r w:rsidRPr="008C1E51">
        <w:rPr>
          <w:lang w:bidi="pl-PL"/>
        </w:rPr>
        <w:t>W okresie objętym kontrolą Parkiem kierował Dyrektor Ryszard Prędki (od 17 listopada 2017 r.).</w:t>
      </w:r>
    </w:p>
    <w:p w14:paraId="3ABFA779" w14:textId="77777777" w:rsidR="008C1E51" w:rsidRPr="008C1E51" w:rsidRDefault="008C1E51" w:rsidP="008C1E51">
      <w:pPr>
        <w:spacing w:before="120" w:after="120" w:line="276" w:lineRule="auto"/>
        <w:jc w:val="right"/>
      </w:pPr>
      <w:r w:rsidRPr="008C1E51">
        <w:t>[Dowód: akta kontroli str. III/767]</w:t>
      </w:r>
    </w:p>
    <w:p w14:paraId="65888FDE" w14:textId="77777777" w:rsidR="008C1E51" w:rsidRPr="008C1E51" w:rsidRDefault="008C1E51" w:rsidP="008C1E51">
      <w:pPr>
        <w:spacing w:before="120" w:after="120" w:line="276" w:lineRule="auto"/>
        <w:rPr>
          <w:b/>
        </w:rPr>
      </w:pPr>
      <w:r w:rsidRPr="008C1E51">
        <w:rPr>
          <w:b/>
        </w:rPr>
        <w:t>Ocena ogólna kontrolowanej działalności</w:t>
      </w:r>
      <w:r w:rsidRPr="008C1E51">
        <w:rPr>
          <w:b/>
          <w:vertAlign w:val="superscript"/>
        </w:rPr>
        <w:footnoteReference w:id="4"/>
      </w:r>
    </w:p>
    <w:p w14:paraId="4304195B" w14:textId="77777777" w:rsidR="008C1E51" w:rsidRPr="008C1E51" w:rsidRDefault="008C1E51" w:rsidP="008C1E51">
      <w:pPr>
        <w:spacing w:before="120" w:after="120" w:line="276" w:lineRule="auto"/>
        <w:rPr>
          <w:bCs/>
        </w:rPr>
      </w:pPr>
      <w:r w:rsidRPr="008C1E51">
        <w:rPr>
          <w:bCs/>
        </w:rPr>
        <w:t>W okresie objętym kontrolą Park działał na podstawie regulaminu organizacyjnego częściowo niezgodnego ze Statutem w zakresie organizacji wewnętrznej Parku.</w:t>
      </w:r>
      <w:r w:rsidRPr="008C1E51">
        <w:rPr>
          <w:bCs/>
        </w:rPr>
        <w:br/>
        <w:t>W regulaminie organizacyjnym wskazano komórki organizacyjne (takie jak: Stanowisko ds. Koordynacji Działań Ochronnych), które nie były ujęte w Statucie. W obu dokumentach określono różne nazwy komórek organizacyjnych. W regulaminie nie wskazano wszystkich komórek organizacyjnych, przewidzianych w Statucie.</w:t>
      </w:r>
    </w:p>
    <w:p w14:paraId="0F4D8C82" w14:textId="77777777" w:rsidR="008C1E51" w:rsidRPr="008C1E51" w:rsidRDefault="008C1E51" w:rsidP="008C1E51">
      <w:pPr>
        <w:spacing w:before="120" w:after="120" w:line="276" w:lineRule="auto"/>
      </w:pPr>
      <w:r w:rsidRPr="008C1E51">
        <w:t xml:space="preserve">Dyrektor BPN nie przekazał do zatwierdzenia ministrowi właściwemu do spraw środowiska projektów planów zadań rzeczowych na lata 2019, 2020 i 2021 wynikających z zadań ochronnych. </w:t>
      </w:r>
    </w:p>
    <w:p w14:paraId="2D13FF8A" w14:textId="1935A51E" w:rsidR="008C1E51" w:rsidRPr="008C1E51" w:rsidRDefault="008C1E51" w:rsidP="008C1E51">
      <w:pPr>
        <w:spacing w:before="120" w:after="120" w:line="276" w:lineRule="auto"/>
      </w:pPr>
      <w:r w:rsidRPr="008C1E51">
        <w:t xml:space="preserve">Badane 2 zadania ochronne w ekosystemach leśnych wynikające z Zarządzenia </w:t>
      </w:r>
      <w:r w:rsidRPr="008C1E51">
        <w:rPr>
          <w:rFonts w:cs="Times New Roman"/>
        </w:rPr>
        <w:t>Ministra Środowiska z dnia 20 grudnia 2018 r. w sprawie zadań ochronnych dla Bieszczadzkiego Parku Narodowego na lata 2019 – 2021</w:t>
      </w:r>
      <w:r w:rsidRPr="008C1E51">
        <w:rPr>
          <w:rFonts w:cs="Times New Roman"/>
          <w:vertAlign w:val="superscript"/>
        </w:rPr>
        <w:footnoteReference w:id="5"/>
      </w:r>
      <w:r w:rsidRPr="008C1E51">
        <w:rPr>
          <w:rFonts w:cs="Times New Roman"/>
        </w:rPr>
        <w:t xml:space="preserve"> (dalej:</w:t>
      </w:r>
      <w:r w:rsidRPr="008C1E51">
        <w:t xml:space="preserve"> zarządzenie </w:t>
      </w:r>
      <w:proofErr w:type="spellStart"/>
      <w:r w:rsidRPr="008C1E51">
        <w:t>ws</w:t>
      </w:r>
      <w:proofErr w:type="spellEnd"/>
      <w:r w:rsidRPr="008C1E51">
        <w:t>. zadań ochronnych) zostały wykonane przez Park odpowiednio: pierwsze w 85%, a drugie zadanie w100%.</w:t>
      </w:r>
    </w:p>
    <w:p w14:paraId="733F2054" w14:textId="3065A9A4" w:rsidR="008C1E51" w:rsidRPr="008C1E51" w:rsidRDefault="008C1E51" w:rsidP="008C1E51">
      <w:pPr>
        <w:spacing w:before="120" w:after="120" w:line="276" w:lineRule="auto"/>
      </w:pPr>
      <w:bookmarkStart w:id="7" w:name="_Hlk151648525"/>
      <w:r w:rsidRPr="008C1E51">
        <w:t xml:space="preserve">Objęte szczegółowym badaniem </w:t>
      </w:r>
      <w:bookmarkEnd w:id="7"/>
      <w:r w:rsidR="001129EF">
        <w:t>3</w:t>
      </w:r>
      <w:r w:rsidR="001129EF" w:rsidRPr="008C1E51">
        <w:t xml:space="preserve"> </w:t>
      </w:r>
      <w:r w:rsidRPr="008C1E51">
        <w:t>zadania ochronne w zakresie ekosystemów nieleśnych lądowych nie zostały zrealizowane w pełnym wymiarze, niż wynikało to z zadań ochronnych</w:t>
      </w:r>
      <w:r w:rsidR="001129EF">
        <w:t>,</w:t>
      </w:r>
      <w:r w:rsidRPr="008C1E51">
        <w:t xml:space="preserve"> odpowiednio:</w:t>
      </w:r>
    </w:p>
    <w:p w14:paraId="57C8367E" w14:textId="77777777" w:rsidR="008C1E51" w:rsidRPr="008C1E51" w:rsidRDefault="008C1E51" w:rsidP="008C1E51">
      <w:pPr>
        <w:numPr>
          <w:ilvl w:val="0"/>
          <w:numId w:val="27"/>
        </w:numPr>
        <w:spacing w:before="120" w:after="120" w:line="276" w:lineRule="auto"/>
        <w:contextualSpacing/>
      </w:pPr>
      <w:r w:rsidRPr="008C1E51">
        <w:t xml:space="preserve">wypas na Połoninie </w:t>
      </w:r>
      <w:proofErr w:type="spellStart"/>
      <w:r w:rsidRPr="008C1E51">
        <w:t>Wetlińskiej</w:t>
      </w:r>
      <w:proofErr w:type="spellEnd"/>
      <w:r w:rsidRPr="008C1E51">
        <w:t xml:space="preserve"> oraz urządzanie infrastruktury pasterskiej były realizowane przez dzierżawców na powierzchni mniejszej niż zaplanowana</w:t>
      </w:r>
      <w:r w:rsidRPr="008C1E51">
        <w:br/>
        <w:t xml:space="preserve">w zarządzeniu </w:t>
      </w:r>
      <w:proofErr w:type="spellStart"/>
      <w:r w:rsidRPr="008C1E51">
        <w:t>ws</w:t>
      </w:r>
      <w:proofErr w:type="spellEnd"/>
      <w:r w:rsidRPr="008C1E51">
        <w:t>. zadań ochronnych, a brak środków na to zadanie nie pozwalał Parkowi na wykonie tego zadania samodzielnie,</w:t>
      </w:r>
    </w:p>
    <w:p w14:paraId="37CEA329" w14:textId="5E0B37FC" w:rsidR="00062669" w:rsidRPr="008C1E51" w:rsidRDefault="008C1E51" w:rsidP="002B552C">
      <w:pPr>
        <w:numPr>
          <w:ilvl w:val="0"/>
          <w:numId w:val="27"/>
        </w:numPr>
        <w:spacing w:before="120" w:after="120" w:line="276" w:lineRule="auto"/>
        <w:contextualSpacing/>
      </w:pPr>
      <w:r w:rsidRPr="008C1E51">
        <w:t xml:space="preserve">mechaniczne koszenie łąk było realizowane na powierzchni ok. 57% powierzchni przewidzianej w zarządzeniu </w:t>
      </w:r>
      <w:proofErr w:type="spellStart"/>
      <w:r w:rsidRPr="008C1E51">
        <w:t>ws</w:t>
      </w:r>
      <w:proofErr w:type="spellEnd"/>
      <w:r w:rsidRPr="008C1E51">
        <w:t>. zadań ochronnych,</w:t>
      </w:r>
    </w:p>
    <w:p w14:paraId="32E21DAC" w14:textId="4FE72730" w:rsidR="008C1E51" w:rsidRPr="008C1E51" w:rsidRDefault="008C1E51" w:rsidP="006350DE">
      <w:pPr>
        <w:numPr>
          <w:ilvl w:val="0"/>
          <w:numId w:val="27"/>
        </w:numPr>
        <w:spacing w:before="120" w:after="120" w:line="276" w:lineRule="auto"/>
        <w:ind w:left="714" w:hanging="357"/>
      </w:pPr>
      <w:r w:rsidRPr="008C1E51">
        <w:lastRenderedPageBreak/>
        <w:t>usuwanie niepożądanych gatunków drzew i krzewów z obrębu kopuł i okrajków torfowisk wysokich zostało wykonane w pełnym rozmiarze w 2020 r.  Natomiast</w:t>
      </w:r>
      <w:r w:rsidRPr="008C1E51">
        <w:br/>
        <w:t>w latach 2019 i 2021 roku zadanie to nie było planowane i wykonane. Zrealizowanie tego zadania możliwe było po zgromadzeniu środków zewnętrznych co udało się</w:t>
      </w:r>
      <w:r w:rsidRPr="008C1E51">
        <w:br/>
        <w:t xml:space="preserve">w 2020 r. Na etapie sporządzania planów wykonania zadania nie można było przewidzieć, kiedy zostanie podpisana umowa na dotację oraz kiedy zostaną rozstrzygnięte postępowania przetargowe. </w:t>
      </w:r>
      <w:r w:rsidRPr="009F1999">
        <w:t>Ostatecznie odkrzaczanie w ramach projektu zostało zaplanowane na rok 2020, 2022 oraz 2023, co było wystarczające pod względem przyrodniczym według Dyrektora Parku.</w:t>
      </w:r>
    </w:p>
    <w:p w14:paraId="27991C96" w14:textId="6CBED573" w:rsidR="008C1E51" w:rsidRPr="008C1E51" w:rsidRDefault="008C1E51" w:rsidP="008C1E51">
      <w:pPr>
        <w:spacing w:before="120" w:after="120" w:line="276" w:lineRule="auto"/>
      </w:pPr>
      <w:r w:rsidRPr="008C1E51">
        <w:t>Park realizował zadania ochronne w ramach umów dzierżaw. Dzierżawcy wykonywali zadania ochronne zgodnie z zapisami umownymi, a Park nadzorował działania Dzierżawców. W zakresie tym stwierdzono uchybienia formalne w sporządzaniu protokołów z wykonania prac, które nie miały jednakże wpływu na jakość wykonania umów i efekt przyrodniczy.</w:t>
      </w:r>
    </w:p>
    <w:p w14:paraId="37EA7CCF" w14:textId="77777777" w:rsidR="008C1E51" w:rsidRPr="008C1E51" w:rsidRDefault="008C1E51" w:rsidP="008C1E51">
      <w:pPr>
        <w:spacing w:before="120" w:after="120" w:line="276" w:lineRule="auto"/>
      </w:pPr>
      <w:r w:rsidRPr="008C1E51">
        <w:t xml:space="preserve">W pełnym rozmiarze zostały wykonane 3 z 3 badanych zadań ochronnych w ekosystemach wodnych oraz w kategorii Inne według specyfiki Parku. </w:t>
      </w:r>
    </w:p>
    <w:p w14:paraId="39C2F4A1" w14:textId="77777777" w:rsidR="008C1E51" w:rsidRPr="008C1E51" w:rsidRDefault="008C1E51" w:rsidP="008C1E51">
      <w:r w:rsidRPr="008C1E51">
        <w:t>W okresie objętym kontrolą Dyrektor BPN nie przekazywał Radzie Naukowej Parku programów badawczych i naukowych celem ich zaopiniowania. Tym samym Rada Naukowa Parku nie realizowała wszystkich zadań nałożonych na nią przez uop m.in. nie opiniowała programów badawczych i naukowych prowadzonych na terenie parku, co było niezgodne</w:t>
      </w:r>
      <w:r w:rsidRPr="008C1E51">
        <w:br/>
        <w:t>z art. 98 ust. 3 pkt. 4 uop.</w:t>
      </w:r>
    </w:p>
    <w:p w14:paraId="072F9FC1" w14:textId="1B1D0EDD" w:rsidR="008C1E51" w:rsidRPr="008C1E51" w:rsidRDefault="008C1E51" w:rsidP="008C1E51">
      <w:r w:rsidRPr="008C1E51">
        <w:t>W zakresie sprzedaży drewna w 2 z 2 zbadanych przypadków stwierdzono nieprawidłowości związane z wydaniem drewna bez zapłaty, co stanowiło naruszenie wewnętrznych regulacji tj. zarządze</w:t>
      </w:r>
      <w:r w:rsidR="001129EF">
        <w:t>ń</w:t>
      </w:r>
      <w:r w:rsidRPr="008C1E51">
        <w:t xml:space="preserve"> Dyrektora Parku </w:t>
      </w:r>
      <w:proofErr w:type="spellStart"/>
      <w:r w:rsidRPr="008C1E51">
        <w:t>ws</w:t>
      </w:r>
      <w:proofErr w:type="spellEnd"/>
      <w:r w:rsidRPr="008C1E51">
        <w:t>. sprzedaży drewna. Zbadane przetargi na sprzedaż drewna odbywały się zgodnie z przyjętymi w Parku regulacjami.</w:t>
      </w:r>
    </w:p>
    <w:p w14:paraId="49106BBB" w14:textId="77777777" w:rsidR="008C1E51" w:rsidRPr="008C1E51" w:rsidRDefault="008C1E51" w:rsidP="008C1E51">
      <w:pPr>
        <w:rPr>
          <w:rFonts w:eastAsia="Calibri" w:cs="Times New Roman"/>
          <w:iCs/>
          <w:szCs w:val="20"/>
        </w:rPr>
      </w:pPr>
      <w:r w:rsidRPr="008C1E51">
        <w:rPr>
          <w:rFonts w:eastAsia="Calibri" w:cs="Times New Roman"/>
          <w:iCs/>
          <w:szCs w:val="20"/>
        </w:rPr>
        <w:t>Park nierzetelnie sporządził sprawozdania Rb-N z lata 2019- 2021. Dane przedstawione</w:t>
      </w:r>
      <w:r w:rsidRPr="008C1E51">
        <w:rPr>
          <w:rFonts w:eastAsia="Calibri" w:cs="Times New Roman"/>
          <w:iCs/>
          <w:szCs w:val="20"/>
        </w:rPr>
        <w:br/>
        <w:t xml:space="preserve">w sprawozdaniach były częściowo niezgodne z ewidencją księgową, co było działaniem niezgodnym z § 4 ust. 1 pkt. 1 </w:t>
      </w:r>
      <w:r w:rsidRPr="008C1E51">
        <w:rPr>
          <w:rFonts w:cs="Times New Roman"/>
          <w:szCs w:val="20"/>
        </w:rPr>
        <w:t>Rozporządzenia Ministra Finansów z dnia 4 marca 2010 r.</w:t>
      </w:r>
      <w:r w:rsidRPr="008C1E51">
        <w:rPr>
          <w:rFonts w:cs="Times New Roman"/>
          <w:szCs w:val="20"/>
        </w:rPr>
        <w:br/>
        <w:t>w sprawie sprawozdań jednostek sektora finansów publicznych w zakresie operacji finansowych</w:t>
      </w:r>
      <w:r w:rsidRPr="008C1E51">
        <w:rPr>
          <w:rFonts w:cs="Times New Roman"/>
          <w:szCs w:val="20"/>
          <w:vertAlign w:val="superscript"/>
        </w:rPr>
        <w:footnoteReference w:id="6"/>
      </w:r>
      <w:r w:rsidRPr="008C1E51">
        <w:rPr>
          <w:rFonts w:cs="Times New Roman"/>
          <w:szCs w:val="20"/>
        </w:rPr>
        <w:t xml:space="preserve"> i </w:t>
      </w:r>
      <w:r w:rsidRPr="008C1E51">
        <w:rPr>
          <w:rFonts w:eastAsia="Calibri" w:cs="Times New Roman"/>
          <w:iCs/>
          <w:szCs w:val="20"/>
        </w:rPr>
        <w:t xml:space="preserve">§ 4 ust. 1 pkt. 1 </w:t>
      </w:r>
      <w:r w:rsidRPr="008C1E51">
        <w:rPr>
          <w:rFonts w:cs="Times New Roman"/>
          <w:szCs w:val="20"/>
        </w:rPr>
        <w:t>Rozporządzenia Ministra Finansów, Funduszy i Polityki Regionalnej z dnia 17 grudnia 2020 r. w sprawie sprawozdań jednostek sektora finansów publicznych w zakresie operacji finansowych</w:t>
      </w:r>
      <w:r w:rsidRPr="008C1E51">
        <w:rPr>
          <w:rFonts w:cs="Times New Roman"/>
          <w:szCs w:val="20"/>
          <w:vertAlign w:val="superscript"/>
        </w:rPr>
        <w:footnoteReference w:id="7"/>
      </w:r>
      <w:r w:rsidRPr="008C1E51">
        <w:rPr>
          <w:rFonts w:eastAsia="Calibri" w:cs="Times New Roman"/>
          <w:iCs/>
          <w:szCs w:val="20"/>
        </w:rPr>
        <w:t xml:space="preserve">. </w:t>
      </w:r>
    </w:p>
    <w:p w14:paraId="1601BCC1" w14:textId="77777777" w:rsidR="008C1E51" w:rsidRPr="008C1E51" w:rsidRDefault="008C1E51" w:rsidP="008C1E51">
      <w:pPr>
        <w:rPr>
          <w:rFonts w:eastAsia="Calibri" w:cs="Times New Roman"/>
          <w:iCs/>
          <w:szCs w:val="20"/>
        </w:rPr>
      </w:pPr>
      <w:r w:rsidRPr="008C1E51">
        <w:rPr>
          <w:rFonts w:eastAsia="Calibri" w:cs="Times New Roman"/>
          <w:iCs/>
          <w:szCs w:val="20"/>
        </w:rPr>
        <w:t xml:space="preserve">Dotacje celowe były prawidłowo rozliczane. W kontrolowanym okresie zmniejszył się stan należności wymagalnych. Park podejmował działania w celu dochodzenia należności. Niemniej nie podejmował wszystkich czynności do jakich był uprawniony jako wierzyciel. Dochodzenie należności zostało całkowicie powierzone podmiotowi zewnętrznemu, nad którym nie pełniono dostatecznego nadzoru, pomimo tego, że jednemu z pracowników przypisano zadanie dotyczące dochodzenia należności. </w:t>
      </w:r>
    </w:p>
    <w:p w14:paraId="5BB2E718" w14:textId="13B52A90" w:rsidR="008C1E51" w:rsidRPr="008C1E51" w:rsidRDefault="008C1E51" w:rsidP="008C1E51">
      <w:pPr>
        <w:rPr>
          <w:rFonts w:eastAsia="Calibri" w:cs="Times New Roman"/>
          <w:iCs/>
          <w:szCs w:val="20"/>
        </w:rPr>
      </w:pPr>
      <w:r w:rsidRPr="008C1E51">
        <w:rPr>
          <w:rFonts w:eastAsia="Calibri" w:cs="Times New Roman"/>
          <w:iCs/>
          <w:szCs w:val="20"/>
        </w:rPr>
        <w:t>W okresie objętym kontrolą w Parku obowiązywały dwa akty prawa wewnętrznego które regulowały kwestie związane m.in. z procesem windykacji</w:t>
      </w:r>
      <w:r w:rsidRPr="008C1E51">
        <w:rPr>
          <w:rFonts w:eastAsia="Calibri" w:cs="Times New Roman"/>
          <w:iCs/>
          <w:szCs w:val="20"/>
          <w:vertAlign w:val="superscript"/>
        </w:rPr>
        <w:footnoteReference w:id="8"/>
      </w:r>
      <w:r w:rsidRPr="008C1E51">
        <w:rPr>
          <w:rFonts w:eastAsia="Calibri" w:cs="Times New Roman"/>
          <w:iCs/>
          <w:szCs w:val="20"/>
        </w:rPr>
        <w:t xml:space="preserve">. Akty te były rozbieżne względem </w:t>
      </w:r>
      <w:r w:rsidRPr="008C1E51">
        <w:rPr>
          <w:rFonts w:eastAsia="Calibri" w:cs="Times New Roman"/>
          <w:iCs/>
          <w:szCs w:val="20"/>
        </w:rPr>
        <w:lastRenderedPageBreak/>
        <w:t>siebie w zapisach dotyczących wysyłania wezwań do zapłaty. Według Polityki rachunkowości wezwania do zapłaty Park powinien wysłać co najmniej trzykrotnie,</w:t>
      </w:r>
      <w:r w:rsidRPr="008C1E51">
        <w:rPr>
          <w:rFonts w:eastAsia="Calibri" w:cs="Times New Roman"/>
          <w:iCs/>
          <w:szCs w:val="20"/>
        </w:rPr>
        <w:br/>
        <w:t>a odsetek nie należało naliczać do wysokości 6 zł. Natomiast zgodnie z procedurą wezwania do zapłaty należało wysłać co najmniej dwukrotnie, a odsetek nie należało naliczać do wysokoś</w:t>
      </w:r>
      <w:r w:rsidR="0091612E">
        <w:rPr>
          <w:rFonts w:eastAsia="Calibri" w:cs="Times New Roman"/>
          <w:iCs/>
          <w:szCs w:val="20"/>
        </w:rPr>
        <w:t>ci</w:t>
      </w:r>
      <w:r w:rsidRPr="008C1E51">
        <w:rPr>
          <w:rFonts w:eastAsia="Calibri" w:cs="Times New Roman"/>
          <w:iCs/>
          <w:szCs w:val="20"/>
        </w:rPr>
        <w:t xml:space="preserve"> 8,70 zł</w:t>
      </w:r>
      <w:r w:rsidR="0091612E">
        <w:rPr>
          <w:rFonts w:eastAsia="Calibri" w:cs="Times New Roman"/>
          <w:iCs/>
          <w:szCs w:val="20"/>
        </w:rPr>
        <w:t>.</w:t>
      </w:r>
      <w:r w:rsidRPr="008C1E51">
        <w:rPr>
          <w:rFonts w:eastAsia="Calibri" w:cs="Times New Roman"/>
          <w:iCs/>
          <w:szCs w:val="20"/>
        </w:rPr>
        <w:t xml:space="preserve"> Mimo wytycznych zawartych w ww. dokumentach pracownicy Parku nie stosowali ich w sposób wynikający z ich treści lub nie stosowali ich w ogóle. Przyjęte rozwiązania (obieg dokumentów, zasady sprzedaży drewna) w zakresie sprzedaży drewna były niewystarczające by zagwarantować sprawną weryfikację kontrahentów, a tym samym uniknąć </w:t>
      </w:r>
      <w:r w:rsidR="00211832" w:rsidRPr="008C1E51">
        <w:rPr>
          <w:rFonts w:eastAsia="Calibri" w:cs="Times New Roman"/>
          <w:iCs/>
          <w:szCs w:val="20"/>
        </w:rPr>
        <w:t>sytuacji,</w:t>
      </w:r>
      <w:r w:rsidRPr="008C1E51">
        <w:rPr>
          <w:rFonts w:eastAsia="Calibri" w:cs="Times New Roman"/>
          <w:iCs/>
          <w:szCs w:val="20"/>
        </w:rPr>
        <w:t xml:space="preserve"> w której surowiec był wydawany nabywcom bez uiszczenia opłaty. Ustalono, iż w trakcie trwania czynności związanych z dochodzeniem należności Park brakował dokumenty lub nie posiadał ich wcale. Brakowaniu poddawano dokumenty źródłowe stanowiące podstawę dochodzenia należności jak również Park nie posiadał dokumentów związanych z procesem związanym z dochodzeniem należności. Stwierdzono przypadek odpisania należności przed terminem przedawnienia, tj. w okresie wymagalności.</w:t>
      </w:r>
    </w:p>
    <w:p w14:paraId="79585949" w14:textId="224B2C41" w:rsidR="008C1E51" w:rsidRPr="008C1E51" w:rsidRDefault="008C1E51" w:rsidP="008C1E51">
      <w:pPr>
        <w:rPr>
          <w:rFonts w:cs="Times New Roman"/>
          <w:bCs/>
          <w:szCs w:val="20"/>
        </w:rPr>
      </w:pPr>
      <w:r w:rsidRPr="008C1E51">
        <w:rPr>
          <w:rFonts w:eastAsia="Calibri" w:cs="Times New Roman"/>
          <w:iCs/>
          <w:szCs w:val="20"/>
        </w:rPr>
        <w:t>W obszarze związanym z udzielaniem zamówień publicznych stwierdzono uchybienia formalne, które nie miały wpływu na przebieg i rozstrzygni</w:t>
      </w:r>
      <w:r w:rsidR="0091612E">
        <w:rPr>
          <w:rFonts w:eastAsia="Calibri" w:cs="Times New Roman"/>
          <w:iCs/>
          <w:szCs w:val="20"/>
        </w:rPr>
        <w:t>ę</w:t>
      </w:r>
      <w:r w:rsidRPr="008C1E51">
        <w:rPr>
          <w:rFonts w:eastAsia="Calibri" w:cs="Times New Roman"/>
          <w:iCs/>
          <w:szCs w:val="20"/>
        </w:rPr>
        <w:t>cie postępowań.</w:t>
      </w:r>
      <w:r w:rsidRPr="008C1E51">
        <w:rPr>
          <w:rFonts w:eastAsia="Calibri" w:cs="Times New Roman"/>
          <w:iCs/>
          <w:szCs w:val="20"/>
        </w:rPr>
        <w:br/>
      </w:r>
      <w:r w:rsidRPr="008C1E51">
        <w:rPr>
          <w:rFonts w:cs="Times New Roman"/>
          <w:bCs/>
          <w:szCs w:val="20"/>
        </w:rPr>
        <w:t>W 2 z 4 badanych postępowaniach stwierdzono brak oświadczeń o braku powiązań</w:t>
      </w:r>
      <w:r w:rsidRPr="008C1E51">
        <w:rPr>
          <w:rFonts w:cs="Times New Roman"/>
          <w:bCs/>
          <w:szCs w:val="20"/>
        </w:rPr>
        <w:br/>
        <w:t>z wykonawcami starającymi się o udzielenie zamówienia, Ponadto stwierdzono brak aktualizacji Planu zamówień publicznych w roku 2021, co było niezgodne z art. 23 ust. 4 ustawy z dnia 11 września 2019 r.</w:t>
      </w:r>
      <w:r w:rsidRPr="008C1E51">
        <w:rPr>
          <w:rFonts w:cs="Times New Roman"/>
          <w:bCs/>
          <w:szCs w:val="20"/>
          <w:vertAlign w:val="superscript"/>
        </w:rPr>
        <w:footnoteReference w:id="9"/>
      </w:r>
      <w:r w:rsidRPr="008C1E51">
        <w:rPr>
          <w:rFonts w:cs="Times New Roman"/>
          <w:bCs/>
          <w:szCs w:val="20"/>
        </w:rPr>
        <w:t xml:space="preserve"> (dalej: </w:t>
      </w:r>
      <w:proofErr w:type="spellStart"/>
      <w:r w:rsidRPr="008C1E51">
        <w:rPr>
          <w:rFonts w:cs="Times New Roman"/>
          <w:bCs/>
          <w:szCs w:val="20"/>
        </w:rPr>
        <w:t>Pzp</w:t>
      </w:r>
      <w:proofErr w:type="spellEnd"/>
      <w:r w:rsidRPr="008C1E51">
        <w:rPr>
          <w:rFonts w:cs="Times New Roman"/>
          <w:bCs/>
          <w:szCs w:val="20"/>
        </w:rPr>
        <w:t>).</w:t>
      </w:r>
    </w:p>
    <w:p w14:paraId="4D662FFE" w14:textId="77777777" w:rsidR="008C1E51" w:rsidRPr="008C1E51" w:rsidRDefault="008C1E51" w:rsidP="008C1E51">
      <w:pPr>
        <w:suppressAutoHyphens/>
        <w:spacing w:before="120" w:after="120" w:line="276" w:lineRule="auto"/>
        <w:rPr>
          <w:rFonts w:cs="Times New Roman"/>
          <w:szCs w:val="20"/>
          <w:lang w:eastAsia="pl-PL"/>
        </w:rPr>
      </w:pPr>
      <w:r w:rsidRPr="008C1E51">
        <w:rPr>
          <w:bCs/>
          <w:szCs w:val="20"/>
        </w:rPr>
        <w:t xml:space="preserve">W obszarze gospodarowania nieruchomościami </w:t>
      </w:r>
      <w:r w:rsidRPr="008C1E51">
        <w:rPr>
          <w:szCs w:val="20"/>
        </w:rPr>
        <w:t xml:space="preserve">stwierdzono uchybienia polegające na </w:t>
      </w:r>
      <w:r w:rsidRPr="008C1E51">
        <w:rPr>
          <w:rFonts w:eastAsia="Calibri"/>
          <w:szCs w:val="20"/>
          <w:lang w:eastAsia="ar-SA"/>
        </w:rPr>
        <w:t xml:space="preserve">braku </w:t>
      </w:r>
      <w:r w:rsidRPr="008C1E51">
        <w:rPr>
          <w:rFonts w:cs="Times New Roman"/>
          <w:szCs w:val="20"/>
        </w:rPr>
        <w:t>opracowania wieloletniego programu gospodarowania budynkami. Stwierdzono także brak ciągłości przeglądów</w:t>
      </w:r>
      <w:r w:rsidRPr="008C1E51">
        <w:rPr>
          <w:rFonts w:cs="Times New Roman"/>
          <w:szCs w:val="20"/>
          <w:lang w:eastAsia="pl-PL"/>
        </w:rPr>
        <w:t xml:space="preserve"> z okresowej rocznej kontroli polegającej na sprawdzeniu instalacji i urządzeń służących ochronie środowiska (dot. przeglądów oczyszczalni ścieków), oraz przeglądów okresowej kontroli przewodów kominowych.</w:t>
      </w:r>
    </w:p>
    <w:p w14:paraId="644C0175" w14:textId="77777777" w:rsidR="008C1E51" w:rsidRPr="008C1E51" w:rsidRDefault="008C1E51" w:rsidP="008C1E51">
      <w:pPr>
        <w:tabs>
          <w:tab w:val="left" w:pos="5812"/>
        </w:tabs>
        <w:spacing w:before="120" w:after="120" w:line="276" w:lineRule="auto"/>
        <w:rPr>
          <w:rFonts w:eastAsia="Times New Roman" w:cs="Times New Roman"/>
          <w:szCs w:val="20"/>
          <w:lang w:eastAsia="pl-PL"/>
        </w:rPr>
      </w:pP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posiadał i realizował gospodarkę transportową na podstawie wewnętrznej regulacji</w:t>
      </w:r>
      <w:r w:rsidRPr="008C1E51">
        <w:rPr>
          <w:rFonts w:eastAsia="Times New Roman" w:cs="Times New Roman"/>
          <w:szCs w:val="20"/>
          <w:vertAlign w:val="superscript"/>
          <w:lang w:eastAsia="pl-PL"/>
        </w:rPr>
        <w:footnoteReference w:id="10"/>
      </w:r>
      <w:r w:rsidRPr="008C1E51">
        <w:rPr>
          <w:rFonts w:eastAsia="Times New Roman" w:cs="Times New Roman"/>
          <w:szCs w:val="20"/>
          <w:lang w:eastAsia="pl-PL"/>
        </w:rPr>
        <w:t xml:space="preserve"> określającej m.in. zasady i sposób ewidencji. Nie występowały przypadki używania pojazdów służbowych do celów prywatnych z uwagi na fakt, że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wprowadził dobrą praktykę zakazu używania samochodów służbowych do celów prywatnych. Niewystarczająca wielkość taboru będącego w dyspozycji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i charakter terenowy pracy służb leśnych (leśniczy, podleśniczy) uzasadniają przypadki wykorzystywania samochodów prywatnych do celów służbowych przez pracowników terenowych.</w:t>
      </w:r>
    </w:p>
    <w:p w14:paraId="52E0CBB5" w14:textId="1B7F6EBD" w:rsidR="008C1E51" w:rsidRPr="008C1E51" w:rsidRDefault="008C1E51" w:rsidP="008C1E51">
      <w:pPr>
        <w:spacing w:before="120" w:after="120" w:line="276" w:lineRule="auto"/>
        <w:rPr>
          <w:rFonts w:eastAsia="Calibri" w:cs="Times New Roman"/>
          <w:bCs/>
          <w:szCs w:val="20"/>
        </w:rPr>
      </w:pPr>
      <w:r w:rsidRPr="008C1E51">
        <w:rPr>
          <w:rFonts w:eastAsia="Calibri" w:cs="Times New Roman"/>
          <w:szCs w:val="20"/>
        </w:rPr>
        <w:t xml:space="preserve">Funkcjonariusze Straży Parku posiadali </w:t>
      </w:r>
      <w:r w:rsidRPr="008C1E51">
        <w:rPr>
          <w:rFonts w:eastAsia="Calibri" w:cs="Times New Roman"/>
          <w:bCs/>
          <w:szCs w:val="20"/>
        </w:rPr>
        <w:t xml:space="preserve">ważne zaświadczenia lekarskie i psychologiczne, wydawane przez Policję o nienagannej opinii oraz legitymowali się ukończeniem szkolenia i pozytywnym wynikiem egzaminu. </w:t>
      </w:r>
    </w:p>
    <w:p w14:paraId="14F3AF4E"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iż w Parku brak było procedur związanych z zatrudnianiem nowych pracowników oraz z awansowaniem. </w:t>
      </w:r>
    </w:p>
    <w:p w14:paraId="639900ED" w14:textId="7C653615"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Również stwierdzono brak procedur nadawania i odbierania uprawnień do systemów informatycznych, oraz brak dokumentowania nadania i odebrania uprawnień, co powoduje ryzyko </w:t>
      </w:r>
      <w:r w:rsidR="00211832" w:rsidRPr="008C1E51">
        <w:rPr>
          <w:rFonts w:eastAsia="Calibri" w:cs="Times New Roman"/>
          <w:szCs w:val="20"/>
        </w:rPr>
        <w:t>niespełnienia</w:t>
      </w:r>
      <w:r w:rsidRPr="008C1E51">
        <w:rPr>
          <w:rFonts w:eastAsia="Calibri" w:cs="Times New Roman"/>
          <w:szCs w:val="20"/>
        </w:rPr>
        <w:t xml:space="preserve"> wymagań Rozporządzenia Rady Ministrów w sprawie krajowych ram </w:t>
      </w:r>
      <w:r w:rsidRPr="008C1E51">
        <w:rPr>
          <w:rFonts w:eastAsia="Calibri" w:cs="Times New Roman"/>
          <w:szCs w:val="20"/>
        </w:rPr>
        <w:lastRenderedPageBreak/>
        <w:t>interoperacyjności, minimalnych wymagań dla rejestrów publicznych i wymiany informacji</w:t>
      </w:r>
      <w:r w:rsidRPr="008C1E51">
        <w:rPr>
          <w:rFonts w:eastAsia="Calibri" w:cs="Times New Roman"/>
          <w:szCs w:val="20"/>
        </w:rPr>
        <w:br/>
        <w:t xml:space="preserve">w postaci elektronicznej oraz minimalnych wymagań dla systemów </w:t>
      </w:r>
      <w:r w:rsidR="00211832" w:rsidRPr="008C1E51">
        <w:rPr>
          <w:rFonts w:eastAsia="Calibri" w:cs="Times New Roman"/>
          <w:szCs w:val="20"/>
        </w:rPr>
        <w:t>teleinformatycznych.</w:t>
      </w:r>
    </w:p>
    <w:p w14:paraId="7FC569C6" w14:textId="3E1A3B6C" w:rsidR="008C1E51" w:rsidRPr="008C1E51" w:rsidRDefault="008C1E51" w:rsidP="008C1E51">
      <w:pPr>
        <w:suppressAutoHyphens/>
        <w:spacing w:before="120" w:after="120" w:line="276" w:lineRule="auto"/>
        <w:rPr>
          <w:rFonts w:eastAsia="Calibri"/>
          <w:b/>
          <w:bCs/>
          <w:szCs w:val="20"/>
          <w:lang w:eastAsia="ar-SA"/>
        </w:rPr>
      </w:pPr>
      <w:r w:rsidRPr="008C1E51">
        <w:rPr>
          <w:rFonts w:eastAsia="Calibri" w:cs="Times New Roman"/>
          <w:szCs w:val="20"/>
        </w:rPr>
        <w:t xml:space="preserve">Nieprawidłowości stwierdzono w obszarze zawierania umów cywilnoprawnych z pracownikami Parku. Nie zapewniono funkcjonowania mechanizmów zabezpieczających przed wykonywaniem zleceń przez pracowników w godzinach pracy ich etatowej. W jednym przypadku wypłacono wynagrodzenie w wysokości wyższej niż wynikająca z zapisów umowy, co było działaniem nielegalnym. Przedmiot jednej umowy był tożsamy z zadaniem wynikającym z zakresu zadań pracownika, z którym zawarto umowę cywilnoprawną, tym samym umową cywilnoprawną zastępowano umowę o prace co było działaniem niezgodnym </w:t>
      </w:r>
      <w:r w:rsidR="00211832" w:rsidRPr="008C1E51">
        <w:rPr>
          <w:rFonts w:eastAsia="Calibri" w:cs="Times New Roman"/>
          <w:szCs w:val="20"/>
        </w:rPr>
        <w:t>z ustawą</w:t>
      </w:r>
      <w:r w:rsidRPr="008C1E51">
        <w:rPr>
          <w:rFonts w:eastAsia="Calibri" w:cs="Times New Roman"/>
          <w:szCs w:val="20"/>
        </w:rPr>
        <w:t xml:space="preserve"> z dnia 26 czerwca 1974 r. Kodeks Pracy</w:t>
      </w:r>
      <w:r w:rsidRPr="008C1E51">
        <w:rPr>
          <w:rFonts w:eastAsia="Calibri" w:cs="Times New Roman"/>
          <w:szCs w:val="20"/>
          <w:vertAlign w:val="superscript"/>
        </w:rPr>
        <w:footnoteReference w:id="11"/>
      </w:r>
      <w:r w:rsidRPr="008C1E51">
        <w:rPr>
          <w:rFonts w:eastAsia="Calibri" w:cs="Times New Roman"/>
          <w:szCs w:val="20"/>
        </w:rPr>
        <w:t>. Dwie umowy były dopełnieniem umów o pracę. Umowy te rozliczano niezgodnie z ich warunkami, przez co nierówno traktowano pracowników. Dwie umowy zostały zawarte po wykonaniu dzieła.</w:t>
      </w:r>
    </w:p>
    <w:p w14:paraId="5377BD6D" w14:textId="77777777" w:rsidR="008C1E51" w:rsidRPr="008C1E51" w:rsidRDefault="008C1E51" w:rsidP="008C1E51">
      <w:pPr>
        <w:spacing w:before="120" w:after="120" w:line="276" w:lineRule="auto"/>
        <w:rPr>
          <w:b/>
        </w:rPr>
      </w:pPr>
      <w:r w:rsidRPr="008C1E51">
        <w:rPr>
          <w:b/>
        </w:rPr>
        <w:t>Opis stanu faktycznego</w:t>
      </w:r>
    </w:p>
    <w:p w14:paraId="33AAD90A" w14:textId="77777777" w:rsidR="008C1E51" w:rsidRPr="008C1E51" w:rsidRDefault="008C1E51" w:rsidP="008C1E51">
      <w:pPr>
        <w:spacing w:before="120" w:after="120" w:line="276" w:lineRule="auto"/>
        <w:rPr>
          <w:b/>
        </w:rPr>
      </w:pPr>
      <w:r w:rsidRPr="008C1E51">
        <w:rPr>
          <w:b/>
        </w:rPr>
        <w:t>Organizacja wewnętrzna Parku</w:t>
      </w:r>
    </w:p>
    <w:p w14:paraId="3C551153" w14:textId="4E82607C" w:rsidR="008C1E51" w:rsidRPr="008C1E51" w:rsidRDefault="008C1E51" w:rsidP="008C1E51">
      <w:pPr>
        <w:spacing w:before="120" w:after="120" w:line="276" w:lineRule="auto"/>
        <w:rPr>
          <w:rFonts w:eastAsia="Calibri" w:cs="Times New Roman"/>
          <w:szCs w:val="20"/>
        </w:rPr>
      </w:pPr>
      <w:r w:rsidRPr="008C1E51">
        <w:rPr>
          <w:bCs/>
        </w:rPr>
        <w:t xml:space="preserve">W okresie objętym kontrolą w BPN obowiązywał statut </w:t>
      </w:r>
      <w:r w:rsidR="00211832" w:rsidRPr="008C1E51">
        <w:rPr>
          <w:bCs/>
        </w:rPr>
        <w:t>z 9</w:t>
      </w:r>
      <w:r w:rsidRPr="008C1E51">
        <w:rPr>
          <w:bCs/>
        </w:rPr>
        <w:t xml:space="preserve"> marca 2013 r.</w:t>
      </w:r>
      <w:r w:rsidRPr="008C1E51">
        <w:rPr>
          <w:bCs/>
          <w:vertAlign w:val="superscript"/>
        </w:rPr>
        <w:footnoteReference w:id="12"/>
      </w:r>
      <w:r w:rsidRPr="008C1E51">
        <w:rPr>
          <w:bCs/>
        </w:rPr>
        <w:t>, zmieniony 21 grudnia 2015 r.</w:t>
      </w:r>
      <w:r w:rsidRPr="008C1E51">
        <w:rPr>
          <w:bCs/>
          <w:vertAlign w:val="superscript"/>
        </w:rPr>
        <w:footnoteReference w:id="13"/>
      </w:r>
      <w:r w:rsidRPr="008C1E51">
        <w:rPr>
          <w:bCs/>
        </w:rPr>
        <w:t xml:space="preserve"> Organizację wewnętrzną Parku określał Regulamin organizacyjny</w:t>
      </w:r>
      <w:r w:rsidRPr="008C1E51">
        <w:rPr>
          <w:bCs/>
          <w:vertAlign w:val="superscript"/>
        </w:rPr>
        <w:footnoteReference w:id="14"/>
      </w:r>
      <w:r w:rsidRPr="008C1E51">
        <w:rPr>
          <w:bCs/>
        </w:rPr>
        <w:t>.</w:t>
      </w:r>
      <w:r w:rsidRPr="008C1E51">
        <w:rPr>
          <w:bCs/>
        </w:rPr>
        <w:br/>
        <w:t xml:space="preserve">W okresie od 21 grudnia 2015 r. do zakończenia czynności kontrolnych Regulamin organizacyjny był niezgodny ze Statutem Parku w zakresie organizacji wewnętrznej. </w:t>
      </w:r>
      <w:r w:rsidRPr="008C1E51">
        <w:t>Zgodnie z art. 8f uop minister właściwy do spraw środowiska, w drodze rozporządzenia, nadaje parkowi narodowemu statut określający organizację wewnętrzną parku narodowego, tryb działania jego organu oraz sposób udzielania pełnomocnictw, kierując się potrzebą zapewnienia sprawnego działania parku narodowego oraz właściwej realizacji jego zadań. Powyższe oznacza, iż ramy organizacyjne Parku powinny wynikać ze Statutu nadanego przez ministra nadzorującego.</w:t>
      </w:r>
    </w:p>
    <w:p w14:paraId="26867BF0"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Stwierdzono następujące różnice pomiędzy Statutem Parku a Regulaminem organizacyjnym:</w:t>
      </w:r>
    </w:p>
    <w:p w14:paraId="104D776A" w14:textId="77777777" w:rsidR="008C1E51" w:rsidRPr="008C1E51" w:rsidRDefault="008C1E51" w:rsidP="008C1E51">
      <w:pPr>
        <w:numPr>
          <w:ilvl w:val="0"/>
          <w:numId w:val="5"/>
        </w:numPr>
        <w:spacing w:before="120" w:after="120" w:line="276" w:lineRule="auto"/>
        <w:rPr>
          <w:rFonts w:eastAsia="Calibri" w:cs="Times New Roman"/>
          <w:szCs w:val="20"/>
        </w:rPr>
      </w:pPr>
      <w:r w:rsidRPr="008C1E51">
        <w:rPr>
          <w:rFonts w:eastAsia="Calibri" w:cs="Times New Roman"/>
          <w:szCs w:val="20"/>
        </w:rPr>
        <w:t xml:space="preserve">w Statucie określono, że Dział Administracyjny i Gospodarowania Mieniem powinien obejmować Zespół ds. Administracyjno-Gospodarczych i Zespół ds. Transportu. Zgodnie z Regulaminem Organizacyjnym do 30 grudnia 2020 r. Dział Administracyjny i Gospodarowania Mieniem nie obejmował żadnej sekcji ani zespołu, a od 31 grudnia 2020 r. obejmował Sekcję ds. Administracyjno-gospodarczych, Sekcję ds. Transportu i Sekcję ds. Inwestycji. </w:t>
      </w:r>
    </w:p>
    <w:p w14:paraId="06EACD17" w14:textId="64A72A6F" w:rsidR="008C1E51" w:rsidRPr="008C1E51" w:rsidRDefault="00211832" w:rsidP="008C1E51">
      <w:pPr>
        <w:numPr>
          <w:ilvl w:val="0"/>
          <w:numId w:val="5"/>
        </w:numPr>
        <w:spacing w:before="120" w:after="120" w:line="276" w:lineRule="auto"/>
        <w:rPr>
          <w:rFonts w:eastAsia="Calibri" w:cs="Times New Roman"/>
          <w:szCs w:val="20"/>
        </w:rPr>
      </w:pPr>
      <w:r w:rsidRPr="008C1E51">
        <w:rPr>
          <w:rFonts w:eastAsia="Calibri" w:cs="Times New Roman"/>
          <w:szCs w:val="20"/>
        </w:rPr>
        <w:t>W Statucie</w:t>
      </w:r>
      <w:r w:rsidR="008C1E51" w:rsidRPr="008C1E51">
        <w:rPr>
          <w:rFonts w:eastAsia="Calibri" w:cs="Times New Roman"/>
          <w:szCs w:val="20"/>
        </w:rPr>
        <w:t xml:space="preserve"> powołano Dział Badań Naukowych i Planowania Ochrony Przyrody, </w:t>
      </w:r>
      <w:r w:rsidR="008C1E51" w:rsidRPr="008C1E51">
        <w:rPr>
          <w:rFonts w:eastAsia="Calibri" w:cs="Times New Roman"/>
          <w:szCs w:val="20"/>
        </w:rPr>
        <w:br/>
        <w:t xml:space="preserve">w skład którego wchodziły Pracownia Naukowa, Zespół do spraw Informatyki i GIS, Terenowa Stacja Badań Naukowych w </w:t>
      </w:r>
      <w:proofErr w:type="spellStart"/>
      <w:r w:rsidR="008C1E51" w:rsidRPr="008C1E51">
        <w:rPr>
          <w:rFonts w:eastAsia="Calibri" w:cs="Times New Roman"/>
          <w:szCs w:val="20"/>
        </w:rPr>
        <w:t>Moczarnem</w:t>
      </w:r>
      <w:proofErr w:type="spellEnd"/>
      <w:r w:rsidR="008C1E51" w:rsidRPr="008C1E51">
        <w:rPr>
          <w:rFonts w:eastAsia="Calibri" w:cs="Times New Roman"/>
          <w:szCs w:val="20"/>
        </w:rPr>
        <w:t xml:space="preserve"> i Terenowa Stacja Badań </w:t>
      </w:r>
      <w:r w:rsidR="008C1E51" w:rsidRPr="008C1E51">
        <w:rPr>
          <w:rFonts w:eastAsia="Calibri" w:cs="Times New Roman"/>
          <w:szCs w:val="20"/>
        </w:rPr>
        <w:lastRenderedPageBreak/>
        <w:t xml:space="preserve">Naukowych w </w:t>
      </w:r>
      <w:proofErr w:type="spellStart"/>
      <w:r w:rsidR="008C1E51" w:rsidRPr="008C1E51">
        <w:rPr>
          <w:rFonts w:eastAsia="Calibri" w:cs="Times New Roman"/>
          <w:szCs w:val="20"/>
        </w:rPr>
        <w:t>Wołosatem</w:t>
      </w:r>
      <w:proofErr w:type="spellEnd"/>
      <w:r w:rsidR="008C1E51" w:rsidRPr="008C1E51">
        <w:rPr>
          <w:rFonts w:eastAsia="Calibri" w:cs="Times New Roman"/>
          <w:szCs w:val="20"/>
        </w:rPr>
        <w:t xml:space="preserve">. Zgodnie z Regulaminem organizacyjnym Dział ten funkcjonował do 30 grudnia 2020 r., lecz nie obejmował Pracowni, Zespołów i Stacji, a od 31 grudnia 2020 r. powołano Dział Badań Naukowych i Monitoringu obejmujący Zespół ds. Badań naukowych i Monitoringu oraz Sekcję ds. Informatyki i GIS, Terenową Stację Badań Naukowych w </w:t>
      </w:r>
      <w:proofErr w:type="spellStart"/>
      <w:r w:rsidR="008C1E51" w:rsidRPr="008C1E51">
        <w:rPr>
          <w:rFonts w:eastAsia="Calibri" w:cs="Times New Roman"/>
          <w:szCs w:val="20"/>
        </w:rPr>
        <w:t>Wołosatem</w:t>
      </w:r>
      <w:proofErr w:type="spellEnd"/>
      <w:r w:rsidR="008C1E51" w:rsidRPr="008C1E51">
        <w:rPr>
          <w:rFonts w:eastAsia="Calibri" w:cs="Times New Roman"/>
          <w:szCs w:val="20"/>
        </w:rPr>
        <w:t xml:space="preserve"> oraz Sezonowy Punkt Badań Naukowych w </w:t>
      </w:r>
      <w:proofErr w:type="spellStart"/>
      <w:r w:rsidR="008C1E51" w:rsidRPr="008C1E51">
        <w:rPr>
          <w:rFonts w:eastAsia="Calibri" w:cs="Times New Roman"/>
          <w:szCs w:val="20"/>
        </w:rPr>
        <w:t>Moczarnem</w:t>
      </w:r>
      <w:proofErr w:type="spellEnd"/>
      <w:r w:rsidR="008C1E51" w:rsidRPr="008C1E51">
        <w:rPr>
          <w:rFonts w:eastAsia="Calibri" w:cs="Times New Roman"/>
          <w:szCs w:val="20"/>
        </w:rPr>
        <w:t>.</w:t>
      </w:r>
    </w:p>
    <w:p w14:paraId="78CAABF1" w14:textId="1021DB0E" w:rsidR="008C1E51" w:rsidRPr="008C1E51" w:rsidRDefault="008C1E51" w:rsidP="008C1E51">
      <w:pPr>
        <w:numPr>
          <w:ilvl w:val="0"/>
          <w:numId w:val="5"/>
        </w:numPr>
        <w:spacing w:before="120" w:after="120" w:line="276" w:lineRule="auto"/>
        <w:rPr>
          <w:rFonts w:eastAsia="Calibri" w:cs="Times New Roman"/>
          <w:szCs w:val="20"/>
        </w:rPr>
      </w:pPr>
      <w:r w:rsidRPr="008C1E51">
        <w:rPr>
          <w:rFonts w:eastAsia="Calibri" w:cs="Times New Roman"/>
          <w:szCs w:val="20"/>
        </w:rPr>
        <w:t xml:space="preserve">Statut przewidywał powstanie Działu Edukacji Ekologicznej, w skład którego wchodziły Ośrodek Edukacji Ekologicznej i Muzeum Przyrodnicze, Terenowa Stacja Edukacji Ekologicznej w Suchych Rzekach, Terenowa Stacja Edukacji Ekologicznej </w:t>
      </w:r>
      <w:r w:rsidRPr="008C1E51">
        <w:rPr>
          <w:rFonts w:eastAsia="Calibri" w:cs="Times New Roman"/>
          <w:szCs w:val="20"/>
        </w:rPr>
        <w:br/>
        <w:t xml:space="preserve">w </w:t>
      </w:r>
      <w:proofErr w:type="spellStart"/>
      <w:r w:rsidRPr="008C1E51">
        <w:rPr>
          <w:rFonts w:eastAsia="Calibri" w:cs="Times New Roman"/>
          <w:szCs w:val="20"/>
        </w:rPr>
        <w:t>Wołosatem</w:t>
      </w:r>
      <w:proofErr w:type="spellEnd"/>
      <w:r w:rsidRPr="008C1E51">
        <w:rPr>
          <w:rFonts w:eastAsia="Calibri" w:cs="Times New Roman"/>
          <w:szCs w:val="20"/>
        </w:rPr>
        <w:t>. Do 30 grudnia 2020 r. Dział Edukacji Ekologicznej nie obejmował ww. komórek organizacyjnych.</w:t>
      </w:r>
    </w:p>
    <w:p w14:paraId="12332C6C" w14:textId="77777777" w:rsidR="008C1E51" w:rsidRPr="008C1E51" w:rsidRDefault="008C1E51" w:rsidP="008C1E51">
      <w:pPr>
        <w:numPr>
          <w:ilvl w:val="0"/>
          <w:numId w:val="5"/>
        </w:numPr>
        <w:spacing w:before="120" w:after="120" w:line="276" w:lineRule="auto"/>
        <w:rPr>
          <w:rFonts w:eastAsia="Calibri" w:cs="Times New Roman"/>
          <w:szCs w:val="20"/>
        </w:rPr>
      </w:pPr>
      <w:r w:rsidRPr="008C1E51">
        <w:rPr>
          <w:rFonts w:eastAsia="Calibri" w:cs="Times New Roman"/>
          <w:szCs w:val="20"/>
        </w:rPr>
        <w:t xml:space="preserve">Według Statutu w Parku powołano Dział Finansowo-Księgowy, niemniej do </w:t>
      </w:r>
      <w:r w:rsidRPr="008C1E51">
        <w:rPr>
          <w:rFonts w:eastAsia="Calibri" w:cs="Times New Roman"/>
          <w:szCs w:val="20"/>
        </w:rPr>
        <w:br/>
        <w:t>30 grudnia 2020 r. w Regulaminie organizacyjnym nazwa tej komórki brzmiała: Dział Księgowości i Finansów.</w:t>
      </w:r>
    </w:p>
    <w:p w14:paraId="503BE60D" w14:textId="77777777" w:rsidR="008C1E51" w:rsidRPr="008C1E51" w:rsidRDefault="008C1E51" w:rsidP="008C1E51">
      <w:pPr>
        <w:numPr>
          <w:ilvl w:val="0"/>
          <w:numId w:val="5"/>
        </w:numPr>
        <w:spacing w:before="120" w:after="120" w:line="276" w:lineRule="auto"/>
        <w:rPr>
          <w:rFonts w:eastAsia="Calibri" w:cs="Times New Roman"/>
          <w:szCs w:val="20"/>
        </w:rPr>
      </w:pPr>
      <w:r w:rsidRPr="008C1E51">
        <w:rPr>
          <w:rFonts w:eastAsia="Calibri" w:cs="Times New Roman"/>
          <w:szCs w:val="20"/>
        </w:rPr>
        <w:t>Statutem utworzono Dział Ochrony Przyrody, jednak do 30 grudnia 2020 r. zgodnie z regulaminem utworzony był Dział Realizacji Ochrony Przyrody.</w:t>
      </w:r>
    </w:p>
    <w:p w14:paraId="24F5711E" w14:textId="0F5297B1" w:rsidR="008C1E51" w:rsidRPr="008C1E51" w:rsidRDefault="008C1E51" w:rsidP="008C1E51">
      <w:pPr>
        <w:numPr>
          <w:ilvl w:val="0"/>
          <w:numId w:val="5"/>
        </w:numPr>
        <w:spacing w:before="120" w:after="120" w:line="276" w:lineRule="auto"/>
        <w:rPr>
          <w:rFonts w:eastAsia="Calibri" w:cs="Times New Roman"/>
          <w:szCs w:val="20"/>
        </w:rPr>
      </w:pPr>
      <w:r w:rsidRPr="008C1E51">
        <w:rPr>
          <w:rFonts w:eastAsia="Calibri" w:cs="Times New Roman"/>
          <w:szCs w:val="20"/>
        </w:rPr>
        <w:t xml:space="preserve">Statut określał powstanie </w:t>
      </w:r>
      <w:bookmarkStart w:id="8" w:name="_Hlk132970163"/>
      <w:r w:rsidRPr="008C1E51">
        <w:rPr>
          <w:rFonts w:eastAsia="Calibri" w:cs="Times New Roman"/>
          <w:szCs w:val="20"/>
        </w:rPr>
        <w:t>Działu Udostępniania Parku i Komunikacji Społecznej</w:t>
      </w:r>
      <w:r w:rsidR="00D97150">
        <w:rPr>
          <w:rFonts w:eastAsia="Calibri" w:cs="Times New Roman"/>
          <w:szCs w:val="20"/>
        </w:rPr>
        <w:t>,</w:t>
      </w:r>
      <w:r w:rsidRPr="008C1E51">
        <w:rPr>
          <w:rFonts w:eastAsia="Calibri" w:cs="Times New Roman"/>
          <w:szCs w:val="20"/>
        </w:rPr>
        <w:t xml:space="preserve"> </w:t>
      </w:r>
      <w:bookmarkEnd w:id="8"/>
      <w:r w:rsidRPr="008C1E51">
        <w:rPr>
          <w:rFonts w:eastAsia="Calibri" w:cs="Times New Roman"/>
          <w:szCs w:val="20"/>
        </w:rPr>
        <w:br/>
        <w:t xml:space="preserve">w skład którego wchodziły Zespół do spraw Udostępniania Parku i Komunikacji Społecznej, Ośrodek Informacji i Edukacji Turystycznej w Lutowiskach, Punkt Informacji i Edukacji Turystycznej w Tarnawie Niżnej, Punkt Informacji i Edukacji Turystycznej w </w:t>
      </w:r>
      <w:proofErr w:type="spellStart"/>
      <w:r w:rsidRPr="008C1E51">
        <w:rPr>
          <w:rFonts w:eastAsia="Calibri" w:cs="Times New Roman"/>
          <w:szCs w:val="20"/>
        </w:rPr>
        <w:t>Wołosatem</w:t>
      </w:r>
      <w:proofErr w:type="spellEnd"/>
      <w:r w:rsidRPr="008C1E51">
        <w:rPr>
          <w:rFonts w:eastAsia="Calibri" w:cs="Times New Roman"/>
          <w:szCs w:val="20"/>
        </w:rPr>
        <w:t xml:space="preserve">. Do 30 grudnia 2020 r. funkcjonował zgodnie </w:t>
      </w:r>
      <w:r w:rsidRPr="008C1E51">
        <w:rPr>
          <w:rFonts w:eastAsia="Calibri" w:cs="Times New Roman"/>
          <w:szCs w:val="20"/>
        </w:rPr>
        <w:br/>
        <w:t>z Regulaminem organizacyjnym Dział Udostępniania Parku i Komunikacji Społecznej, nie obejmujący żadnych komórek, a od 31 grudnia 2020 r. powołano Dział Udostępniania Parku</w:t>
      </w:r>
      <w:r w:rsidR="00D97150">
        <w:rPr>
          <w:rFonts w:eastAsia="Calibri" w:cs="Times New Roman"/>
          <w:szCs w:val="20"/>
        </w:rPr>
        <w:t>,</w:t>
      </w:r>
      <w:r w:rsidRPr="008C1E51">
        <w:rPr>
          <w:rFonts w:eastAsia="Calibri" w:cs="Times New Roman"/>
          <w:szCs w:val="20"/>
        </w:rPr>
        <w:t xml:space="preserve"> w skład którego wchodziły Zespół do spraw Udostępniania Parku, Ośrodek Informacji i Edukacji Turystycznej w Lutowiskach, Sezonowy Punkt Informacji i Edukacji Turystycznej w </w:t>
      </w:r>
      <w:proofErr w:type="spellStart"/>
      <w:r w:rsidRPr="008C1E51">
        <w:rPr>
          <w:rFonts w:eastAsia="Calibri" w:cs="Times New Roman"/>
          <w:szCs w:val="20"/>
        </w:rPr>
        <w:t>Wołosatem</w:t>
      </w:r>
      <w:proofErr w:type="spellEnd"/>
      <w:r w:rsidRPr="008C1E51">
        <w:rPr>
          <w:rFonts w:eastAsia="Calibri" w:cs="Times New Roman"/>
          <w:szCs w:val="20"/>
        </w:rPr>
        <w:t xml:space="preserve">, Schron turystyczny na Połoninie </w:t>
      </w:r>
      <w:proofErr w:type="spellStart"/>
      <w:r w:rsidRPr="008C1E51">
        <w:rPr>
          <w:rFonts w:eastAsia="Calibri" w:cs="Times New Roman"/>
          <w:szCs w:val="20"/>
        </w:rPr>
        <w:t>Wetlińskiej</w:t>
      </w:r>
      <w:proofErr w:type="spellEnd"/>
      <w:r w:rsidRPr="008C1E51">
        <w:rPr>
          <w:rFonts w:eastAsia="Calibri" w:cs="Times New Roman"/>
          <w:szCs w:val="20"/>
        </w:rPr>
        <w:t>, Punkty Informacyjno-kasowe.</w:t>
      </w:r>
    </w:p>
    <w:p w14:paraId="7701510E" w14:textId="77777777" w:rsidR="008C1E51" w:rsidRPr="008C1E51" w:rsidRDefault="008C1E51" w:rsidP="008C1E51">
      <w:pPr>
        <w:numPr>
          <w:ilvl w:val="0"/>
          <w:numId w:val="5"/>
        </w:numPr>
        <w:spacing w:before="120" w:after="120" w:line="276" w:lineRule="auto"/>
        <w:ind w:left="714" w:hanging="357"/>
        <w:rPr>
          <w:rFonts w:eastAsia="Calibri" w:cs="Times New Roman"/>
          <w:szCs w:val="20"/>
        </w:rPr>
      </w:pPr>
      <w:r w:rsidRPr="008C1E51">
        <w:rPr>
          <w:rFonts w:eastAsia="Calibri" w:cs="Times New Roman"/>
          <w:szCs w:val="20"/>
        </w:rPr>
        <w:t>W Statucie Obręb Ochronny Północno-Zachodni podzielono na 4 obwody ochronne, a według Regulaminu organizacyjnego do 30 grudnia 2020 r. Obręb ten był podzielony na 5 obwodów.</w:t>
      </w:r>
    </w:p>
    <w:p w14:paraId="088F7908" w14:textId="77777777" w:rsidR="008C1E51" w:rsidRPr="008C1E51" w:rsidRDefault="008C1E51" w:rsidP="008C1E51">
      <w:pPr>
        <w:numPr>
          <w:ilvl w:val="0"/>
          <w:numId w:val="5"/>
        </w:numPr>
        <w:spacing w:before="120" w:after="120" w:line="276" w:lineRule="auto"/>
        <w:ind w:left="714" w:hanging="357"/>
        <w:rPr>
          <w:rFonts w:eastAsia="Calibri" w:cs="Times New Roman"/>
          <w:szCs w:val="20"/>
        </w:rPr>
      </w:pPr>
      <w:r w:rsidRPr="008C1E51">
        <w:rPr>
          <w:rFonts w:eastAsia="Calibri" w:cs="Times New Roman"/>
          <w:szCs w:val="20"/>
        </w:rPr>
        <w:t xml:space="preserve">W Statucie Zachowawcza Hodowla Konia Huculskiego obejmowała 2 Ośrodki </w:t>
      </w:r>
      <w:r w:rsidRPr="008C1E51">
        <w:rPr>
          <w:rFonts w:eastAsia="Calibri" w:cs="Times New Roman"/>
          <w:szCs w:val="20"/>
        </w:rPr>
        <w:br/>
        <w:t xml:space="preserve">w Tarnawie Niżnej i w </w:t>
      </w:r>
      <w:proofErr w:type="spellStart"/>
      <w:r w:rsidRPr="008C1E51">
        <w:rPr>
          <w:rFonts w:eastAsia="Calibri" w:cs="Times New Roman"/>
          <w:szCs w:val="20"/>
        </w:rPr>
        <w:t>Wołosatem</w:t>
      </w:r>
      <w:proofErr w:type="spellEnd"/>
      <w:r w:rsidRPr="008C1E51">
        <w:rPr>
          <w:rFonts w:eastAsia="Calibri" w:cs="Times New Roman"/>
          <w:szCs w:val="20"/>
        </w:rPr>
        <w:t xml:space="preserve"> natomiast w Regulaminie organizacyjnym do </w:t>
      </w:r>
      <w:r w:rsidRPr="008C1E51">
        <w:rPr>
          <w:rFonts w:eastAsia="Calibri" w:cs="Times New Roman"/>
          <w:szCs w:val="20"/>
        </w:rPr>
        <w:br/>
        <w:t xml:space="preserve">30 grudnia 2020 r. nie wyodrębniono tych Ośrodków. Po 31 grudnia 2020 r. w tej komórce organizacyjnej funkcjonowały Zachowawcza Hodowla Konia Huculskiego w </w:t>
      </w:r>
      <w:proofErr w:type="spellStart"/>
      <w:r w:rsidRPr="008C1E51">
        <w:rPr>
          <w:rFonts w:eastAsia="Calibri" w:cs="Times New Roman"/>
          <w:szCs w:val="20"/>
        </w:rPr>
        <w:t>Wołosatem</w:t>
      </w:r>
      <w:proofErr w:type="spellEnd"/>
      <w:r w:rsidRPr="008C1E51">
        <w:rPr>
          <w:rFonts w:eastAsia="Calibri" w:cs="Times New Roman"/>
          <w:szCs w:val="20"/>
        </w:rPr>
        <w:t xml:space="preserve"> i Stanica Konna w Tarnawie,</w:t>
      </w:r>
    </w:p>
    <w:p w14:paraId="0322CD99" w14:textId="77777777" w:rsidR="008C1E51" w:rsidRPr="008C1E51" w:rsidRDefault="008C1E51" w:rsidP="008C1E51">
      <w:pPr>
        <w:numPr>
          <w:ilvl w:val="0"/>
          <w:numId w:val="5"/>
        </w:numPr>
        <w:spacing w:before="120" w:after="120" w:line="276" w:lineRule="auto"/>
        <w:ind w:left="714" w:hanging="357"/>
        <w:rPr>
          <w:rFonts w:eastAsia="Calibri" w:cs="Times New Roman"/>
          <w:szCs w:val="20"/>
        </w:rPr>
      </w:pPr>
      <w:r w:rsidRPr="008C1E51">
        <w:rPr>
          <w:rFonts w:eastAsia="Calibri" w:cs="Times New Roman"/>
          <w:szCs w:val="20"/>
        </w:rPr>
        <w:t xml:space="preserve">Statut powołał Samodzielne Stanowisko do spraw Budżetu Zadaniowego, Kontroli Zarządczej i Ochrony Danych Osobowych, podczas gdy do 30 grudnia 2020 r. według Regulaminu organizacyjnego funkcjonowało Samodzielne Stanowisko </w:t>
      </w:r>
      <w:r w:rsidRPr="008C1E51">
        <w:rPr>
          <w:rFonts w:eastAsia="Calibri" w:cs="Times New Roman"/>
          <w:szCs w:val="20"/>
        </w:rPr>
        <w:br/>
        <w:t>do spraw Budżetu Zadaniowego Kontroli Zarządczej.</w:t>
      </w:r>
    </w:p>
    <w:p w14:paraId="69362811" w14:textId="77777777" w:rsidR="008C1E51" w:rsidRPr="008C1E51" w:rsidRDefault="008C1E51" w:rsidP="008C1E51">
      <w:pPr>
        <w:numPr>
          <w:ilvl w:val="0"/>
          <w:numId w:val="5"/>
        </w:numPr>
        <w:spacing w:before="120" w:after="120" w:line="276" w:lineRule="auto"/>
        <w:ind w:left="714" w:hanging="357"/>
        <w:rPr>
          <w:rFonts w:eastAsia="Calibri" w:cs="Times New Roman"/>
          <w:szCs w:val="20"/>
        </w:rPr>
      </w:pPr>
      <w:r w:rsidRPr="008C1E51">
        <w:rPr>
          <w:rFonts w:eastAsia="Calibri" w:cs="Times New Roman"/>
          <w:szCs w:val="20"/>
        </w:rPr>
        <w:t>Według Statutu w Parku utworzono Samodzielne Stanowisko do spraw Ochrony Przyrody, podczas gdy w Regulaminie organizacyjnym utworzono je dopiero od 31 grudnia 2020 r.</w:t>
      </w:r>
    </w:p>
    <w:p w14:paraId="5DAC0AF0" w14:textId="2C244EE5" w:rsidR="008C1E51" w:rsidRPr="008C1E51" w:rsidRDefault="008C1E51" w:rsidP="008C1E51">
      <w:pPr>
        <w:numPr>
          <w:ilvl w:val="0"/>
          <w:numId w:val="5"/>
        </w:numPr>
        <w:spacing w:before="120" w:after="120" w:line="276" w:lineRule="auto"/>
        <w:ind w:left="714" w:hanging="357"/>
        <w:rPr>
          <w:rFonts w:eastAsia="Calibri" w:cs="Times New Roman"/>
          <w:szCs w:val="20"/>
        </w:rPr>
      </w:pPr>
      <w:r w:rsidRPr="008C1E51">
        <w:rPr>
          <w:rFonts w:eastAsia="Calibri" w:cs="Times New Roman"/>
          <w:szCs w:val="20"/>
        </w:rPr>
        <w:lastRenderedPageBreak/>
        <w:t xml:space="preserve">Statut przewidywał utworzenie Samodzielnego Stanowiska do spraw obronnych, podczas gdy od 31 grudnia 2020 r. w Regulaminie organizacyjnym utworzono Samodzielne Stanowisko do spraw Obronnych i </w:t>
      </w:r>
      <w:r w:rsidR="00211832" w:rsidRPr="008C1E51">
        <w:rPr>
          <w:rFonts w:eastAsia="Calibri" w:cs="Times New Roman"/>
          <w:szCs w:val="20"/>
        </w:rPr>
        <w:t xml:space="preserve">P. </w:t>
      </w:r>
      <w:proofErr w:type="spellStart"/>
      <w:r w:rsidR="00211832" w:rsidRPr="008C1E51">
        <w:rPr>
          <w:rFonts w:eastAsia="Calibri" w:cs="Times New Roman"/>
          <w:szCs w:val="20"/>
        </w:rPr>
        <w:t>poż</w:t>
      </w:r>
      <w:proofErr w:type="spellEnd"/>
      <w:r w:rsidRPr="008C1E51">
        <w:rPr>
          <w:rFonts w:eastAsia="Calibri" w:cs="Times New Roman"/>
          <w:szCs w:val="20"/>
        </w:rPr>
        <w:t>.</w:t>
      </w:r>
    </w:p>
    <w:p w14:paraId="2C2C8636" w14:textId="77777777" w:rsidR="008C1E51" w:rsidRPr="008C1E51" w:rsidRDefault="008C1E51" w:rsidP="008C1E51">
      <w:pPr>
        <w:numPr>
          <w:ilvl w:val="0"/>
          <w:numId w:val="5"/>
        </w:numPr>
        <w:spacing w:before="120" w:after="120" w:line="276" w:lineRule="auto"/>
        <w:ind w:left="714" w:hanging="357"/>
        <w:rPr>
          <w:rFonts w:eastAsia="Calibri" w:cs="Times New Roman"/>
          <w:szCs w:val="20"/>
        </w:rPr>
      </w:pPr>
      <w:r w:rsidRPr="008C1E51">
        <w:rPr>
          <w:rFonts w:eastAsia="Calibri" w:cs="Times New Roman"/>
          <w:szCs w:val="20"/>
        </w:rPr>
        <w:t>Od 31 grudnia 2020 r. utworzono w Regulaminie Organizacyjnym Stanowisko ds. Koordynacji Działań Ochronnych, podczas gdy Statut nie przewidywał takiego stanowiska.</w:t>
      </w:r>
    </w:p>
    <w:p w14:paraId="4325841C" w14:textId="77777777" w:rsidR="008C1E51" w:rsidRPr="008C1E51" w:rsidRDefault="008C1E51" w:rsidP="008C1E51">
      <w:pPr>
        <w:spacing w:before="120" w:after="120" w:line="276" w:lineRule="auto"/>
        <w:jc w:val="right"/>
      </w:pPr>
      <w:r w:rsidRPr="008C1E51">
        <w:t>[Dowód: akta kontroli str. 17-21, 47-67, 246-291]</w:t>
      </w:r>
    </w:p>
    <w:p w14:paraId="1149EC62"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Zgodnie z wyjaśnieniami Dyrektora </w:t>
      </w:r>
      <w:proofErr w:type="spellStart"/>
      <w:r w:rsidRPr="008C1E51">
        <w:rPr>
          <w:rFonts w:eastAsia="Calibri" w:cs="Times New Roman"/>
          <w:szCs w:val="20"/>
        </w:rPr>
        <w:t>BdPN</w:t>
      </w:r>
      <w:proofErr w:type="spellEnd"/>
      <w:r w:rsidRPr="008C1E51">
        <w:rPr>
          <w:rFonts w:eastAsia="Calibri" w:cs="Times New Roman"/>
          <w:szCs w:val="20"/>
          <w:vertAlign w:val="superscript"/>
        </w:rPr>
        <w:footnoteReference w:id="15"/>
      </w:r>
      <w:r w:rsidRPr="008C1E51">
        <w:rPr>
          <w:rFonts w:eastAsia="Calibri" w:cs="Times New Roman"/>
          <w:szCs w:val="20"/>
        </w:rPr>
        <w:t xml:space="preserve"> w okresie objętym kontrolą nie wystąpiły istotne niezgodności struktury organizacyjnej obowiązującego Regulaminu organizacyjnego </w:t>
      </w:r>
      <w:r w:rsidRPr="008C1E51">
        <w:rPr>
          <w:rFonts w:eastAsia="Calibri" w:cs="Times New Roman"/>
          <w:szCs w:val="20"/>
        </w:rPr>
        <w:br/>
        <w:t xml:space="preserve">i Statutu. Dokonana na przełomie I </w:t>
      </w:r>
      <w:proofErr w:type="spellStart"/>
      <w:r w:rsidRPr="008C1E51">
        <w:rPr>
          <w:rFonts w:eastAsia="Calibri" w:cs="Times New Roman"/>
          <w:szCs w:val="20"/>
        </w:rPr>
        <w:t>i</w:t>
      </w:r>
      <w:proofErr w:type="spellEnd"/>
      <w:r w:rsidRPr="008C1E51">
        <w:rPr>
          <w:rFonts w:eastAsia="Calibri" w:cs="Times New Roman"/>
          <w:szCs w:val="20"/>
        </w:rPr>
        <w:t xml:space="preserve"> II kwartału 2022 r. analiza zgodności Regulaminu ze Statutem zdaniem Dyrekcji Parku nie wymagała wprowadzenia pilnych zmian w tych dokumentach. Zdaniem Dyrektora Parku Statut wymienia m.in. jednostki niższe od Działu, które aktualnie nie mają kierownika i nie są odrębnymi komórkami tj. Pracownia Naukowa Zespół ds. Informatyki i GIS, Terenowa Stacja Badań Naukowych w </w:t>
      </w:r>
      <w:proofErr w:type="spellStart"/>
      <w:r w:rsidRPr="008C1E51">
        <w:rPr>
          <w:rFonts w:eastAsia="Calibri" w:cs="Times New Roman"/>
          <w:szCs w:val="20"/>
        </w:rPr>
        <w:t>Moczarnem</w:t>
      </w:r>
      <w:proofErr w:type="spellEnd"/>
      <w:r w:rsidRPr="008C1E51">
        <w:rPr>
          <w:rFonts w:eastAsia="Calibri" w:cs="Times New Roman"/>
          <w:szCs w:val="20"/>
        </w:rPr>
        <w:t xml:space="preserve">, Zespół do spraw Transportu, Terenowa Stacja Badań Naukowych w </w:t>
      </w:r>
      <w:proofErr w:type="spellStart"/>
      <w:r w:rsidRPr="008C1E51">
        <w:rPr>
          <w:rFonts w:eastAsia="Calibri" w:cs="Times New Roman"/>
          <w:szCs w:val="20"/>
        </w:rPr>
        <w:t>Wołosatem</w:t>
      </w:r>
      <w:proofErr w:type="spellEnd"/>
      <w:r w:rsidRPr="008C1E51">
        <w:rPr>
          <w:rFonts w:eastAsia="Calibri" w:cs="Times New Roman"/>
          <w:szCs w:val="20"/>
        </w:rPr>
        <w:t xml:space="preserve">, Zespół do spraw Udostępniania Parku i Komunikacji Społecznej. Były to jednostki potencjalne, których funkcje były realizowane w ramach nadrzędnych Działów, a w miarę dalszego rozwoju Parku i możliwości finansowych będą mogły być rozwijane jako odrębne zespoły pracowników </w:t>
      </w:r>
      <w:r w:rsidRPr="008C1E51">
        <w:rPr>
          <w:rFonts w:eastAsia="Calibri" w:cs="Times New Roman"/>
          <w:szCs w:val="20"/>
        </w:rPr>
        <w:br/>
        <w:t>z osobą kierującą. Dyrektor Parku wskazał także, że zmiany prawne i aktualne potrzeby powodowały konieczność uwzględnienia różnych rozwiązań szczegółowych i dokonywania zmian.</w:t>
      </w:r>
    </w:p>
    <w:p w14:paraId="5BFE26A5" w14:textId="77777777" w:rsidR="008C1E51" w:rsidRPr="008C1E51" w:rsidRDefault="008C1E51" w:rsidP="008C1E51">
      <w:pPr>
        <w:spacing w:before="120" w:after="120" w:line="276" w:lineRule="auto"/>
        <w:jc w:val="right"/>
      </w:pPr>
      <w:r w:rsidRPr="008C1E51">
        <w:t>[Dowód: akta kontroli str. 292-299]</w:t>
      </w:r>
    </w:p>
    <w:p w14:paraId="401D66E0" w14:textId="77777777" w:rsidR="008C1E51" w:rsidRPr="008C1E51" w:rsidRDefault="008C1E51" w:rsidP="008C1E51">
      <w:pPr>
        <w:spacing w:before="120" w:after="120" w:line="276" w:lineRule="auto"/>
      </w:pPr>
      <w:r w:rsidRPr="008C1E51">
        <w:t>Zdaniem Kontrolującego struktura organizacyjna wynikająca z Regulaminu organizacyjnego powinna być zgodna ze Statutem Parku.</w:t>
      </w:r>
    </w:p>
    <w:p w14:paraId="43007E89" w14:textId="77777777" w:rsidR="008C1E51" w:rsidRPr="008C1E51" w:rsidRDefault="008C1E51" w:rsidP="008C1E51">
      <w:pPr>
        <w:numPr>
          <w:ilvl w:val="0"/>
          <w:numId w:val="11"/>
        </w:numPr>
        <w:spacing w:before="120" w:after="120" w:line="276" w:lineRule="auto"/>
        <w:ind w:left="426" w:hanging="425"/>
        <w:rPr>
          <w:b/>
          <w:bCs/>
        </w:rPr>
      </w:pPr>
      <w:r w:rsidRPr="008C1E51">
        <w:rPr>
          <w:rFonts w:cs="Arial"/>
          <w:b/>
          <w:bCs/>
        </w:rPr>
        <w:t>Prowadzenie działań ochronnych oraz inne wybrane zadania parków narodowych (wskazane w ustawie o ochronie przyrody), w tym odstrzały redukcyjne.</w:t>
      </w:r>
    </w:p>
    <w:p w14:paraId="05031B79" w14:textId="77777777" w:rsidR="008C1E51" w:rsidRPr="008C1E51" w:rsidRDefault="008C1E51" w:rsidP="008C1E51">
      <w:pPr>
        <w:spacing w:before="120" w:after="120" w:line="276" w:lineRule="auto"/>
        <w:jc w:val="left"/>
        <w:rPr>
          <w:rFonts w:eastAsia="Times New Roman" w:cs="Times New Roman"/>
          <w:u w:val="single"/>
          <w:lang w:eastAsia="pl-PL"/>
        </w:rPr>
      </w:pPr>
      <w:r w:rsidRPr="008C1E51">
        <w:rPr>
          <w:rFonts w:eastAsia="Times New Roman" w:cs="Times New Roman"/>
          <w:u w:val="single"/>
          <w:lang w:eastAsia="pl-PL"/>
        </w:rPr>
        <w:t>Plan ochrony Parku</w:t>
      </w:r>
    </w:p>
    <w:p w14:paraId="6341B24B" w14:textId="77777777" w:rsidR="008C1E51" w:rsidRPr="008C1E51" w:rsidRDefault="008C1E51" w:rsidP="008C1E51">
      <w:pPr>
        <w:spacing w:before="120" w:after="120" w:line="276" w:lineRule="auto"/>
        <w:rPr>
          <w:rFonts w:cs="Times New Roman"/>
          <w:bCs/>
        </w:rPr>
      </w:pPr>
      <w:r w:rsidRPr="008C1E51">
        <w:rPr>
          <w:rFonts w:cs="Times New Roman"/>
          <w:bCs/>
        </w:rPr>
        <w:t>W okresie od 1 stycznia 2019 r. do 26 września 2022 r., Park nie posiadał ustanowionego planu ochrony. Plan ochrony został ostatecznie zatwierdzony Rozporządzeniem Ministra Klimatu i Środowiska z dnia 27 lipca 2022 r., w sprawie ustanowienia planu ochrony dla Bieszczadzkiego Parku Narodowego</w:t>
      </w:r>
      <w:r w:rsidRPr="008C1E51">
        <w:rPr>
          <w:rFonts w:cs="Times New Roman"/>
          <w:bCs/>
          <w:vertAlign w:val="superscript"/>
        </w:rPr>
        <w:footnoteReference w:id="16"/>
      </w:r>
      <w:r w:rsidRPr="008C1E51">
        <w:rPr>
          <w:rFonts w:cs="Times New Roman"/>
          <w:bCs/>
        </w:rPr>
        <w:t xml:space="preserve"> i obowiązuje od 27 września 2022 r.</w:t>
      </w:r>
    </w:p>
    <w:p w14:paraId="6A61D012" w14:textId="77777777" w:rsidR="008C1E51" w:rsidRPr="008C1E51" w:rsidRDefault="008C1E51" w:rsidP="008C1E51">
      <w:pPr>
        <w:spacing w:before="120" w:after="120" w:line="276" w:lineRule="auto"/>
        <w:rPr>
          <w:rFonts w:eastAsia="Times New Roman" w:cs="Times New Roman"/>
          <w:u w:val="single"/>
          <w:lang w:eastAsia="pl-PL"/>
        </w:rPr>
      </w:pPr>
      <w:r w:rsidRPr="008C1E51">
        <w:rPr>
          <w:rFonts w:eastAsia="Times New Roman" w:cs="Times New Roman"/>
          <w:u w:val="single"/>
          <w:lang w:eastAsia="pl-PL"/>
        </w:rPr>
        <w:t>Zadania ochronne</w:t>
      </w:r>
    </w:p>
    <w:p w14:paraId="457820CD"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 xml:space="preserve">W okresie </w:t>
      </w:r>
      <w:r w:rsidRPr="008C1E51">
        <w:rPr>
          <w:rFonts w:cs="Times New Roman"/>
          <w:bCs/>
        </w:rPr>
        <w:t>od 1 stycznia 2019 r. do 26 września 2022 r.</w:t>
      </w:r>
      <w:r w:rsidRPr="008C1E51">
        <w:rPr>
          <w:rFonts w:eastAsia="Times New Roman" w:cs="Times New Roman"/>
          <w:lang w:eastAsia="pl-PL"/>
        </w:rPr>
        <w:t xml:space="preserve"> Park </w:t>
      </w:r>
      <w:r w:rsidRPr="008C1E51">
        <w:rPr>
          <w:rFonts w:cs="Times New Roman"/>
        </w:rPr>
        <w:t>zobowiązany był do realizowania zadań ochronnych w oparciu o następujące zarządzenia</w:t>
      </w:r>
      <w:r w:rsidRPr="008C1E51">
        <w:rPr>
          <w:rFonts w:eastAsia="Times New Roman" w:cs="Times New Roman"/>
          <w:lang w:eastAsia="pl-PL"/>
        </w:rPr>
        <w:t>:</w:t>
      </w:r>
    </w:p>
    <w:p w14:paraId="2C8F1F48" w14:textId="77777777" w:rsidR="008C1E51" w:rsidRPr="008C1E51" w:rsidRDefault="008C1E51" w:rsidP="008C1E51">
      <w:pPr>
        <w:numPr>
          <w:ilvl w:val="0"/>
          <w:numId w:val="16"/>
        </w:numPr>
        <w:spacing w:before="120" w:after="120" w:line="276" w:lineRule="auto"/>
        <w:ind w:left="714" w:hanging="357"/>
        <w:rPr>
          <w:rFonts w:cs="Times New Roman"/>
        </w:rPr>
      </w:pPr>
      <w:r w:rsidRPr="008C1E51">
        <w:rPr>
          <w:rFonts w:cs="Times New Roman"/>
        </w:rPr>
        <w:t>Zarządzenie Ministra Środowiska z dnia 20 grudnia 2018 r w sprawie zadań ochronnych dla Bieszczadzkiego Parku Narodowego na lata 2019 – 2021</w:t>
      </w:r>
      <w:r w:rsidRPr="008C1E51">
        <w:rPr>
          <w:rFonts w:cs="Times New Roman"/>
          <w:vertAlign w:val="superscript"/>
        </w:rPr>
        <w:footnoteReference w:id="17"/>
      </w:r>
      <w:r w:rsidRPr="008C1E51">
        <w:rPr>
          <w:rFonts w:cs="Times New Roman"/>
        </w:rPr>
        <w:t xml:space="preserve"> (dalej Zarządzenie </w:t>
      </w:r>
      <w:proofErr w:type="spellStart"/>
      <w:r w:rsidRPr="008C1E51">
        <w:rPr>
          <w:rFonts w:cs="Times New Roman"/>
        </w:rPr>
        <w:t>ws</w:t>
      </w:r>
      <w:proofErr w:type="spellEnd"/>
      <w:r w:rsidRPr="008C1E51">
        <w:rPr>
          <w:rFonts w:cs="Times New Roman"/>
        </w:rPr>
        <w:t>. zadań ochronnych),</w:t>
      </w:r>
    </w:p>
    <w:p w14:paraId="09AFD996" w14:textId="77777777" w:rsidR="008C1E51" w:rsidRPr="008C1E51" w:rsidRDefault="008C1E51" w:rsidP="008C1E51">
      <w:pPr>
        <w:numPr>
          <w:ilvl w:val="0"/>
          <w:numId w:val="16"/>
        </w:numPr>
        <w:spacing w:before="120" w:after="120" w:line="276" w:lineRule="auto"/>
        <w:ind w:left="714" w:hanging="357"/>
        <w:rPr>
          <w:rFonts w:cs="Times New Roman"/>
        </w:rPr>
      </w:pPr>
      <w:r w:rsidRPr="008C1E51">
        <w:rPr>
          <w:rFonts w:cs="Times New Roman"/>
        </w:rPr>
        <w:lastRenderedPageBreak/>
        <w:t>Zarządzenie Ministra Klimatu i Środowiska z dnia 14 grudnia 2021 r. w sprawie zadań ochronnych dla Bieszczadzkiego Parku Narodowego na lata 2022-2024</w:t>
      </w:r>
      <w:r w:rsidRPr="008C1E51">
        <w:rPr>
          <w:rFonts w:cs="Times New Roman"/>
          <w:vertAlign w:val="superscript"/>
        </w:rPr>
        <w:footnoteReference w:id="18"/>
      </w:r>
      <w:r w:rsidRPr="008C1E51">
        <w:rPr>
          <w:rFonts w:cs="Times New Roman"/>
        </w:rPr>
        <w:t>,</w:t>
      </w:r>
    </w:p>
    <w:p w14:paraId="3A3B0D75" w14:textId="77777777" w:rsidR="008C1E51" w:rsidRPr="008C1E51" w:rsidRDefault="008C1E51" w:rsidP="008C1E51">
      <w:pPr>
        <w:spacing w:before="120" w:after="120" w:line="276" w:lineRule="auto"/>
        <w:rPr>
          <w:rFonts w:cs="Times New Roman"/>
        </w:rPr>
      </w:pPr>
      <w:r w:rsidRPr="008C1E51">
        <w:rPr>
          <w:rFonts w:cs="Times New Roman"/>
        </w:rPr>
        <w:t xml:space="preserve">Zarządzenie </w:t>
      </w:r>
      <w:proofErr w:type="spellStart"/>
      <w:r w:rsidRPr="008C1E51">
        <w:rPr>
          <w:rFonts w:cs="Times New Roman"/>
        </w:rPr>
        <w:t>ws</w:t>
      </w:r>
      <w:proofErr w:type="spellEnd"/>
      <w:r w:rsidRPr="008C1E51">
        <w:rPr>
          <w:rFonts w:cs="Times New Roman"/>
        </w:rPr>
        <w:t xml:space="preserve">. zadań ochronnych na lata 2019 - 2021 określało wykonanie zabiegów ochrony czynnej na powierzchni ok. 1 804,5 ha (w ekosystemach leśnych), ok. 2 227 ha </w:t>
      </w:r>
      <w:r w:rsidRPr="008C1E51">
        <w:rPr>
          <w:rFonts w:cs="Times New Roman"/>
        </w:rPr>
        <w:br/>
        <w:t>(w nieleśnych ekosystemach lądowych) oraz w ekosystemach wodnych (kontrola 300 zastawek oraz wykonanie brodu na potoku Roztoka – 1- bród).</w:t>
      </w:r>
    </w:p>
    <w:p w14:paraId="068023AA" w14:textId="77777777" w:rsidR="008C1E51" w:rsidRPr="008C1E51" w:rsidRDefault="008C1E51" w:rsidP="008C1E51">
      <w:pPr>
        <w:spacing w:before="120" w:after="120" w:line="276" w:lineRule="auto"/>
        <w:rPr>
          <w:rFonts w:eastAsia="Times New Roman" w:cs="Times New Roman"/>
          <w:strike/>
          <w:lang w:eastAsia="pl-PL"/>
        </w:rPr>
      </w:pPr>
      <w:r w:rsidRPr="008C1E51">
        <w:rPr>
          <w:rFonts w:eastAsia="Times New Roman" w:cs="Times New Roman"/>
          <w:lang w:eastAsia="pl-PL"/>
        </w:rPr>
        <w:t>Zgodnie z art. 98 ust. 3 pkt. 3 uop zadania ochronne ujęte w wymienionych zarządzeniach, były wcześniej pozytywnie zaopiniowane przez Radę Naukową Parku.</w:t>
      </w:r>
    </w:p>
    <w:p w14:paraId="7CE4E248" w14:textId="77777777" w:rsidR="008C1E51" w:rsidRPr="008C1E51" w:rsidRDefault="008C1E51" w:rsidP="008C1E51">
      <w:pPr>
        <w:spacing w:before="120" w:after="120" w:line="276" w:lineRule="auto"/>
        <w:jc w:val="right"/>
        <w:rPr>
          <w:rFonts w:cs="Times New Roman"/>
        </w:rPr>
      </w:pPr>
      <w:r w:rsidRPr="008C1E51">
        <w:rPr>
          <w:rFonts w:cs="Times New Roman"/>
        </w:rPr>
        <w:t>[Dowód: akta kontroli str. I/51-72]</w:t>
      </w:r>
    </w:p>
    <w:p w14:paraId="73C9E6D4"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Natomiast w okresie od 27 września 2022 r. działania w zakresie ochrony przyrody były realizowane przez Park na podstawie obowiązującego planu ochrony.</w:t>
      </w:r>
    </w:p>
    <w:p w14:paraId="23A94AD4"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Zgodnie z art. 9 ust. 2 pkt. 1 uop, minister właściwy do spraw środowiska zatwierdza roczne zadania rzeczowe wynikające z zadań ochronnych. W latach 2019-2021 Park sporządził roczne zadania rzeczowe, lecz nie przekazał ich do zatwierdzenia przez właściwego ministra rzeczonych dokumentów.</w:t>
      </w:r>
    </w:p>
    <w:p w14:paraId="30A86B94"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Dyrektor Parku wyjaśnił</w:t>
      </w:r>
      <w:r w:rsidRPr="008C1E51">
        <w:rPr>
          <w:rFonts w:eastAsia="Times New Roman" w:cs="Times New Roman"/>
          <w:vertAlign w:val="superscript"/>
          <w:lang w:eastAsia="pl-PL"/>
        </w:rPr>
        <w:footnoteReference w:id="19"/>
      </w:r>
      <w:r w:rsidRPr="008C1E51">
        <w:rPr>
          <w:rFonts w:eastAsia="Times New Roman" w:cs="Times New Roman"/>
          <w:lang w:eastAsia="pl-PL"/>
        </w:rPr>
        <w:t>, że roczne zadania rzeczowe, wskutek braku ustanowionego trybu przekazywania dokumentów do zatwierdzenia, nie były przesyłane do Ministerstwa.</w:t>
      </w:r>
    </w:p>
    <w:p w14:paraId="4833C7F5"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w:t>
      </w:r>
      <w:r w:rsidRPr="008C1E51">
        <w:rPr>
          <w:rFonts w:cs="Times New Roman"/>
        </w:rPr>
        <w:t>akta kontroli str. I/3-122</w:t>
      </w:r>
      <w:r w:rsidRPr="008C1E51">
        <w:rPr>
          <w:rFonts w:eastAsia="Times New Roman" w:cs="Times New Roman"/>
          <w:lang w:eastAsia="pl-PL"/>
        </w:rPr>
        <w:t>]</w:t>
      </w:r>
    </w:p>
    <w:p w14:paraId="058AEEE1"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Kontrolujący nie podziela stanowiska Dyrektora Parku. Artykuł 9 ust. 2 pkt. 1 uop nakłada wprost obowiązek zatwierdzenia zadań rzeczowych wynikających z zadań ochronnych, a nie przekazanie tych zadań do zatwierdzenia przez ministra właściwego do spraw środowiska stanowi naruszenie tego przepisu.</w:t>
      </w:r>
      <w:r w:rsidRPr="008C1E51" w:rsidDel="00B26F75">
        <w:rPr>
          <w:rFonts w:eastAsia="Times New Roman" w:cs="Times New Roman"/>
          <w:lang w:eastAsia="pl-PL"/>
        </w:rPr>
        <w:t xml:space="preserve"> </w:t>
      </w:r>
      <w:r w:rsidRPr="008C1E51">
        <w:rPr>
          <w:rFonts w:eastAsia="Times New Roman" w:cs="Times New Roman"/>
          <w:lang w:eastAsia="pl-PL"/>
        </w:rPr>
        <w:t>Brak ustanowienia przez ministra właściwego do spraw środowiska oficjalnego trybu przekazywania tego dokumentu nie zwalnia Parku z obowiązku jego przekazania.</w:t>
      </w:r>
    </w:p>
    <w:p w14:paraId="3DFADE4B"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w:t>
      </w:r>
      <w:r w:rsidRPr="008C1E51">
        <w:rPr>
          <w:rFonts w:cs="Times New Roman"/>
        </w:rPr>
        <w:t>akta kontroli str. I/77-122</w:t>
      </w:r>
      <w:r w:rsidRPr="008C1E51">
        <w:rPr>
          <w:rFonts w:eastAsia="Times New Roman" w:cs="Times New Roman"/>
          <w:lang w:eastAsia="pl-PL"/>
        </w:rPr>
        <w:t>]</w:t>
      </w:r>
    </w:p>
    <w:p w14:paraId="5C2EB1B2" w14:textId="6B46580E"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W zakresie sprawowania kontroli związanej z obszarem realizacji zadań ochronnych na terenie Parku Dyrektor wyjaśnił</w:t>
      </w:r>
      <w:r w:rsidRPr="008C1E51">
        <w:rPr>
          <w:rFonts w:eastAsia="Times New Roman" w:cs="Times New Roman"/>
          <w:vertAlign w:val="superscript"/>
          <w:lang w:eastAsia="pl-PL"/>
        </w:rPr>
        <w:footnoteReference w:id="20"/>
      </w:r>
      <w:r w:rsidRPr="008C1E51">
        <w:rPr>
          <w:rFonts w:eastAsia="Times New Roman" w:cs="Times New Roman"/>
          <w:lang w:eastAsia="pl-PL"/>
        </w:rPr>
        <w:t xml:space="preserve">, że wewnętrzna </w:t>
      </w:r>
      <w:r w:rsidR="00211832" w:rsidRPr="008C1E51">
        <w:rPr>
          <w:rFonts w:eastAsia="Times New Roman" w:cs="Times New Roman"/>
          <w:lang w:eastAsia="pl-PL"/>
        </w:rPr>
        <w:t>kontrola była</w:t>
      </w:r>
      <w:r w:rsidRPr="008C1E51">
        <w:rPr>
          <w:rFonts w:eastAsia="Times New Roman" w:cs="Times New Roman"/>
          <w:lang w:eastAsia="pl-PL"/>
        </w:rPr>
        <w:t xml:space="preserve"> realizowana przez nadleśniczych terenowych nadzorujących prawidłowość wykonania prac w terenie oraz kierownika Działu Ochrony Przyrody zatwierdzającego zgodność przedłożonych wydatków z zadaniami ochronnymi. Bieszczadzki Park Narodowy zgodnie z art. 274 pkt 4 ustawy z dnia 27 sierpnia 2009 r. o finansach publicznych</w:t>
      </w:r>
      <w:r w:rsidRPr="008C1E51">
        <w:rPr>
          <w:rFonts w:eastAsia="Times New Roman" w:cs="Times New Roman"/>
          <w:vertAlign w:val="superscript"/>
          <w:lang w:eastAsia="pl-PL"/>
        </w:rPr>
        <w:footnoteReference w:id="21"/>
      </w:r>
      <w:r w:rsidRPr="008C1E51">
        <w:rPr>
          <w:rFonts w:eastAsia="Times New Roman" w:cs="Times New Roman"/>
          <w:lang w:eastAsia="pl-PL"/>
        </w:rPr>
        <w:t xml:space="preserve"> nie prowadził audytów wewnętrznych.</w:t>
      </w:r>
    </w:p>
    <w:p w14:paraId="0663DA53"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w:t>
      </w:r>
      <w:r w:rsidRPr="008C1E51">
        <w:rPr>
          <w:rFonts w:cs="Times New Roman"/>
        </w:rPr>
        <w:t xml:space="preserve">akta kontroli str. </w:t>
      </w:r>
      <w:r w:rsidRPr="008C1E51">
        <w:rPr>
          <w:rFonts w:eastAsia="Times New Roman" w:cs="Times New Roman"/>
          <w:lang w:eastAsia="pl-PL"/>
        </w:rPr>
        <w:t>I/3-122]</w:t>
      </w:r>
    </w:p>
    <w:p w14:paraId="3FBB61C4"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 xml:space="preserve">W Parku od stycznia 2021 r. obowiązywało Zarządzenie Dyrektora w sprawie ustanowienia zasad odbioru prac wykonywanych na terenie obwodów ochronnych. W ramach dokumentowania planowania i realizacji zadań ochronnych były sporządzane w Dziale Ochrony Przyrody tzw. wnioski realizacyjne dla zadań ochronnych, które były następnie przekazywane służbom terenowym. Dokumenty te służyły poprawnej realizacji i nadzoru </w:t>
      </w:r>
      <w:r w:rsidRPr="008C1E51">
        <w:rPr>
          <w:rFonts w:eastAsia="Times New Roman" w:cs="Times New Roman"/>
          <w:lang w:eastAsia="pl-PL"/>
        </w:rPr>
        <w:lastRenderedPageBreak/>
        <w:t>nad zadaniami ochronnymi przekazanymi do wykonania w terenie. Wnioski sporządzane były dla pojedynczych lub dla grup działań o zbliżonym charakterze. Zawierały informację dotyczącą lokalizacji, sposobu i terminu wykonania prac, wykonawcy oraz wynagrodzenia</w:t>
      </w:r>
      <w:r w:rsidRPr="008C1E51">
        <w:rPr>
          <w:rFonts w:eastAsia="Times New Roman" w:cs="Times New Roman"/>
          <w:vertAlign w:val="superscript"/>
          <w:lang w:eastAsia="pl-PL"/>
        </w:rPr>
        <w:footnoteReference w:id="22"/>
      </w:r>
      <w:r w:rsidRPr="008C1E51">
        <w:rPr>
          <w:rFonts w:eastAsia="Times New Roman" w:cs="Times New Roman"/>
          <w:lang w:eastAsia="pl-PL"/>
        </w:rPr>
        <w:t>. Od 2019 r. do dnia zakończenia kontroli sporządzono 68 wniosków realizacyjnych.</w:t>
      </w:r>
    </w:p>
    <w:p w14:paraId="12A27E36"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w:t>
      </w:r>
      <w:r w:rsidRPr="008C1E51">
        <w:rPr>
          <w:rFonts w:cs="Times New Roman"/>
        </w:rPr>
        <w:t xml:space="preserve">akta kontroli str. 92-95, </w:t>
      </w:r>
      <w:r w:rsidRPr="008C1E51">
        <w:rPr>
          <w:rFonts w:eastAsia="Times New Roman" w:cs="Times New Roman"/>
          <w:lang w:eastAsia="pl-PL"/>
        </w:rPr>
        <w:t>I/3-122]</w:t>
      </w:r>
    </w:p>
    <w:p w14:paraId="7ED0A791"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 xml:space="preserve">Kontroli poddano 10 (tj. 15%) z 68 wniosków. Wszystkie kontrolowane wnioski zawierały informację dotyczącą lokalizacji, sposobu i terminu wykonania prac, wykonawcy </w:t>
      </w:r>
      <w:r w:rsidRPr="008C1E51">
        <w:rPr>
          <w:rFonts w:eastAsia="Times New Roman" w:cs="Times New Roman"/>
          <w:lang w:eastAsia="pl-PL"/>
        </w:rPr>
        <w:br/>
        <w:t>i wynagrodzenie oraz zostały zatwierdzone przez Dyrektora Parku.</w:t>
      </w:r>
    </w:p>
    <w:p w14:paraId="25B97098"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w:t>
      </w:r>
      <w:r w:rsidRPr="008C1E51">
        <w:rPr>
          <w:rFonts w:cs="Times New Roman"/>
        </w:rPr>
        <w:t xml:space="preserve">akta kontroli str.: </w:t>
      </w:r>
      <w:r w:rsidRPr="008C1E51">
        <w:rPr>
          <w:rFonts w:eastAsia="Times New Roman" w:cs="Times New Roman"/>
          <w:lang w:eastAsia="pl-PL"/>
        </w:rPr>
        <w:t>I/136-314]</w:t>
      </w:r>
    </w:p>
    <w:p w14:paraId="56214811"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Zakres obowiązków oraz podległość służbowa pracowników wykonujących zadania ochronne zostały określone dla każdego pracownika w dokumencie „Zakres obowiązków pracownika” oraz w Regulaminie organizacyjnym.</w:t>
      </w:r>
    </w:p>
    <w:p w14:paraId="55D68DA4"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w:t>
      </w:r>
      <w:r w:rsidRPr="008C1E51">
        <w:rPr>
          <w:rFonts w:eastAsia="Times New Roman" w:cs="Times New Roman"/>
          <w:lang w:eastAsia="pl-PL"/>
        </w:rPr>
        <w:t xml:space="preserve"> I/123-135]</w:t>
      </w:r>
    </w:p>
    <w:p w14:paraId="2304A1C6" w14:textId="77777777" w:rsidR="008C1E51" w:rsidRPr="008C1E51" w:rsidRDefault="008C1E51" w:rsidP="008C1E51">
      <w:pPr>
        <w:spacing w:before="120" w:after="120" w:line="276" w:lineRule="auto"/>
        <w:rPr>
          <w:rFonts w:eastAsia="Times New Roman" w:cs="Times New Roman"/>
          <w:lang w:eastAsia="pl-PL"/>
        </w:rPr>
      </w:pPr>
      <w:bookmarkStart w:id="9" w:name="_Hlk120531408"/>
      <w:r w:rsidRPr="008C1E51">
        <w:rPr>
          <w:rFonts w:eastAsia="Times New Roman" w:cs="Times New Roman"/>
          <w:lang w:eastAsia="pl-PL"/>
        </w:rPr>
        <w:t>Weryfikacji poddano 9</w:t>
      </w:r>
      <w:r w:rsidRPr="008C1E51">
        <w:rPr>
          <w:rFonts w:eastAsia="Times New Roman" w:cs="Times New Roman"/>
          <w:vertAlign w:val="superscript"/>
          <w:lang w:eastAsia="pl-PL"/>
        </w:rPr>
        <w:footnoteReference w:id="23"/>
      </w:r>
      <w:r w:rsidRPr="008C1E51">
        <w:rPr>
          <w:rFonts w:eastAsia="Times New Roman" w:cs="Times New Roman"/>
          <w:lang w:eastAsia="pl-PL"/>
        </w:rPr>
        <w:t xml:space="preserve"> z 87 zadań ochronnych (tj. ok. 10% zadań) wskazanych </w:t>
      </w:r>
      <w:r w:rsidRPr="008C1E51">
        <w:rPr>
          <w:rFonts w:eastAsia="Times New Roman" w:cs="Times New Roman"/>
          <w:lang w:eastAsia="pl-PL"/>
        </w:rPr>
        <w:br/>
        <w:t xml:space="preserve">w zarządzeniu </w:t>
      </w:r>
      <w:proofErr w:type="spellStart"/>
      <w:r w:rsidRPr="008C1E51">
        <w:rPr>
          <w:rFonts w:eastAsia="Times New Roman" w:cs="Times New Roman"/>
          <w:lang w:eastAsia="pl-PL"/>
        </w:rPr>
        <w:t>ws</w:t>
      </w:r>
      <w:proofErr w:type="spellEnd"/>
      <w:r w:rsidRPr="008C1E51">
        <w:rPr>
          <w:rFonts w:eastAsia="Times New Roman" w:cs="Times New Roman"/>
          <w:lang w:eastAsia="pl-PL"/>
        </w:rPr>
        <w:t>. zadań ochronnych.</w:t>
      </w:r>
    </w:p>
    <w:p w14:paraId="03BEF091" w14:textId="77777777" w:rsidR="008C1E51" w:rsidRPr="008C1E51" w:rsidRDefault="008C1E51" w:rsidP="008C1E51">
      <w:pPr>
        <w:spacing w:before="120" w:after="120" w:line="276" w:lineRule="auto"/>
        <w:rPr>
          <w:rFonts w:eastAsia="Times New Roman" w:cs="Times New Roman"/>
          <w:u w:val="single"/>
          <w:lang w:eastAsia="pl-PL"/>
        </w:rPr>
      </w:pPr>
      <w:bookmarkStart w:id="12" w:name="_Hlk131425856"/>
      <w:r w:rsidRPr="008C1E51">
        <w:rPr>
          <w:rFonts w:eastAsia="Times New Roman" w:cs="Times New Roman"/>
          <w:u w:val="single"/>
          <w:lang w:eastAsia="pl-PL"/>
        </w:rPr>
        <w:t>Zadania ochronne w zakresie ekosystemów leśnych</w:t>
      </w:r>
      <w:r w:rsidRPr="008C1E51">
        <w:rPr>
          <w:rFonts w:eastAsia="Times New Roman" w:cs="Times New Roman"/>
          <w:u w:val="single"/>
          <w:vertAlign w:val="superscript"/>
          <w:lang w:eastAsia="pl-PL"/>
        </w:rPr>
        <w:footnoteReference w:id="24"/>
      </w:r>
    </w:p>
    <w:p w14:paraId="4F1F90AA" w14:textId="77777777" w:rsidR="008C1E51" w:rsidRPr="008C1E51" w:rsidRDefault="008C1E51" w:rsidP="008C1E51">
      <w:pPr>
        <w:spacing w:before="120" w:after="120" w:line="276" w:lineRule="auto"/>
        <w:rPr>
          <w:rFonts w:eastAsia="Times New Roman" w:cs="Times New Roman"/>
          <w:lang w:eastAsia="pl-PL"/>
        </w:rPr>
      </w:pPr>
      <w:bookmarkStart w:id="13" w:name="_Hlk129613776"/>
      <w:r w:rsidRPr="008C1E51">
        <w:t>Weryfikacji poddano 2 z 18 zadań ochronnych (tj. ok. 11% zadań) wskazanych</w:t>
      </w:r>
      <w:r w:rsidRPr="008C1E51">
        <w:br/>
        <w:t xml:space="preserve">w zarządzeniu </w:t>
      </w:r>
      <w:proofErr w:type="spellStart"/>
      <w:r w:rsidRPr="008C1E51">
        <w:t>ws</w:t>
      </w:r>
      <w:proofErr w:type="spellEnd"/>
      <w:r w:rsidRPr="008C1E51">
        <w:t xml:space="preserve">. zadań ochronnych. </w:t>
      </w:r>
      <w:r w:rsidRPr="008C1E51">
        <w:rPr>
          <w:rFonts w:eastAsia="Times New Roman" w:cs="Times New Roman"/>
          <w:lang w:eastAsia="pl-PL"/>
        </w:rPr>
        <w:t xml:space="preserve">Zadania ochronne wybrane w ramach próby kontrolnej dotyczyły: </w:t>
      </w:r>
    </w:p>
    <w:p w14:paraId="08FDA71F" w14:textId="77777777" w:rsidR="008C1E51" w:rsidRPr="008C1E51" w:rsidRDefault="008C1E51" w:rsidP="008C1E51">
      <w:pPr>
        <w:numPr>
          <w:ilvl w:val="0"/>
          <w:numId w:val="19"/>
        </w:numPr>
        <w:spacing w:before="120" w:after="120" w:line="276" w:lineRule="auto"/>
        <w:rPr>
          <w:rFonts w:eastAsia="Times New Roman" w:cs="Times New Roman"/>
          <w:lang w:eastAsia="pl-PL"/>
        </w:rPr>
      </w:pPr>
      <w:bookmarkStart w:id="14" w:name="_Hlk151727971"/>
      <w:bookmarkEnd w:id="13"/>
      <w:r w:rsidRPr="008C1E51">
        <w:rPr>
          <w:rFonts w:eastAsia="Times New Roman" w:cs="Times New Roman"/>
          <w:lang w:eastAsia="pl-PL"/>
        </w:rPr>
        <w:t xml:space="preserve">Regulacji składu gatunkowego i zagęszczenia drzew w drzewostanie </w:t>
      </w:r>
      <w:bookmarkEnd w:id="14"/>
      <w:r w:rsidRPr="008C1E51">
        <w:rPr>
          <w:rFonts w:eastAsia="Times New Roman" w:cs="Times New Roman"/>
          <w:lang w:eastAsia="pl-PL"/>
        </w:rPr>
        <w:t xml:space="preserve">(cięcia przebudowy składu gatunkowego oraz przemiany budowy i struktury wiekowej) – Zadanie w zarządzeniu dot. zadań ochronnych zostało zaplanowane do realizacji na powierzchni ok. 1550 ha. </w:t>
      </w:r>
    </w:p>
    <w:p w14:paraId="0601102E" w14:textId="02C81A1C" w:rsidR="008C1E51" w:rsidRPr="008C1E51" w:rsidRDefault="008C1E51" w:rsidP="008C1E51">
      <w:pPr>
        <w:spacing w:before="120" w:after="120" w:line="276" w:lineRule="auto"/>
        <w:rPr>
          <w:rFonts w:eastAsia="Times New Roman" w:cs="Times New Roman"/>
          <w:lang w:eastAsia="pl-PL"/>
        </w:rPr>
      </w:pPr>
      <w:bookmarkStart w:id="15" w:name="_Hlk129602519"/>
      <w:r w:rsidRPr="008C1E51">
        <w:rPr>
          <w:rFonts w:cs="Times New Roman"/>
        </w:rPr>
        <w:lastRenderedPageBreak/>
        <w:t xml:space="preserve">W wyniku kontroli stwierdzono, iż zakres zadań ochronnych opisanych w zarządzeniu </w:t>
      </w:r>
      <w:proofErr w:type="spellStart"/>
      <w:r w:rsidRPr="008C1E51">
        <w:rPr>
          <w:rFonts w:cs="Times New Roman"/>
        </w:rPr>
        <w:t>ws</w:t>
      </w:r>
      <w:proofErr w:type="spellEnd"/>
      <w:r w:rsidRPr="008C1E51">
        <w:rPr>
          <w:rFonts w:cs="Times New Roman"/>
        </w:rPr>
        <w:t>. zadań ochronnych nie był w pełni wykonany co do założonej powierzchni</w:t>
      </w:r>
      <w:r w:rsidRPr="008C1E51">
        <w:t>. W latach 2019</w:t>
      </w:r>
      <w:r w:rsidR="00062669">
        <w:t>-</w:t>
      </w:r>
      <w:r w:rsidRPr="008C1E51">
        <w:t>2021 zabieg wykonano odpowiedni na powierzchni 547,7 ha, 437,35 ha i 405,87 ha</w:t>
      </w:r>
      <w:bookmarkStart w:id="16" w:name="_Hlk129684748"/>
      <w:r w:rsidRPr="008C1E51">
        <w:rPr>
          <w:rFonts w:eastAsia="Times New Roman" w:cs="Times New Roman"/>
          <w:lang w:eastAsia="pl-PL"/>
        </w:rPr>
        <w:t xml:space="preserve">. Całkowita powierzchnia, na której wykonany został zabieg wyniosła 1390,92 ha, przy czym zgodnie z zarządzeniem </w:t>
      </w:r>
      <w:proofErr w:type="spellStart"/>
      <w:r w:rsidRPr="008C1E51">
        <w:rPr>
          <w:rFonts w:eastAsia="Times New Roman" w:cs="Times New Roman"/>
          <w:lang w:eastAsia="pl-PL"/>
        </w:rPr>
        <w:t>ws</w:t>
      </w:r>
      <w:proofErr w:type="spellEnd"/>
      <w:r w:rsidRPr="008C1E51">
        <w:rPr>
          <w:rFonts w:eastAsia="Times New Roman" w:cs="Times New Roman"/>
          <w:lang w:eastAsia="pl-PL"/>
        </w:rPr>
        <w:t xml:space="preserve">. zadań ochronnych, zadanie powinno być wykonane na powierzchni 1550 ha. Rzeczywiste wykonanie zadania w stosunku do zarządzenia wyniosło </w:t>
      </w:r>
      <w:r w:rsidR="00AE01E0">
        <w:rPr>
          <w:rFonts w:eastAsia="Times New Roman" w:cs="Times New Roman"/>
          <w:lang w:eastAsia="pl-PL"/>
        </w:rPr>
        <w:t>85</w:t>
      </w:r>
      <w:r w:rsidRPr="008C1E51">
        <w:rPr>
          <w:rFonts w:eastAsia="Times New Roman" w:cs="Times New Roman"/>
          <w:lang w:eastAsia="pl-PL"/>
        </w:rPr>
        <w:t>%</w:t>
      </w:r>
      <w:r w:rsidR="001A560E">
        <w:rPr>
          <w:rFonts w:eastAsia="Times New Roman" w:cs="Times New Roman"/>
          <w:lang w:eastAsia="pl-PL"/>
        </w:rPr>
        <w:t>.</w:t>
      </w:r>
    </w:p>
    <w:bookmarkEnd w:id="15"/>
    <w:bookmarkEnd w:id="16"/>
    <w:p w14:paraId="71D665DC"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w:t>
      </w:r>
      <w:r w:rsidRPr="008C1E51">
        <w:rPr>
          <w:rFonts w:eastAsia="Times New Roman" w:cs="Times New Roman"/>
          <w:lang w:eastAsia="pl-PL"/>
        </w:rPr>
        <w:t>]</w:t>
      </w:r>
    </w:p>
    <w:p w14:paraId="490EAF1E" w14:textId="77777777" w:rsidR="008C1E51" w:rsidRPr="008C1E51" w:rsidRDefault="008C1E51" w:rsidP="008C1E51">
      <w:pPr>
        <w:spacing w:before="120" w:after="120" w:line="276" w:lineRule="auto"/>
        <w:rPr>
          <w:rFonts w:cs="Times New Roman"/>
        </w:rPr>
      </w:pPr>
      <w:r w:rsidRPr="008C1E51">
        <w:t xml:space="preserve">W kwestii wykonania ww. zadania na powierzchni mniejszej niż określono w zarządzeniu </w:t>
      </w:r>
      <w:proofErr w:type="spellStart"/>
      <w:r w:rsidRPr="008C1E51">
        <w:t>ws</w:t>
      </w:r>
      <w:proofErr w:type="spellEnd"/>
      <w:r w:rsidRPr="008C1E51">
        <w:t>. zadań ochronnych Dyrektor Parku wyjaśnił</w:t>
      </w:r>
      <w:r w:rsidRPr="008C1E51">
        <w:rPr>
          <w:vertAlign w:val="superscript"/>
        </w:rPr>
        <w:footnoteReference w:id="25"/>
      </w:r>
      <w:r w:rsidRPr="008C1E51">
        <w:t xml:space="preserve">, że </w:t>
      </w:r>
      <w:r w:rsidRPr="008C1E51">
        <w:rPr>
          <w:rFonts w:cs="Times New Roman"/>
        </w:rPr>
        <w:t xml:space="preserve">założenia hodowlane prowadzanych prac opierały się na maksymalnie wydłużonym okresie przebudowy, pozwalającym na uzyskanie w przyszłości drzewostanu o zróżnicowanej strukturze wiekowej i przestrzennej. Cięcia odbywały się niemalże wyłącznie w dwóch obwodach ochronnych: Osadzie oraz najbardziej wysuniętym na wschód i niedostępnym Górnym Sanie. Podana w zadaniach ochronnych powierzchnia około 1 550 ha była sumą powierzchni </w:t>
      </w:r>
      <w:proofErr w:type="spellStart"/>
      <w:r w:rsidRPr="008C1E51">
        <w:rPr>
          <w:rFonts w:cs="Times New Roman"/>
        </w:rPr>
        <w:t>wydzieleń</w:t>
      </w:r>
      <w:proofErr w:type="spellEnd"/>
      <w:r w:rsidRPr="008C1E51">
        <w:rPr>
          <w:rFonts w:cs="Times New Roman"/>
        </w:rPr>
        <w:t xml:space="preserve">, dla których przewidywano cięcia przebudowy oraz </w:t>
      </w:r>
      <w:proofErr w:type="spellStart"/>
      <w:r w:rsidRPr="008C1E51">
        <w:rPr>
          <w:rFonts w:cs="Times New Roman"/>
        </w:rPr>
        <w:t>wydzieleń</w:t>
      </w:r>
      <w:proofErr w:type="spellEnd"/>
      <w:r w:rsidRPr="008C1E51">
        <w:rPr>
          <w:rFonts w:cs="Times New Roman"/>
        </w:rPr>
        <w:t xml:space="preserve">, dla których należało przewidzieć potencjalne ciecia sanitarne lub przygodne. Powierzchnia ta była obliczana dla założonego okresu 3 lat obowiązywania zarządzenia </w:t>
      </w:r>
      <w:proofErr w:type="spellStart"/>
      <w:r w:rsidRPr="008C1E51">
        <w:rPr>
          <w:rFonts w:cs="Times New Roman"/>
        </w:rPr>
        <w:t>ws</w:t>
      </w:r>
      <w:proofErr w:type="spellEnd"/>
      <w:r w:rsidRPr="008C1E51">
        <w:rPr>
          <w:rFonts w:cs="Times New Roman"/>
        </w:rPr>
        <w:t>. zadań ochronnych. Różnica w ilości zaplanowanej</w:t>
      </w:r>
      <w:r w:rsidRPr="008C1E51">
        <w:rPr>
          <w:rFonts w:cs="Times New Roman"/>
        </w:rPr>
        <w:br/>
        <w:t xml:space="preserve">i wykonanej powierzchni zadania </w:t>
      </w:r>
      <w:r w:rsidRPr="008C1E51">
        <w:rPr>
          <w:rFonts w:cs="Times New Roman"/>
          <w:i/>
          <w:iCs/>
        </w:rPr>
        <w:t xml:space="preserve">Regulacja składu gatunkowego (…) </w:t>
      </w:r>
      <w:r w:rsidRPr="008C1E51">
        <w:rPr>
          <w:rFonts w:cs="Times New Roman"/>
        </w:rPr>
        <w:t>wynikała z braku przesłanek do cięć na powierzchniach zaplanowanych jako potencjalne, bądź z ograniczonej dostępności wybranych obszarów. Rozmiar cięć uzależniony był od tempa wydzielania się drzew, wystąpienia uszkodzeń o charakterze biotycznym czy abiotycznym, dostępności</w:t>
      </w:r>
      <w:r w:rsidRPr="008C1E51">
        <w:rPr>
          <w:rFonts w:cs="Times New Roman"/>
        </w:rPr>
        <w:br/>
        <w:t>i udatności materiału sadzeniowego.</w:t>
      </w:r>
      <w:r w:rsidRPr="008C1E51">
        <w:rPr>
          <w:rFonts w:eastAsia="Times New Roman" w:cs="Times New Roman"/>
          <w:lang w:eastAsia="pl-PL"/>
        </w:rPr>
        <w:t xml:space="preserve"> </w:t>
      </w:r>
      <w:r w:rsidRPr="008C1E51">
        <w:rPr>
          <w:rFonts w:cs="Times New Roman"/>
        </w:rPr>
        <w:t xml:space="preserve">W wybranych lokalizacjach realizacja cięć była również uzależniona od fizycznej dostępności tych powierzchni – przejezdności dróg i szlaków zrywkowych. </w:t>
      </w:r>
    </w:p>
    <w:p w14:paraId="5360F806"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I/319-350</w:t>
      </w:r>
      <w:r w:rsidRPr="008C1E51">
        <w:rPr>
          <w:rFonts w:eastAsia="Times New Roman" w:cs="Times New Roman"/>
          <w:lang w:eastAsia="pl-PL"/>
        </w:rPr>
        <w:t>]</w:t>
      </w:r>
    </w:p>
    <w:p w14:paraId="4A17EE1F"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Kontrolowane zadania ochronne w ekosystemach leśnych wykonywane były przez podmioty wyłonione w postępowaniach o zamówienia publiczne.</w:t>
      </w:r>
    </w:p>
    <w:p w14:paraId="13170357"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w:t>
      </w:r>
      <w:r w:rsidRPr="008C1E51">
        <w:rPr>
          <w:rFonts w:eastAsia="Times New Roman" w:cs="Times New Roman"/>
          <w:lang w:eastAsia="pl-PL"/>
        </w:rPr>
        <w:t>]</w:t>
      </w:r>
    </w:p>
    <w:p w14:paraId="74E7DF8B" w14:textId="77777777" w:rsidR="008C1E51" w:rsidRPr="008C1E51" w:rsidRDefault="008C1E51" w:rsidP="008C1E51">
      <w:pPr>
        <w:spacing w:before="120" w:after="120" w:line="276" w:lineRule="auto"/>
        <w:rPr>
          <w:rFonts w:cs="Times New Roman"/>
        </w:rPr>
      </w:pPr>
      <w:r w:rsidRPr="008C1E51">
        <w:rPr>
          <w:rFonts w:eastAsia="Times New Roman" w:cs="Times New Roman"/>
          <w:lang w:eastAsia="pl-PL"/>
        </w:rPr>
        <w:t>W wyniku oględzin wytypowanych powierzchni</w:t>
      </w:r>
      <w:r w:rsidRPr="008C1E51">
        <w:rPr>
          <w:rFonts w:eastAsia="Times New Roman" w:cs="Times New Roman"/>
          <w:vertAlign w:val="superscript"/>
          <w:lang w:eastAsia="pl-PL"/>
        </w:rPr>
        <w:footnoteReference w:id="26"/>
      </w:r>
      <w:r w:rsidRPr="008C1E51">
        <w:rPr>
          <w:rFonts w:eastAsia="Times New Roman" w:cs="Times New Roman"/>
          <w:lang w:eastAsia="pl-PL"/>
        </w:rPr>
        <w:t xml:space="preserve"> do próby szczegółowego badania stwierdzono, że na działkach poddanych oględzinom zadania ochronne wykonane były zgodnie z zarządzeniem </w:t>
      </w:r>
      <w:proofErr w:type="spellStart"/>
      <w:r w:rsidRPr="008C1E51">
        <w:rPr>
          <w:rFonts w:eastAsia="Times New Roman" w:cs="Times New Roman"/>
          <w:lang w:eastAsia="pl-PL"/>
        </w:rPr>
        <w:t>ws</w:t>
      </w:r>
      <w:proofErr w:type="spellEnd"/>
      <w:r w:rsidRPr="008C1E51">
        <w:rPr>
          <w:rFonts w:eastAsia="Times New Roman" w:cs="Times New Roman"/>
          <w:lang w:eastAsia="pl-PL"/>
        </w:rPr>
        <w:t>. zadań ochronnych, a zabiegi ochronne zgodnie z p</w:t>
      </w:r>
      <w:r w:rsidRPr="008C1E51">
        <w:rPr>
          <w:rFonts w:cs="Times New Roman"/>
        </w:rPr>
        <w:t xml:space="preserve">rzyjętymi założeniami dotyczącymi ochrony czynnej obszaru </w:t>
      </w:r>
      <w:proofErr w:type="spellStart"/>
      <w:r w:rsidRPr="008C1E51">
        <w:rPr>
          <w:rFonts w:cs="Times New Roman"/>
        </w:rPr>
        <w:t>BdPN</w:t>
      </w:r>
      <w:proofErr w:type="spellEnd"/>
      <w:r w:rsidRPr="008C1E51">
        <w:rPr>
          <w:rFonts w:cs="Times New Roman"/>
        </w:rPr>
        <w:t>, rodzaj, rozmiar, zakres oraz lokalizacja zabiegów odpowiadała zapisom określonym w ww. zarządzeniu.</w:t>
      </w:r>
    </w:p>
    <w:p w14:paraId="7E77C783" w14:textId="77777777" w:rsidR="008C1E51" w:rsidRPr="008C1E51" w:rsidRDefault="008C1E51" w:rsidP="008C1E51">
      <w:pPr>
        <w:spacing w:before="120" w:after="120" w:line="276" w:lineRule="auto"/>
        <w:jc w:val="right"/>
        <w:rPr>
          <w:rFonts w:eastAsia="Times New Roman" w:cs="Times New Roman"/>
          <w:lang w:eastAsia="pl-PL"/>
        </w:rPr>
      </w:pPr>
      <w:bookmarkStart w:id="17" w:name="_Hlk129676337"/>
      <w:r w:rsidRPr="008C1E51">
        <w:rPr>
          <w:rFonts w:eastAsia="Times New Roman" w:cs="Times New Roman"/>
          <w:lang w:eastAsia="pl-PL"/>
        </w:rPr>
        <w:t xml:space="preserve">[Dowód: akt </w:t>
      </w:r>
      <w:r w:rsidRPr="008C1E51">
        <w:rPr>
          <w:rFonts w:cs="Times New Roman"/>
        </w:rPr>
        <w:t>kontroli str. I/351-358</w:t>
      </w:r>
      <w:r w:rsidRPr="008C1E51">
        <w:rPr>
          <w:rFonts w:eastAsia="Times New Roman" w:cs="Times New Roman"/>
          <w:lang w:eastAsia="pl-PL"/>
        </w:rPr>
        <w:t>]</w:t>
      </w:r>
    </w:p>
    <w:bookmarkEnd w:id="12"/>
    <w:bookmarkEnd w:id="17"/>
    <w:p w14:paraId="542DDBB5" w14:textId="77777777" w:rsidR="008C1E51" w:rsidRPr="008C1E51" w:rsidRDefault="008C1E51" w:rsidP="008C1E51">
      <w:pPr>
        <w:numPr>
          <w:ilvl w:val="0"/>
          <w:numId w:val="19"/>
        </w:numPr>
        <w:spacing w:before="120" w:after="120" w:line="276" w:lineRule="auto"/>
        <w:rPr>
          <w:rFonts w:eastAsia="Times New Roman" w:cs="Times New Roman"/>
          <w:lang w:eastAsia="pl-PL"/>
        </w:rPr>
      </w:pPr>
      <w:r w:rsidRPr="008C1E51">
        <w:rPr>
          <w:rFonts w:eastAsia="Times New Roman" w:cs="Times New Roman"/>
          <w:lang w:eastAsia="pl-PL"/>
        </w:rPr>
        <w:t>Wykładanie drzew pułapkowych oraz ich korowanie (pułapki klasyczne) w celu spowalniania procesu rozpadu drzewostanów świerkowych sztucznego pochodzenia i monitorowania liczebności kornika drukarza (</w:t>
      </w:r>
      <w:proofErr w:type="spellStart"/>
      <w:r w:rsidRPr="008C1E51">
        <w:rPr>
          <w:rFonts w:eastAsia="Times New Roman" w:cs="Times New Roman"/>
          <w:lang w:eastAsia="pl-PL"/>
        </w:rPr>
        <w:t>Ips</w:t>
      </w:r>
      <w:proofErr w:type="spellEnd"/>
      <w:r w:rsidRPr="008C1E51">
        <w:rPr>
          <w:rFonts w:eastAsia="Times New Roman" w:cs="Times New Roman"/>
          <w:lang w:eastAsia="pl-PL"/>
        </w:rPr>
        <w:t xml:space="preserve"> </w:t>
      </w:r>
      <w:proofErr w:type="spellStart"/>
      <w:r w:rsidRPr="008C1E51">
        <w:rPr>
          <w:rFonts w:eastAsia="Times New Roman" w:cs="Times New Roman"/>
          <w:lang w:eastAsia="pl-PL"/>
        </w:rPr>
        <w:t>typographus</w:t>
      </w:r>
      <w:proofErr w:type="spellEnd"/>
      <w:r w:rsidRPr="008C1E51">
        <w:rPr>
          <w:rFonts w:eastAsia="Times New Roman" w:cs="Times New Roman"/>
          <w:lang w:eastAsia="pl-PL"/>
        </w:rPr>
        <w:t>). Zaplanowano wystawienie 60 pułapek.</w:t>
      </w:r>
    </w:p>
    <w:p w14:paraId="7E5296FA" w14:textId="4257C869" w:rsidR="008C1E51" w:rsidRPr="008C1E51" w:rsidRDefault="008C1E51" w:rsidP="008C1E51">
      <w:pPr>
        <w:spacing w:before="120" w:after="120" w:line="276" w:lineRule="auto"/>
      </w:pPr>
      <w:r w:rsidRPr="008C1E51">
        <w:rPr>
          <w:rFonts w:cs="Times New Roman"/>
        </w:rPr>
        <w:lastRenderedPageBreak/>
        <w:t xml:space="preserve">W wyniku kontroli stwierdzono, iż zakres zadań ochronnych opisanych w zarządzeniu </w:t>
      </w:r>
      <w:proofErr w:type="spellStart"/>
      <w:r w:rsidRPr="008C1E51">
        <w:rPr>
          <w:rFonts w:cs="Times New Roman"/>
        </w:rPr>
        <w:t>ws</w:t>
      </w:r>
      <w:proofErr w:type="spellEnd"/>
      <w:r w:rsidRPr="008C1E51">
        <w:rPr>
          <w:rFonts w:cs="Times New Roman"/>
        </w:rPr>
        <w:t xml:space="preserve">. zadań ochronnych został w pełni </w:t>
      </w:r>
      <w:r w:rsidR="00211832" w:rsidRPr="008C1E51">
        <w:rPr>
          <w:rFonts w:cs="Times New Roman"/>
        </w:rPr>
        <w:t>wykonany co</w:t>
      </w:r>
      <w:r w:rsidRPr="008C1E51">
        <w:rPr>
          <w:rFonts w:cs="Times New Roman"/>
        </w:rPr>
        <w:t xml:space="preserve"> do założonego zakresu (100 %) przez pracowników Parku.</w:t>
      </w:r>
    </w:p>
    <w:bookmarkEnd w:id="9"/>
    <w:p w14:paraId="4176E80F"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w:t>
      </w:r>
      <w:r w:rsidRPr="008C1E51">
        <w:rPr>
          <w:rFonts w:eastAsia="Times New Roman" w:cs="Times New Roman"/>
          <w:lang w:eastAsia="pl-PL"/>
        </w:rPr>
        <w:t>]</w:t>
      </w:r>
    </w:p>
    <w:p w14:paraId="09B16F61" w14:textId="77777777" w:rsidR="008C1E51" w:rsidRPr="008C1E51" w:rsidRDefault="008C1E51" w:rsidP="008C1E51">
      <w:pPr>
        <w:spacing w:before="120" w:after="120" w:line="276" w:lineRule="auto"/>
        <w:rPr>
          <w:rFonts w:eastAsia="Times New Roman" w:cs="Times New Roman"/>
          <w:u w:val="single"/>
          <w:lang w:eastAsia="pl-PL"/>
        </w:rPr>
      </w:pPr>
      <w:r w:rsidRPr="008C1E51">
        <w:rPr>
          <w:rFonts w:eastAsia="Times New Roman" w:cs="Times New Roman"/>
          <w:u w:val="single"/>
          <w:lang w:eastAsia="pl-PL"/>
        </w:rPr>
        <w:t>Zadania ochronne w zakresie nieleśnych ekosystemów lądowych</w:t>
      </w:r>
    </w:p>
    <w:p w14:paraId="770A8D3D" w14:textId="77777777" w:rsidR="008C1E51" w:rsidRPr="008C1E51" w:rsidRDefault="008C1E51" w:rsidP="008C1E51">
      <w:pPr>
        <w:spacing w:before="120" w:after="120" w:line="276" w:lineRule="auto"/>
        <w:rPr>
          <w:rFonts w:eastAsia="Times New Roman" w:cs="Times New Roman"/>
          <w:lang w:eastAsia="pl-PL"/>
        </w:rPr>
      </w:pPr>
      <w:r w:rsidRPr="008C1E51">
        <w:t>Weryfikacji poddano 4 z 13 zadań ochronnych (tj. 30% zadań) wskazanych</w:t>
      </w:r>
      <w:r w:rsidRPr="008C1E51">
        <w:br/>
        <w:t xml:space="preserve">w zarządzeniu </w:t>
      </w:r>
      <w:proofErr w:type="spellStart"/>
      <w:r w:rsidRPr="008C1E51">
        <w:t>ws</w:t>
      </w:r>
      <w:proofErr w:type="spellEnd"/>
      <w:r w:rsidRPr="008C1E51">
        <w:t xml:space="preserve">. zadań ochronnych. </w:t>
      </w:r>
      <w:r w:rsidRPr="008C1E51">
        <w:rPr>
          <w:rFonts w:eastAsia="Times New Roman" w:cs="Times New Roman"/>
          <w:lang w:eastAsia="pl-PL"/>
        </w:rPr>
        <w:t>Zadania ochronne wybrane w ramach próby kontrolnej dotyczyły:</w:t>
      </w:r>
    </w:p>
    <w:p w14:paraId="6AD9556B" w14:textId="77777777" w:rsidR="008C1E51" w:rsidRPr="008C1E51" w:rsidRDefault="008C1E51" w:rsidP="008C1E51">
      <w:pPr>
        <w:numPr>
          <w:ilvl w:val="0"/>
          <w:numId w:val="20"/>
        </w:numPr>
        <w:spacing w:before="120" w:after="120" w:line="276" w:lineRule="auto"/>
        <w:rPr>
          <w:rFonts w:eastAsia="Times New Roman" w:cs="Times New Roman"/>
          <w:lang w:eastAsia="pl-PL"/>
        </w:rPr>
      </w:pPr>
      <w:bookmarkStart w:id="18" w:name="_Hlk130554636"/>
      <w:r w:rsidRPr="008C1E51">
        <w:rPr>
          <w:rFonts w:eastAsia="Times New Roman" w:cs="Times New Roman"/>
          <w:lang w:eastAsia="pl-PL"/>
        </w:rPr>
        <w:t>Mechanicznego koszenia łąk z uprzątnięciem biomasy, wypas lub wypas</w:t>
      </w:r>
      <w:r w:rsidRPr="008C1E51">
        <w:rPr>
          <w:rFonts w:eastAsia="Times New Roman" w:cs="Times New Roman"/>
          <w:lang w:eastAsia="pl-PL"/>
        </w:rPr>
        <w:br/>
        <w:t xml:space="preserve">z koszeniem, obejmujące siedliska: łąk świeżych i górskich łąk </w:t>
      </w:r>
      <w:proofErr w:type="spellStart"/>
      <w:r w:rsidRPr="008C1E51">
        <w:rPr>
          <w:rFonts w:eastAsia="Times New Roman" w:cs="Times New Roman"/>
          <w:lang w:eastAsia="pl-PL"/>
        </w:rPr>
        <w:t>konietlicowych</w:t>
      </w:r>
      <w:proofErr w:type="spellEnd"/>
      <w:r w:rsidRPr="008C1E51">
        <w:rPr>
          <w:rFonts w:eastAsia="Times New Roman" w:cs="Times New Roman"/>
          <w:lang w:eastAsia="pl-PL"/>
        </w:rPr>
        <w:t xml:space="preserve"> użytkowanych ekstensywnie, muraw </w:t>
      </w:r>
      <w:proofErr w:type="spellStart"/>
      <w:r w:rsidRPr="008C1E51">
        <w:rPr>
          <w:rFonts w:eastAsia="Times New Roman" w:cs="Times New Roman"/>
          <w:lang w:eastAsia="pl-PL"/>
        </w:rPr>
        <w:t>bliźniczkowych</w:t>
      </w:r>
      <w:proofErr w:type="spellEnd"/>
      <w:r w:rsidRPr="008C1E51">
        <w:rPr>
          <w:rFonts w:eastAsia="Times New Roman" w:cs="Times New Roman"/>
          <w:lang w:eastAsia="pl-PL"/>
        </w:rPr>
        <w:t xml:space="preserve"> (</w:t>
      </w:r>
      <w:proofErr w:type="spellStart"/>
      <w:r w:rsidRPr="008C1E51">
        <w:rPr>
          <w:rFonts w:eastAsia="Times New Roman" w:cs="Times New Roman"/>
          <w:lang w:eastAsia="pl-PL"/>
        </w:rPr>
        <w:t>Nardion</w:t>
      </w:r>
      <w:proofErr w:type="spellEnd"/>
      <w:r w:rsidRPr="008C1E51">
        <w:rPr>
          <w:rFonts w:eastAsia="Times New Roman" w:cs="Times New Roman"/>
          <w:lang w:eastAsia="pl-PL"/>
        </w:rPr>
        <w:t>), górskich torfowisk zasadowych o charakterze młak stanowiska dzwonka piłkowanego (</w:t>
      </w:r>
      <w:proofErr w:type="spellStart"/>
      <w:r w:rsidRPr="008C1E51">
        <w:rPr>
          <w:rFonts w:eastAsia="Times New Roman" w:cs="Times New Roman"/>
          <w:lang w:eastAsia="pl-PL"/>
        </w:rPr>
        <w:t>Campanula</w:t>
      </w:r>
      <w:proofErr w:type="spellEnd"/>
      <w:r w:rsidRPr="008C1E51">
        <w:rPr>
          <w:rFonts w:eastAsia="Times New Roman" w:cs="Times New Roman"/>
          <w:lang w:eastAsia="pl-PL"/>
        </w:rPr>
        <w:t xml:space="preserve"> </w:t>
      </w:r>
      <w:proofErr w:type="spellStart"/>
      <w:r w:rsidRPr="008C1E51">
        <w:rPr>
          <w:rFonts w:eastAsia="Times New Roman" w:cs="Times New Roman"/>
          <w:lang w:eastAsia="pl-PL"/>
        </w:rPr>
        <w:t>serrata</w:t>
      </w:r>
      <w:proofErr w:type="spellEnd"/>
      <w:r w:rsidRPr="008C1E51">
        <w:rPr>
          <w:rFonts w:eastAsia="Times New Roman" w:cs="Times New Roman"/>
          <w:lang w:eastAsia="pl-PL"/>
        </w:rPr>
        <w:t>) i derkacza (</w:t>
      </w:r>
      <w:proofErr w:type="spellStart"/>
      <w:r w:rsidRPr="008C1E51">
        <w:rPr>
          <w:rFonts w:eastAsia="Times New Roman" w:cs="Times New Roman"/>
          <w:lang w:eastAsia="pl-PL"/>
        </w:rPr>
        <w:t>Crex</w:t>
      </w:r>
      <w:proofErr w:type="spellEnd"/>
      <w:r w:rsidRPr="008C1E51">
        <w:rPr>
          <w:rFonts w:eastAsia="Times New Roman" w:cs="Times New Roman"/>
          <w:lang w:eastAsia="pl-PL"/>
        </w:rPr>
        <w:t xml:space="preserve"> </w:t>
      </w:r>
      <w:proofErr w:type="spellStart"/>
      <w:r w:rsidRPr="008C1E51">
        <w:rPr>
          <w:rFonts w:eastAsia="Times New Roman" w:cs="Times New Roman"/>
          <w:lang w:eastAsia="pl-PL"/>
        </w:rPr>
        <w:t>crex</w:t>
      </w:r>
      <w:proofErr w:type="spellEnd"/>
      <w:r w:rsidRPr="008C1E51">
        <w:rPr>
          <w:rFonts w:eastAsia="Times New Roman" w:cs="Times New Roman"/>
          <w:lang w:eastAsia="pl-PL"/>
        </w:rPr>
        <w:t>) oraz żerowiska: trzmielojada, orlika krzykliwego, orła przedniego i gąsiorka – ekosystem nieleśny lądowy. Zadanie według zarządzeń dot. zadań ochronnych miało być wykonane na powierzchni ok. 2000 ha rocznie.</w:t>
      </w:r>
    </w:p>
    <w:p w14:paraId="2EAED83E" w14:textId="17E5C582" w:rsidR="008C1E51" w:rsidRPr="008C1E51" w:rsidRDefault="008C1E51" w:rsidP="008C1E51">
      <w:pPr>
        <w:spacing w:before="120" w:after="120" w:line="276" w:lineRule="auto"/>
        <w:rPr>
          <w:rFonts w:eastAsia="Times New Roman" w:cs="Times New Roman"/>
          <w:highlight w:val="yellow"/>
          <w:lang w:eastAsia="pl-PL"/>
        </w:rPr>
      </w:pPr>
      <w:bookmarkStart w:id="19" w:name="_Hlk129676982"/>
      <w:bookmarkEnd w:id="18"/>
      <w:r w:rsidRPr="008C1E51">
        <w:t>W okresie objętym kontrolą Park wykonał zadanie na powierzchni 3432,77 ha, w tym</w:t>
      </w:r>
      <w:r w:rsidRPr="008C1E51">
        <w:br/>
        <w:t xml:space="preserve">w 2019 r. na powierzchni 1150,45 ha, w 2020 r. na </w:t>
      </w:r>
      <w:r w:rsidR="00211832" w:rsidRPr="008C1E51">
        <w:t>powierzchni 1155</w:t>
      </w:r>
      <w:r w:rsidRPr="008C1E51">
        <w:t>,02 ha, a w 2021 r. na powierzchni 1124,30 ha. Należy przy tym zauważyć, iż p</w:t>
      </w:r>
      <w:r w:rsidRPr="008C1E51">
        <w:rPr>
          <w:rFonts w:eastAsia="Times New Roman" w:cs="Times New Roman"/>
          <w:lang w:eastAsia="pl-PL"/>
        </w:rPr>
        <w:t xml:space="preserve">owierzchnia przeznaczona do realizacji tego zadania wskazana w zarządzeniu </w:t>
      </w:r>
      <w:proofErr w:type="spellStart"/>
      <w:r w:rsidRPr="008C1E51">
        <w:rPr>
          <w:rFonts w:eastAsia="Times New Roman" w:cs="Times New Roman"/>
          <w:lang w:eastAsia="pl-PL"/>
        </w:rPr>
        <w:t>ws</w:t>
      </w:r>
      <w:proofErr w:type="spellEnd"/>
      <w:r w:rsidRPr="008C1E51">
        <w:rPr>
          <w:rFonts w:eastAsia="Times New Roman" w:cs="Times New Roman"/>
          <w:lang w:eastAsia="pl-PL"/>
        </w:rPr>
        <w:t xml:space="preserve">. zadań ochronnych wynosiła ok. 2000 ha rocznie (6000 ha/3 lata). Fizyczne wykonanie zadania w stosunku do ww. zarządzenia wynosi jedynie ok. 57% </w:t>
      </w:r>
    </w:p>
    <w:p w14:paraId="04AA8B6F" w14:textId="1F060099" w:rsidR="008C1E51" w:rsidRPr="008C1E51" w:rsidRDefault="008C1E51" w:rsidP="008C1E51">
      <w:r w:rsidRPr="008C1E51">
        <w:rPr>
          <w:rFonts w:cs="Times New Roman"/>
        </w:rPr>
        <w:t xml:space="preserve">W wyniku kontroli stwierdzono, iż zakres zadań ochronnych opisanych w zarządzeniu </w:t>
      </w:r>
      <w:proofErr w:type="spellStart"/>
      <w:r w:rsidRPr="008C1E51">
        <w:rPr>
          <w:rFonts w:cs="Times New Roman"/>
        </w:rPr>
        <w:t>ws</w:t>
      </w:r>
      <w:proofErr w:type="spellEnd"/>
      <w:r w:rsidRPr="008C1E51">
        <w:rPr>
          <w:rFonts w:cs="Times New Roman"/>
        </w:rPr>
        <w:t>. zadań ochronnych nie został w wykonany w stosunku do powierzchni określonej</w:t>
      </w:r>
      <w:r w:rsidRPr="008C1E51">
        <w:rPr>
          <w:rFonts w:cs="Times New Roman"/>
        </w:rPr>
        <w:br/>
        <w:t xml:space="preserve">w zarządzeniu </w:t>
      </w:r>
      <w:proofErr w:type="spellStart"/>
      <w:r w:rsidRPr="008C1E51">
        <w:rPr>
          <w:rFonts w:cs="Times New Roman"/>
        </w:rPr>
        <w:t>ws</w:t>
      </w:r>
      <w:proofErr w:type="spellEnd"/>
      <w:r w:rsidRPr="008C1E51">
        <w:rPr>
          <w:rFonts w:cs="Times New Roman"/>
        </w:rPr>
        <w:t>. zadań ochronnych.</w:t>
      </w:r>
      <w:r w:rsidRPr="008C1E51">
        <w:rPr>
          <w:rFonts w:eastAsia="Times New Roman" w:cs="Times New Roman"/>
          <w:color w:val="5B9BD5" w:themeColor="accent1"/>
          <w:lang w:eastAsia="pl-PL"/>
        </w:rPr>
        <w:t xml:space="preserve"> </w:t>
      </w:r>
      <w:r w:rsidRPr="008C1E51">
        <w:t>Przygotowując projekt zadań ochronnych do wykonania Dyrektor Parku winien wziąć pod uwagę zasob</w:t>
      </w:r>
      <w:r w:rsidR="005036F5">
        <w:t>y</w:t>
      </w:r>
      <w:r w:rsidRPr="008C1E51">
        <w:t xml:space="preserve"> jakimi dysponuje które należy przeznaczyć na realizację zadań ochronnych w poszczególnych okresach. Planowane wielkości zadań przeznaczone do wykonania przekraczały możliwości Parku.</w:t>
      </w:r>
      <w:r w:rsidRPr="008C1E51">
        <w:rPr>
          <w:rFonts w:eastAsia="Times New Roman" w:cs="Times New Roman"/>
          <w:lang w:eastAsia="pl-PL"/>
        </w:rPr>
        <w:t xml:space="preserve"> Kontrolujący ustalił również, iż Dyrektor Parku nie podejmował działań w zakresie ewentualnej zmiany planu zadań w celu dostosowania go do możliwości wykonania. Tym samym planowanie zadań ochronnych było działaniem nierzetelnym.</w:t>
      </w:r>
    </w:p>
    <w:p w14:paraId="1DB3CAB0" w14:textId="77777777" w:rsidR="008C1E51" w:rsidRPr="008C1E51" w:rsidRDefault="008C1E51" w:rsidP="001129EF">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w:t>
      </w:r>
      <w:r w:rsidRPr="008C1E51">
        <w:rPr>
          <w:rFonts w:eastAsia="Times New Roman" w:cs="Times New Roman"/>
          <w:lang w:eastAsia="pl-PL"/>
        </w:rPr>
        <w:t>]</w:t>
      </w:r>
    </w:p>
    <w:bookmarkEnd w:id="19"/>
    <w:p w14:paraId="15737F9B" w14:textId="1C358D2E" w:rsidR="008C1E51" w:rsidRPr="008C1E51" w:rsidRDefault="008C1E51" w:rsidP="008C1E51">
      <w:pPr>
        <w:spacing w:before="120" w:after="120" w:line="276" w:lineRule="auto"/>
        <w:rPr>
          <w:rFonts w:cs="Times New Roman"/>
        </w:rPr>
      </w:pPr>
      <w:r w:rsidRPr="008C1E51">
        <w:rPr>
          <w:rFonts w:cs="Times New Roman"/>
        </w:rPr>
        <w:t>W sprawie niewykonania zadań ochronnych Dyrektor wyjaśnił</w:t>
      </w:r>
      <w:r w:rsidRPr="008C1E51">
        <w:rPr>
          <w:rFonts w:cs="Times New Roman"/>
          <w:vertAlign w:val="superscript"/>
        </w:rPr>
        <w:footnoteReference w:id="27"/>
      </w:r>
      <w:r w:rsidRPr="008C1E51">
        <w:rPr>
          <w:rFonts w:cs="Times New Roman"/>
        </w:rPr>
        <w:t xml:space="preserve">, że w Zarządzeniu Ministra Środowiska z dnia 20 grudnia 2018 r. w sprawie zadań ochronnych dla Bieszczadzkiego Parku Narodowego na lata 2019-2021 – do </w:t>
      </w:r>
      <w:proofErr w:type="spellStart"/>
      <w:r w:rsidRPr="008C1E51">
        <w:rPr>
          <w:rFonts w:cs="Times New Roman"/>
        </w:rPr>
        <w:t>koszeń</w:t>
      </w:r>
      <w:proofErr w:type="spellEnd"/>
      <w:r w:rsidRPr="008C1E51">
        <w:rPr>
          <w:rFonts w:cs="Times New Roman"/>
        </w:rPr>
        <w:t xml:space="preserve"> mechanicznych lub wypasu przeznaczono działki będące częścią 392 </w:t>
      </w:r>
      <w:proofErr w:type="spellStart"/>
      <w:r w:rsidRPr="008C1E51">
        <w:rPr>
          <w:rFonts w:cs="Times New Roman"/>
        </w:rPr>
        <w:t>wydzieleń</w:t>
      </w:r>
      <w:proofErr w:type="spellEnd"/>
      <w:r w:rsidRPr="008C1E51">
        <w:rPr>
          <w:rFonts w:cs="Times New Roman"/>
        </w:rPr>
        <w:t xml:space="preserve"> o sumarycznej powierzchni, określonej po zaokrągleniu na 2000 ha. Powierzchnia ta, nie jest faktyczną powierzchnią do realizacji zabiegów na gruncie, lecz łączną powierzchnią nieleśną wymienionych w zarządzeniu </w:t>
      </w:r>
      <w:proofErr w:type="spellStart"/>
      <w:r w:rsidRPr="008C1E51">
        <w:rPr>
          <w:rFonts w:cs="Times New Roman"/>
        </w:rPr>
        <w:t>wydzieleń</w:t>
      </w:r>
      <w:proofErr w:type="spellEnd"/>
      <w:r w:rsidRPr="008C1E51">
        <w:rPr>
          <w:rFonts w:cs="Times New Roman"/>
        </w:rPr>
        <w:t xml:space="preserve">. Wytypowane 392 wydzielenia nie są jednolite pod kątem przyrodniczym. Znaczne ich fragmenty mają charakter </w:t>
      </w:r>
      <w:proofErr w:type="spellStart"/>
      <w:r w:rsidRPr="008C1E51">
        <w:rPr>
          <w:rFonts w:cs="Times New Roman"/>
        </w:rPr>
        <w:t>ziołoroślowy</w:t>
      </w:r>
      <w:proofErr w:type="spellEnd"/>
      <w:r w:rsidRPr="008C1E51">
        <w:rPr>
          <w:rFonts w:cs="Times New Roman"/>
        </w:rPr>
        <w:t xml:space="preserve"> lub zaroślowy i w ciągu ostatnich trzydziestu lat nigdy nie były przeznaczone do zabiegów ochrony czynnej. Wykształcił się na nich mozaikowy układ </w:t>
      </w:r>
      <w:proofErr w:type="spellStart"/>
      <w:r w:rsidRPr="008C1E51">
        <w:rPr>
          <w:rFonts w:cs="Times New Roman"/>
        </w:rPr>
        <w:t>ekotonalny-łąkowo-zaroślowo-leśny</w:t>
      </w:r>
      <w:proofErr w:type="spellEnd"/>
      <w:r w:rsidRPr="008C1E51">
        <w:rPr>
          <w:rFonts w:cs="Times New Roman"/>
        </w:rPr>
        <w:t xml:space="preserve"> zgodny z kierunkami ochrony </w:t>
      </w:r>
      <w:r w:rsidRPr="008C1E51">
        <w:rPr>
          <w:rFonts w:cs="Times New Roman"/>
        </w:rPr>
        <w:lastRenderedPageBreak/>
        <w:t xml:space="preserve">ekosystemów nieleśnych przyjętymi zarówno w pierwszym 20-letnim planie ochrony oraz </w:t>
      </w:r>
      <w:r w:rsidRPr="008C1E51">
        <w:rPr>
          <w:rFonts w:cs="Times New Roman"/>
        </w:rPr>
        <w:br/>
        <w:t xml:space="preserve">w projekcie planu ochrony (wówczas w fazie projektu) zatwierdzonym w 2022 r. Przyjęto założenie, że powierzchnia zabiegów będzie doprecyzowana na podstawie weryfikacji terenowej stanu ekosystemów i technicznych możliwości wykonanych prac. Przegląd </w:t>
      </w:r>
      <w:r w:rsidRPr="008C1E51">
        <w:rPr>
          <w:rFonts w:cs="Times New Roman"/>
        </w:rPr>
        <w:br/>
        <w:t>i analiza gruntów pod kątem możliwości realizacji zabiegów ochrony czynnej – koszenia lub wypasu - posłużyły do stopniowego, niewielkiego (o kilka procent) zwiększenia areału przeznaczonego do dzierżaw oraz realizacji zabiegów rolnych zlecanych przez Bieszczadzki Park Narodowy. Całkowite obj</w:t>
      </w:r>
      <w:r w:rsidR="005036F5">
        <w:rPr>
          <w:rFonts w:cs="Times New Roman"/>
        </w:rPr>
        <w:t>ę</w:t>
      </w:r>
      <w:r w:rsidRPr="008C1E51">
        <w:rPr>
          <w:rFonts w:cs="Times New Roman"/>
        </w:rPr>
        <w:t xml:space="preserve">cie ww. areału </w:t>
      </w:r>
      <w:proofErr w:type="spellStart"/>
      <w:r w:rsidRPr="008C1E51">
        <w:rPr>
          <w:rFonts w:cs="Times New Roman"/>
        </w:rPr>
        <w:t>koszeniami</w:t>
      </w:r>
      <w:proofErr w:type="spellEnd"/>
      <w:r w:rsidRPr="008C1E51">
        <w:rPr>
          <w:rFonts w:cs="Times New Roman"/>
        </w:rPr>
        <w:t xml:space="preserve"> lub wypasem byłoby sprzeczne </w:t>
      </w:r>
      <w:r w:rsidRPr="008C1E51">
        <w:rPr>
          <w:rFonts w:cs="Times New Roman"/>
        </w:rPr>
        <w:br/>
        <w:t xml:space="preserve">z podstawowymi celami ochrony Bieszczadzkiego Parku Narodowego jakimi są m.in. ochrona naturalnych procesów spontanicznej sukcesji zachodzących na wybranych fragmentach gruntów nieleśnych i ochrona fauny, flory i </w:t>
      </w:r>
      <w:proofErr w:type="spellStart"/>
      <w:r w:rsidRPr="008C1E51">
        <w:rPr>
          <w:rFonts w:cs="Times New Roman"/>
        </w:rPr>
        <w:t>mykobionty</w:t>
      </w:r>
      <w:proofErr w:type="spellEnd"/>
      <w:r w:rsidRPr="008C1E51">
        <w:rPr>
          <w:rFonts w:cs="Times New Roman"/>
        </w:rPr>
        <w:t xml:space="preserve"> związanej z układami ekotonów </w:t>
      </w:r>
      <w:r w:rsidRPr="008C1E51">
        <w:rPr>
          <w:rFonts w:cs="Times New Roman"/>
        </w:rPr>
        <w:br/>
        <w:t xml:space="preserve">i zbiorowisk sukcesyjnych. </w:t>
      </w:r>
      <w:bookmarkStart w:id="20" w:name="_Hlk129681959"/>
    </w:p>
    <w:p w14:paraId="0AF32398"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I/319-350</w:t>
      </w:r>
      <w:r w:rsidRPr="008C1E51">
        <w:rPr>
          <w:rFonts w:eastAsia="Times New Roman" w:cs="Times New Roman"/>
          <w:lang w:eastAsia="pl-PL"/>
        </w:rPr>
        <w:t>]</w:t>
      </w:r>
    </w:p>
    <w:p w14:paraId="2CA9403B" w14:textId="77777777" w:rsidR="008C1E51" w:rsidRPr="008C1E51" w:rsidRDefault="008C1E51" w:rsidP="008C1E51">
      <w:pPr>
        <w:spacing w:before="120" w:after="120" w:line="276" w:lineRule="auto"/>
        <w:rPr>
          <w:rFonts w:cs="Times New Roman"/>
        </w:rPr>
      </w:pPr>
      <w:bookmarkStart w:id="21" w:name="_Hlk129686763"/>
      <w:r w:rsidRPr="008C1E51">
        <w:rPr>
          <w:rFonts w:cs="Times New Roman"/>
        </w:rPr>
        <w:t>Wykonanie zadania na poziomie ok. 57% powierzchni przewidzianej w zarządzeniu świadczy o nierzetelnym planowaniu powierzchni przewidzianej do wykonania zadania ochronnego. Kontrolujący zwraca uwagę, że powierzchnia przewidziana do wykoszenia ręcznego</w:t>
      </w:r>
      <w:r w:rsidRPr="008C1E51">
        <w:rPr>
          <w:rFonts w:cs="Times New Roman"/>
        </w:rPr>
        <w:br/>
        <w:t>i mechanicznego oraz wypasu powinna zostać zweryfikowana i dostosowana do realiów</w:t>
      </w:r>
      <w:r w:rsidRPr="008C1E51">
        <w:rPr>
          <w:rFonts w:cs="Times New Roman"/>
        </w:rPr>
        <w:br/>
        <w:t>i możliwości finansowych i logistycznych Parku.</w:t>
      </w:r>
      <w:r w:rsidRPr="008C1E51">
        <w:rPr>
          <w:rFonts w:cs="Times New Roman"/>
          <w:highlight w:val="yellow"/>
        </w:rPr>
        <w:t xml:space="preserve"> </w:t>
      </w:r>
    </w:p>
    <w:p w14:paraId="7411F23E"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W wyniku oględzin wybranych powierzchni</w:t>
      </w:r>
      <w:r w:rsidRPr="008C1E51">
        <w:rPr>
          <w:rFonts w:eastAsia="Times New Roman" w:cs="Times New Roman"/>
          <w:vertAlign w:val="superscript"/>
          <w:lang w:eastAsia="pl-PL"/>
        </w:rPr>
        <w:footnoteReference w:id="28"/>
      </w:r>
      <w:r w:rsidRPr="008C1E51">
        <w:rPr>
          <w:rFonts w:eastAsia="Times New Roman" w:cs="Times New Roman"/>
          <w:lang w:eastAsia="pl-PL"/>
        </w:rPr>
        <w:t xml:space="preserve"> stwierdzono, że na działkach poddanych oględzinom zadania ochronne wykonane były zgodnie z zarządzeniem, a zabiegi ochronne zgodnie z p</w:t>
      </w:r>
      <w:r w:rsidRPr="008C1E51">
        <w:rPr>
          <w:rFonts w:cs="Times New Roman"/>
        </w:rPr>
        <w:t xml:space="preserve">rzyjętymi założeniami dotyczącymi ochrony czynnej obszaru </w:t>
      </w:r>
      <w:proofErr w:type="spellStart"/>
      <w:r w:rsidRPr="008C1E51">
        <w:rPr>
          <w:rFonts w:cs="Times New Roman"/>
        </w:rPr>
        <w:t>BdPN</w:t>
      </w:r>
      <w:proofErr w:type="spellEnd"/>
      <w:r w:rsidRPr="008C1E51">
        <w:rPr>
          <w:rFonts w:cs="Times New Roman"/>
        </w:rPr>
        <w:t>, rodzaj, zakres oraz lokalizacja zabiegów odpowiadała zapisom określonym w zarządzeniach</w:t>
      </w:r>
    </w:p>
    <w:p w14:paraId="6F873A6B"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 xml:space="preserve">[Dowód: akt </w:t>
      </w:r>
      <w:r w:rsidRPr="008C1E51">
        <w:rPr>
          <w:rFonts w:cs="Times New Roman"/>
          <w:szCs w:val="20"/>
        </w:rPr>
        <w:t xml:space="preserve">kontroli str. </w:t>
      </w:r>
      <w:r w:rsidRPr="008C1E51">
        <w:rPr>
          <w:rFonts w:eastAsia="Arial Unicode MS" w:cs="Times New Roman"/>
          <w:kern w:val="2"/>
          <w:szCs w:val="20"/>
          <w:lang w:eastAsia="hi-IN" w:bidi="hi-IN"/>
        </w:rPr>
        <w:t>I/351-358</w:t>
      </w:r>
      <w:r w:rsidRPr="008C1E51">
        <w:rPr>
          <w:rFonts w:eastAsia="Times New Roman" w:cs="Times New Roman"/>
          <w:szCs w:val="20"/>
          <w:lang w:eastAsia="pl-PL"/>
        </w:rPr>
        <w:t>]</w:t>
      </w:r>
    </w:p>
    <w:p w14:paraId="31D90B7D" w14:textId="31699F7B"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 xml:space="preserve">Kontrolowane zadanie ochronne zgodnie z zarządzeniem </w:t>
      </w:r>
      <w:proofErr w:type="spellStart"/>
      <w:r w:rsidRPr="008C1E51">
        <w:rPr>
          <w:rFonts w:eastAsia="Times New Roman" w:cs="Times New Roman"/>
          <w:lang w:eastAsia="pl-PL"/>
        </w:rPr>
        <w:t>ws</w:t>
      </w:r>
      <w:proofErr w:type="spellEnd"/>
      <w:r w:rsidRPr="008C1E51">
        <w:rPr>
          <w:rFonts w:eastAsia="Times New Roman" w:cs="Times New Roman"/>
          <w:lang w:eastAsia="pl-PL"/>
        </w:rPr>
        <w:t xml:space="preserve">. zadań ochronnych obowiązujących w badanym okresie, zrealizowano przez: podmioty wyłonione </w:t>
      </w:r>
      <w:r w:rsidRPr="008C1E51">
        <w:rPr>
          <w:rFonts w:eastAsia="Times New Roman" w:cs="Times New Roman"/>
          <w:lang w:eastAsia="pl-PL"/>
        </w:rPr>
        <w:br/>
        <w:t>w postępowaniach o zamówienia publiczne 1065,33 ha co stanowi 31% powierzchni, umowy dzierżawy 2248,94 ha, co stanowi 66% powierzchni, oraz przez pracowników parku 118,50 ha</w:t>
      </w:r>
      <w:r w:rsidR="00D97150">
        <w:rPr>
          <w:rFonts w:eastAsia="Times New Roman" w:cs="Times New Roman"/>
          <w:lang w:eastAsia="pl-PL"/>
        </w:rPr>
        <w:t>,</w:t>
      </w:r>
      <w:r w:rsidRPr="008C1E51">
        <w:rPr>
          <w:rFonts w:eastAsia="Times New Roman" w:cs="Times New Roman"/>
          <w:lang w:eastAsia="pl-PL"/>
        </w:rPr>
        <w:t xml:space="preserve"> co stanowi 3% powierzchni.</w:t>
      </w:r>
    </w:p>
    <w:p w14:paraId="6E9A948C"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w:t>
      </w:r>
      <w:r w:rsidRPr="008C1E51">
        <w:rPr>
          <w:rFonts w:eastAsia="Times New Roman" w:cs="Times New Roman"/>
          <w:lang w:eastAsia="pl-PL"/>
        </w:rPr>
        <w:t>]</w:t>
      </w:r>
    </w:p>
    <w:bookmarkEnd w:id="20"/>
    <w:bookmarkEnd w:id="21"/>
    <w:p w14:paraId="3B41AC68" w14:textId="77777777" w:rsidR="008C1E51" w:rsidRPr="008C1E51" w:rsidRDefault="008C1E51" w:rsidP="008C1E51">
      <w:pPr>
        <w:numPr>
          <w:ilvl w:val="0"/>
          <w:numId w:val="20"/>
        </w:numPr>
        <w:spacing w:before="120" w:after="120" w:line="276" w:lineRule="auto"/>
        <w:ind w:left="426"/>
        <w:rPr>
          <w:rFonts w:eastAsia="Times New Roman" w:cs="Times New Roman"/>
          <w:lang w:eastAsia="pl-PL"/>
        </w:rPr>
      </w:pPr>
      <w:r w:rsidRPr="008C1E51">
        <w:rPr>
          <w:rFonts w:eastAsia="Times New Roman" w:cs="Times New Roman"/>
          <w:lang w:eastAsia="pl-PL"/>
        </w:rPr>
        <w:t xml:space="preserve">Czynna ochrona siedlisk nieleśnych w szczytowej partii Połoniny </w:t>
      </w:r>
      <w:proofErr w:type="spellStart"/>
      <w:r w:rsidRPr="008C1E51">
        <w:rPr>
          <w:rFonts w:eastAsia="Times New Roman" w:cs="Times New Roman"/>
          <w:lang w:eastAsia="pl-PL"/>
        </w:rPr>
        <w:t>Wetlińskiej</w:t>
      </w:r>
      <w:proofErr w:type="spellEnd"/>
      <w:r w:rsidRPr="008C1E51">
        <w:rPr>
          <w:rFonts w:eastAsia="Times New Roman" w:cs="Times New Roman"/>
          <w:lang w:eastAsia="pl-PL"/>
        </w:rPr>
        <w:t>:</w:t>
      </w:r>
    </w:p>
    <w:p w14:paraId="617FDAD6" w14:textId="77777777" w:rsidR="008C1E51" w:rsidRPr="008C1E51" w:rsidRDefault="008C1E51" w:rsidP="008C1E51">
      <w:pPr>
        <w:numPr>
          <w:ilvl w:val="1"/>
          <w:numId w:val="20"/>
        </w:numPr>
        <w:spacing w:before="120" w:after="120" w:line="276" w:lineRule="auto"/>
        <w:ind w:left="851"/>
        <w:rPr>
          <w:rFonts w:eastAsia="Times New Roman" w:cs="Times New Roman"/>
          <w:lang w:eastAsia="pl-PL"/>
        </w:rPr>
      </w:pPr>
      <w:r w:rsidRPr="008C1E51">
        <w:rPr>
          <w:rFonts w:eastAsia="Times New Roman" w:cs="Times New Roman"/>
          <w:lang w:eastAsia="pl-PL"/>
        </w:rPr>
        <w:t xml:space="preserve">wypas i koszenie wybranych płatów zbiorowisk </w:t>
      </w:r>
      <w:proofErr w:type="spellStart"/>
      <w:r w:rsidRPr="008C1E51">
        <w:rPr>
          <w:rFonts w:eastAsia="Times New Roman" w:cs="Times New Roman"/>
          <w:lang w:eastAsia="pl-PL"/>
        </w:rPr>
        <w:t>połoninowych</w:t>
      </w:r>
      <w:proofErr w:type="spellEnd"/>
      <w:r w:rsidRPr="008C1E51">
        <w:rPr>
          <w:rFonts w:eastAsia="Times New Roman" w:cs="Times New Roman"/>
          <w:lang w:eastAsia="pl-PL"/>
        </w:rPr>
        <w:t xml:space="preserve"> obejmujących siedliska ziołorośli górskich (</w:t>
      </w:r>
      <w:proofErr w:type="spellStart"/>
      <w:r w:rsidRPr="008C1E51">
        <w:rPr>
          <w:rFonts w:eastAsia="Times New Roman" w:cs="Times New Roman"/>
          <w:lang w:eastAsia="pl-PL"/>
        </w:rPr>
        <w:t>Adenostylion</w:t>
      </w:r>
      <w:proofErr w:type="spellEnd"/>
      <w:r w:rsidRPr="008C1E51">
        <w:rPr>
          <w:rFonts w:eastAsia="Times New Roman" w:cs="Times New Roman"/>
          <w:lang w:eastAsia="pl-PL"/>
        </w:rPr>
        <w:t xml:space="preserve"> </w:t>
      </w:r>
      <w:proofErr w:type="spellStart"/>
      <w:r w:rsidRPr="008C1E51">
        <w:rPr>
          <w:rFonts w:eastAsia="Times New Roman" w:cs="Times New Roman"/>
          <w:lang w:eastAsia="pl-PL"/>
        </w:rPr>
        <w:t>alliariae</w:t>
      </w:r>
      <w:proofErr w:type="spellEnd"/>
      <w:r w:rsidRPr="008C1E51">
        <w:rPr>
          <w:rFonts w:eastAsia="Times New Roman" w:cs="Times New Roman"/>
          <w:lang w:eastAsia="pl-PL"/>
        </w:rPr>
        <w:t>) – ekosystem nieleśny lądowy. Zadanie zaplanowano do wykonania na powierzchni 88 ha rocznie.</w:t>
      </w:r>
    </w:p>
    <w:p w14:paraId="00FB2168" w14:textId="27042587" w:rsidR="008C1E51" w:rsidRPr="008C1E51" w:rsidRDefault="008C1E51" w:rsidP="008C1E51">
      <w:pPr>
        <w:spacing w:before="120" w:after="120" w:line="276" w:lineRule="auto"/>
        <w:rPr>
          <w:rFonts w:eastAsia="Times New Roman" w:cs="Times New Roman"/>
          <w:lang w:eastAsia="pl-PL"/>
        </w:rPr>
      </w:pPr>
      <w:bookmarkStart w:id="22" w:name="_Hlk151724193"/>
      <w:bookmarkStart w:id="23" w:name="_Hlk151724175"/>
      <w:bookmarkStart w:id="24" w:name="_Hlk129678120"/>
      <w:r w:rsidRPr="008C1E51">
        <w:rPr>
          <w:rFonts w:cs="Times New Roman"/>
        </w:rPr>
        <w:t>W wyniku kontroli stwierdzono, iż zakres powierzchniowy zadań ochronnych opisanych</w:t>
      </w:r>
      <w:r w:rsidRPr="008C1E51">
        <w:rPr>
          <w:rFonts w:cs="Times New Roman"/>
        </w:rPr>
        <w:br/>
        <w:t>w zarządzeniu nie był wykonany w całości</w:t>
      </w:r>
      <w:r w:rsidRPr="008C1E51">
        <w:t xml:space="preserve">: przedmiotowe </w:t>
      </w:r>
      <w:r w:rsidR="00211832" w:rsidRPr="008C1E51">
        <w:t>zadanie wykonano</w:t>
      </w:r>
      <w:r w:rsidRPr="008C1E51">
        <w:t xml:space="preserve"> w roku 2019 r. na 8 ha, w 2020 r. na 11 ha, a w roku 2021 wykonano na 3 ha, </w:t>
      </w:r>
      <w:r w:rsidR="004F6782">
        <w:rPr>
          <w:rFonts w:eastAsia="Times New Roman" w:cs="Times New Roman"/>
          <w:lang w:eastAsia="pl-PL"/>
        </w:rPr>
        <w:t xml:space="preserve">co daje łącznie </w:t>
      </w:r>
      <w:r w:rsidRPr="008C1E51">
        <w:rPr>
          <w:rFonts w:eastAsia="Times New Roman" w:cs="Times New Roman"/>
          <w:lang w:eastAsia="pl-PL"/>
        </w:rPr>
        <w:t>22 ha. Wykonano zadanie na 8% areału przewidzianego w zarządzeniu.</w:t>
      </w:r>
      <w:bookmarkEnd w:id="22"/>
    </w:p>
    <w:p w14:paraId="3D3D4835" w14:textId="5EECF159" w:rsidR="008C1E51" w:rsidRPr="008C1E51" w:rsidRDefault="008C1E51" w:rsidP="008C1E51">
      <w:pPr>
        <w:spacing w:before="120" w:after="120" w:line="276" w:lineRule="auto"/>
        <w:rPr>
          <w:rFonts w:eastAsia="Times New Roman" w:cs="Times New Roman"/>
          <w:lang w:eastAsia="pl-PL"/>
        </w:rPr>
      </w:pPr>
      <w:bookmarkStart w:id="25" w:name="_Hlk151724255"/>
      <w:bookmarkEnd w:id="23"/>
      <w:r w:rsidRPr="004F6782">
        <w:rPr>
          <w:rFonts w:eastAsia="Times New Roman" w:cs="Times New Roman"/>
          <w:lang w:eastAsia="pl-PL"/>
        </w:rPr>
        <w:t xml:space="preserve">Kontrolowane zadanie ochronne zgodnie z zarządzeniem </w:t>
      </w:r>
      <w:proofErr w:type="spellStart"/>
      <w:r w:rsidRPr="004F6782">
        <w:rPr>
          <w:rFonts w:eastAsia="Times New Roman" w:cs="Times New Roman"/>
          <w:lang w:eastAsia="pl-PL"/>
        </w:rPr>
        <w:t>ws</w:t>
      </w:r>
      <w:proofErr w:type="spellEnd"/>
      <w:r w:rsidRPr="004F6782">
        <w:rPr>
          <w:rFonts w:eastAsia="Times New Roman" w:cs="Times New Roman"/>
          <w:lang w:eastAsia="pl-PL"/>
        </w:rPr>
        <w:t>. zadań ochronnych obowiązujących w badanym okresie, wykonywane były przez podmioty wyłonione</w:t>
      </w:r>
      <w:r w:rsidRPr="004F6782">
        <w:rPr>
          <w:rFonts w:eastAsia="Times New Roman" w:cs="Times New Roman"/>
          <w:lang w:eastAsia="pl-PL"/>
        </w:rPr>
        <w:br/>
      </w:r>
      <w:r w:rsidRPr="004F6782">
        <w:rPr>
          <w:rFonts w:eastAsia="Times New Roman" w:cs="Times New Roman"/>
          <w:lang w:eastAsia="pl-PL"/>
        </w:rPr>
        <w:lastRenderedPageBreak/>
        <w:t>w postępowaniach o zamówienia publiczne (</w:t>
      </w:r>
      <w:r w:rsidR="004F6782">
        <w:rPr>
          <w:rFonts w:eastAsia="Times New Roman" w:cs="Times New Roman"/>
          <w:lang w:eastAsia="pl-PL"/>
        </w:rPr>
        <w:t>na powierzchni</w:t>
      </w:r>
      <w:r w:rsidR="004F6782" w:rsidRPr="004F6782">
        <w:rPr>
          <w:rFonts w:eastAsia="Times New Roman" w:cs="Times New Roman"/>
          <w:lang w:eastAsia="pl-PL"/>
        </w:rPr>
        <w:t xml:space="preserve"> </w:t>
      </w:r>
      <w:r w:rsidRPr="004F6782">
        <w:rPr>
          <w:rFonts w:eastAsia="Times New Roman" w:cs="Times New Roman"/>
          <w:lang w:eastAsia="pl-PL"/>
        </w:rPr>
        <w:t>6 ha)</w:t>
      </w:r>
      <w:r w:rsidR="004F6782">
        <w:rPr>
          <w:rFonts w:eastAsia="Times New Roman" w:cs="Times New Roman"/>
          <w:lang w:eastAsia="pl-PL"/>
        </w:rPr>
        <w:t xml:space="preserve"> oraz</w:t>
      </w:r>
      <w:r w:rsidRPr="004F6782">
        <w:rPr>
          <w:rFonts w:eastAsia="Times New Roman" w:cs="Times New Roman"/>
          <w:lang w:eastAsia="pl-PL"/>
        </w:rPr>
        <w:t xml:space="preserve"> umowy dzierżawy (</w:t>
      </w:r>
      <w:r w:rsidR="004F6782">
        <w:rPr>
          <w:rFonts w:eastAsia="Times New Roman" w:cs="Times New Roman"/>
          <w:lang w:eastAsia="pl-PL"/>
        </w:rPr>
        <w:t>na powierzchni</w:t>
      </w:r>
      <w:r w:rsidR="004F6782" w:rsidRPr="004F6782">
        <w:rPr>
          <w:rFonts w:eastAsia="Times New Roman" w:cs="Times New Roman"/>
          <w:lang w:eastAsia="pl-PL"/>
        </w:rPr>
        <w:t xml:space="preserve"> </w:t>
      </w:r>
      <w:r w:rsidR="004F6782">
        <w:rPr>
          <w:rFonts w:eastAsia="Times New Roman" w:cs="Times New Roman"/>
          <w:lang w:eastAsia="pl-PL"/>
        </w:rPr>
        <w:t>16</w:t>
      </w:r>
      <w:r w:rsidR="004F6782" w:rsidRPr="004F6782">
        <w:rPr>
          <w:rFonts w:eastAsia="Times New Roman" w:cs="Times New Roman"/>
          <w:lang w:eastAsia="pl-PL"/>
        </w:rPr>
        <w:t xml:space="preserve"> </w:t>
      </w:r>
      <w:r w:rsidRPr="004F6782">
        <w:rPr>
          <w:rFonts w:eastAsia="Times New Roman" w:cs="Times New Roman"/>
          <w:lang w:eastAsia="pl-PL"/>
        </w:rPr>
        <w:t>ha).</w:t>
      </w:r>
    </w:p>
    <w:bookmarkEnd w:id="25"/>
    <w:p w14:paraId="7307E049"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w:t>
      </w:r>
      <w:r w:rsidRPr="008C1E51">
        <w:rPr>
          <w:rFonts w:eastAsia="Times New Roman" w:cs="Times New Roman"/>
          <w:lang w:eastAsia="pl-PL"/>
        </w:rPr>
        <w:t>]</w:t>
      </w:r>
    </w:p>
    <w:bookmarkEnd w:id="24"/>
    <w:p w14:paraId="10343D52" w14:textId="77777777" w:rsidR="008C1E51" w:rsidRPr="008C1E51" w:rsidRDefault="008C1E51" w:rsidP="008C1E51">
      <w:pPr>
        <w:numPr>
          <w:ilvl w:val="1"/>
          <w:numId w:val="20"/>
        </w:numPr>
        <w:spacing w:before="120" w:after="120" w:line="276" w:lineRule="auto"/>
        <w:ind w:left="851"/>
        <w:rPr>
          <w:rFonts w:eastAsia="Times New Roman" w:cs="Times New Roman"/>
          <w:lang w:eastAsia="pl-PL"/>
        </w:rPr>
      </w:pPr>
      <w:r w:rsidRPr="008C1E51">
        <w:rPr>
          <w:rFonts w:eastAsia="Times New Roman" w:cs="Times New Roman"/>
          <w:lang w:eastAsia="pl-PL"/>
        </w:rPr>
        <w:t xml:space="preserve">urządzanie infrastruktury pasterskiej - bacówka, poidła, koszary, fladry </w:t>
      </w:r>
      <w:r w:rsidRPr="008C1E51">
        <w:rPr>
          <w:rFonts w:eastAsia="Times New Roman" w:cs="Times New Roman"/>
          <w:lang w:eastAsia="pl-PL"/>
        </w:rPr>
        <w:br/>
        <w:t>i ogrodzenia elektryczne – ekosystem nieleśny lądowy. Zadanie miało być wykonane na powierzchni 88 ha rocznie.</w:t>
      </w:r>
    </w:p>
    <w:p w14:paraId="3F211C60" w14:textId="5E3E9813" w:rsidR="008C1E51" w:rsidRDefault="008C1E51" w:rsidP="00062669">
      <w:pPr>
        <w:rPr>
          <w:rFonts w:cs="Times New Roman"/>
        </w:rPr>
      </w:pPr>
      <w:bookmarkStart w:id="26" w:name="_Hlk151724370"/>
      <w:bookmarkStart w:id="27" w:name="_Hlk129684122"/>
      <w:r w:rsidRPr="00062669">
        <w:rPr>
          <w:rFonts w:cs="Times New Roman"/>
        </w:rPr>
        <w:t xml:space="preserve">W wyniku oględzin stwierdzono, iż zakres zadania ochronnego opisany w zarządzeniu </w:t>
      </w:r>
      <w:proofErr w:type="spellStart"/>
      <w:r w:rsidRPr="00062669">
        <w:rPr>
          <w:rFonts w:cs="Times New Roman"/>
        </w:rPr>
        <w:t>ws</w:t>
      </w:r>
      <w:proofErr w:type="spellEnd"/>
      <w:r w:rsidRPr="00062669">
        <w:rPr>
          <w:rFonts w:cs="Times New Roman"/>
        </w:rPr>
        <w:t>. zadań ochronnych nie został w pełni wykonany.</w:t>
      </w:r>
      <w:r w:rsidRPr="00062669">
        <w:rPr>
          <w:rFonts w:eastAsia="Times New Roman" w:cs="Times New Roman"/>
          <w:lang w:eastAsia="pl-PL"/>
        </w:rPr>
        <w:t xml:space="preserve"> Jedynie w 2019 r. wykonano zadanie na powierzchni 10 ha z 88 ha rocznie.</w:t>
      </w:r>
      <w:r w:rsidR="00F37C90" w:rsidRPr="00F37C90">
        <w:rPr>
          <w:rFonts w:eastAsia="Times New Roman" w:cs="Times New Roman"/>
          <w:lang w:eastAsia="pl-PL"/>
        </w:rPr>
        <w:t xml:space="preserve"> </w:t>
      </w:r>
      <w:r w:rsidR="00F37C90" w:rsidRPr="008C1E51">
        <w:rPr>
          <w:rFonts w:eastAsia="Times New Roman" w:cs="Times New Roman"/>
          <w:lang w:eastAsia="pl-PL"/>
        </w:rPr>
        <w:t xml:space="preserve">Wykonano zadanie na </w:t>
      </w:r>
      <w:r w:rsidR="00F37C90">
        <w:rPr>
          <w:rFonts w:eastAsia="Times New Roman" w:cs="Times New Roman"/>
          <w:lang w:eastAsia="pl-PL"/>
        </w:rPr>
        <w:t>2</w:t>
      </w:r>
      <w:r w:rsidR="00F37C90" w:rsidRPr="008C1E51">
        <w:rPr>
          <w:rFonts w:eastAsia="Times New Roman" w:cs="Times New Roman"/>
          <w:lang w:eastAsia="pl-PL"/>
        </w:rPr>
        <w:t>% areału przewidzianego w zarządzeniu.</w:t>
      </w:r>
    </w:p>
    <w:bookmarkEnd w:id="26"/>
    <w:p w14:paraId="744A6171" w14:textId="77777777" w:rsidR="008C1E51" w:rsidRPr="008C1E51" w:rsidRDefault="008C1E51" w:rsidP="00D97150">
      <w:pPr>
        <w:jc w:val="right"/>
        <w:rPr>
          <w:rFonts w:eastAsia="Times New Roman"/>
          <w:lang w:eastAsia="pl-PL"/>
        </w:rPr>
      </w:pPr>
      <w:r w:rsidRPr="008C1E51">
        <w:rPr>
          <w:rFonts w:eastAsia="Times New Roman"/>
          <w:lang w:eastAsia="pl-PL"/>
        </w:rPr>
        <w:t xml:space="preserve">[Dowód: akt </w:t>
      </w:r>
      <w:r w:rsidRPr="008C1E51">
        <w:t>kontroli str. I/73-76</w:t>
      </w:r>
      <w:r w:rsidRPr="008C1E51">
        <w:rPr>
          <w:rFonts w:eastAsia="Times New Roman"/>
          <w:lang w:eastAsia="pl-PL"/>
        </w:rPr>
        <w:t>]</w:t>
      </w:r>
    </w:p>
    <w:p w14:paraId="648932B2"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W wyniku oględzin wybranych powierzchni</w:t>
      </w:r>
      <w:r w:rsidRPr="008C1E51">
        <w:rPr>
          <w:rFonts w:eastAsia="Times New Roman" w:cs="Times New Roman"/>
          <w:vertAlign w:val="superscript"/>
          <w:lang w:eastAsia="pl-PL"/>
        </w:rPr>
        <w:footnoteReference w:id="29"/>
      </w:r>
      <w:r w:rsidRPr="008C1E51">
        <w:rPr>
          <w:rFonts w:eastAsia="Times New Roman" w:cs="Times New Roman"/>
          <w:lang w:eastAsia="pl-PL"/>
        </w:rPr>
        <w:t xml:space="preserve"> w ramach zadań wybranych do próby stwierdzono prawidłowe wykonanie zadania ochronnego. </w:t>
      </w:r>
    </w:p>
    <w:p w14:paraId="7E6AC03C"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 xml:space="preserve">[Dowód: akt </w:t>
      </w:r>
      <w:r w:rsidRPr="008C1E51">
        <w:rPr>
          <w:rFonts w:cs="Times New Roman"/>
          <w:szCs w:val="20"/>
        </w:rPr>
        <w:t xml:space="preserve">kontroli str. </w:t>
      </w:r>
      <w:r w:rsidRPr="008C1E51">
        <w:rPr>
          <w:rFonts w:eastAsia="Arial Unicode MS" w:cs="Times New Roman"/>
          <w:kern w:val="2"/>
          <w:szCs w:val="20"/>
          <w:lang w:eastAsia="hi-IN" w:bidi="hi-IN"/>
        </w:rPr>
        <w:t>I/351-358</w:t>
      </w:r>
      <w:r w:rsidRPr="008C1E51">
        <w:rPr>
          <w:rFonts w:eastAsia="Times New Roman" w:cs="Times New Roman"/>
          <w:szCs w:val="20"/>
          <w:lang w:eastAsia="pl-PL"/>
        </w:rPr>
        <w:t>]</w:t>
      </w:r>
    </w:p>
    <w:bookmarkEnd w:id="27"/>
    <w:p w14:paraId="605DBB60" w14:textId="06EECBA4" w:rsidR="008C1E51" w:rsidRPr="008C1E51" w:rsidRDefault="008C1E51" w:rsidP="008C1E51">
      <w:pPr>
        <w:spacing w:before="120" w:after="120" w:line="276" w:lineRule="auto"/>
        <w:rPr>
          <w:rFonts w:cs="Times New Roman"/>
        </w:rPr>
      </w:pPr>
      <w:r w:rsidRPr="008C1E51">
        <w:rPr>
          <w:rFonts w:cs="Times New Roman"/>
        </w:rPr>
        <w:t>W sprawie niewykonania zadań ochronnych Dyrektor Parku wyjaśnił</w:t>
      </w:r>
      <w:r w:rsidRPr="008C1E51">
        <w:rPr>
          <w:rFonts w:cs="Times New Roman"/>
          <w:vertAlign w:val="superscript"/>
        </w:rPr>
        <w:footnoteReference w:id="30"/>
      </w:r>
      <w:r w:rsidRPr="008C1E51">
        <w:rPr>
          <w:rFonts w:cs="Times New Roman"/>
        </w:rPr>
        <w:t xml:space="preserve">, że działania ochronne na tej wysokości i po długim okresie bez użytkowania (częściowe zakrzewienie, gruby wojłok martwej roślinności nieleśnej) wymagało nakładu znacznych środków finansowych. Park podejmował działania w celu uzyskania dofinansowania na wykonanie tego zadania z różnych źródeł zewnętrznych, niemniej projekt nie uzyskał dofinansowania m.in. ze względu na nieuzyskanie wymaganej liczby punktów w konkursie. Udało się jedynie pozyskać środki z Urzędu Marszałkowskiego na wybudowanie bacówki jesienią 2019 r. Na skutek </w:t>
      </w:r>
      <w:r w:rsidR="00211832" w:rsidRPr="008C1E51">
        <w:rPr>
          <w:rFonts w:cs="Times New Roman"/>
        </w:rPr>
        <w:t>nieuzyskania</w:t>
      </w:r>
      <w:r w:rsidRPr="008C1E51">
        <w:rPr>
          <w:rFonts w:cs="Times New Roman"/>
        </w:rPr>
        <w:t xml:space="preserve"> dofinansowania zewnętrznego, podjęto próbę alternatywnej realizacji projektu w ograniczonym </w:t>
      </w:r>
      <w:r w:rsidR="00211832" w:rsidRPr="008C1E51">
        <w:rPr>
          <w:rFonts w:cs="Times New Roman"/>
        </w:rPr>
        <w:t>zakresie poprzez</w:t>
      </w:r>
      <w:r w:rsidRPr="008C1E51">
        <w:rPr>
          <w:rFonts w:cs="Times New Roman"/>
        </w:rPr>
        <w:t xml:space="preserve"> dzierżawę. Do wydzierżawienia przeznaczono część działki o powierzchni 8 ha, przy </w:t>
      </w:r>
      <w:r w:rsidR="00211832" w:rsidRPr="008C1E51">
        <w:rPr>
          <w:rFonts w:cs="Times New Roman"/>
        </w:rPr>
        <w:t>bacówce,</w:t>
      </w:r>
      <w:r w:rsidRPr="008C1E51">
        <w:rPr>
          <w:rFonts w:cs="Times New Roman"/>
        </w:rPr>
        <w:t xml:space="preserve"> gdzie porost roślinności rokował możliwość prowadzenia wypasu bez wcześniejszego przygotowania. Po dwóch unieważnionych przetargach z powodu braku ofert, w wyniku przeprowadzonych rokowań w 2020 r. popisano umowę na wypas owiec na 8 ha gruntu przez rolnika z </w:t>
      </w:r>
      <w:r w:rsidR="00062669" w:rsidRPr="00062669">
        <w:rPr>
          <w:rFonts w:cs="Times New Roman"/>
        </w:rPr>
        <w:t>Wetliny</w:t>
      </w:r>
      <w:r w:rsidRPr="008C1E51">
        <w:rPr>
          <w:rFonts w:cs="Times New Roman"/>
        </w:rPr>
        <w:t xml:space="preserve">. Wypas był realizowany w latach 2020 i 2021. Jednak bez wstępnego przygotowania połoniny do użytkowania pastwiskowego efekt wypasu był ograniczony - porost traw </w:t>
      </w:r>
      <w:proofErr w:type="spellStart"/>
      <w:r w:rsidRPr="008C1E51">
        <w:rPr>
          <w:rFonts w:cs="Times New Roman"/>
        </w:rPr>
        <w:t>połoninowych</w:t>
      </w:r>
      <w:proofErr w:type="spellEnd"/>
      <w:r w:rsidRPr="008C1E51">
        <w:rPr>
          <w:rFonts w:cs="Times New Roman"/>
        </w:rPr>
        <w:t xml:space="preserve"> nie dostarczał trawy odpowiedniej strawności i owce wymagały dokarmiania paszami treściwymi. Bez znacznych nakładów na wstępne przygotowanie powierzchni przez wykoszenie i usunięcie wojłoku resztek roślinności kontynuacje wypasu owiec w tej formie uznano za niecelowe. Park nie zrezygnował całkowicie z planowanych działań, a ich wielkość dostosował do aktualnych możliwości finansowych oraz niewielkiego zainteresowania dzierżawą gruntów.</w:t>
      </w:r>
    </w:p>
    <w:p w14:paraId="06EA3C34"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I/319-350</w:t>
      </w:r>
      <w:r w:rsidRPr="008C1E51">
        <w:rPr>
          <w:rFonts w:eastAsia="Times New Roman" w:cs="Times New Roman"/>
          <w:lang w:eastAsia="pl-PL"/>
        </w:rPr>
        <w:t>]</w:t>
      </w:r>
    </w:p>
    <w:p w14:paraId="631440B3" w14:textId="77777777" w:rsidR="008C1E51" w:rsidRPr="008C1E51" w:rsidRDefault="008C1E51" w:rsidP="008C1E51">
      <w:pPr>
        <w:spacing w:before="120" w:after="120" w:line="276" w:lineRule="auto"/>
        <w:rPr>
          <w:rFonts w:eastAsia="Times New Roman" w:cs="Times New Roman"/>
          <w:b/>
          <w:bCs/>
          <w:color w:val="FF0000"/>
          <w:lang w:eastAsia="pl-PL"/>
        </w:rPr>
      </w:pPr>
      <w:r w:rsidRPr="008C1E51">
        <w:rPr>
          <w:rFonts w:cs="Times New Roman"/>
        </w:rPr>
        <w:lastRenderedPageBreak/>
        <w:t xml:space="preserve">Kontrolujący zwraca uwagę, że w przypadku pojawienia się obiektywnych przyczyn braku możliwości wykonania tego zadania Park powinien wystąpić do ministra właściwego do spraw środowiska o zmianę zarządzenia </w:t>
      </w:r>
      <w:proofErr w:type="spellStart"/>
      <w:r w:rsidRPr="008C1E51">
        <w:rPr>
          <w:rFonts w:cs="Times New Roman"/>
        </w:rPr>
        <w:t>ws</w:t>
      </w:r>
      <w:proofErr w:type="spellEnd"/>
      <w:r w:rsidRPr="008C1E51">
        <w:rPr>
          <w:rFonts w:cs="Times New Roman"/>
        </w:rPr>
        <w:t>. zadań ochronnych.</w:t>
      </w:r>
    </w:p>
    <w:p w14:paraId="1B02FA82"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Zadania ochronne w ekosystemach nieleśnych realizowane były w ramach umów dzierżawy gruntów oraz umów o udzielenie zamówień publicznych.</w:t>
      </w:r>
    </w:p>
    <w:p w14:paraId="5C50FAC8" w14:textId="4090A58D" w:rsidR="008C1E51" w:rsidRPr="008C1E51" w:rsidRDefault="008C1E51" w:rsidP="008C1E51">
      <w:pPr>
        <w:spacing w:before="120" w:after="120" w:line="276" w:lineRule="auto"/>
        <w:rPr>
          <w:rFonts w:cs="Times New Roman"/>
        </w:rPr>
      </w:pPr>
      <w:bookmarkStart w:id="28" w:name="_Hlk129689286"/>
      <w:r w:rsidRPr="008C1E51">
        <w:rPr>
          <w:rFonts w:cs="Times New Roman"/>
        </w:rPr>
        <w:t>W okresie objętym kontrolą obowiązywało 18 umów dzierżawy oraz 1 umowa użyczenia zawarte w latach 2014-2021</w:t>
      </w:r>
      <w:r w:rsidRPr="008C1E51">
        <w:rPr>
          <w:rFonts w:cs="Times New Roman"/>
          <w:vertAlign w:val="superscript"/>
        </w:rPr>
        <w:footnoteReference w:id="31"/>
      </w:r>
      <w:r w:rsidRPr="008C1E51">
        <w:rPr>
          <w:rFonts w:cs="Times New Roman"/>
        </w:rPr>
        <w:t xml:space="preserve">. Umowy dotyczyły wykonywania zadań </w:t>
      </w:r>
      <w:bookmarkStart w:id="29" w:name="_Hlk130558227"/>
      <w:r w:rsidRPr="008C1E51">
        <w:rPr>
          <w:rFonts w:cs="Times New Roman"/>
        </w:rPr>
        <w:t>ochronnych polegających na mechanicznym koszeniu wraz ze zbiorem biomasy i/</w:t>
      </w:r>
      <w:r w:rsidR="00211832" w:rsidRPr="008C1E51">
        <w:rPr>
          <w:rFonts w:cs="Times New Roman"/>
        </w:rPr>
        <w:t>lub wypasu</w:t>
      </w:r>
      <w:r w:rsidRPr="008C1E51">
        <w:rPr>
          <w:rFonts w:cs="Times New Roman"/>
        </w:rPr>
        <w:t>. Kontroli poddano 16 umów dzierżawy.</w:t>
      </w:r>
    </w:p>
    <w:p w14:paraId="29B1B548" w14:textId="06D24780" w:rsidR="008C1E51" w:rsidRPr="008C1E51" w:rsidRDefault="008C1E51" w:rsidP="008C1E51">
      <w:pPr>
        <w:spacing w:before="120" w:after="120" w:line="276" w:lineRule="auto"/>
        <w:rPr>
          <w:rFonts w:cs="Times New Roman"/>
        </w:rPr>
      </w:pPr>
      <w:bookmarkStart w:id="30" w:name="_Hlk120787467"/>
      <w:bookmarkEnd w:id="28"/>
      <w:r w:rsidRPr="008C1E51">
        <w:rPr>
          <w:rFonts w:cs="Times New Roman"/>
        </w:rPr>
        <w:t xml:space="preserve">Każda z umów </w:t>
      </w:r>
      <w:r w:rsidR="00211832" w:rsidRPr="008C1E51">
        <w:rPr>
          <w:rFonts w:cs="Times New Roman"/>
        </w:rPr>
        <w:t>dzierżaw zawierała</w:t>
      </w:r>
      <w:r w:rsidRPr="008C1E51">
        <w:rPr>
          <w:rFonts w:cs="Times New Roman"/>
        </w:rPr>
        <w:t xml:space="preserve"> termin obowiązywania, odniesienie do szczegółowego sposobu użytkowania działek (stanowił on załącznik do umowy), zasady kontroli dzierżawców w trakcie obowiązywania umowy, zapisy o karach umownych, termin uiszczania opłat (czynszów dzierżawnych).</w:t>
      </w:r>
    </w:p>
    <w:p w14:paraId="218450D7" w14:textId="77777777" w:rsidR="008C1E51" w:rsidRPr="008C1E51" w:rsidRDefault="008C1E51" w:rsidP="008C1E51">
      <w:pPr>
        <w:spacing w:before="120" w:after="120" w:line="276" w:lineRule="auto"/>
        <w:rPr>
          <w:rFonts w:cs="Times New Roman"/>
        </w:rPr>
      </w:pPr>
      <w:bookmarkStart w:id="31" w:name="_Hlk125458084"/>
      <w:bookmarkEnd w:id="29"/>
      <w:r w:rsidRPr="008C1E51">
        <w:rPr>
          <w:rFonts w:cs="Times New Roman"/>
        </w:rPr>
        <w:t>Ustalono, że wszystkie grunty będące przedmiotem umów dzierżawy</w:t>
      </w:r>
      <w:r w:rsidRPr="008C1E51">
        <w:rPr>
          <w:rFonts w:cs="Times New Roman"/>
          <w:vertAlign w:val="superscript"/>
        </w:rPr>
        <w:footnoteReference w:id="32"/>
      </w:r>
      <w:r w:rsidRPr="008C1E51">
        <w:rPr>
          <w:rFonts w:cs="Times New Roman"/>
        </w:rPr>
        <w:t xml:space="preserve"> obowiązujących </w:t>
      </w:r>
      <w:r w:rsidRPr="008C1E51">
        <w:rPr>
          <w:rFonts w:cs="Times New Roman"/>
        </w:rPr>
        <w:br/>
        <w:t xml:space="preserve">w okresie objętym kontrolą zostały przekazane dzierżawcom, co zostało potwierdzone protokołami przekazania. Szczegółowe badanie protokołów przekazania potwierdziło ich zgodność z zapisami umów co do terminów przekazania, powierzchni areałów oraz numeracji działek. Dzierżawcy potwierdzali zamiar przystąpienia do prac związanych </w:t>
      </w:r>
      <w:r w:rsidRPr="008C1E51">
        <w:rPr>
          <w:rFonts w:cs="Times New Roman"/>
        </w:rPr>
        <w:br/>
        <w:t xml:space="preserve">z realizacją zapisów umów zgodnie z zapisami umów. Dzierżawcy informowali Park </w:t>
      </w:r>
      <w:r w:rsidRPr="008C1E51">
        <w:rPr>
          <w:rFonts w:cs="Times New Roman"/>
        </w:rPr>
        <w:br/>
        <w:t xml:space="preserve">o zamiarze przystąpienia do prac. Nie stwierdzono uchybień ani nieprawidłowości. </w:t>
      </w:r>
    </w:p>
    <w:p w14:paraId="6C1E1F18" w14:textId="77777777" w:rsidR="008C1E51" w:rsidRPr="008C1E51" w:rsidRDefault="008C1E51" w:rsidP="008C1E51">
      <w:pPr>
        <w:spacing w:before="120" w:after="120" w:line="276" w:lineRule="auto"/>
        <w:rPr>
          <w:rFonts w:cs="Times New Roman"/>
        </w:rPr>
      </w:pPr>
      <w:r w:rsidRPr="008C1E51">
        <w:rPr>
          <w:rFonts w:cs="Times New Roman"/>
        </w:rPr>
        <w:t>Służby Parku Narodowego odebrały wszystkie prace w ramach umów dzierżaw. Poddano analizie 39 protokołów odbioru prac w terenie będących podstawą określenia zgodności zrealizowanych prac z warunkami umów. Stwierdzono, że 5</w:t>
      </w:r>
      <w:r w:rsidRPr="008C1E51">
        <w:rPr>
          <w:rFonts w:cs="Times New Roman"/>
          <w:vertAlign w:val="superscript"/>
        </w:rPr>
        <w:footnoteReference w:id="33"/>
      </w:r>
      <w:r w:rsidRPr="008C1E51">
        <w:rPr>
          <w:rFonts w:cs="Times New Roman"/>
        </w:rPr>
        <w:t xml:space="preserve"> z 39 protokołów odbioru prac </w:t>
      </w:r>
      <w:r w:rsidRPr="008C1E51">
        <w:rPr>
          <w:rFonts w:cs="Times New Roman"/>
        </w:rPr>
        <w:br/>
        <w:t>w terenie miało uchybienia formalne w postaci braku daty ich sporządzenia. W przypadku 14</w:t>
      </w:r>
      <w:r w:rsidRPr="008C1E51">
        <w:rPr>
          <w:rFonts w:cs="Times New Roman"/>
          <w:vertAlign w:val="superscript"/>
        </w:rPr>
        <w:footnoteReference w:id="34"/>
      </w:r>
      <w:r w:rsidRPr="008C1E51">
        <w:rPr>
          <w:rFonts w:cs="Times New Roman"/>
        </w:rPr>
        <w:t xml:space="preserve"> z 39 protokołów odbioru na dokumencie stwierdzono brak podpisu dzierżawcy. Uchybienia nie miały wpływu na przebieg wykonywanych czynności, rozliczenie i ich przyrodniczy efekt końcowy.</w:t>
      </w:r>
    </w:p>
    <w:p w14:paraId="5A9BD780" w14:textId="77777777" w:rsidR="008C1E51" w:rsidRPr="008C1E51" w:rsidRDefault="008C1E51" w:rsidP="008C1E51">
      <w:pPr>
        <w:spacing w:before="120" w:after="120" w:line="276" w:lineRule="auto"/>
        <w:rPr>
          <w:rFonts w:cs="Times New Roman"/>
        </w:rPr>
      </w:pPr>
      <w:r w:rsidRPr="008C1E51">
        <w:rPr>
          <w:rFonts w:cs="Times New Roman"/>
        </w:rPr>
        <w:t>W kontrolowanym okresie zakończyły się 4 umowy dzierżawy dla których sporządzono protokoły zdawczo-odbiorcze, potwierdzające zwrot przedmiotu dzierżawy</w:t>
      </w:r>
      <w:r w:rsidRPr="008C1E51">
        <w:rPr>
          <w:rFonts w:cs="Times New Roman"/>
        </w:rPr>
        <w:br/>
        <w:t xml:space="preserve">w niepogorszonym stanie do zasobu </w:t>
      </w:r>
      <w:proofErr w:type="spellStart"/>
      <w:r w:rsidRPr="008C1E51">
        <w:rPr>
          <w:rFonts w:cs="Times New Roman"/>
        </w:rPr>
        <w:t>BdPN</w:t>
      </w:r>
      <w:proofErr w:type="spellEnd"/>
      <w:r w:rsidRPr="008C1E51">
        <w:rPr>
          <w:rFonts w:cs="Times New Roman"/>
        </w:rPr>
        <w:t>.</w:t>
      </w:r>
    </w:p>
    <w:p w14:paraId="27A7260A" w14:textId="77777777" w:rsidR="008C1E51" w:rsidRPr="008C1E51" w:rsidRDefault="008C1E51" w:rsidP="008C1E51">
      <w:pPr>
        <w:spacing w:before="120" w:after="120" w:line="276" w:lineRule="auto"/>
        <w:rPr>
          <w:rFonts w:cs="Times New Roman"/>
        </w:rPr>
      </w:pPr>
      <w:r w:rsidRPr="008C1E51">
        <w:rPr>
          <w:rFonts w:cs="Times New Roman"/>
        </w:rPr>
        <w:t xml:space="preserve">Zapisy umów dzierżawy przewidywały możliwość prowadzenia kontroli wydzierżawionych areałów oraz sposobu jego użytkowania przez dzierżawcę. W okresie objętym kontrolą </w:t>
      </w:r>
      <w:r w:rsidRPr="008C1E51">
        <w:rPr>
          <w:rFonts w:cs="Times New Roman"/>
        </w:rPr>
        <w:lastRenderedPageBreak/>
        <w:t xml:space="preserve">wykonanie prac terenowych podlegało kontroli przez Służby Parku Narodowego </w:t>
      </w:r>
      <w:r w:rsidRPr="008C1E51">
        <w:rPr>
          <w:rFonts w:cs="Times New Roman"/>
        </w:rPr>
        <w:br/>
        <w:t>W przypadku 3 umów dzierżawy wezwano pisemnie dzierżawców do uprzątnięcia biomasy lub balotów we wskazanych umowami terminach, co było zgodne z zapisami umów. We wszystkich wymienionych przypadkach nieprawidłowości zostały usunięte. Park dla umów zawartych w roku 2021, wystosował pismo przypominające Dzierżawcom o ich obowiązkach wynikających z umów dzierżawy.</w:t>
      </w:r>
    </w:p>
    <w:p w14:paraId="526B0D9F"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I/762-1477</w:t>
      </w:r>
      <w:r w:rsidRPr="008C1E51">
        <w:rPr>
          <w:rFonts w:eastAsia="Times New Roman" w:cs="Times New Roman"/>
          <w:lang w:eastAsia="pl-PL"/>
        </w:rPr>
        <w:t>]</w:t>
      </w:r>
    </w:p>
    <w:bookmarkEnd w:id="30"/>
    <w:bookmarkEnd w:id="31"/>
    <w:p w14:paraId="6FF66B3E" w14:textId="59B81457" w:rsidR="008C1E51" w:rsidRPr="008C1E51" w:rsidRDefault="008C1E51" w:rsidP="008C1E51">
      <w:pPr>
        <w:spacing w:before="120" w:after="120" w:line="276" w:lineRule="auto"/>
        <w:rPr>
          <w:rFonts w:cs="Times New Roman"/>
        </w:rPr>
      </w:pPr>
      <w:r w:rsidRPr="008C1E51">
        <w:rPr>
          <w:rFonts w:cs="Times New Roman"/>
        </w:rPr>
        <w:t xml:space="preserve">W okresie objętym kontrolą obowiązywały 22 umowy o udzielnie zamówień publicznych na wykonanie zadań ochronnych w zakresie „Realizacji zabiegów rolnych na łąkach kośnych, </w:t>
      </w:r>
      <w:r w:rsidRPr="008C1E51">
        <w:rPr>
          <w:rFonts w:cs="Times New Roman"/>
        </w:rPr>
        <w:br/>
        <w:t>w tym wykonanie paszy dla zwierząt w Bieszczadzkim Parku Narodowym” i „Przygotowania paszy dla zwierząt (siano), na potrzeby Bieszczadzkiego Parku Narodowego”</w:t>
      </w:r>
      <w:r w:rsidR="00211832" w:rsidRPr="008C1E51">
        <w:rPr>
          <w:rFonts w:cs="Times New Roman"/>
        </w:rPr>
        <w:t>..</w:t>
      </w:r>
      <w:r w:rsidRPr="008C1E51">
        <w:rPr>
          <w:rFonts w:cs="Times New Roman"/>
        </w:rPr>
        <w:t xml:space="preserve"> Kontroli poddano 6</w:t>
      </w:r>
      <w:r w:rsidRPr="008C1E51">
        <w:rPr>
          <w:rFonts w:cs="Times New Roman"/>
          <w:vertAlign w:val="superscript"/>
        </w:rPr>
        <w:footnoteReference w:id="35"/>
      </w:r>
      <w:r w:rsidRPr="008C1E51">
        <w:rPr>
          <w:rFonts w:cs="Times New Roman"/>
        </w:rPr>
        <w:t xml:space="preserve"> umów. Umowy zawierały daty obowiązywania, odniesienie do szczegółowego sposobu użytkowania działek, zasady kontroli wykonawców w trakcie obowiązywania umowy, zapisy o karach umownych i zabezpieczające należyte wykonanie umowy. Wszystkie prace zostały odebrane przez Park bez zastrzeżeń co do zakresu prac, co zostało potwierdzone protokołami odbioru. </w:t>
      </w:r>
    </w:p>
    <w:p w14:paraId="5B7D2B99" w14:textId="20E4EF1D" w:rsidR="008C1E51" w:rsidRPr="008C1E51" w:rsidRDefault="008C1E51" w:rsidP="008C1E51">
      <w:pPr>
        <w:spacing w:before="120" w:after="120" w:line="276" w:lineRule="auto"/>
        <w:rPr>
          <w:rFonts w:cs="Times New Roman"/>
        </w:rPr>
      </w:pPr>
      <w:r w:rsidRPr="008C1E51">
        <w:rPr>
          <w:rFonts w:cs="Times New Roman"/>
        </w:rPr>
        <w:t>W przypadku 2 umów zawartych w roku 2021</w:t>
      </w:r>
      <w:r w:rsidRPr="008C1E51">
        <w:rPr>
          <w:rFonts w:cs="Times New Roman"/>
          <w:vertAlign w:val="superscript"/>
        </w:rPr>
        <w:footnoteReference w:id="36"/>
      </w:r>
      <w:r w:rsidRPr="008C1E51">
        <w:rPr>
          <w:rFonts w:cs="Times New Roman"/>
        </w:rPr>
        <w:t xml:space="preserve">, na pisemne wnioski Wykonawców sporządzono 2 aneksy do umowy wydłużające czas realizacji zadania z uwagi na niekorzystne warunki pogodowe. Pomimo przedłużenia terminu, fizyczne wykonanie prac w terenie odbyło się z przekroczeniem terminów określonych w przedmiotowych aneksach. W jednym przypadku naliczono kary umowne, a w drugim odstąpiono od tego na podstawie zapisów umowy. </w:t>
      </w:r>
    </w:p>
    <w:p w14:paraId="6BFE7302"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I/359-761, I/762-1477</w:t>
      </w:r>
      <w:r w:rsidRPr="008C1E51">
        <w:rPr>
          <w:rFonts w:eastAsia="Times New Roman" w:cs="Times New Roman"/>
          <w:lang w:eastAsia="pl-PL"/>
        </w:rPr>
        <w:t>]</w:t>
      </w:r>
    </w:p>
    <w:p w14:paraId="1B8EF92F" w14:textId="77777777" w:rsidR="008C1E51" w:rsidRPr="008C1E51" w:rsidRDefault="008C1E51" w:rsidP="008C1E51">
      <w:pPr>
        <w:numPr>
          <w:ilvl w:val="0"/>
          <w:numId w:val="20"/>
        </w:numPr>
        <w:spacing w:before="120" w:after="120" w:line="276" w:lineRule="auto"/>
        <w:rPr>
          <w:rFonts w:eastAsia="Times New Roman" w:cs="Times New Roman"/>
          <w:lang w:eastAsia="pl-PL"/>
        </w:rPr>
      </w:pPr>
      <w:r w:rsidRPr="008C1E51">
        <w:rPr>
          <w:rFonts w:eastAsia="Times New Roman" w:cs="Times New Roman"/>
          <w:lang w:eastAsia="pl-PL"/>
        </w:rPr>
        <w:t>Usuwanie niepożądanych gatunków drzew i krzewów z obrębu kopuł i okrajków torfowisk wysokich (siedliska torfowisk wysokich i przejściowych) – ekosystem nieleśny lądowy. Zadanie zaplanowano do wykonania na powierzchni ok. 20 ha rocznie.</w:t>
      </w:r>
    </w:p>
    <w:p w14:paraId="56FA3173" w14:textId="5BE57FA5" w:rsidR="008C1E51" w:rsidRPr="008C1E51" w:rsidRDefault="008C1E51" w:rsidP="008C1E51">
      <w:pPr>
        <w:spacing w:before="120" w:after="120" w:line="276" w:lineRule="auto"/>
        <w:rPr>
          <w:rFonts w:eastAsia="Times New Roman" w:cs="Times New Roman"/>
          <w:lang w:eastAsia="pl-PL"/>
        </w:rPr>
      </w:pPr>
      <w:r w:rsidRPr="008C1E51">
        <w:rPr>
          <w:rFonts w:cs="Times New Roman"/>
        </w:rPr>
        <w:t xml:space="preserve">W toku kontroli stwierdzono, iż zadanie ochronne w latach 2019 i 2021 nie zostało wykonane, a w roku 2020 wykonano je na 20,98 ha. </w:t>
      </w:r>
      <w:r w:rsidRPr="008C1E51">
        <w:rPr>
          <w:rFonts w:eastAsia="Times New Roman" w:cs="Times New Roman"/>
          <w:lang w:eastAsia="pl-PL"/>
        </w:rPr>
        <w:t xml:space="preserve">Całkowita </w:t>
      </w:r>
      <w:r w:rsidR="00211832" w:rsidRPr="008C1E51">
        <w:rPr>
          <w:rFonts w:eastAsia="Times New Roman" w:cs="Times New Roman"/>
          <w:lang w:eastAsia="pl-PL"/>
        </w:rPr>
        <w:t>powierzchnia,</w:t>
      </w:r>
      <w:r w:rsidRPr="008C1E51">
        <w:rPr>
          <w:rFonts w:eastAsia="Times New Roman" w:cs="Times New Roman"/>
          <w:lang w:eastAsia="pl-PL"/>
        </w:rPr>
        <w:t xml:space="preserve"> na której wykonany został zabieg w okresie kontrolowanym (2019 r. – 2021 r.) wyniosła 20,98 ha tj. na poziomie 35% w skali 3 lat w stosunku do zarządzenia </w:t>
      </w:r>
      <w:proofErr w:type="spellStart"/>
      <w:r w:rsidRPr="008C1E51">
        <w:rPr>
          <w:rFonts w:eastAsia="Times New Roman" w:cs="Times New Roman"/>
          <w:lang w:eastAsia="pl-PL"/>
        </w:rPr>
        <w:t>ws</w:t>
      </w:r>
      <w:proofErr w:type="spellEnd"/>
      <w:r w:rsidRPr="008C1E51">
        <w:rPr>
          <w:rFonts w:eastAsia="Times New Roman" w:cs="Times New Roman"/>
          <w:lang w:eastAsia="pl-PL"/>
        </w:rPr>
        <w:t>. zadań ochronnych.</w:t>
      </w:r>
    </w:p>
    <w:p w14:paraId="5747FD84"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 xml:space="preserve">Kontrolowane zadanie ochronne w lądowych ekosystemach nieleśnych zgodnie </w:t>
      </w:r>
      <w:r w:rsidRPr="008C1E51">
        <w:rPr>
          <w:rFonts w:eastAsia="Times New Roman" w:cs="Times New Roman"/>
          <w:lang w:eastAsia="pl-PL"/>
        </w:rPr>
        <w:br/>
        <w:t xml:space="preserve">z zarządzeniem </w:t>
      </w:r>
      <w:proofErr w:type="spellStart"/>
      <w:r w:rsidRPr="008C1E51">
        <w:rPr>
          <w:rFonts w:eastAsia="Times New Roman" w:cs="Times New Roman"/>
          <w:lang w:eastAsia="pl-PL"/>
        </w:rPr>
        <w:t>ws</w:t>
      </w:r>
      <w:proofErr w:type="spellEnd"/>
      <w:r w:rsidRPr="008C1E51">
        <w:rPr>
          <w:rFonts w:eastAsia="Times New Roman" w:cs="Times New Roman"/>
          <w:lang w:eastAsia="pl-PL"/>
        </w:rPr>
        <w:t>. zadań ochronnych obowiązujących w badanym okresie, wykonywano przez podmioty wyłonione w postępowaniach o zamówienia publiczne.</w:t>
      </w:r>
    </w:p>
    <w:p w14:paraId="7FD58AA4"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w:t>
      </w:r>
      <w:r w:rsidRPr="008C1E51">
        <w:rPr>
          <w:rFonts w:eastAsia="Times New Roman" w:cs="Times New Roman"/>
          <w:lang w:eastAsia="pl-PL"/>
        </w:rPr>
        <w:t>]</w:t>
      </w:r>
    </w:p>
    <w:p w14:paraId="3E349FAD" w14:textId="77777777" w:rsidR="008C1E51" w:rsidRPr="008C1E51" w:rsidRDefault="008C1E51" w:rsidP="008C1E51">
      <w:pPr>
        <w:spacing w:before="120" w:after="120" w:line="276" w:lineRule="auto"/>
        <w:rPr>
          <w:rFonts w:cs="Times New Roman"/>
        </w:rPr>
      </w:pPr>
      <w:r w:rsidRPr="008C1E51">
        <w:rPr>
          <w:rFonts w:cs="Times New Roman"/>
        </w:rPr>
        <w:t>Dyrektor Parku wyjaśnił</w:t>
      </w:r>
      <w:r w:rsidRPr="008C1E51">
        <w:rPr>
          <w:rFonts w:cs="Times New Roman"/>
          <w:vertAlign w:val="superscript"/>
        </w:rPr>
        <w:footnoteReference w:id="37"/>
      </w:r>
      <w:r w:rsidRPr="008C1E51">
        <w:rPr>
          <w:rFonts w:cs="Times New Roman"/>
        </w:rPr>
        <w:t xml:space="preserve"> iż, w 2018 roku Bieszczadzki Park Narodowy rozpoczął starania o pozyskanie środków na realizację zabiegów ochrony czynnej w ramach ochrony ekosystemów nieleśnych, w tym ekosystemów torfowiskowych. Na etapie sporządzania </w:t>
      </w:r>
      <w:r w:rsidRPr="008C1E51">
        <w:rPr>
          <w:rFonts w:cs="Times New Roman"/>
        </w:rPr>
        <w:lastRenderedPageBreak/>
        <w:t xml:space="preserve">planów nie można było przewidzieć, kiedy zostanie podpisana umowa na dotację oraz kiedy zostaną rozstrzygnięte postępowania przetargowe. Nie był również zatwierdzony harmonogram projektu. Ostatecznie odkrzaczanie w ramach projektu zostało zaplanowane na rok 2020, 2022 oraz 2023, co było wystarczające pod względem przyrodniczym. Założenie 20 ha/rok jest ogólne i pozwalało na ewentualne przesunięcia w harmonogramie projektu. </w:t>
      </w:r>
    </w:p>
    <w:p w14:paraId="03DE917C"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w:t>
      </w:r>
      <w:r w:rsidRPr="008C1E51">
        <w:rPr>
          <w:rFonts w:eastAsia="Times New Roman" w:cs="Times New Roman"/>
          <w:lang w:eastAsia="pl-PL"/>
        </w:rPr>
        <w:t>]</w:t>
      </w:r>
    </w:p>
    <w:p w14:paraId="0C7FE92A" w14:textId="77777777" w:rsidR="008C1E51" w:rsidRPr="008C1E51" w:rsidRDefault="008C1E51" w:rsidP="008C1E51">
      <w:pPr>
        <w:spacing w:before="120" w:after="120" w:line="276" w:lineRule="auto"/>
        <w:rPr>
          <w:rFonts w:cs="Times New Roman"/>
        </w:rPr>
      </w:pPr>
      <w:r w:rsidRPr="008C1E51">
        <w:rPr>
          <w:rFonts w:cs="Times New Roman"/>
        </w:rPr>
        <w:t>Kontrolujący zwraca uwagę, że wskazanie powierzchni do wykonania zadania 20ha/rok jest bardzo precyzyjne i jeśli faktyczne wykonania zadania było uzależnione m.in. od faktycznych potrzeb przyrodniczych (nie było konieczne wykonywanie zabiegów co roku), to tak należało sformułować rozmiar wykonania zadania.</w:t>
      </w:r>
    </w:p>
    <w:p w14:paraId="22209CB1" w14:textId="77777777" w:rsidR="008C1E51" w:rsidRPr="008C1E51" w:rsidRDefault="008C1E51" w:rsidP="008C1E51">
      <w:pPr>
        <w:spacing w:before="120" w:after="120" w:line="276" w:lineRule="auto"/>
        <w:rPr>
          <w:rFonts w:eastAsia="Times New Roman" w:cs="Times New Roman"/>
          <w:u w:val="single"/>
          <w:lang w:eastAsia="pl-PL"/>
        </w:rPr>
      </w:pPr>
      <w:bookmarkStart w:id="33" w:name="_Hlk131496195"/>
      <w:r w:rsidRPr="008C1E51">
        <w:rPr>
          <w:rFonts w:eastAsia="Times New Roman" w:cs="Times New Roman"/>
          <w:u w:val="single"/>
          <w:lang w:eastAsia="pl-PL"/>
        </w:rPr>
        <w:t>Zadania ochronne w zakresie ekosystemów wodnych.</w:t>
      </w:r>
    </w:p>
    <w:p w14:paraId="58280120" w14:textId="77777777" w:rsidR="008C1E51" w:rsidRPr="008C1E51" w:rsidRDefault="008C1E51" w:rsidP="008C1E51">
      <w:pPr>
        <w:spacing w:before="120" w:after="120" w:line="276" w:lineRule="auto"/>
        <w:rPr>
          <w:rFonts w:eastAsia="Times New Roman" w:cs="Times New Roman"/>
          <w:lang w:eastAsia="pl-PL"/>
        </w:rPr>
      </w:pPr>
      <w:r w:rsidRPr="008C1E51">
        <w:t>Weryfikacji poddano 1 z 2 zadań ochronnych (tj. 50 % zadań) wskazanych</w:t>
      </w:r>
      <w:r w:rsidRPr="008C1E51">
        <w:br/>
        <w:t xml:space="preserve">w zarządzeniu </w:t>
      </w:r>
      <w:proofErr w:type="spellStart"/>
      <w:r w:rsidRPr="008C1E51">
        <w:t>ws</w:t>
      </w:r>
      <w:proofErr w:type="spellEnd"/>
      <w:r w:rsidRPr="008C1E51">
        <w:t xml:space="preserve">. zadań ochronnych. </w:t>
      </w:r>
      <w:r w:rsidRPr="008C1E51">
        <w:rPr>
          <w:rFonts w:eastAsia="Times New Roman" w:cs="Times New Roman"/>
          <w:lang w:eastAsia="pl-PL"/>
        </w:rPr>
        <w:t xml:space="preserve">Zadanie polegało na zabezpieczeniu przejazdu przez potok Roztoki - wykonanie brodu w sposób zapewniający drożność koryta. </w:t>
      </w:r>
    </w:p>
    <w:p w14:paraId="11C005C4" w14:textId="77777777" w:rsidR="008C1E51" w:rsidRPr="008C1E51" w:rsidRDefault="008C1E51" w:rsidP="008C1E51">
      <w:pPr>
        <w:spacing w:before="120" w:after="120" w:line="276" w:lineRule="auto"/>
        <w:rPr>
          <w:rFonts w:eastAsia="Times New Roman" w:cs="Times New Roman"/>
          <w:lang w:eastAsia="pl-PL"/>
        </w:rPr>
      </w:pPr>
      <w:r w:rsidRPr="008C1E51">
        <w:rPr>
          <w:rFonts w:cs="Times New Roman"/>
        </w:rPr>
        <w:t>Ustalono, iż zakres zadania ochronnego (czas realizacji 2019 r. – 2021 r.) został wykonany</w:t>
      </w:r>
      <w:r w:rsidRPr="008C1E51">
        <w:rPr>
          <w:rFonts w:cs="Times New Roman"/>
        </w:rPr>
        <w:br/>
        <w:t>w 100% w roku 2021.</w:t>
      </w:r>
      <w:r w:rsidRPr="008C1E51">
        <w:rPr>
          <w:rFonts w:eastAsia="Times New Roman" w:cs="Times New Roman"/>
          <w:lang w:eastAsia="pl-PL"/>
        </w:rPr>
        <w:t xml:space="preserve"> Zadanie ochronne wykonane zostało przez podmiot zewnętrzny</w:t>
      </w:r>
      <w:r w:rsidRPr="008C1E51">
        <w:rPr>
          <w:rFonts w:eastAsia="Times New Roman" w:cs="Times New Roman"/>
          <w:lang w:eastAsia="pl-PL"/>
        </w:rPr>
        <w:br/>
        <w:t>w ramach zawartej umowy</w:t>
      </w:r>
      <w:r w:rsidRPr="008C1E51">
        <w:rPr>
          <w:rFonts w:eastAsia="Times New Roman" w:cs="Times New Roman"/>
          <w:vertAlign w:val="superscript"/>
          <w:lang w:eastAsia="pl-PL"/>
        </w:rPr>
        <w:footnoteReference w:id="38"/>
      </w:r>
      <w:r w:rsidRPr="008C1E51">
        <w:rPr>
          <w:rFonts w:eastAsia="Times New Roman" w:cs="Times New Roman"/>
          <w:lang w:eastAsia="pl-PL"/>
        </w:rPr>
        <w:t>,a prace zostały wykonane i odebrane zgodnie z protokołem odbioru w roku 2021.</w:t>
      </w:r>
    </w:p>
    <w:bookmarkEnd w:id="33"/>
    <w:p w14:paraId="0EA9DB37"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 I/319-350</w:t>
      </w:r>
      <w:r w:rsidRPr="008C1E51">
        <w:rPr>
          <w:rFonts w:eastAsia="Times New Roman" w:cs="Times New Roman"/>
          <w:lang w:eastAsia="pl-PL"/>
        </w:rPr>
        <w:t>]</w:t>
      </w:r>
    </w:p>
    <w:p w14:paraId="254B8A80" w14:textId="77777777" w:rsidR="008C1E51" w:rsidRPr="008C1E51" w:rsidRDefault="008C1E51" w:rsidP="008C1E51">
      <w:pPr>
        <w:spacing w:before="120" w:after="120" w:line="276" w:lineRule="auto"/>
        <w:rPr>
          <w:rFonts w:cs="Times New Roman"/>
          <w:u w:val="single"/>
        </w:rPr>
      </w:pPr>
      <w:r w:rsidRPr="008C1E51">
        <w:rPr>
          <w:rFonts w:cs="Times New Roman"/>
          <w:u w:val="single"/>
        </w:rPr>
        <w:t>Zadania ochronne inne według specyfiki Parku.</w:t>
      </w:r>
    </w:p>
    <w:p w14:paraId="5E0D08D8" w14:textId="77777777" w:rsidR="008C1E51" w:rsidRPr="008C1E51" w:rsidRDefault="008C1E51" w:rsidP="008C1E51">
      <w:pPr>
        <w:spacing w:before="120" w:after="120" w:line="276" w:lineRule="auto"/>
        <w:rPr>
          <w:rFonts w:cs="Times New Roman"/>
        </w:rPr>
      </w:pPr>
      <w:r w:rsidRPr="008C1E51">
        <w:rPr>
          <w:rFonts w:cs="Times New Roman"/>
        </w:rPr>
        <w:t>Weryfikacji poddano 2 z 48 zadań ochronnych (tj. 4 % zadań) wskazanych</w:t>
      </w:r>
      <w:r w:rsidRPr="008C1E51">
        <w:rPr>
          <w:rFonts w:cs="Times New Roman"/>
        </w:rPr>
        <w:br/>
        <w:t xml:space="preserve">w zarządzeniu </w:t>
      </w:r>
      <w:proofErr w:type="spellStart"/>
      <w:r w:rsidRPr="008C1E51">
        <w:rPr>
          <w:rFonts w:cs="Times New Roman"/>
        </w:rPr>
        <w:t>ws</w:t>
      </w:r>
      <w:proofErr w:type="spellEnd"/>
      <w:r w:rsidRPr="008C1E51">
        <w:rPr>
          <w:rFonts w:cs="Times New Roman"/>
        </w:rPr>
        <w:t>. zadań ochronnych. Zadania ochronne wybrane w ramach próby kontrolnej dotyczyły:</w:t>
      </w:r>
    </w:p>
    <w:p w14:paraId="35193716" w14:textId="77777777" w:rsidR="008C1E51" w:rsidRPr="008C1E51" w:rsidRDefault="008C1E51" w:rsidP="008C1E51">
      <w:pPr>
        <w:numPr>
          <w:ilvl w:val="0"/>
          <w:numId w:val="21"/>
        </w:numPr>
        <w:spacing w:before="120" w:after="120" w:line="276" w:lineRule="auto"/>
        <w:rPr>
          <w:rFonts w:eastAsia="Times New Roman" w:cs="Times New Roman"/>
          <w:lang w:eastAsia="pl-PL"/>
        </w:rPr>
      </w:pPr>
      <w:r w:rsidRPr="008C1E51">
        <w:rPr>
          <w:rFonts w:eastAsia="Times New Roman" w:cs="Times New Roman"/>
          <w:lang w:eastAsia="pl-PL"/>
        </w:rPr>
        <w:t xml:space="preserve">Monitoringu ważek </w:t>
      </w:r>
      <w:proofErr w:type="spellStart"/>
      <w:r w:rsidRPr="008C1E51">
        <w:rPr>
          <w:rFonts w:eastAsia="Times New Roman" w:cs="Times New Roman"/>
          <w:i/>
          <w:iCs/>
          <w:lang w:eastAsia="pl-PL"/>
        </w:rPr>
        <w:t>Odonata</w:t>
      </w:r>
      <w:proofErr w:type="spellEnd"/>
      <w:r w:rsidRPr="008C1E51">
        <w:rPr>
          <w:rFonts w:eastAsia="Times New Roman" w:cs="Times New Roman"/>
          <w:lang w:eastAsia="pl-PL"/>
        </w:rPr>
        <w:t xml:space="preserve"> w pobliżu oczek wodnych w celu aktualizacji listy gatunków występujących w Parku.</w:t>
      </w:r>
    </w:p>
    <w:p w14:paraId="2363210F" w14:textId="77777777" w:rsidR="008C1E51" w:rsidRPr="008C1E51" w:rsidRDefault="008C1E51" w:rsidP="008C1E51">
      <w:pPr>
        <w:spacing w:before="120" w:after="120" w:line="276" w:lineRule="auto"/>
        <w:rPr>
          <w:rFonts w:cs="Times New Roman"/>
        </w:rPr>
      </w:pPr>
      <w:r w:rsidRPr="008C1E51">
        <w:rPr>
          <w:rFonts w:cs="Times New Roman"/>
        </w:rPr>
        <w:t>W wyniku kontroli stwierdzono, iż zakres zadania ochronnego został w pełni wykonany co do założonej powierzchni (10 – 15 stanowisk rocznie). W latach 2019-2021 monitorowano po 10 oczek wodnych. Kontrolowane zadanie zostało wykonane przez pracownika Parku.</w:t>
      </w:r>
    </w:p>
    <w:p w14:paraId="2CF7FCAA" w14:textId="77777777" w:rsidR="008C1E51" w:rsidRPr="008C1E51" w:rsidRDefault="008C1E51" w:rsidP="008C1E51">
      <w:pPr>
        <w:spacing w:before="120" w:after="120" w:line="276" w:lineRule="auto"/>
        <w:ind w:left="360"/>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 I/319-350</w:t>
      </w:r>
      <w:r w:rsidRPr="008C1E51">
        <w:rPr>
          <w:rFonts w:eastAsia="Times New Roman" w:cs="Times New Roman"/>
          <w:lang w:eastAsia="pl-PL"/>
        </w:rPr>
        <w:t>]</w:t>
      </w:r>
    </w:p>
    <w:p w14:paraId="40A4D2C9" w14:textId="77777777" w:rsidR="008C1E51" w:rsidRPr="008C1E51" w:rsidRDefault="008C1E51" w:rsidP="008C1E51">
      <w:pPr>
        <w:numPr>
          <w:ilvl w:val="0"/>
          <w:numId w:val="21"/>
        </w:numPr>
        <w:spacing w:before="120" w:after="120" w:line="276" w:lineRule="auto"/>
      </w:pPr>
      <w:r w:rsidRPr="008C1E51">
        <w:rPr>
          <w:rFonts w:eastAsia="Times New Roman" w:cs="Times New Roman"/>
          <w:lang w:eastAsia="pl-PL"/>
        </w:rPr>
        <w:t xml:space="preserve">Przebudowa i zagospodarowanie terenu wokół obiektów </w:t>
      </w:r>
      <w:bookmarkStart w:id="34" w:name="_Hlk131500378"/>
      <w:r w:rsidRPr="008C1E51">
        <w:rPr>
          <w:rFonts w:eastAsia="Times New Roman" w:cs="Times New Roman"/>
          <w:lang w:eastAsia="pl-PL"/>
        </w:rPr>
        <w:t>Zachowawczej Hodowli Konia Huculskiego</w:t>
      </w:r>
      <w:bookmarkEnd w:id="34"/>
      <w:r w:rsidRPr="008C1E51">
        <w:rPr>
          <w:rFonts w:eastAsia="Times New Roman" w:cs="Times New Roman"/>
          <w:lang w:eastAsia="pl-PL"/>
        </w:rPr>
        <w:t xml:space="preserve"> w </w:t>
      </w:r>
      <w:proofErr w:type="spellStart"/>
      <w:r w:rsidRPr="008C1E51">
        <w:rPr>
          <w:rFonts w:eastAsia="Times New Roman" w:cs="Times New Roman"/>
          <w:lang w:eastAsia="pl-PL"/>
        </w:rPr>
        <w:t>Wołosatem</w:t>
      </w:r>
      <w:proofErr w:type="spellEnd"/>
      <w:r w:rsidRPr="008C1E51">
        <w:rPr>
          <w:rFonts w:eastAsia="Times New Roman" w:cs="Times New Roman"/>
          <w:lang w:eastAsia="pl-PL"/>
        </w:rPr>
        <w:t xml:space="preserve"> i w Tarnawie Niżnej.</w:t>
      </w:r>
    </w:p>
    <w:p w14:paraId="0E37385F" w14:textId="77777777" w:rsidR="008C1E51" w:rsidRPr="008C1E51" w:rsidRDefault="008C1E51" w:rsidP="008C1E51">
      <w:pPr>
        <w:spacing w:before="120" w:after="120" w:line="276" w:lineRule="auto"/>
      </w:pPr>
      <w:r w:rsidRPr="008C1E51">
        <w:t xml:space="preserve">W wyniku kontroli stwierdzono, iż zakres zadań ochronnych opisanych w zarządzeniu </w:t>
      </w:r>
      <w:proofErr w:type="spellStart"/>
      <w:r w:rsidRPr="008C1E51">
        <w:t>ws</w:t>
      </w:r>
      <w:proofErr w:type="spellEnd"/>
      <w:r w:rsidRPr="008C1E51">
        <w:t xml:space="preserve">. zadań ochronnych został w pełni wykonany. </w:t>
      </w:r>
    </w:p>
    <w:p w14:paraId="777A55B2" w14:textId="77777777" w:rsidR="008C1E51" w:rsidRPr="008C1E51" w:rsidRDefault="008C1E51" w:rsidP="008C1E51">
      <w:pPr>
        <w:spacing w:before="120" w:after="120" w:line="276" w:lineRule="auto"/>
      </w:pPr>
      <w:r w:rsidRPr="008C1E51">
        <w:t>Kontrolowane zadanie zostało wykonane przez podmioty zewnętrzne. Zadania zrealizowano w latach:</w:t>
      </w:r>
    </w:p>
    <w:p w14:paraId="2B368EEB" w14:textId="77777777" w:rsidR="008C1E51" w:rsidRPr="008C1E51" w:rsidRDefault="008C1E51" w:rsidP="008C1E51">
      <w:pPr>
        <w:numPr>
          <w:ilvl w:val="0"/>
          <w:numId w:val="30"/>
        </w:numPr>
        <w:spacing w:before="120" w:after="120" w:line="276" w:lineRule="auto"/>
        <w:contextualSpacing/>
      </w:pPr>
      <w:r w:rsidRPr="008C1E51">
        <w:t xml:space="preserve">2019 r. – malowanie ścian szczytowych w 3 obiektach, prace w obrębie studzienek kanalizacyjnych oraz posadzki; </w:t>
      </w:r>
    </w:p>
    <w:p w14:paraId="67158D95" w14:textId="0AF0D5CD" w:rsidR="008C1E51" w:rsidRPr="008C1E51" w:rsidRDefault="008C1E51" w:rsidP="008C1E51">
      <w:pPr>
        <w:numPr>
          <w:ilvl w:val="0"/>
          <w:numId w:val="30"/>
        </w:numPr>
        <w:spacing w:before="120" w:after="120" w:line="276" w:lineRule="auto"/>
        <w:contextualSpacing/>
      </w:pPr>
      <w:r w:rsidRPr="008C1E51">
        <w:lastRenderedPageBreak/>
        <w:t xml:space="preserve">2021 r. – </w:t>
      </w:r>
      <w:r w:rsidR="00211832" w:rsidRPr="008C1E51">
        <w:t>remont w</w:t>
      </w:r>
      <w:r w:rsidRPr="008C1E51">
        <w:t xml:space="preserve"> pomieszczeniu socjalnym, remont ogrodzenia oraz uporządkowanie terenu pod pastwisko. </w:t>
      </w:r>
    </w:p>
    <w:p w14:paraId="40E58085" w14:textId="77777777" w:rsidR="008C1E51" w:rsidRPr="008C1E51" w:rsidRDefault="008C1E51" w:rsidP="008C1E51">
      <w:pPr>
        <w:spacing w:before="120" w:after="120" w:line="276" w:lineRule="auto"/>
      </w:pPr>
      <w:r w:rsidRPr="008C1E51">
        <w:t>Remontom i pracom poddane były 3 obiekty kubaturowe, ich infrastruktura techniczna</w:t>
      </w:r>
      <w:r w:rsidRPr="008C1E51">
        <w:br/>
        <w:t xml:space="preserve">i teren wchodzący w skład </w:t>
      </w:r>
      <w:r w:rsidRPr="008C1E51">
        <w:rPr>
          <w:rFonts w:eastAsia="Times New Roman" w:cs="Times New Roman"/>
          <w:lang w:eastAsia="pl-PL"/>
        </w:rPr>
        <w:t xml:space="preserve">Zachowawczej Hodowli Konia Huculskiego w </w:t>
      </w:r>
      <w:proofErr w:type="spellStart"/>
      <w:r w:rsidRPr="008C1E51">
        <w:rPr>
          <w:rFonts w:eastAsia="Times New Roman" w:cs="Times New Roman"/>
          <w:lang w:eastAsia="pl-PL"/>
        </w:rPr>
        <w:t>Wołosatem</w:t>
      </w:r>
      <w:proofErr w:type="spellEnd"/>
      <w:r w:rsidRPr="008C1E51">
        <w:rPr>
          <w:rFonts w:eastAsia="Times New Roman" w:cs="Times New Roman"/>
          <w:lang w:eastAsia="pl-PL"/>
        </w:rPr>
        <w:t>.</w:t>
      </w:r>
    </w:p>
    <w:p w14:paraId="3F803DAA" w14:textId="77777777" w:rsidR="008C1E51" w:rsidRPr="008C1E51" w:rsidRDefault="008C1E51" w:rsidP="008C1E51">
      <w:pPr>
        <w:spacing w:before="120" w:after="120" w:line="276" w:lineRule="auto"/>
        <w:ind w:left="360"/>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I/73-76, I/319-350</w:t>
      </w:r>
      <w:r w:rsidRPr="008C1E51">
        <w:rPr>
          <w:rFonts w:eastAsia="Times New Roman" w:cs="Times New Roman"/>
          <w:lang w:eastAsia="pl-PL"/>
        </w:rPr>
        <w:t>]</w:t>
      </w:r>
    </w:p>
    <w:p w14:paraId="35CA8A4F" w14:textId="77777777" w:rsidR="008C1E51" w:rsidRPr="008C1E51" w:rsidRDefault="008C1E51" w:rsidP="008C1E51">
      <w:pPr>
        <w:suppressAutoHyphens/>
        <w:spacing w:before="120" w:after="120" w:line="276" w:lineRule="auto"/>
        <w:rPr>
          <w:rFonts w:eastAsia="Calibri" w:cs="Times New Roman"/>
          <w:szCs w:val="20"/>
          <w:u w:val="single"/>
          <w:lang w:eastAsia="ar-SA"/>
        </w:rPr>
      </w:pPr>
      <w:r w:rsidRPr="008C1E51">
        <w:rPr>
          <w:rFonts w:eastAsia="Calibri" w:cs="Times New Roman"/>
          <w:szCs w:val="20"/>
          <w:u w:val="single"/>
          <w:lang w:eastAsia="ar-SA"/>
        </w:rPr>
        <w:t>Monitoring skuteczności realizowanych zabiegów ochronnych.</w:t>
      </w:r>
    </w:p>
    <w:p w14:paraId="3628D397" w14:textId="5EF9500E" w:rsidR="008C1E51" w:rsidRPr="008C1E51" w:rsidRDefault="008C1E51" w:rsidP="008C1E51">
      <w:pPr>
        <w:spacing w:before="120" w:after="120" w:line="276" w:lineRule="auto"/>
        <w:rPr>
          <w:rFonts w:eastAsia="Calibri" w:cs="Calibri"/>
          <w:strike/>
          <w:szCs w:val="20"/>
          <w:lang w:eastAsia="ar-SA"/>
        </w:rPr>
      </w:pPr>
      <w:r w:rsidRPr="008C1E51">
        <w:rPr>
          <w:rFonts w:cs="Times New Roman"/>
          <w:szCs w:val="20"/>
        </w:rPr>
        <w:t xml:space="preserve">Według informacji przekazanych przez Dyrektora Parku w </w:t>
      </w:r>
      <w:proofErr w:type="spellStart"/>
      <w:r w:rsidRPr="008C1E51">
        <w:rPr>
          <w:rFonts w:cs="Times New Roman"/>
          <w:szCs w:val="20"/>
        </w:rPr>
        <w:t>BdPN</w:t>
      </w:r>
      <w:proofErr w:type="spellEnd"/>
      <w:r w:rsidRPr="008C1E51">
        <w:rPr>
          <w:rFonts w:cs="Times New Roman"/>
          <w:szCs w:val="20"/>
        </w:rPr>
        <w:t xml:space="preserve"> na bieżąco prowadzony był monitoring skuteczności zabiegów ochronnych. </w:t>
      </w:r>
      <w:r w:rsidRPr="008C1E51">
        <w:rPr>
          <w:rFonts w:eastAsia="Calibri" w:cs="Times New Roman"/>
          <w:szCs w:val="20"/>
          <w:lang w:eastAsia="ar-SA"/>
        </w:rPr>
        <w:t xml:space="preserve">Dyrektor Parku </w:t>
      </w:r>
      <w:r w:rsidRPr="008C1E51">
        <w:rPr>
          <w:rFonts w:cs="Times New Roman"/>
          <w:szCs w:val="20"/>
        </w:rPr>
        <w:t>wyjaśnił</w:t>
      </w:r>
      <w:r w:rsidRPr="008C1E51">
        <w:rPr>
          <w:rFonts w:cs="Times New Roman"/>
          <w:szCs w:val="20"/>
          <w:vertAlign w:val="superscript"/>
        </w:rPr>
        <w:footnoteReference w:id="39"/>
      </w:r>
      <w:r w:rsidRPr="008C1E51">
        <w:rPr>
          <w:rFonts w:cs="Times New Roman"/>
          <w:szCs w:val="20"/>
        </w:rPr>
        <w:t>, że działania</w:t>
      </w:r>
      <w:r w:rsidRPr="008C1E51">
        <w:rPr>
          <w:rFonts w:cs="Times New Roman"/>
          <w:szCs w:val="20"/>
        </w:rPr>
        <w:br/>
        <w:t xml:space="preserve">w tym </w:t>
      </w:r>
      <w:r w:rsidR="00211832" w:rsidRPr="008C1E51">
        <w:rPr>
          <w:rFonts w:cs="Times New Roman"/>
          <w:szCs w:val="20"/>
        </w:rPr>
        <w:t xml:space="preserve">zakresie </w:t>
      </w:r>
      <w:r w:rsidR="00211832" w:rsidRPr="008C1E51">
        <w:rPr>
          <w:rFonts w:eastAsia="Calibri" w:cs="Times New Roman"/>
          <w:szCs w:val="20"/>
          <w:lang w:eastAsia="ar-SA"/>
        </w:rPr>
        <w:t>były</w:t>
      </w:r>
      <w:r w:rsidRPr="008C1E51">
        <w:rPr>
          <w:rFonts w:cs="Times New Roman"/>
          <w:szCs w:val="20"/>
        </w:rPr>
        <w:t xml:space="preserve"> </w:t>
      </w:r>
      <w:r w:rsidR="00211832" w:rsidRPr="008C1E51">
        <w:rPr>
          <w:rFonts w:cs="Times New Roman"/>
          <w:szCs w:val="20"/>
        </w:rPr>
        <w:t xml:space="preserve">realizowane </w:t>
      </w:r>
      <w:r w:rsidR="00211832" w:rsidRPr="008C1E51">
        <w:rPr>
          <w:rFonts w:eastAsia="Calibri" w:cs="Times New Roman"/>
          <w:szCs w:val="20"/>
          <w:lang w:eastAsia="ar-SA"/>
        </w:rPr>
        <w:t>w</w:t>
      </w:r>
      <w:r w:rsidRPr="008C1E51">
        <w:rPr>
          <w:rFonts w:eastAsia="Calibri" w:cs="Times New Roman"/>
          <w:szCs w:val="20"/>
          <w:lang w:eastAsia="ar-SA"/>
        </w:rPr>
        <w:t xml:space="preserve"> </w:t>
      </w:r>
      <w:r w:rsidR="00211832" w:rsidRPr="008C1E51">
        <w:rPr>
          <w:rFonts w:eastAsia="Calibri" w:cs="Times New Roman"/>
          <w:szCs w:val="20"/>
          <w:lang w:eastAsia="ar-SA"/>
        </w:rPr>
        <w:t>miarę posiadanych</w:t>
      </w:r>
      <w:r w:rsidRPr="008C1E51">
        <w:rPr>
          <w:rFonts w:eastAsia="Calibri" w:cs="Times New Roman"/>
          <w:szCs w:val="20"/>
          <w:lang w:eastAsia="ar-SA"/>
        </w:rPr>
        <w:t xml:space="preserve"> środków </w:t>
      </w:r>
      <w:r w:rsidRPr="008C1E51">
        <w:rPr>
          <w:rFonts w:cs="Times New Roman"/>
          <w:szCs w:val="20"/>
        </w:rPr>
        <w:t xml:space="preserve">oraz </w:t>
      </w:r>
      <w:r w:rsidRPr="008C1E51">
        <w:rPr>
          <w:rFonts w:eastAsia="Calibri" w:cs="Times New Roman"/>
          <w:szCs w:val="20"/>
          <w:lang w:eastAsia="ar-SA"/>
        </w:rPr>
        <w:t xml:space="preserve">potrzeb. Powtarzalne i realizowane od wielu lat tradycyjnymi metodami zadania ochronne związane z technicznym zabezpieczeniem szlaków, koszeniem i wypasem łąk. W roku 2021 z </w:t>
      </w:r>
      <w:r w:rsidR="00211832" w:rsidRPr="008C1E51">
        <w:rPr>
          <w:rFonts w:eastAsia="Calibri" w:cs="Times New Roman"/>
          <w:szCs w:val="20"/>
          <w:lang w:eastAsia="ar-SA"/>
        </w:rPr>
        <w:t>pozyskanych środków</w:t>
      </w:r>
      <w:r w:rsidRPr="008C1E51">
        <w:rPr>
          <w:rFonts w:eastAsia="Calibri" w:cs="Times New Roman"/>
          <w:szCs w:val="20"/>
          <w:lang w:eastAsia="ar-SA"/>
        </w:rPr>
        <w:t xml:space="preserve"> zewnętrznych przeprowadzono prace monitoringowe związane ze skutecznością zabiegów związanych z ochroną cennych gatunków i siedlisk. Powtórzenie prac monitoringowych zostało zaplanowane na rok 2023. Część prac monitoringowych, m.in. monitoring siedlisk łąkowych, zwierząt kopytnych, drapieżników </w:t>
      </w:r>
      <w:r w:rsidR="00211832" w:rsidRPr="008C1E51">
        <w:rPr>
          <w:rFonts w:eastAsia="Calibri" w:cs="Times New Roman"/>
          <w:szCs w:val="20"/>
          <w:lang w:eastAsia="ar-SA"/>
        </w:rPr>
        <w:t>płazów</w:t>
      </w:r>
      <w:r w:rsidRPr="008C1E51">
        <w:rPr>
          <w:rFonts w:eastAsia="Calibri" w:cs="Times New Roman"/>
          <w:szCs w:val="20"/>
          <w:lang w:eastAsia="ar-SA"/>
        </w:rPr>
        <w:t xml:space="preserve"> czy owadów było realizowanych</w:t>
      </w:r>
      <w:r w:rsidRPr="008C1E51">
        <w:rPr>
          <w:rFonts w:eastAsia="Calibri" w:cs="Times New Roman"/>
          <w:szCs w:val="20"/>
          <w:lang w:eastAsia="ar-SA"/>
        </w:rPr>
        <w:br/>
        <w:t xml:space="preserve">w ramach sił własnych przez pracowników etatowych. Wyniki monitoringu były gromadzone w bazach danych, opracowane w formie raportów </w:t>
      </w:r>
    </w:p>
    <w:p w14:paraId="574A07FE"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I/319-350</w:t>
      </w:r>
      <w:r w:rsidRPr="008C1E51">
        <w:rPr>
          <w:rFonts w:eastAsia="Times New Roman" w:cs="Times New Roman"/>
          <w:lang w:eastAsia="pl-PL"/>
        </w:rPr>
        <w:t>]</w:t>
      </w:r>
    </w:p>
    <w:p w14:paraId="4E2187B2" w14:textId="77777777" w:rsidR="008C1E51" w:rsidRPr="008C1E51" w:rsidRDefault="008C1E51" w:rsidP="008C1E51">
      <w:pPr>
        <w:spacing w:before="120" w:after="120" w:line="276" w:lineRule="auto"/>
        <w:rPr>
          <w:szCs w:val="20"/>
          <w:u w:val="single"/>
        </w:rPr>
      </w:pPr>
      <w:r w:rsidRPr="008C1E51">
        <w:rPr>
          <w:szCs w:val="20"/>
          <w:u w:val="single"/>
        </w:rPr>
        <w:t>Realizacja ustawowych zadań Rady Naukowej działającej przy Bieszczadzkim Parku Narodowym</w:t>
      </w:r>
    </w:p>
    <w:p w14:paraId="775F8B22" w14:textId="2118E524" w:rsidR="008C1E51" w:rsidRPr="008C1E51" w:rsidRDefault="008C1E51" w:rsidP="008C1E51">
      <w:pPr>
        <w:spacing w:before="120" w:after="120" w:line="276" w:lineRule="auto"/>
        <w:rPr>
          <w:rFonts w:eastAsia="Times New Roman" w:cs="Arial"/>
          <w:szCs w:val="20"/>
          <w:lang w:eastAsia="pl-PL"/>
        </w:rPr>
      </w:pPr>
      <w:bookmarkStart w:id="35" w:name="_Hlk144456190"/>
      <w:r w:rsidRPr="008C1E51">
        <w:rPr>
          <w:rFonts w:eastAsia="Times New Roman" w:cs="Arial"/>
          <w:szCs w:val="20"/>
          <w:lang w:eastAsia="pl-PL"/>
        </w:rPr>
        <w:t xml:space="preserve">Zgodnie z </w:t>
      </w:r>
      <w:bookmarkStart w:id="36" w:name="_Hlk129935641"/>
      <w:r w:rsidRPr="008C1E51">
        <w:rPr>
          <w:rFonts w:eastAsia="Times New Roman" w:cs="Arial"/>
          <w:szCs w:val="20"/>
          <w:lang w:eastAsia="pl-PL"/>
        </w:rPr>
        <w:t>art. 98 ust. 1 uop</w:t>
      </w:r>
      <w:bookmarkEnd w:id="35"/>
      <w:r w:rsidRPr="008C1E51">
        <w:rPr>
          <w:rFonts w:eastAsia="Times New Roman" w:cs="Arial"/>
          <w:szCs w:val="20"/>
          <w:lang w:eastAsia="pl-PL"/>
        </w:rPr>
        <w:t xml:space="preserve"> do zadań Rady Naukowej Parku należy w szczególności</w:t>
      </w:r>
      <w:bookmarkEnd w:id="36"/>
      <w:r w:rsidRPr="008C1E51">
        <w:rPr>
          <w:rFonts w:eastAsia="Times New Roman" w:cs="Arial"/>
          <w:szCs w:val="20"/>
          <w:lang w:eastAsia="pl-PL"/>
        </w:rPr>
        <w:t xml:space="preserve"> ocena stanu zasobów, tworów i składników </w:t>
      </w:r>
      <w:r w:rsidR="00211832" w:rsidRPr="008C1E51">
        <w:rPr>
          <w:rFonts w:eastAsia="Times New Roman" w:cs="Arial"/>
          <w:szCs w:val="20"/>
          <w:lang w:eastAsia="pl-PL"/>
        </w:rPr>
        <w:t>przyrody, opiniowanie</w:t>
      </w:r>
      <w:r w:rsidRPr="008C1E51">
        <w:rPr>
          <w:rFonts w:eastAsia="Times New Roman" w:cs="Arial"/>
          <w:szCs w:val="20"/>
          <w:lang w:eastAsia="pl-PL"/>
        </w:rPr>
        <w:t xml:space="preserve"> projektu planu ochrony i zadań ochronnych, ocena realizacji ustaleń planu ochrony, rocznych zadań ochronnych</w:t>
      </w:r>
      <w:r w:rsidRPr="008C1E51">
        <w:rPr>
          <w:rFonts w:eastAsia="Times New Roman" w:cs="Arial"/>
          <w:szCs w:val="20"/>
          <w:lang w:eastAsia="pl-PL"/>
        </w:rPr>
        <w:br/>
        <w:t>i skuteczności zabiegów ochronnych, opiniowanie programów badawczych i naukowych</w:t>
      </w:r>
      <w:r w:rsidRPr="008C1E51">
        <w:rPr>
          <w:rFonts w:eastAsia="Times New Roman" w:cs="Arial"/>
          <w:szCs w:val="20"/>
          <w:lang w:eastAsia="pl-PL"/>
        </w:rPr>
        <w:br/>
        <w:t>w zakresie ochrony</w:t>
      </w:r>
      <w:r w:rsidRPr="008C1E51">
        <w:rPr>
          <w:rFonts w:eastAsia="Times New Roman" w:cs="Times New Roman"/>
          <w:szCs w:val="20"/>
          <w:lang w:eastAsia="pl-PL"/>
        </w:rPr>
        <w:t xml:space="preserve"> </w:t>
      </w:r>
      <w:r w:rsidRPr="008C1E51">
        <w:rPr>
          <w:rFonts w:eastAsia="Times New Roman" w:cs="Arial"/>
          <w:szCs w:val="20"/>
          <w:lang w:eastAsia="pl-PL"/>
        </w:rPr>
        <w:t>przyrody, przedstawianie wniosków i opinii w sprawach ochrony przyrody i</w:t>
      </w:r>
      <w:r w:rsidRPr="008C1E51">
        <w:rPr>
          <w:rFonts w:eastAsia="Times New Roman" w:cs="Times New Roman"/>
          <w:szCs w:val="20"/>
          <w:lang w:eastAsia="pl-PL"/>
        </w:rPr>
        <w:t xml:space="preserve"> </w:t>
      </w:r>
      <w:r w:rsidRPr="008C1E51">
        <w:rPr>
          <w:rFonts w:eastAsia="Times New Roman" w:cs="Arial"/>
          <w:szCs w:val="20"/>
          <w:lang w:eastAsia="pl-PL"/>
        </w:rPr>
        <w:t>funkcjonowania parku narodowego.</w:t>
      </w:r>
    </w:p>
    <w:p w14:paraId="27697E88" w14:textId="77777777" w:rsidR="008C1E51" w:rsidRPr="008C1E51" w:rsidRDefault="008C1E51" w:rsidP="008C1E51">
      <w:pPr>
        <w:spacing w:before="120" w:after="120" w:line="276" w:lineRule="auto"/>
        <w:rPr>
          <w:rFonts w:eastAsia="Times New Roman" w:cs="Arial"/>
          <w:szCs w:val="20"/>
          <w:lang w:eastAsia="pl-PL"/>
        </w:rPr>
      </w:pPr>
      <w:r w:rsidRPr="008C1E51">
        <w:rPr>
          <w:rFonts w:eastAsia="Times New Roman" w:cs="Arial"/>
          <w:szCs w:val="20"/>
          <w:lang w:eastAsia="pl-PL"/>
        </w:rPr>
        <w:t xml:space="preserve">Rada Naukowa w latach 2019-2022 r odbyła 5 posiedzeń, które zostały udokumentowane przez spisanie protokołów. Dyrektor Parku zwrócił uwagę, iż na częstotliwość posiedzeń Rady w tym okresie miała wpływ pandemia koronawirusa Covid-19. Zwykle posiedzenia Rady Naukowej </w:t>
      </w:r>
      <w:proofErr w:type="spellStart"/>
      <w:r w:rsidRPr="008C1E51">
        <w:rPr>
          <w:rFonts w:eastAsia="Times New Roman" w:cs="Arial"/>
          <w:szCs w:val="20"/>
          <w:lang w:eastAsia="pl-PL"/>
        </w:rPr>
        <w:t>BdPN</w:t>
      </w:r>
      <w:proofErr w:type="spellEnd"/>
      <w:r w:rsidRPr="008C1E51">
        <w:rPr>
          <w:rFonts w:eastAsia="Times New Roman" w:cs="Arial"/>
          <w:szCs w:val="20"/>
          <w:lang w:eastAsia="pl-PL"/>
        </w:rPr>
        <w:t xml:space="preserve"> odbywały się 2 razy w roku</w:t>
      </w:r>
      <w:r w:rsidRPr="008C1E51">
        <w:rPr>
          <w:rFonts w:eastAsia="Times New Roman" w:cs="Arial"/>
          <w:szCs w:val="20"/>
          <w:vertAlign w:val="superscript"/>
          <w:lang w:eastAsia="pl-PL"/>
        </w:rPr>
        <w:footnoteReference w:id="40"/>
      </w:r>
      <w:r w:rsidRPr="008C1E51">
        <w:rPr>
          <w:rFonts w:eastAsia="Times New Roman" w:cs="Arial"/>
          <w:szCs w:val="20"/>
          <w:lang w:eastAsia="pl-PL"/>
        </w:rPr>
        <w:t>.</w:t>
      </w:r>
    </w:p>
    <w:p w14:paraId="1527DF88" w14:textId="77777777" w:rsidR="008C1E51" w:rsidRPr="008C1E51" w:rsidRDefault="008C1E51" w:rsidP="008C1E51">
      <w:pPr>
        <w:spacing w:before="120" w:after="120" w:line="276" w:lineRule="auto"/>
      </w:pPr>
      <w:r w:rsidRPr="008C1E51">
        <w:rPr>
          <w:rFonts w:eastAsia="Times New Roman" w:cs="Arial"/>
          <w:szCs w:val="20"/>
          <w:lang w:eastAsia="pl-PL"/>
        </w:rPr>
        <w:lastRenderedPageBreak/>
        <w:t>W okresie objętym kontrolą Rada zaopiniowała projekt zadań ochronnych, a na jednym spotkaniu przedstawiono wniosek i opinię w sprawie ochrony przyrody i funkcjonowania parku narodowego (potrzeba kontynuacji monitoringu przyrodniczego).</w:t>
      </w:r>
      <w:r w:rsidRPr="008C1E51">
        <w:t xml:space="preserve">  </w:t>
      </w:r>
    </w:p>
    <w:p w14:paraId="35B719C2" w14:textId="77777777" w:rsidR="008C1E51" w:rsidRPr="008C1E51" w:rsidRDefault="008C1E51" w:rsidP="008C1E51">
      <w:pPr>
        <w:spacing w:before="120" w:after="120" w:line="276" w:lineRule="auto"/>
        <w:rPr>
          <w:rFonts w:eastAsia="Times New Roman" w:cs="Arial"/>
          <w:szCs w:val="20"/>
          <w:lang w:eastAsia="pl-PL"/>
        </w:rPr>
      </w:pPr>
      <w:r w:rsidRPr="008C1E51">
        <w:t xml:space="preserve">Dyrektor Parku nie przekazywał </w:t>
      </w:r>
      <w:r w:rsidRPr="008C1E51">
        <w:rPr>
          <w:rFonts w:eastAsia="Times New Roman" w:cs="Arial"/>
          <w:szCs w:val="20"/>
          <w:lang w:eastAsia="pl-PL"/>
        </w:rPr>
        <w:t>Radzie do opiniowania programów badawczych</w:t>
      </w:r>
      <w:r w:rsidRPr="008C1E51">
        <w:rPr>
          <w:rFonts w:eastAsia="Times New Roman" w:cs="Arial"/>
          <w:szCs w:val="20"/>
          <w:lang w:eastAsia="pl-PL"/>
        </w:rPr>
        <w:br/>
        <w:t xml:space="preserve">i naukowych w zakresie ochrony przyrody co było działaniem niezgodnym z art. 98 ust. 1 uop. </w:t>
      </w:r>
    </w:p>
    <w:p w14:paraId="4C63E78A" w14:textId="77777777" w:rsidR="008C1E51" w:rsidRPr="008C1E51" w:rsidRDefault="008C1E51" w:rsidP="008C1E51">
      <w:pPr>
        <w:spacing w:before="120" w:after="120" w:line="276" w:lineRule="auto"/>
        <w:rPr>
          <w:rFonts w:eastAsia="Times New Roman" w:cs="Arial"/>
          <w:szCs w:val="20"/>
          <w:lang w:eastAsia="pl-PL"/>
        </w:rPr>
      </w:pPr>
      <w:r w:rsidRPr="008C1E51">
        <w:rPr>
          <w:rFonts w:eastAsia="Times New Roman" w:cs="Arial"/>
          <w:szCs w:val="20"/>
          <w:lang w:eastAsia="pl-PL"/>
        </w:rPr>
        <w:t>W kwestii opiniowania przez Radę Naukową Parku programów naukowych i badawczych Dyrektor Parku wyjaśnił</w:t>
      </w:r>
      <w:r w:rsidRPr="008C1E51">
        <w:rPr>
          <w:rFonts w:eastAsia="Times New Roman" w:cs="Arial"/>
          <w:szCs w:val="20"/>
          <w:vertAlign w:val="superscript"/>
          <w:lang w:eastAsia="pl-PL"/>
        </w:rPr>
        <w:footnoteReference w:id="41"/>
      </w:r>
      <w:r w:rsidRPr="008C1E51">
        <w:rPr>
          <w:rFonts w:eastAsia="Times New Roman" w:cs="Arial"/>
          <w:szCs w:val="20"/>
          <w:lang w:eastAsia="pl-PL"/>
        </w:rPr>
        <w:t xml:space="preserve">, że tematy badawcze nie były opiniowane przez Radę Naukową Parku. Nie występował do Rady Naukowej o ich zaopiniowanie, gdyż metodyka wszystkich wymienionych wyżej tematów nie wiązała się z koniecznością ingerencji w środowisko przyrodnicze i nie miała bezpośredniego wpływu na wykonywanie bieżących zadań związanych z ochroną przyrody. Wnioski o udzielenie zezwolenia na badania naukowe </w:t>
      </w:r>
      <w:r w:rsidRPr="008C1E51">
        <w:rPr>
          <w:rFonts w:eastAsia="Times New Roman" w:cs="Arial"/>
          <w:szCs w:val="20"/>
          <w:lang w:eastAsia="pl-PL"/>
        </w:rPr>
        <w:br/>
        <w:t xml:space="preserve">(w ostatnich latach ok. 30 rocznie) spływały w różnych okresach roku. Posiedzenia Rady Naukowej odbywały się zwykle dwa razy w roku. Nie było możliwym pod względem organizacyjnym ani celowym, aby uzyskać zaopiniowanie w terminach określonych </w:t>
      </w:r>
      <w:r w:rsidRPr="008C1E51">
        <w:rPr>
          <w:rFonts w:eastAsia="Times New Roman" w:cs="Arial"/>
          <w:szCs w:val="20"/>
          <w:lang w:eastAsia="pl-PL"/>
        </w:rPr>
        <w:br/>
        <w:t xml:space="preserve">w kodeksie postępowania administracyjnego i przyjętych zwyczajach, wszystkich tematów badawczych. Rada Naukowa </w:t>
      </w:r>
      <w:proofErr w:type="spellStart"/>
      <w:r w:rsidRPr="008C1E51">
        <w:rPr>
          <w:rFonts w:eastAsia="Times New Roman" w:cs="Arial"/>
          <w:szCs w:val="20"/>
          <w:lang w:eastAsia="pl-PL"/>
        </w:rPr>
        <w:t>BdPN</w:t>
      </w:r>
      <w:proofErr w:type="spellEnd"/>
      <w:r w:rsidRPr="008C1E51">
        <w:rPr>
          <w:rFonts w:eastAsia="Times New Roman" w:cs="Arial"/>
          <w:szCs w:val="20"/>
          <w:lang w:eastAsia="pl-PL"/>
        </w:rPr>
        <w:t xml:space="preserve"> w okresie kontrolowanym nie opiniowała programów badawczych i naukowych w zakresie ochrony przyrody, gdyż o opinie takie </w:t>
      </w:r>
      <w:r w:rsidRPr="008C1E51">
        <w:rPr>
          <w:rFonts w:eastAsia="Times New Roman" w:cs="Arial"/>
          <w:szCs w:val="20"/>
          <w:lang w:eastAsia="pl-PL"/>
        </w:rPr>
        <w:br/>
        <w:t xml:space="preserve">w dotychczasowej 50-cio letniej praktyce funkcjonowania </w:t>
      </w:r>
      <w:proofErr w:type="spellStart"/>
      <w:r w:rsidRPr="008C1E51">
        <w:rPr>
          <w:rFonts w:eastAsia="Times New Roman" w:cs="Arial"/>
          <w:szCs w:val="20"/>
          <w:lang w:eastAsia="pl-PL"/>
        </w:rPr>
        <w:t>BdPN</w:t>
      </w:r>
      <w:proofErr w:type="spellEnd"/>
      <w:r w:rsidRPr="008C1E51">
        <w:rPr>
          <w:rFonts w:eastAsia="Times New Roman" w:cs="Arial"/>
          <w:szCs w:val="20"/>
          <w:lang w:eastAsia="pl-PL"/>
        </w:rPr>
        <w:t xml:space="preserve"> proszono jedynie wyjątkowo (często poszczególnych członków Rady – specjalistów w danej dziedzinie), </w:t>
      </w:r>
      <w:r w:rsidRPr="008C1E51">
        <w:rPr>
          <w:rFonts w:eastAsia="Times New Roman" w:cs="Arial"/>
          <w:szCs w:val="20"/>
          <w:lang w:eastAsia="pl-PL"/>
        </w:rPr>
        <w:br/>
        <w:t>w przypadku badań szczególnie inwazyjnych, mogących mieć znacząco negatywny wpływ na przyrodę Parku. Zgodnie zarządzeniem nr 34 Dyrektora Bieszczadzkiego Parku Narodowego z dnia 10 stycznia 2013 roku w sprawie udostępnienia obszaru Bieszczadzkiego Parku Narodowego do badań naukowych Dyrektor Parku może zasięgać opinii Rady Naukowej Parku przed decyzją o wydaniu zezwolenia w przypadku prac badawczych wymagających znacznej ingerencji w środowisko przyrodnicze. Zgody na jakiekolwiek badania związane z odławianiem gatunków zwierząt i zbiór roślin lub wymagające naruszenia innych zakazów określonych w art. 15, ust.1 uop były wydawane przez Ministra właściwego ds. środowiska. W przypadku, gdy planowana metodyka prowadzonych badań naukowych naruszała przepisy ochrony przyrody obowiązujące w art. 15 cytowanej Ustawy Dyrektor Parku mógł wydać zezwolenie na badania dopiero po uzyskaniu przez wnioskodawcę stosownego zezwolenia Ministra Klimatu i Środowiska.</w:t>
      </w:r>
    </w:p>
    <w:p w14:paraId="2FB67E96" w14:textId="3362065F" w:rsidR="008C1E51" w:rsidRPr="008C1E51" w:rsidRDefault="008C1E51" w:rsidP="008C1E51">
      <w:pPr>
        <w:spacing w:before="120" w:after="120" w:line="276" w:lineRule="auto"/>
        <w:rPr>
          <w:rFonts w:eastAsia="Times New Roman" w:cs="Arial"/>
          <w:szCs w:val="20"/>
          <w:lang w:eastAsia="pl-PL"/>
        </w:rPr>
      </w:pPr>
      <w:r w:rsidRPr="008C1E51">
        <w:rPr>
          <w:rFonts w:eastAsia="Times New Roman" w:cs="Arial"/>
          <w:szCs w:val="20"/>
          <w:lang w:eastAsia="pl-PL"/>
        </w:rPr>
        <w:t xml:space="preserve">Dyrektor Parku podniósł, że według uop do zadań rady naukowej parku narodowego należy w szczególności: opiniowanie programów badawczych i naukowych w zakresie ochrony przyrody, czyli pod względem ich wpływu na ochronę przyrody. Ponieważ rada naukowa jest organem opiniodawczo-doradczym działającym społecznie przy dyrektorze parku narodowego, zdaniem Dyrektora Parku, nie powinno się obciążać jej sprawami, co do których dyrektor i służby parku narodowego zdolne są samodzielnie dokonać rozstrzygnięć. Metodyka przeważającej części prowadzonych badań polegała na nieinwazyjnych obserwacjach i pomiarach nieingerujących w środowisko przyrodnicze, stąd też ich </w:t>
      </w:r>
      <w:r w:rsidRPr="008C1E51">
        <w:rPr>
          <w:rFonts w:eastAsia="Times New Roman" w:cs="Arial"/>
          <w:szCs w:val="20"/>
          <w:lang w:eastAsia="pl-PL"/>
        </w:rPr>
        <w:lastRenderedPageBreak/>
        <w:t xml:space="preserve">opiniowanie „w zakresie ochrony przyrody” byłoby niecelowym i niepotrzebnym obciążeniem członków Rady Naukowej. Zwrócił uwagę, że członkowie Rady Naukowej nie pobierali żadnego wynagrodzenia za swoją pracę. Natomiast w przypadku wszelkich działań potencjalnie naruszających zakazy obowiązujące w parku narodowym, do sprawy włączany był organ </w:t>
      </w:r>
      <w:r w:rsidR="00211832" w:rsidRPr="008C1E51">
        <w:rPr>
          <w:rFonts w:eastAsia="Times New Roman" w:cs="Arial"/>
          <w:szCs w:val="20"/>
          <w:lang w:eastAsia="pl-PL"/>
        </w:rPr>
        <w:t>nadrzędny,</w:t>
      </w:r>
      <w:r w:rsidRPr="008C1E51">
        <w:rPr>
          <w:rFonts w:eastAsia="Times New Roman" w:cs="Arial"/>
          <w:szCs w:val="20"/>
          <w:lang w:eastAsia="pl-PL"/>
        </w:rPr>
        <w:t xml:space="preserve"> czyli Minister Klimatu i Środowiska. Zgodnie zarządzeniami </w:t>
      </w:r>
      <w:proofErr w:type="spellStart"/>
      <w:r w:rsidRPr="008C1E51">
        <w:rPr>
          <w:rFonts w:eastAsia="Times New Roman" w:cs="Arial"/>
          <w:szCs w:val="20"/>
          <w:lang w:eastAsia="pl-PL"/>
        </w:rPr>
        <w:t>ws</w:t>
      </w:r>
      <w:proofErr w:type="spellEnd"/>
      <w:r w:rsidRPr="008C1E51">
        <w:rPr>
          <w:rFonts w:eastAsia="Times New Roman" w:cs="Arial"/>
          <w:szCs w:val="20"/>
          <w:lang w:eastAsia="pl-PL"/>
        </w:rPr>
        <w:t>. zadań ochronnych, ustalono miejsca udostępniane w celach naukowych jako „obszary ochrony ścisłej i czynnej” oraz maksymalną liczbę osób mogących przebywać jednocześnie</w:t>
      </w:r>
      <w:r w:rsidRPr="008C1E51">
        <w:rPr>
          <w:rFonts w:eastAsia="Times New Roman" w:cs="Arial"/>
          <w:szCs w:val="20"/>
          <w:lang w:eastAsia="pl-PL"/>
        </w:rPr>
        <w:br/>
        <w:t>w danym miejscu określono na 100. Udzielone zezwolenia nie przekraczały wskazanych</w:t>
      </w:r>
      <w:r w:rsidRPr="008C1E51">
        <w:rPr>
          <w:rFonts w:eastAsia="Times New Roman" w:cs="Arial"/>
          <w:szCs w:val="20"/>
          <w:lang w:eastAsia="pl-PL"/>
        </w:rPr>
        <w:br/>
        <w:t xml:space="preserve">w zarządzeniach limitów. Rada Naukowa Bieszczadzkiego Parku Narodowego opiniowała taki sposób udostępnienia </w:t>
      </w:r>
      <w:proofErr w:type="spellStart"/>
      <w:r w:rsidRPr="008C1E51">
        <w:rPr>
          <w:rFonts w:eastAsia="Times New Roman" w:cs="Arial"/>
          <w:szCs w:val="20"/>
          <w:lang w:eastAsia="pl-PL"/>
        </w:rPr>
        <w:t>BdPN</w:t>
      </w:r>
      <w:proofErr w:type="spellEnd"/>
      <w:r w:rsidRPr="008C1E51">
        <w:rPr>
          <w:rFonts w:eastAsia="Times New Roman" w:cs="Arial"/>
          <w:szCs w:val="20"/>
          <w:lang w:eastAsia="pl-PL"/>
        </w:rPr>
        <w:t xml:space="preserve"> do badań naukowych na posiedzeniach dotyczących całości zadań ochronnych.</w:t>
      </w:r>
    </w:p>
    <w:p w14:paraId="07231816"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I/1469-1528</w:t>
      </w:r>
      <w:r w:rsidRPr="008C1E51">
        <w:rPr>
          <w:rFonts w:eastAsia="Times New Roman" w:cs="Times New Roman"/>
          <w:lang w:eastAsia="pl-PL"/>
        </w:rPr>
        <w:t>]</w:t>
      </w:r>
    </w:p>
    <w:p w14:paraId="685FC46E" w14:textId="77777777" w:rsidR="008C1E51" w:rsidRPr="008C1E51" w:rsidRDefault="008C1E51" w:rsidP="008C1E51">
      <w:pPr>
        <w:spacing w:before="120" w:after="120" w:line="276" w:lineRule="auto"/>
        <w:rPr>
          <w:rFonts w:eastAsia="Times New Roman" w:cs="Times New Roman"/>
          <w:szCs w:val="20"/>
          <w:lang w:eastAsia="pl-PL"/>
        </w:rPr>
      </w:pPr>
      <w:r w:rsidRPr="008C1E51">
        <w:rPr>
          <w:rFonts w:eastAsia="Times New Roman" w:cs="Arial"/>
          <w:szCs w:val="20"/>
          <w:lang w:eastAsia="pl-PL"/>
        </w:rPr>
        <w:t>Zdaniem Kontrolującego uop nakłada obowiązek opiniowania wszystkich programów badawczych i naukowych przez Radę Naukową Parku.</w:t>
      </w:r>
      <w:r w:rsidRPr="008C1E51">
        <w:rPr>
          <w:rFonts w:eastAsia="Calibri" w:cs="Arial"/>
          <w:szCs w:val="20"/>
        </w:rPr>
        <w:t xml:space="preserve"> Wewnętrzne regulacje Parku ograniczające funkcję opiniodawczą Rady do analizy spraw wyjątkowych, stoją</w:t>
      </w:r>
      <w:r w:rsidRPr="008C1E51">
        <w:rPr>
          <w:rFonts w:eastAsia="Calibri" w:cs="Arial"/>
          <w:szCs w:val="20"/>
        </w:rPr>
        <w:br/>
        <w:t>w sprzeczności z zapisami Ustawy.</w:t>
      </w:r>
    </w:p>
    <w:p w14:paraId="3CFF91E5" w14:textId="77777777" w:rsidR="008C1E51" w:rsidRPr="008C1E51" w:rsidRDefault="008C1E51" w:rsidP="008C1E51">
      <w:pPr>
        <w:spacing w:before="120" w:after="120" w:line="276" w:lineRule="auto"/>
        <w:rPr>
          <w:rFonts w:eastAsia="Calibri" w:cs="Times New Roman"/>
          <w:iCs/>
          <w:szCs w:val="20"/>
          <w:u w:val="single"/>
        </w:rPr>
      </w:pPr>
      <w:r w:rsidRPr="008C1E51">
        <w:rPr>
          <w:rFonts w:eastAsia="Calibri" w:cs="Times New Roman"/>
          <w:iCs/>
          <w:szCs w:val="20"/>
          <w:u w:val="single"/>
        </w:rPr>
        <w:t>Odstrzały redukcyjne</w:t>
      </w:r>
    </w:p>
    <w:p w14:paraId="338CC12E" w14:textId="77777777" w:rsidR="008C1E51" w:rsidRPr="008C1E51" w:rsidRDefault="008C1E51" w:rsidP="008C1E51">
      <w:pPr>
        <w:spacing w:before="120" w:after="120" w:line="276" w:lineRule="auto"/>
        <w:rPr>
          <w:rFonts w:eastAsia="Calibri" w:cs="Times New Roman"/>
          <w:iCs/>
          <w:szCs w:val="20"/>
        </w:rPr>
      </w:pPr>
      <w:r w:rsidRPr="008C1E51">
        <w:rPr>
          <w:rFonts w:eastAsia="Calibri" w:cs="Times New Roman"/>
          <w:iCs/>
          <w:szCs w:val="20"/>
        </w:rPr>
        <w:t>W okresie objętym kontrolą pracownicy Parku wykonali 10 odstrzałów sanitarnych dzików na polecenie Wojewódzkiego Lekarza Weterynarii w związku z zagrożeniem ASF.</w:t>
      </w:r>
    </w:p>
    <w:p w14:paraId="39DBC406" w14:textId="77777777" w:rsidR="008C1E51" w:rsidRPr="008C1E51" w:rsidRDefault="008C1E51" w:rsidP="008C1E51">
      <w:pPr>
        <w:spacing w:before="120" w:after="120" w:line="276" w:lineRule="auto"/>
        <w:rPr>
          <w:rFonts w:eastAsia="Calibri" w:cs="Times New Roman"/>
          <w:iCs/>
          <w:szCs w:val="20"/>
        </w:rPr>
      </w:pPr>
      <w:r w:rsidRPr="008C1E51">
        <w:rPr>
          <w:rFonts w:eastAsia="Calibri" w:cs="Times New Roman"/>
          <w:iCs/>
          <w:szCs w:val="20"/>
        </w:rPr>
        <w:t>Nie dokonywano odstrzałów redukcyjnych.</w:t>
      </w:r>
    </w:p>
    <w:p w14:paraId="3EFBEA81"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244-245</w:t>
      </w:r>
      <w:r w:rsidRPr="008C1E51">
        <w:rPr>
          <w:rFonts w:eastAsia="Times New Roman" w:cs="Times New Roman"/>
          <w:lang w:eastAsia="pl-PL"/>
        </w:rPr>
        <w:t>]</w:t>
      </w:r>
    </w:p>
    <w:p w14:paraId="616025E9" w14:textId="77777777" w:rsidR="008C1E51" w:rsidRPr="008C1E51" w:rsidRDefault="008C1E51" w:rsidP="008C1E51">
      <w:pPr>
        <w:spacing w:before="120" w:after="120" w:line="276" w:lineRule="auto"/>
        <w:rPr>
          <w:rFonts w:eastAsia="Calibri" w:cs="Times New Roman"/>
          <w:iCs/>
          <w:szCs w:val="20"/>
          <w:u w:val="single"/>
        </w:rPr>
      </w:pPr>
      <w:r w:rsidRPr="008C1E51">
        <w:rPr>
          <w:rFonts w:eastAsia="Calibri" w:cs="Times New Roman"/>
          <w:iCs/>
          <w:szCs w:val="20"/>
          <w:u w:val="single"/>
        </w:rPr>
        <w:t>Sprzedaż drewna</w:t>
      </w:r>
    </w:p>
    <w:p w14:paraId="409B4DB0" w14:textId="77777777" w:rsidR="008C1E51" w:rsidRPr="008C1E51" w:rsidRDefault="008C1E51" w:rsidP="008C1E51">
      <w:pPr>
        <w:spacing w:before="120" w:after="120" w:line="276" w:lineRule="auto"/>
        <w:rPr>
          <w:rFonts w:cs="Times New Roman"/>
          <w:szCs w:val="20"/>
        </w:rPr>
      </w:pPr>
      <w:r w:rsidRPr="008C1E51">
        <w:rPr>
          <w:rFonts w:cs="Times New Roman"/>
          <w:szCs w:val="20"/>
        </w:rPr>
        <w:t>W badanym okresie w Parku obowiązywały zasady sprzedaży drewna ustanowione Zarządzeniem Dyrektora Parku</w:t>
      </w:r>
      <w:r w:rsidRPr="008C1E51">
        <w:rPr>
          <w:szCs w:val="20"/>
          <w:vertAlign w:val="superscript"/>
        </w:rPr>
        <w:footnoteReference w:id="42"/>
      </w:r>
      <w:r w:rsidRPr="008C1E51">
        <w:rPr>
          <w:rFonts w:cs="Times New Roman"/>
          <w:szCs w:val="20"/>
        </w:rPr>
        <w:t xml:space="preserve">. Drewno było sprzedawane w trzech trybach: przetargu, sprzedaży na podstawie cennika sprzedaży drewna ustalonego po zakończonym przetargu lub na podstawie corocznego zarządzenia dotyczącego sprzedaży drewna opałowego określającego udział sortymentów i ceny pakietów opałowych. Z nabywcami zawierano pisemne umowy sprzedaży. Z określonymi wyjątkami odbiór drewna był możliwy po dokonaniu przedpłaty. Do 2 lutego 2022 r. w przypadkach, w których kupujący posiadał </w:t>
      </w:r>
      <w:r w:rsidRPr="008C1E51">
        <w:rPr>
          <w:rFonts w:cs="Times New Roman"/>
          <w:szCs w:val="20"/>
        </w:rPr>
        <w:br/>
        <w:t xml:space="preserve">w ciągu 2 lat od daty przetargu historię zakupu drewna na kwotę określoną w ogłoszeniu </w:t>
      </w:r>
      <w:r w:rsidRPr="008C1E51">
        <w:rPr>
          <w:rFonts w:cs="Times New Roman"/>
          <w:szCs w:val="20"/>
        </w:rPr>
        <w:br/>
        <w:t xml:space="preserve">o przetargu, miał możliwość dokonywania płatności po odbiorze drewna.  </w:t>
      </w:r>
    </w:p>
    <w:p w14:paraId="21001DF3" w14:textId="0ABF1F21" w:rsidR="008C1E51" w:rsidRPr="008C1E51" w:rsidRDefault="008C1E51" w:rsidP="008C1E51">
      <w:pPr>
        <w:spacing w:before="120" w:after="120" w:line="276" w:lineRule="auto"/>
        <w:rPr>
          <w:rFonts w:cs="Times New Roman"/>
          <w:szCs w:val="20"/>
        </w:rPr>
      </w:pPr>
      <w:r w:rsidRPr="008C1E51">
        <w:rPr>
          <w:rFonts w:cs="Times New Roman"/>
          <w:szCs w:val="20"/>
        </w:rPr>
        <w:t xml:space="preserve">Ceny sprzedaży drewna były ustalane przez Dyrektora jednorazowo na dany rok kalendarzowy. Dyrektor ustalał także ofertę sprzedaży drewna, która określała pulę drewna na przetarg, na potrzeby własne Parku, na potrzeby pracowników, rencistów i emerytów oraz mieszkańców głównego kompleksu Parku. W przypadku </w:t>
      </w:r>
      <w:r w:rsidR="00211832" w:rsidRPr="008C1E51">
        <w:rPr>
          <w:rFonts w:cs="Times New Roman"/>
          <w:szCs w:val="20"/>
        </w:rPr>
        <w:t>niewyczerpania</w:t>
      </w:r>
      <w:r w:rsidRPr="008C1E51">
        <w:rPr>
          <w:rFonts w:cs="Times New Roman"/>
          <w:szCs w:val="20"/>
        </w:rPr>
        <w:t xml:space="preserve"> powyższych </w:t>
      </w:r>
      <w:r w:rsidRPr="008C1E51">
        <w:rPr>
          <w:rFonts w:cs="Times New Roman"/>
          <w:szCs w:val="20"/>
        </w:rPr>
        <w:lastRenderedPageBreak/>
        <w:t xml:space="preserve">pul, Dyrektor mógł podjąć decyzję o sprzedaży pozostającej masy także nabywcom nie będącymi mieszkańcami obszaru </w:t>
      </w:r>
      <w:r w:rsidR="00211832" w:rsidRPr="008C1E51">
        <w:rPr>
          <w:rFonts w:cs="Times New Roman"/>
          <w:szCs w:val="20"/>
        </w:rPr>
        <w:t>Parku</w:t>
      </w:r>
      <w:r w:rsidR="00577AC0">
        <w:rPr>
          <w:rFonts w:cs="Times New Roman"/>
          <w:szCs w:val="20"/>
        </w:rPr>
        <w:t>,</w:t>
      </w:r>
      <w:r w:rsidRPr="008C1E51">
        <w:rPr>
          <w:rFonts w:cs="Times New Roman"/>
          <w:szCs w:val="20"/>
        </w:rPr>
        <w:t xml:space="preserve"> ani jego otuliny.</w:t>
      </w:r>
    </w:p>
    <w:p w14:paraId="1C89B1EB"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W okresie od 1 stycznia 2019 r. do 30 września 2022 r. Park osiągnął przychody ze sprzedaży drewna w łącznej wysokości 2 120 478,13 zł, w tym 1 658 510,92 zł z tytułu sprzedaży drewna odbiorcom hurtowym i 461 967,21 zł z tytułu sprzedaży drewna odbiorcom detalicznym. Kwoty przychodu w poszczególnych latach przedstawia poniższa tabela.</w:t>
      </w:r>
    </w:p>
    <w:tbl>
      <w:tblPr>
        <w:tblStyle w:val="Tabela-Siatka4"/>
        <w:tblW w:w="0" w:type="auto"/>
        <w:tblLayout w:type="fixed"/>
        <w:tblLook w:val="04A0" w:firstRow="1" w:lastRow="0" w:firstColumn="1" w:lastColumn="0" w:noHBand="0" w:noVBand="1"/>
      </w:tblPr>
      <w:tblGrid>
        <w:gridCol w:w="1234"/>
        <w:gridCol w:w="1455"/>
        <w:gridCol w:w="830"/>
        <w:gridCol w:w="1072"/>
        <w:gridCol w:w="1358"/>
        <w:gridCol w:w="905"/>
        <w:gridCol w:w="1072"/>
      </w:tblGrid>
      <w:tr w:rsidR="008C1E51" w:rsidRPr="008C1E51" w14:paraId="7B0A733E" w14:textId="77777777" w:rsidTr="00B17912">
        <w:tc>
          <w:tcPr>
            <w:tcW w:w="1234" w:type="dxa"/>
            <w:vMerge w:val="restart"/>
            <w:tcBorders>
              <w:top w:val="single" w:sz="4" w:space="0" w:color="auto"/>
              <w:left w:val="single" w:sz="4" w:space="0" w:color="auto"/>
              <w:bottom w:val="single" w:sz="4" w:space="0" w:color="auto"/>
              <w:right w:val="single" w:sz="4" w:space="0" w:color="auto"/>
            </w:tcBorders>
            <w:hideMark/>
          </w:tcPr>
          <w:p w14:paraId="697B5883" w14:textId="77777777" w:rsidR="008C1E51" w:rsidRPr="008C1E51" w:rsidRDefault="008C1E51" w:rsidP="008C1E51">
            <w:pPr>
              <w:spacing w:before="120" w:after="120" w:line="276" w:lineRule="auto"/>
              <w:jc w:val="center"/>
              <w:rPr>
                <w:b/>
                <w:bCs/>
                <w:szCs w:val="20"/>
              </w:rPr>
            </w:pPr>
            <w:r w:rsidRPr="008C1E51">
              <w:rPr>
                <w:b/>
                <w:bCs/>
                <w:szCs w:val="20"/>
              </w:rPr>
              <w:t>Rok</w:t>
            </w:r>
          </w:p>
        </w:tc>
        <w:tc>
          <w:tcPr>
            <w:tcW w:w="3357" w:type="dxa"/>
            <w:gridSpan w:val="3"/>
            <w:tcBorders>
              <w:top w:val="single" w:sz="4" w:space="0" w:color="auto"/>
              <w:left w:val="single" w:sz="4" w:space="0" w:color="auto"/>
              <w:bottom w:val="single" w:sz="4" w:space="0" w:color="auto"/>
              <w:right w:val="single" w:sz="4" w:space="0" w:color="auto"/>
            </w:tcBorders>
            <w:hideMark/>
          </w:tcPr>
          <w:p w14:paraId="3BFF991E" w14:textId="77777777" w:rsidR="008C1E51" w:rsidRPr="008C1E51" w:rsidRDefault="008C1E51" w:rsidP="008C1E51">
            <w:pPr>
              <w:spacing w:before="120" w:after="120" w:line="276" w:lineRule="auto"/>
              <w:jc w:val="center"/>
              <w:rPr>
                <w:b/>
                <w:bCs/>
                <w:szCs w:val="20"/>
              </w:rPr>
            </w:pPr>
            <w:r w:rsidRPr="008C1E51">
              <w:rPr>
                <w:b/>
                <w:bCs/>
                <w:szCs w:val="20"/>
              </w:rPr>
              <w:t>Odbiorcy hurtowi</w:t>
            </w:r>
          </w:p>
        </w:tc>
        <w:tc>
          <w:tcPr>
            <w:tcW w:w="3335" w:type="dxa"/>
            <w:gridSpan w:val="3"/>
            <w:tcBorders>
              <w:top w:val="single" w:sz="4" w:space="0" w:color="auto"/>
              <w:left w:val="single" w:sz="4" w:space="0" w:color="auto"/>
              <w:bottom w:val="single" w:sz="4" w:space="0" w:color="auto"/>
              <w:right w:val="single" w:sz="4" w:space="0" w:color="auto"/>
            </w:tcBorders>
            <w:hideMark/>
          </w:tcPr>
          <w:p w14:paraId="57A1F395" w14:textId="77777777" w:rsidR="008C1E51" w:rsidRPr="008C1E51" w:rsidRDefault="008C1E51" w:rsidP="008C1E51">
            <w:pPr>
              <w:spacing w:before="120" w:after="120" w:line="276" w:lineRule="auto"/>
              <w:jc w:val="center"/>
              <w:rPr>
                <w:b/>
                <w:bCs/>
                <w:szCs w:val="20"/>
              </w:rPr>
            </w:pPr>
            <w:r w:rsidRPr="008C1E51">
              <w:rPr>
                <w:b/>
                <w:bCs/>
                <w:szCs w:val="20"/>
              </w:rPr>
              <w:t>Odbiorcy detaliczni</w:t>
            </w:r>
          </w:p>
        </w:tc>
      </w:tr>
      <w:tr w:rsidR="008C1E51" w:rsidRPr="008C1E51" w14:paraId="43435AE1" w14:textId="77777777" w:rsidTr="00B17912">
        <w:tc>
          <w:tcPr>
            <w:tcW w:w="1234" w:type="dxa"/>
            <w:vMerge/>
            <w:tcBorders>
              <w:top w:val="single" w:sz="4" w:space="0" w:color="auto"/>
              <w:left w:val="single" w:sz="4" w:space="0" w:color="auto"/>
              <w:bottom w:val="single" w:sz="4" w:space="0" w:color="auto"/>
              <w:right w:val="single" w:sz="4" w:space="0" w:color="auto"/>
            </w:tcBorders>
            <w:vAlign w:val="center"/>
            <w:hideMark/>
          </w:tcPr>
          <w:p w14:paraId="5AF402BD" w14:textId="77777777" w:rsidR="008C1E51" w:rsidRPr="008C1E51" w:rsidRDefault="008C1E51" w:rsidP="008C1E51">
            <w:pPr>
              <w:spacing w:before="120" w:after="120" w:line="276" w:lineRule="auto"/>
              <w:rPr>
                <w:b/>
                <w:bCs/>
                <w:szCs w:val="20"/>
              </w:rPr>
            </w:pPr>
          </w:p>
        </w:tc>
        <w:tc>
          <w:tcPr>
            <w:tcW w:w="1455" w:type="dxa"/>
            <w:tcBorders>
              <w:top w:val="single" w:sz="4" w:space="0" w:color="auto"/>
              <w:left w:val="single" w:sz="4" w:space="0" w:color="auto"/>
              <w:bottom w:val="single" w:sz="4" w:space="0" w:color="auto"/>
              <w:right w:val="single" w:sz="4" w:space="0" w:color="auto"/>
            </w:tcBorders>
            <w:hideMark/>
          </w:tcPr>
          <w:p w14:paraId="5E19F82E" w14:textId="77777777" w:rsidR="008C1E51" w:rsidRPr="008C1E51" w:rsidRDefault="008C1E51" w:rsidP="008C1E51">
            <w:pPr>
              <w:spacing w:before="120" w:after="120" w:line="276" w:lineRule="auto"/>
              <w:rPr>
                <w:b/>
                <w:bCs/>
                <w:szCs w:val="20"/>
              </w:rPr>
            </w:pPr>
            <w:r w:rsidRPr="008C1E51">
              <w:rPr>
                <w:b/>
                <w:bCs/>
                <w:szCs w:val="20"/>
              </w:rPr>
              <w:t>Kwota przychodu (zł)</w:t>
            </w:r>
          </w:p>
        </w:tc>
        <w:tc>
          <w:tcPr>
            <w:tcW w:w="830" w:type="dxa"/>
            <w:tcBorders>
              <w:top w:val="single" w:sz="4" w:space="0" w:color="auto"/>
              <w:left w:val="single" w:sz="4" w:space="0" w:color="auto"/>
              <w:bottom w:val="single" w:sz="4" w:space="0" w:color="auto"/>
              <w:right w:val="single" w:sz="4" w:space="0" w:color="auto"/>
            </w:tcBorders>
          </w:tcPr>
          <w:p w14:paraId="2552EFA7" w14:textId="77777777" w:rsidR="008C1E51" w:rsidRPr="008C1E51" w:rsidRDefault="008C1E51" w:rsidP="008C1E51">
            <w:pPr>
              <w:spacing w:before="120" w:after="120" w:line="276" w:lineRule="auto"/>
              <w:rPr>
                <w:b/>
                <w:bCs/>
                <w:szCs w:val="20"/>
              </w:rPr>
            </w:pPr>
            <w:r w:rsidRPr="008C1E51">
              <w:rPr>
                <w:b/>
                <w:bCs/>
                <w:szCs w:val="20"/>
              </w:rPr>
              <w:t>Liczba transakcji</w:t>
            </w:r>
          </w:p>
          <w:p w14:paraId="79C0A591" w14:textId="77777777" w:rsidR="008C1E51" w:rsidRPr="008C1E51" w:rsidRDefault="008C1E51" w:rsidP="008C1E51">
            <w:pPr>
              <w:spacing w:before="120" w:after="120" w:line="276" w:lineRule="auto"/>
              <w:rPr>
                <w:b/>
                <w:bCs/>
                <w:szCs w:val="20"/>
              </w:rPr>
            </w:pPr>
          </w:p>
        </w:tc>
        <w:tc>
          <w:tcPr>
            <w:tcW w:w="1072" w:type="dxa"/>
            <w:tcBorders>
              <w:top w:val="single" w:sz="4" w:space="0" w:color="auto"/>
              <w:left w:val="single" w:sz="4" w:space="0" w:color="auto"/>
              <w:bottom w:val="single" w:sz="4" w:space="0" w:color="auto"/>
              <w:right w:val="single" w:sz="4" w:space="0" w:color="auto"/>
            </w:tcBorders>
          </w:tcPr>
          <w:p w14:paraId="6E9CABF3" w14:textId="77777777" w:rsidR="008C1E51" w:rsidRPr="008C1E51" w:rsidRDefault="008C1E51" w:rsidP="008C1E51">
            <w:pPr>
              <w:spacing w:before="120" w:after="120" w:line="276" w:lineRule="auto"/>
              <w:rPr>
                <w:b/>
                <w:bCs/>
                <w:szCs w:val="20"/>
              </w:rPr>
            </w:pPr>
            <w:r w:rsidRPr="008C1E51">
              <w:rPr>
                <w:b/>
                <w:bCs/>
                <w:szCs w:val="20"/>
              </w:rPr>
              <w:t>Ilość drewna</w:t>
            </w:r>
          </w:p>
          <w:p w14:paraId="0B7D8849" w14:textId="77777777" w:rsidR="008C1E51" w:rsidRPr="008C1E51" w:rsidRDefault="008C1E51" w:rsidP="008C1E51">
            <w:pPr>
              <w:spacing w:before="120" w:after="120" w:line="276" w:lineRule="auto"/>
              <w:rPr>
                <w:b/>
                <w:bCs/>
                <w:szCs w:val="20"/>
              </w:rPr>
            </w:pPr>
            <w:r w:rsidRPr="008C1E51">
              <w:rPr>
                <w:b/>
                <w:bCs/>
                <w:szCs w:val="20"/>
              </w:rPr>
              <w:t>(m</w:t>
            </w:r>
            <w:r w:rsidRPr="008C1E51">
              <w:rPr>
                <w:b/>
                <w:bCs/>
                <w:szCs w:val="20"/>
                <w:vertAlign w:val="superscript"/>
              </w:rPr>
              <w:t>3</w:t>
            </w:r>
            <w:r w:rsidRPr="008C1E51">
              <w:rPr>
                <w:b/>
                <w:bCs/>
                <w:szCs w:val="20"/>
              </w:rPr>
              <w:t>)</w:t>
            </w:r>
          </w:p>
        </w:tc>
        <w:tc>
          <w:tcPr>
            <w:tcW w:w="1358" w:type="dxa"/>
            <w:tcBorders>
              <w:top w:val="single" w:sz="4" w:space="0" w:color="auto"/>
              <w:left w:val="single" w:sz="4" w:space="0" w:color="auto"/>
              <w:bottom w:val="single" w:sz="4" w:space="0" w:color="auto"/>
              <w:right w:val="single" w:sz="4" w:space="0" w:color="auto"/>
            </w:tcBorders>
            <w:hideMark/>
          </w:tcPr>
          <w:p w14:paraId="69E2077F" w14:textId="77777777" w:rsidR="008C1E51" w:rsidRPr="008C1E51" w:rsidRDefault="008C1E51" w:rsidP="008C1E51">
            <w:pPr>
              <w:spacing w:before="120" w:after="120" w:line="276" w:lineRule="auto"/>
              <w:rPr>
                <w:b/>
                <w:bCs/>
                <w:szCs w:val="20"/>
              </w:rPr>
            </w:pPr>
            <w:r w:rsidRPr="008C1E51">
              <w:rPr>
                <w:b/>
                <w:bCs/>
                <w:szCs w:val="20"/>
              </w:rPr>
              <w:t>Kwota przychodu (zł)</w:t>
            </w:r>
          </w:p>
        </w:tc>
        <w:tc>
          <w:tcPr>
            <w:tcW w:w="905" w:type="dxa"/>
            <w:tcBorders>
              <w:top w:val="single" w:sz="4" w:space="0" w:color="auto"/>
              <w:left w:val="single" w:sz="4" w:space="0" w:color="auto"/>
              <w:bottom w:val="single" w:sz="4" w:space="0" w:color="auto"/>
              <w:right w:val="single" w:sz="4" w:space="0" w:color="auto"/>
            </w:tcBorders>
          </w:tcPr>
          <w:p w14:paraId="1F468F12" w14:textId="77777777" w:rsidR="008C1E51" w:rsidRPr="008C1E51" w:rsidRDefault="008C1E51" w:rsidP="008C1E51">
            <w:pPr>
              <w:spacing w:before="120" w:after="120" w:line="276" w:lineRule="auto"/>
              <w:rPr>
                <w:b/>
                <w:bCs/>
                <w:szCs w:val="20"/>
              </w:rPr>
            </w:pPr>
            <w:r w:rsidRPr="008C1E51">
              <w:rPr>
                <w:b/>
                <w:bCs/>
                <w:szCs w:val="20"/>
              </w:rPr>
              <w:t>Liczba transakcji</w:t>
            </w:r>
          </w:p>
          <w:p w14:paraId="70EB69A5" w14:textId="77777777" w:rsidR="008C1E51" w:rsidRPr="008C1E51" w:rsidRDefault="008C1E51" w:rsidP="008C1E51">
            <w:pPr>
              <w:spacing w:before="120" w:after="120" w:line="276" w:lineRule="auto"/>
              <w:rPr>
                <w:b/>
                <w:bCs/>
                <w:szCs w:val="20"/>
              </w:rPr>
            </w:pPr>
          </w:p>
        </w:tc>
        <w:tc>
          <w:tcPr>
            <w:tcW w:w="1072" w:type="dxa"/>
            <w:tcBorders>
              <w:top w:val="single" w:sz="4" w:space="0" w:color="auto"/>
              <w:left w:val="single" w:sz="4" w:space="0" w:color="auto"/>
              <w:bottom w:val="single" w:sz="4" w:space="0" w:color="auto"/>
              <w:right w:val="single" w:sz="4" w:space="0" w:color="auto"/>
            </w:tcBorders>
          </w:tcPr>
          <w:p w14:paraId="1240E36B" w14:textId="77777777" w:rsidR="008C1E51" w:rsidRPr="008C1E51" w:rsidRDefault="008C1E51" w:rsidP="008C1E51">
            <w:pPr>
              <w:spacing w:before="120" w:after="120" w:line="276" w:lineRule="auto"/>
              <w:rPr>
                <w:b/>
                <w:bCs/>
                <w:szCs w:val="20"/>
              </w:rPr>
            </w:pPr>
            <w:r w:rsidRPr="008C1E51">
              <w:rPr>
                <w:b/>
                <w:bCs/>
                <w:szCs w:val="20"/>
              </w:rPr>
              <w:t xml:space="preserve">Ilość </w:t>
            </w:r>
          </w:p>
          <w:p w14:paraId="5E6138BD" w14:textId="77777777" w:rsidR="008C1E51" w:rsidRPr="008C1E51" w:rsidRDefault="008C1E51" w:rsidP="008C1E51">
            <w:pPr>
              <w:spacing w:before="120" w:after="120" w:line="276" w:lineRule="auto"/>
              <w:rPr>
                <w:b/>
                <w:bCs/>
                <w:szCs w:val="20"/>
              </w:rPr>
            </w:pPr>
            <w:r w:rsidRPr="008C1E51">
              <w:rPr>
                <w:b/>
                <w:bCs/>
                <w:szCs w:val="20"/>
              </w:rPr>
              <w:t>drewna</w:t>
            </w:r>
          </w:p>
          <w:p w14:paraId="52CAA5B1" w14:textId="77777777" w:rsidR="008C1E51" w:rsidRPr="008C1E51" w:rsidRDefault="008C1E51" w:rsidP="008C1E51">
            <w:pPr>
              <w:spacing w:before="120" w:after="120" w:line="276" w:lineRule="auto"/>
              <w:rPr>
                <w:b/>
                <w:bCs/>
                <w:szCs w:val="20"/>
              </w:rPr>
            </w:pPr>
            <w:r w:rsidRPr="008C1E51">
              <w:rPr>
                <w:b/>
                <w:bCs/>
                <w:szCs w:val="20"/>
              </w:rPr>
              <w:t>(m</w:t>
            </w:r>
            <w:r w:rsidRPr="008C1E51">
              <w:rPr>
                <w:b/>
                <w:bCs/>
                <w:szCs w:val="20"/>
                <w:vertAlign w:val="superscript"/>
              </w:rPr>
              <w:t>3</w:t>
            </w:r>
            <w:r w:rsidRPr="008C1E51">
              <w:rPr>
                <w:b/>
                <w:bCs/>
                <w:szCs w:val="20"/>
              </w:rPr>
              <w:t>)</w:t>
            </w:r>
          </w:p>
        </w:tc>
      </w:tr>
      <w:tr w:rsidR="008C1E51" w:rsidRPr="008C1E51" w14:paraId="7BD42DFB" w14:textId="77777777" w:rsidTr="00B17912">
        <w:tc>
          <w:tcPr>
            <w:tcW w:w="1234" w:type="dxa"/>
            <w:tcBorders>
              <w:top w:val="single" w:sz="4" w:space="0" w:color="auto"/>
              <w:left w:val="single" w:sz="4" w:space="0" w:color="auto"/>
              <w:bottom w:val="single" w:sz="4" w:space="0" w:color="auto"/>
              <w:right w:val="single" w:sz="4" w:space="0" w:color="auto"/>
            </w:tcBorders>
            <w:hideMark/>
          </w:tcPr>
          <w:p w14:paraId="0A0252F1" w14:textId="77777777" w:rsidR="008C1E51" w:rsidRPr="008C1E51" w:rsidRDefault="008C1E51" w:rsidP="008C1E51">
            <w:pPr>
              <w:spacing w:before="120" w:after="120" w:line="276" w:lineRule="auto"/>
              <w:rPr>
                <w:b/>
                <w:bCs/>
                <w:szCs w:val="20"/>
              </w:rPr>
            </w:pPr>
            <w:r w:rsidRPr="008C1E51">
              <w:rPr>
                <w:b/>
                <w:bCs/>
                <w:szCs w:val="20"/>
              </w:rPr>
              <w:t>2019</w:t>
            </w:r>
          </w:p>
        </w:tc>
        <w:tc>
          <w:tcPr>
            <w:tcW w:w="1455" w:type="dxa"/>
            <w:tcBorders>
              <w:top w:val="single" w:sz="4" w:space="0" w:color="auto"/>
              <w:left w:val="single" w:sz="4" w:space="0" w:color="auto"/>
              <w:bottom w:val="single" w:sz="4" w:space="0" w:color="auto"/>
              <w:right w:val="single" w:sz="4" w:space="0" w:color="auto"/>
            </w:tcBorders>
            <w:hideMark/>
          </w:tcPr>
          <w:p w14:paraId="16349BEE" w14:textId="77777777" w:rsidR="008C1E51" w:rsidRPr="008C1E51" w:rsidRDefault="008C1E51" w:rsidP="008C1E51">
            <w:pPr>
              <w:spacing w:before="120" w:after="120" w:line="276" w:lineRule="auto"/>
              <w:jc w:val="center"/>
              <w:rPr>
                <w:szCs w:val="20"/>
              </w:rPr>
            </w:pPr>
            <w:r w:rsidRPr="008C1E51">
              <w:rPr>
                <w:szCs w:val="20"/>
              </w:rPr>
              <w:t>355 820,47</w:t>
            </w:r>
          </w:p>
        </w:tc>
        <w:tc>
          <w:tcPr>
            <w:tcW w:w="830" w:type="dxa"/>
            <w:tcBorders>
              <w:top w:val="single" w:sz="4" w:space="0" w:color="auto"/>
              <w:left w:val="single" w:sz="4" w:space="0" w:color="auto"/>
              <w:bottom w:val="single" w:sz="4" w:space="0" w:color="auto"/>
              <w:right w:val="single" w:sz="4" w:space="0" w:color="auto"/>
            </w:tcBorders>
          </w:tcPr>
          <w:p w14:paraId="7B4EABA9" w14:textId="77777777" w:rsidR="008C1E51" w:rsidRPr="008C1E51" w:rsidRDefault="008C1E51" w:rsidP="008C1E51">
            <w:pPr>
              <w:spacing w:before="120" w:after="120" w:line="276" w:lineRule="auto"/>
              <w:jc w:val="center"/>
              <w:rPr>
                <w:szCs w:val="20"/>
              </w:rPr>
            </w:pPr>
            <w:r w:rsidRPr="008C1E51">
              <w:rPr>
                <w:rFonts w:cs="Arial"/>
                <w:szCs w:val="20"/>
              </w:rPr>
              <w:t>45</w:t>
            </w:r>
          </w:p>
        </w:tc>
        <w:tc>
          <w:tcPr>
            <w:tcW w:w="1072" w:type="dxa"/>
            <w:tcBorders>
              <w:top w:val="single" w:sz="4" w:space="0" w:color="auto"/>
              <w:left w:val="single" w:sz="4" w:space="0" w:color="auto"/>
              <w:bottom w:val="single" w:sz="4" w:space="0" w:color="auto"/>
              <w:right w:val="single" w:sz="4" w:space="0" w:color="auto"/>
            </w:tcBorders>
          </w:tcPr>
          <w:p w14:paraId="141C6710" w14:textId="77777777" w:rsidR="008C1E51" w:rsidRPr="008C1E51" w:rsidRDefault="008C1E51" w:rsidP="008C1E51">
            <w:pPr>
              <w:spacing w:before="120" w:after="120" w:line="276" w:lineRule="auto"/>
              <w:jc w:val="center"/>
              <w:rPr>
                <w:szCs w:val="20"/>
              </w:rPr>
            </w:pPr>
            <w:r w:rsidRPr="008C1E51">
              <w:rPr>
                <w:rFonts w:cs="Arial"/>
                <w:szCs w:val="20"/>
              </w:rPr>
              <w:t>2052,765</w:t>
            </w:r>
          </w:p>
        </w:tc>
        <w:tc>
          <w:tcPr>
            <w:tcW w:w="1358" w:type="dxa"/>
            <w:tcBorders>
              <w:top w:val="single" w:sz="4" w:space="0" w:color="auto"/>
              <w:left w:val="single" w:sz="4" w:space="0" w:color="auto"/>
              <w:bottom w:val="single" w:sz="4" w:space="0" w:color="auto"/>
              <w:right w:val="single" w:sz="4" w:space="0" w:color="auto"/>
            </w:tcBorders>
            <w:hideMark/>
          </w:tcPr>
          <w:p w14:paraId="20AA7D3F" w14:textId="77777777" w:rsidR="008C1E51" w:rsidRPr="008C1E51" w:rsidRDefault="008C1E51" w:rsidP="008C1E51">
            <w:pPr>
              <w:spacing w:before="120" w:after="120" w:line="276" w:lineRule="auto"/>
              <w:jc w:val="center"/>
              <w:rPr>
                <w:szCs w:val="20"/>
              </w:rPr>
            </w:pPr>
            <w:r w:rsidRPr="008C1E51">
              <w:rPr>
                <w:rFonts w:cs="Arial"/>
                <w:szCs w:val="20"/>
              </w:rPr>
              <w:t>113 634,98</w:t>
            </w:r>
          </w:p>
        </w:tc>
        <w:tc>
          <w:tcPr>
            <w:tcW w:w="905" w:type="dxa"/>
            <w:tcBorders>
              <w:top w:val="single" w:sz="4" w:space="0" w:color="auto"/>
              <w:left w:val="single" w:sz="4" w:space="0" w:color="auto"/>
              <w:bottom w:val="single" w:sz="4" w:space="0" w:color="auto"/>
              <w:right w:val="single" w:sz="4" w:space="0" w:color="auto"/>
            </w:tcBorders>
          </w:tcPr>
          <w:p w14:paraId="4793A8B6" w14:textId="77777777" w:rsidR="008C1E51" w:rsidRPr="008C1E51" w:rsidRDefault="008C1E51" w:rsidP="008C1E51">
            <w:pPr>
              <w:spacing w:before="120" w:after="120" w:line="276" w:lineRule="auto"/>
              <w:jc w:val="center"/>
              <w:rPr>
                <w:szCs w:val="20"/>
              </w:rPr>
            </w:pPr>
            <w:r w:rsidRPr="008C1E51">
              <w:rPr>
                <w:rFonts w:cs="Arial"/>
                <w:szCs w:val="20"/>
              </w:rPr>
              <w:t>96</w:t>
            </w:r>
          </w:p>
        </w:tc>
        <w:tc>
          <w:tcPr>
            <w:tcW w:w="1072" w:type="dxa"/>
            <w:tcBorders>
              <w:top w:val="single" w:sz="4" w:space="0" w:color="auto"/>
              <w:left w:val="single" w:sz="4" w:space="0" w:color="auto"/>
              <w:bottom w:val="single" w:sz="4" w:space="0" w:color="auto"/>
              <w:right w:val="single" w:sz="4" w:space="0" w:color="auto"/>
            </w:tcBorders>
          </w:tcPr>
          <w:p w14:paraId="06BC2B42" w14:textId="77777777" w:rsidR="008C1E51" w:rsidRPr="008C1E51" w:rsidRDefault="008C1E51" w:rsidP="008C1E51">
            <w:pPr>
              <w:spacing w:before="120" w:after="120" w:line="276" w:lineRule="auto"/>
              <w:jc w:val="center"/>
              <w:rPr>
                <w:szCs w:val="20"/>
              </w:rPr>
            </w:pPr>
            <w:r w:rsidRPr="008C1E51">
              <w:rPr>
                <w:rFonts w:cs="Arial"/>
                <w:szCs w:val="20"/>
              </w:rPr>
              <w:t>985,35</w:t>
            </w:r>
          </w:p>
        </w:tc>
      </w:tr>
      <w:tr w:rsidR="008C1E51" w:rsidRPr="008C1E51" w14:paraId="10DA3461" w14:textId="77777777" w:rsidTr="00B17912">
        <w:tc>
          <w:tcPr>
            <w:tcW w:w="1234" w:type="dxa"/>
            <w:tcBorders>
              <w:top w:val="single" w:sz="4" w:space="0" w:color="auto"/>
              <w:left w:val="single" w:sz="4" w:space="0" w:color="auto"/>
              <w:bottom w:val="single" w:sz="4" w:space="0" w:color="auto"/>
              <w:right w:val="single" w:sz="4" w:space="0" w:color="auto"/>
            </w:tcBorders>
            <w:hideMark/>
          </w:tcPr>
          <w:p w14:paraId="15F5006E" w14:textId="77777777" w:rsidR="008C1E51" w:rsidRPr="008C1E51" w:rsidRDefault="008C1E51" w:rsidP="008C1E51">
            <w:pPr>
              <w:spacing w:before="120" w:after="120" w:line="276" w:lineRule="auto"/>
              <w:rPr>
                <w:b/>
                <w:bCs/>
                <w:szCs w:val="20"/>
              </w:rPr>
            </w:pPr>
            <w:r w:rsidRPr="008C1E51">
              <w:rPr>
                <w:b/>
                <w:bCs/>
                <w:szCs w:val="20"/>
              </w:rPr>
              <w:t>2020</w:t>
            </w:r>
          </w:p>
        </w:tc>
        <w:tc>
          <w:tcPr>
            <w:tcW w:w="1455" w:type="dxa"/>
            <w:tcBorders>
              <w:top w:val="single" w:sz="4" w:space="0" w:color="auto"/>
              <w:left w:val="single" w:sz="4" w:space="0" w:color="auto"/>
              <w:bottom w:val="single" w:sz="4" w:space="0" w:color="auto"/>
              <w:right w:val="single" w:sz="4" w:space="0" w:color="auto"/>
            </w:tcBorders>
            <w:hideMark/>
          </w:tcPr>
          <w:p w14:paraId="731E3461" w14:textId="77777777" w:rsidR="008C1E51" w:rsidRPr="008C1E51" w:rsidRDefault="008C1E51" w:rsidP="008C1E51">
            <w:pPr>
              <w:spacing w:before="120" w:after="120" w:line="276" w:lineRule="auto"/>
              <w:jc w:val="center"/>
              <w:rPr>
                <w:szCs w:val="20"/>
              </w:rPr>
            </w:pPr>
            <w:r w:rsidRPr="008C1E51">
              <w:rPr>
                <w:rFonts w:cs="Arial"/>
                <w:szCs w:val="20"/>
              </w:rPr>
              <w:t>346 646,21</w:t>
            </w:r>
          </w:p>
        </w:tc>
        <w:tc>
          <w:tcPr>
            <w:tcW w:w="830" w:type="dxa"/>
            <w:tcBorders>
              <w:top w:val="single" w:sz="4" w:space="0" w:color="auto"/>
              <w:left w:val="single" w:sz="4" w:space="0" w:color="auto"/>
              <w:bottom w:val="single" w:sz="4" w:space="0" w:color="auto"/>
              <w:right w:val="single" w:sz="4" w:space="0" w:color="auto"/>
            </w:tcBorders>
          </w:tcPr>
          <w:p w14:paraId="68CC64D2" w14:textId="77777777" w:rsidR="008C1E51" w:rsidRPr="008C1E51" w:rsidRDefault="008C1E51" w:rsidP="008C1E51">
            <w:pPr>
              <w:spacing w:before="120" w:after="120" w:line="276" w:lineRule="auto"/>
              <w:jc w:val="center"/>
              <w:rPr>
                <w:szCs w:val="20"/>
              </w:rPr>
            </w:pPr>
            <w:r w:rsidRPr="008C1E51">
              <w:rPr>
                <w:rFonts w:cs="Arial"/>
                <w:szCs w:val="20"/>
              </w:rPr>
              <w:t>27</w:t>
            </w:r>
          </w:p>
        </w:tc>
        <w:tc>
          <w:tcPr>
            <w:tcW w:w="1072" w:type="dxa"/>
            <w:tcBorders>
              <w:top w:val="single" w:sz="4" w:space="0" w:color="auto"/>
              <w:left w:val="single" w:sz="4" w:space="0" w:color="auto"/>
              <w:bottom w:val="single" w:sz="4" w:space="0" w:color="auto"/>
              <w:right w:val="single" w:sz="4" w:space="0" w:color="auto"/>
            </w:tcBorders>
          </w:tcPr>
          <w:p w14:paraId="0444C899" w14:textId="77777777" w:rsidR="008C1E51" w:rsidRPr="008C1E51" w:rsidRDefault="008C1E51" w:rsidP="008C1E51">
            <w:pPr>
              <w:spacing w:before="120" w:after="120" w:line="276" w:lineRule="auto"/>
              <w:jc w:val="center"/>
              <w:rPr>
                <w:szCs w:val="20"/>
              </w:rPr>
            </w:pPr>
            <w:r w:rsidRPr="008C1E51">
              <w:rPr>
                <w:rFonts w:cs="Arial"/>
                <w:szCs w:val="20"/>
              </w:rPr>
              <w:t>1894,295</w:t>
            </w:r>
          </w:p>
        </w:tc>
        <w:tc>
          <w:tcPr>
            <w:tcW w:w="1358" w:type="dxa"/>
            <w:tcBorders>
              <w:top w:val="single" w:sz="4" w:space="0" w:color="auto"/>
              <w:left w:val="single" w:sz="4" w:space="0" w:color="auto"/>
              <w:bottom w:val="single" w:sz="4" w:space="0" w:color="auto"/>
              <w:right w:val="single" w:sz="4" w:space="0" w:color="auto"/>
            </w:tcBorders>
            <w:hideMark/>
          </w:tcPr>
          <w:p w14:paraId="5DD0562B" w14:textId="77777777" w:rsidR="008C1E51" w:rsidRPr="008C1E51" w:rsidRDefault="008C1E51" w:rsidP="008C1E51">
            <w:pPr>
              <w:spacing w:before="120" w:after="120" w:line="276" w:lineRule="auto"/>
              <w:jc w:val="center"/>
              <w:rPr>
                <w:szCs w:val="20"/>
              </w:rPr>
            </w:pPr>
            <w:r w:rsidRPr="008C1E51">
              <w:rPr>
                <w:rFonts w:cs="Arial"/>
                <w:szCs w:val="20"/>
              </w:rPr>
              <w:t>103 516,51</w:t>
            </w:r>
          </w:p>
        </w:tc>
        <w:tc>
          <w:tcPr>
            <w:tcW w:w="905" w:type="dxa"/>
            <w:tcBorders>
              <w:top w:val="single" w:sz="4" w:space="0" w:color="auto"/>
              <w:left w:val="single" w:sz="4" w:space="0" w:color="auto"/>
              <w:bottom w:val="single" w:sz="4" w:space="0" w:color="auto"/>
              <w:right w:val="single" w:sz="4" w:space="0" w:color="auto"/>
            </w:tcBorders>
          </w:tcPr>
          <w:p w14:paraId="1C869F7E" w14:textId="77777777" w:rsidR="008C1E51" w:rsidRPr="008C1E51" w:rsidRDefault="008C1E51" w:rsidP="008C1E51">
            <w:pPr>
              <w:spacing w:before="120" w:after="120" w:line="276" w:lineRule="auto"/>
              <w:jc w:val="center"/>
              <w:rPr>
                <w:szCs w:val="20"/>
              </w:rPr>
            </w:pPr>
            <w:r w:rsidRPr="008C1E51">
              <w:rPr>
                <w:rFonts w:cs="Arial"/>
                <w:szCs w:val="20"/>
              </w:rPr>
              <w:t>67</w:t>
            </w:r>
          </w:p>
        </w:tc>
        <w:tc>
          <w:tcPr>
            <w:tcW w:w="1072" w:type="dxa"/>
            <w:tcBorders>
              <w:top w:val="single" w:sz="4" w:space="0" w:color="auto"/>
              <w:left w:val="single" w:sz="4" w:space="0" w:color="auto"/>
              <w:bottom w:val="single" w:sz="4" w:space="0" w:color="auto"/>
              <w:right w:val="single" w:sz="4" w:space="0" w:color="auto"/>
            </w:tcBorders>
          </w:tcPr>
          <w:p w14:paraId="73A15F84" w14:textId="77777777" w:rsidR="008C1E51" w:rsidRPr="008C1E51" w:rsidRDefault="008C1E51" w:rsidP="008C1E51">
            <w:pPr>
              <w:spacing w:before="120" w:after="120" w:line="276" w:lineRule="auto"/>
              <w:jc w:val="center"/>
              <w:rPr>
                <w:szCs w:val="20"/>
              </w:rPr>
            </w:pPr>
            <w:r w:rsidRPr="008C1E51">
              <w:rPr>
                <w:rFonts w:cs="Arial"/>
                <w:szCs w:val="20"/>
              </w:rPr>
              <w:t>925,455</w:t>
            </w:r>
          </w:p>
        </w:tc>
      </w:tr>
      <w:tr w:rsidR="008C1E51" w:rsidRPr="008C1E51" w14:paraId="0C6492F8" w14:textId="77777777" w:rsidTr="00B17912">
        <w:tc>
          <w:tcPr>
            <w:tcW w:w="1234" w:type="dxa"/>
            <w:tcBorders>
              <w:top w:val="single" w:sz="4" w:space="0" w:color="auto"/>
              <w:left w:val="single" w:sz="4" w:space="0" w:color="auto"/>
              <w:bottom w:val="single" w:sz="4" w:space="0" w:color="auto"/>
              <w:right w:val="single" w:sz="4" w:space="0" w:color="auto"/>
            </w:tcBorders>
          </w:tcPr>
          <w:p w14:paraId="1E183698" w14:textId="77777777" w:rsidR="008C1E51" w:rsidRPr="008C1E51" w:rsidRDefault="008C1E51" w:rsidP="008C1E51">
            <w:pPr>
              <w:spacing w:before="120" w:after="120" w:line="276" w:lineRule="auto"/>
              <w:rPr>
                <w:b/>
                <w:bCs/>
                <w:szCs w:val="20"/>
              </w:rPr>
            </w:pPr>
            <w:r w:rsidRPr="008C1E51">
              <w:rPr>
                <w:b/>
                <w:bCs/>
                <w:szCs w:val="20"/>
              </w:rPr>
              <w:t>2021</w:t>
            </w:r>
          </w:p>
        </w:tc>
        <w:tc>
          <w:tcPr>
            <w:tcW w:w="1455" w:type="dxa"/>
            <w:tcBorders>
              <w:top w:val="single" w:sz="4" w:space="0" w:color="auto"/>
              <w:left w:val="single" w:sz="4" w:space="0" w:color="auto"/>
              <w:bottom w:val="single" w:sz="4" w:space="0" w:color="auto"/>
              <w:right w:val="single" w:sz="4" w:space="0" w:color="auto"/>
            </w:tcBorders>
          </w:tcPr>
          <w:p w14:paraId="21F33864" w14:textId="77777777" w:rsidR="008C1E51" w:rsidRPr="008C1E51" w:rsidRDefault="008C1E51" w:rsidP="008C1E51">
            <w:pPr>
              <w:spacing w:before="120" w:after="120" w:line="276" w:lineRule="auto"/>
              <w:jc w:val="center"/>
              <w:rPr>
                <w:szCs w:val="20"/>
              </w:rPr>
            </w:pPr>
            <w:r w:rsidRPr="008C1E51">
              <w:rPr>
                <w:rFonts w:cs="Arial"/>
                <w:szCs w:val="20"/>
              </w:rPr>
              <w:t>547 774,40</w:t>
            </w:r>
          </w:p>
        </w:tc>
        <w:tc>
          <w:tcPr>
            <w:tcW w:w="830" w:type="dxa"/>
            <w:tcBorders>
              <w:top w:val="single" w:sz="4" w:space="0" w:color="auto"/>
              <w:left w:val="single" w:sz="4" w:space="0" w:color="auto"/>
              <w:bottom w:val="single" w:sz="4" w:space="0" w:color="auto"/>
              <w:right w:val="single" w:sz="4" w:space="0" w:color="auto"/>
            </w:tcBorders>
          </w:tcPr>
          <w:p w14:paraId="0AC71FA2" w14:textId="77777777" w:rsidR="008C1E51" w:rsidRPr="008C1E51" w:rsidRDefault="008C1E51" w:rsidP="008C1E51">
            <w:pPr>
              <w:spacing w:before="120" w:after="120" w:line="276" w:lineRule="auto"/>
              <w:jc w:val="center"/>
              <w:rPr>
                <w:szCs w:val="20"/>
              </w:rPr>
            </w:pPr>
            <w:r w:rsidRPr="008C1E51">
              <w:rPr>
                <w:rFonts w:cs="Arial"/>
                <w:szCs w:val="20"/>
              </w:rPr>
              <w:t>46</w:t>
            </w:r>
          </w:p>
        </w:tc>
        <w:tc>
          <w:tcPr>
            <w:tcW w:w="1072" w:type="dxa"/>
            <w:tcBorders>
              <w:top w:val="single" w:sz="4" w:space="0" w:color="auto"/>
              <w:left w:val="single" w:sz="4" w:space="0" w:color="auto"/>
              <w:bottom w:val="single" w:sz="4" w:space="0" w:color="auto"/>
              <w:right w:val="single" w:sz="4" w:space="0" w:color="auto"/>
            </w:tcBorders>
          </w:tcPr>
          <w:p w14:paraId="14155263" w14:textId="77777777" w:rsidR="008C1E51" w:rsidRPr="008C1E51" w:rsidRDefault="008C1E51" w:rsidP="008C1E51">
            <w:pPr>
              <w:spacing w:before="120" w:after="120" w:line="276" w:lineRule="auto"/>
              <w:jc w:val="center"/>
              <w:rPr>
                <w:szCs w:val="20"/>
              </w:rPr>
            </w:pPr>
            <w:r w:rsidRPr="008C1E51">
              <w:rPr>
                <w:rFonts w:cs="Arial"/>
                <w:szCs w:val="20"/>
              </w:rPr>
              <w:t>1447,00</w:t>
            </w:r>
          </w:p>
        </w:tc>
        <w:tc>
          <w:tcPr>
            <w:tcW w:w="1358" w:type="dxa"/>
            <w:tcBorders>
              <w:top w:val="single" w:sz="4" w:space="0" w:color="auto"/>
              <w:left w:val="single" w:sz="4" w:space="0" w:color="auto"/>
              <w:bottom w:val="single" w:sz="4" w:space="0" w:color="auto"/>
              <w:right w:val="single" w:sz="4" w:space="0" w:color="auto"/>
            </w:tcBorders>
          </w:tcPr>
          <w:p w14:paraId="11064CDA" w14:textId="77777777" w:rsidR="008C1E51" w:rsidRPr="008C1E51" w:rsidRDefault="008C1E51" w:rsidP="008C1E51">
            <w:pPr>
              <w:spacing w:before="120" w:after="120" w:line="276" w:lineRule="auto"/>
              <w:jc w:val="center"/>
              <w:rPr>
                <w:szCs w:val="20"/>
              </w:rPr>
            </w:pPr>
            <w:r w:rsidRPr="008C1E51">
              <w:rPr>
                <w:rFonts w:cs="Arial"/>
                <w:szCs w:val="20"/>
              </w:rPr>
              <w:t>115 275,57</w:t>
            </w:r>
          </w:p>
        </w:tc>
        <w:tc>
          <w:tcPr>
            <w:tcW w:w="905" w:type="dxa"/>
            <w:tcBorders>
              <w:top w:val="single" w:sz="4" w:space="0" w:color="auto"/>
              <w:left w:val="single" w:sz="4" w:space="0" w:color="auto"/>
              <w:bottom w:val="single" w:sz="4" w:space="0" w:color="auto"/>
              <w:right w:val="single" w:sz="4" w:space="0" w:color="auto"/>
            </w:tcBorders>
          </w:tcPr>
          <w:p w14:paraId="39BEF31B" w14:textId="77777777" w:rsidR="008C1E51" w:rsidRPr="008C1E51" w:rsidRDefault="008C1E51" w:rsidP="008C1E51">
            <w:pPr>
              <w:spacing w:before="120" w:after="120" w:line="276" w:lineRule="auto"/>
              <w:jc w:val="center"/>
              <w:rPr>
                <w:szCs w:val="20"/>
              </w:rPr>
            </w:pPr>
            <w:r w:rsidRPr="008C1E51">
              <w:rPr>
                <w:rFonts w:cs="Arial"/>
                <w:szCs w:val="20"/>
              </w:rPr>
              <w:t>81</w:t>
            </w:r>
          </w:p>
        </w:tc>
        <w:tc>
          <w:tcPr>
            <w:tcW w:w="1072" w:type="dxa"/>
            <w:tcBorders>
              <w:top w:val="single" w:sz="4" w:space="0" w:color="auto"/>
              <w:left w:val="single" w:sz="4" w:space="0" w:color="auto"/>
              <w:bottom w:val="single" w:sz="4" w:space="0" w:color="auto"/>
              <w:right w:val="single" w:sz="4" w:space="0" w:color="auto"/>
            </w:tcBorders>
          </w:tcPr>
          <w:p w14:paraId="6D811737" w14:textId="77777777" w:rsidR="008C1E51" w:rsidRPr="008C1E51" w:rsidRDefault="008C1E51" w:rsidP="008C1E51">
            <w:pPr>
              <w:spacing w:before="120" w:after="120" w:line="276" w:lineRule="auto"/>
              <w:jc w:val="center"/>
              <w:rPr>
                <w:szCs w:val="20"/>
              </w:rPr>
            </w:pPr>
            <w:r w:rsidRPr="008C1E51">
              <w:rPr>
                <w:rFonts w:cs="Arial"/>
                <w:szCs w:val="20"/>
              </w:rPr>
              <w:t>700,97</w:t>
            </w:r>
          </w:p>
        </w:tc>
      </w:tr>
      <w:tr w:rsidR="008C1E51" w:rsidRPr="008C1E51" w14:paraId="26C741C4" w14:textId="77777777" w:rsidTr="00B17912">
        <w:tc>
          <w:tcPr>
            <w:tcW w:w="1234" w:type="dxa"/>
            <w:tcBorders>
              <w:top w:val="single" w:sz="4" w:space="0" w:color="auto"/>
              <w:left w:val="single" w:sz="4" w:space="0" w:color="auto"/>
              <w:bottom w:val="single" w:sz="4" w:space="0" w:color="auto"/>
              <w:right w:val="single" w:sz="4" w:space="0" w:color="auto"/>
            </w:tcBorders>
          </w:tcPr>
          <w:p w14:paraId="0966DC7C" w14:textId="77777777" w:rsidR="008C1E51" w:rsidRPr="008C1E51" w:rsidRDefault="008C1E51" w:rsidP="008C1E51">
            <w:pPr>
              <w:spacing w:before="120" w:after="120" w:line="276" w:lineRule="auto"/>
              <w:rPr>
                <w:b/>
                <w:bCs/>
                <w:szCs w:val="20"/>
              </w:rPr>
            </w:pPr>
            <w:r w:rsidRPr="008C1E51">
              <w:rPr>
                <w:b/>
                <w:bCs/>
                <w:szCs w:val="20"/>
              </w:rPr>
              <w:t>do 2022.09.30</w:t>
            </w:r>
          </w:p>
        </w:tc>
        <w:tc>
          <w:tcPr>
            <w:tcW w:w="1455" w:type="dxa"/>
            <w:tcBorders>
              <w:top w:val="single" w:sz="4" w:space="0" w:color="auto"/>
              <w:left w:val="single" w:sz="4" w:space="0" w:color="auto"/>
              <w:bottom w:val="single" w:sz="4" w:space="0" w:color="auto"/>
              <w:right w:val="single" w:sz="4" w:space="0" w:color="auto"/>
            </w:tcBorders>
          </w:tcPr>
          <w:p w14:paraId="4A2530DA" w14:textId="77777777" w:rsidR="008C1E51" w:rsidRPr="008C1E51" w:rsidRDefault="008C1E51" w:rsidP="008C1E51">
            <w:pPr>
              <w:spacing w:before="120" w:after="120" w:line="276" w:lineRule="auto"/>
              <w:jc w:val="center"/>
              <w:rPr>
                <w:szCs w:val="20"/>
              </w:rPr>
            </w:pPr>
            <w:r w:rsidRPr="008C1E51">
              <w:rPr>
                <w:rFonts w:cs="Arial"/>
                <w:szCs w:val="20"/>
              </w:rPr>
              <w:t>408 269,84</w:t>
            </w:r>
          </w:p>
        </w:tc>
        <w:tc>
          <w:tcPr>
            <w:tcW w:w="830" w:type="dxa"/>
            <w:tcBorders>
              <w:top w:val="single" w:sz="4" w:space="0" w:color="auto"/>
              <w:left w:val="single" w:sz="4" w:space="0" w:color="auto"/>
              <w:bottom w:val="single" w:sz="4" w:space="0" w:color="auto"/>
              <w:right w:val="single" w:sz="4" w:space="0" w:color="auto"/>
            </w:tcBorders>
          </w:tcPr>
          <w:p w14:paraId="0FCFF0B1" w14:textId="77777777" w:rsidR="008C1E51" w:rsidRPr="008C1E51" w:rsidRDefault="008C1E51" w:rsidP="008C1E51">
            <w:pPr>
              <w:spacing w:before="120" w:after="120" w:line="276" w:lineRule="auto"/>
              <w:jc w:val="center"/>
              <w:rPr>
                <w:szCs w:val="20"/>
              </w:rPr>
            </w:pPr>
            <w:r w:rsidRPr="008C1E51">
              <w:rPr>
                <w:rFonts w:cs="Arial"/>
                <w:szCs w:val="20"/>
              </w:rPr>
              <w:t>36</w:t>
            </w:r>
          </w:p>
        </w:tc>
        <w:tc>
          <w:tcPr>
            <w:tcW w:w="1072" w:type="dxa"/>
            <w:tcBorders>
              <w:top w:val="single" w:sz="4" w:space="0" w:color="auto"/>
              <w:left w:val="single" w:sz="4" w:space="0" w:color="auto"/>
              <w:bottom w:val="single" w:sz="4" w:space="0" w:color="auto"/>
              <w:right w:val="single" w:sz="4" w:space="0" w:color="auto"/>
            </w:tcBorders>
          </w:tcPr>
          <w:p w14:paraId="37517371" w14:textId="77777777" w:rsidR="008C1E51" w:rsidRPr="008C1E51" w:rsidRDefault="008C1E51" w:rsidP="008C1E51">
            <w:pPr>
              <w:spacing w:before="120" w:after="120" w:line="276" w:lineRule="auto"/>
              <w:jc w:val="center"/>
              <w:rPr>
                <w:szCs w:val="20"/>
              </w:rPr>
            </w:pPr>
            <w:r w:rsidRPr="008C1E51">
              <w:rPr>
                <w:rFonts w:cs="Arial"/>
                <w:szCs w:val="20"/>
              </w:rPr>
              <w:t>1074,85</w:t>
            </w:r>
          </w:p>
        </w:tc>
        <w:tc>
          <w:tcPr>
            <w:tcW w:w="1358" w:type="dxa"/>
            <w:tcBorders>
              <w:top w:val="single" w:sz="4" w:space="0" w:color="auto"/>
              <w:left w:val="single" w:sz="4" w:space="0" w:color="auto"/>
              <w:bottom w:val="single" w:sz="4" w:space="0" w:color="auto"/>
              <w:right w:val="single" w:sz="4" w:space="0" w:color="auto"/>
            </w:tcBorders>
          </w:tcPr>
          <w:p w14:paraId="4AC69848" w14:textId="77777777" w:rsidR="008C1E51" w:rsidRPr="008C1E51" w:rsidRDefault="008C1E51" w:rsidP="008C1E51">
            <w:pPr>
              <w:spacing w:before="120" w:after="120" w:line="276" w:lineRule="auto"/>
              <w:jc w:val="center"/>
              <w:rPr>
                <w:szCs w:val="20"/>
              </w:rPr>
            </w:pPr>
            <w:r w:rsidRPr="008C1E51">
              <w:rPr>
                <w:rFonts w:cs="Arial"/>
                <w:szCs w:val="20"/>
              </w:rPr>
              <w:t>129 540,15</w:t>
            </w:r>
          </w:p>
        </w:tc>
        <w:tc>
          <w:tcPr>
            <w:tcW w:w="905" w:type="dxa"/>
            <w:tcBorders>
              <w:top w:val="single" w:sz="4" w:space="0" w:color="auto"/>
              <w:left w:val="single" w:sz="4" w:space="0" w:color="auto"/>
              <w:bottom w:val="single" w:sz="4" w:space="0" w:color="auto"/>
              <w:right w:val="single" w:sz="4" w:space="0" w:color="auto"/>
            </w:tcBorders>
          </w:tcPr>
          <w:p w14:paraId="3FCCE104" w14:textId="77777777" w:rsidR="008C1E51" w:rsidRPr="008C1E51" w:rsidRDefault="008C1E51" w:rsidP="008C1E51">
            <w:pPr>
              <w:spacing w:before="120" w:after="120" w:line="276" w:lineRule="auto"/>
              <w:jc w:val="center"/>
              <w:rPr>
                <w:szCs w:val="20"/>
              </w:rPr>
            </w:pPr>
            <w:r w:rsidRPr="008C1E51">
              <w:rPr>
                <w:rFonts w:cs="Arial"/>
                <w:szCs w:val="20"/>
              </w:rPr>
              <w:t>62</w:t>
            </w:r>
          </w:p>
        </w:tc>
        <w:tc>
          <w:tcPr>
            <w:tcW w:w="1072" w:type="dxa"/>
            <w:tcBorders>
              <w:top w:val="single" w:sz="4" w:space="0" w:color="auto"/>
              <w:left w:val="single" w:sz="4" w:space="0" w:color="auto"/>
              <w:bottom w:val="single" w:sz="4" w:space="0" w:color="auto"/>
              <w:right w:val="single" w:sz="4" w:space="0" w:color="auto"/>
            </w:tcBorders>
          </w:tcPr>
          <w:p w14:paraId="31E12EA5" w14:textId="77777777" w:rsidR="008C1E51" w:rsidRPr="008C1E51" w:rsidRDefault="008C1E51" w:rsidP="008C1E51">
            <w:pPr>
              <w:spacing w:before="120" w:after="120" w:line="276" w:lineRule="auto"/>
              <w:jc w:val="center"/>
              <w:rPr>
                <w:szCs w:val="20"/>
              </w:rPr>
            </w:pPr>
            <w:r w:rsidRPr="008C1E51">
              <w:rPr>
                <w:rFonts w:cs="Arial"/>
                <w:szCs w:val="20"/>
              </w:rPr>
              <w:t>588,66</w:t>
            </w:r>
          </w:p>
        </w:tc>
      </w:tr>
      <w:tr w:rsidR="008C1E51" w:rsidRPr="008C1E51" w14:paraId="2754DED7" w14:textId="77777777" w:rsidTr="00B17912">
        <w:tc>
          <w:tcPr>
            <w:tcW w:w="1234" w:type="dxa"/>
            <w:tcBorders>
              <w:top w:val="single" w:sz="4" w:space="0" w:color="auto"/>
              <w:left w:val="single" w:sz="4" w:space="0" w:color="auto"/>
              <w:bottom w:val="single" w:sz="4" w:space="0" w:color="auto"/>
              <w:right w:val="single" w:sz="4" w:space="0" w:color="auto"/>
            </w:tcBorders>
            <w:hideMark/>
          </w:tcPr>
          <w:p w14:paraId="4532BD2A" w14:textId="77777777" w:rsidR="008C1E51" w:rsidRPr="008C1E51" w:rsidRDefault="008C1E51" w:rsidP="008C1E51">
            <w:pPr>
              <w:spacing w:before="120" w:after="120" w:line="276" w:lineRule="auto"/>
              <w:rPr>
                <w:b/>
                <w:bCs/>
                <w:szCs w:val="20"/>
              </w:rPr>
            </w:pPr>
            <w:r w:rsidRPr="008C1E51">
              <w:rPr>
                <w:b/>
                <w:bCs/>
                <w:szCs w:val="20"/>
              </w:rPr>
              <w:t>Razem</w:t>
            </w:r>
          </w:p>
        </w:tc>
        <w:tc>
          <w:tcPr>
            <w:tcW w:w="1455" w:type="dxa"/>
            <w:tcBorders>
              <w:top w:val="single" w:sz="4" w:space="0" w:color="auto"/>
              <w:left w:val="single" w:sz="4" w:space="0" w:color="auto"/>
              <w:bottom w:val="single" w:sz="4" w:space="0" w:color="auto"/>
              <w:right w:val="single" w:sz="4" w:space="0" w:color="auto"/>
            </w:tcBorders>
            <w:hideMark/>
          </w:tcPr>
          <w:p w14:paraId="468FE09B" w14:textId="77777777" w:rsidR="008C1E51" w:rsidRPr="008C1E51" w:rsidRDefault="008C1E51" w:rsidP="008C1E51">
            <w:pPr>
              <w:spacing w:before="120" w:after="120" w:line="276" w:lineRule="auto"/>
              <w:jc w:val="center"/>
              <w:rPr>
                <w:szCs w:val="20"/>
              </w:rPr>
            </w:pPr>
            <w:r w:rsidRPr="008C1E51">
              <w:rPr>
                <w:rFonts w:cs="Arial"/>
                <w:szCs w:val="20"/>
              </w:rPr>
              <w:t>1 658 510,92</w:t>
            </w:r>
          </w:p>
        </w:tc>
        <w:tc>
          <w:tcPr>
            <w:tcW w:w="830" w:type="dxa"/>
            <w:tcBorders>
              <w:top w:val="single" w:sz="4" w:space="0" w:color="auto"/>
              <w:left w:val="single" w:sz="4" w:space="0" w:color="auto"/>
              <w:bottom w:val="single" w:sz="4" w:space="0" w:color="auto"/>
              <w:right w:val="single" w:sz="4" w:space="0" w:color="auto"/>
            </w:tcBorders>
          </w:tcPr>
          <w:p w14:paraId="18A866D0" w14:textId="77777777" w:rsidR="008C1E51" w:rsidRPr="008C1E51" w:rsidRDefault="008C1E51" w:rsidP="008C1E51">
            <w:pPr>
              <w:spacing w:before="120" w:after="120" w:line="276" w:lineRule="auto"/>
              <w:jc w:val="center"/>
              <w:rPr>
                <w:szCs w:val="20"/>
              </w:rPr>
            </w:pPr>
            <w:r w:rsidRPr="008C1E51">
              <w:rPr>
                <w:rFonts w:cs="Arial"/>
                <w:szCs w:val="20"/>
              </w:rPr>
              <w:t>154</w:t>
            </w:r>
          </w:p>
        </w:tc>
        <w:tc>
          <w:tcPr>
            <w:tcW w:w="1072" w:type="dxa"/>
            <w:tcBorders>
              <w:top w:val="single" w:sz="4" w:space="0" w:color="auto"/>
              <w:left w:val="single" w:sz="4" w:space="0" w:color="auto"/>
              <w:bottom w:val="single" w:sz="4" w:space="0" w:color="auto"/>
              <w:right w:val="single" w:sz="4" w:space="0" w:color="auto"/>
            </w:tcBorders>
          </w:tcPr>
          <w:p w14:paraId="0F7CFE80" w14:textId="77777777" w:rsidR="008C1E51" w:rsidRPr="008C1E51" w:rsidRDefault="008C1E51" w:rsidP="008C1E51">
            <w:pPr>
              <w:spacing w:before="120" w:after="120" w:line="276" w:lineRule="auto"/>
              <w:jc w:val="center"/>
              <w:rPr>
                <w:szCs w:val="20"/>
              </w:rPr>
            </w:pPr>
            <w:r w:rsidRPr="008C1E51">
              <w:rPr>
                <w:rFonts w:cs="Arial"/>
                <w:szCs w:val="20"/>
              </w:rPr>
              <w:t>6468,91</w:t>
            </w:r>
          </w:p>
        </w:tc>
        <w:tc>
          <w:tcPr>
            <w:tcW w:w="1358" w:type="dxa"/>
            <w:tcBorders>
              <w:top w:val="single" w:sz="4" w:space="0" w:color="auto"/>
              <w:left w:val="single" w:sz="4" w:space="0" w:color="auto"/>
              <w:bottom w:val="single" w:sz="4" w:space="0" w:color="auto"/>
              <w:right w:val="single" w:sz="4" w:space="0" w:color="auto"/>
            </w:tcBorders>
            <w:hideMark/>
          </w:tcPr>
          <w:p w14:paraId="493C2C2C" w14:textId="77777777" w:rsidR="008C1E51" w:rsidRPr="008C1E51" w:rsidRDefault="008C1E51" w:rsidP="008C1E51">
            <w:pPr>
              <w:spacing w:before="120" w:after="120" w:line="276" w:lineRule="auto"/>
              <w:jc w:val="center"/>
              <w:rPr>
                <w:szCs w:val="20"/>
              </w:rPr>
            </w:pPr>
            <w:r w:rsidRPr="008C1E51">
              <w:rPr>
                <w:rFonts w:cs="Arial"/>
                <w:szCs w:val="20"/>
              </w:rPr>
              <w:t>461 967,21</w:t>
            </w:r>
          </w:p>
        </w:tc>
        <w:tc>
          <w:tcPr>
            <w:tcW w:w="905" w:type="dxa"/>
            <w:tcBorders>
              <w:top w:val="single" w:sz="4" w:space="0" w:color="auto"/>
              <w:left w:val="single" w:sz="4" w:space="0" w:color="auto"/>
              <w:bottom w:val="single" w:sz="4" w:space="0" w:color="auto"/>
              <w:right w:val="single" w:sz="4" w:space="0" w:color="auto"/>
            </w:tcBorders>
          </w:tcPr>
          <w:p w14:paraId="24776C40" w14:textId="77777777" w:rsidR="008C1E51" w:rsidRPr="008C1E51" w:rsidRDefault="008C1E51" w:rsidP="008C1E51">
            <w:pPr>
              <w:spacing w:before="120" w:after="120" w:line="276" w:lineRule="auto"/>
              <w:jc w:val="center"/>
              <w:rPr>
                <w:szCs w:val="20"/>
              </w:rPr>
            </w:pPr>
            <w:r w:rsidRPr="008C1E51">
              <w:rPr>
                <w:rFonts w:cs="Arial"/>
                <w:szCs w:val="20"/>
              </w:rPr>
              <w:t>306</w:t>
            </w:r>
          </w:p>
        </w:tc>
        <w:tc>
          <w:tcPr>
            <w:tcW w:w="1072" w:type="dxa"/>
            <w:tcBorders>
              <w:top w:val="single" w:sz="4" w:space="0" w:color="auto"/>
              <w:left w:val="single" w:sz="4" w:space="0" w:color="auto"/>
              <w:bottom w:val="single" w:sz="4" w:space="0" w:color="auto"/>
              <w:right w:val="single" w:sz="4" w:space="0" w:color="auto"/>
            </w:tcBorders>
          </w:tcPr>
          <w:p w14:paraId="1480AC0B" w14:textId="77777777" w:rsidR="008C1E51" w:rsidRPr="008C1E51" w:rsidRDefault="008C1E51" w:rsidP="008C1E51">
            <w:pPr>
              <w:spacing w:before="120" w:after="120" w:line="276" w:lineRule="auto"/>
              <w:jc w:val="center"/>
              <w:rPr>
                <w:szCs w:val="20"/>
              </w:rPr>
            </w:pPr>
            <w:r w:rsidRPr="008C1E51">
              <w:rPr>
                <w:rFonts w:cs="Arial"/>
                <w:szCs w:val="20"/>
              </w:rPr>
              <w:t>3200,435</w:t>
            </w:r>
          </w:p>
        </w:tc>
      </w:tr>
    </w:tbl>
    <w:p w14:paraId="7DF5A476" w14:textId="09B6023B"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W badanym okresie Park przeprowadził 12 przetargów sprzedaży drewna</w:t>
      </w:r>
      <w:r w:rsidRPr="008C1E51">
        <w:rPr>
          <w:color w:val="000000" w:themeColor="text1"/>
          <w:szCs w:val="20"/>
          <w:vertAlign w:val="superscript"/>
        </w:rPr>
        <w:footnoteReference w:id="43"/>
      </w:r>
      <w:r w:rsidRPr="008C1E51">
        <w:rPr>
          <w:rFonts w:cs="Times New Roman"/>
          <w:color w:val="000000" w:themeColor="text1"/>
          <w:szCs w:val="20"/>
        </w:rPr>
        <w:t xml:space="preserve">, z czego </w:t>
      </w:r>
      <w:r w:rsidRPr="008C1E51">
        <w:rPr>
          <w:rFonts w:cs="Times New Roman"/>
          <w:color w:val="000000" w:themeColor="text1"/>
          <w:szCs w:val="20"/>
        </w:rPr>
        <w:br/>
        <w:t xml:space="preserve">7 zakończyło się wyborem ofert i zawarciem w sumie 15 umów o </w:t>
      </w:r>
      <w:r w:rsidRPr="00B52EE4">
        <w:rPr>
          <w:rFonts w:cs="Times New Roman"/>
          <w:color w:val="000000" w:themeColor="text1"/>
          <w:szCs w:val="20"/>
        </w:rPr>
        <w:t xml:space="preserve">wartości </w:t>
      </w:r>
      <w:r w:rsidRPr="008C1E51">
        <w:rPr>
          <w:rFonts w:cs="Times New Roman"/>
          <w:color w:val="000000" w:themeColor="text1"/>
          <w:szCs w:val="20"/>
        </w:rPr>
        <w:t xml:space="preserve">501 115,50 zł. Pozostałe przetargi zostały unieważnione, z czego 4 </w:t>
      </w:r>
      <w:r w:rsidR="00211832" w:rsidRPr="008C1E51">
        <w:rPr>
          <w:rFonts w:cs="Times New Roman"/>
          <w:color w:val="000000" w:themeColor="text1"/>
          <w:szCs w:val="20"/>
        </w:rPr>
        <w:t>wskutek</w:t>
      </w:r>
      <w:r w:rsidRPr="008C1E51">
        <w:rPr>
          <w:rFonts w:cs="Times New Roman"/>
          <w:color w:val="000000" w:themeColor="text1"/>
          <w:szCs w:val="20"/>
        </w:rPr>
        <w:t xml:space="preserve"> braku ofert.</w:t>
      </w:r>
    </w:p>
    <w:p w14:paraId="53B33236" w14:textId="77777777" w:rsidR="008C1E51" w:rsidRPr="008C1E51" w:rsidRDefault="008C1E51" w:rsidP="008C1E51">
      <w:pPr>
        <w:spacing w:before="120" w:after="120" w:line="276" w:lineRule="auto"/>
        <w:rPr>
          <w:rFonts w:cs="Times New Roman"/>
          <w:szCs w:val="20"/>
        </w:rPr>
      </w:pPr>
      <w:r w:rsidRPr="008C1E51">
        <w:rPr>
          <w:rFonts w:cs="Times New Roman"/>
          <w:color w:val="000000" w:themeColor="text1"/>
          <w:szCs w:val="20"/>
        </w:rPr>
        <w:t xml:space="preserve">Szczegółowemu badaniu poddano 1 z 3 trybów sprzedaży drewna – tryb przetargowy – na podstawie 4 (tj. 33 %) z 12 losowo wybranych przetargów, w ramach których zawarto 5 umów o wartości 263 488,05 zł. </w:t>
      </w:r>
      <w:r w:rsidRPr="008C1E51">
        <w:rPr>
          <w:rFonts w:cs="Times New Roman"/>
          <w:szCs w:val="20"/>
        </w:rPr>
        <w:t xml:space="preserve">Szczegółowo badane przetargi zostały przeprowadzone zgodnie z obowiązującymi zasadami. </w:t>
      </w:r>
    </w:p>
    <w:p w14:paraId="1C9A1876" w14:textId="094EE91C"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Park w badanym okresie posiadał należności z tytułu sprzedaży drewna. </w:t>
      </w:r>
      <w:bookmarkStart w:id="37" w:name="_Hlk151648016"/>
      <w:r w:rsidRPr="008C1E51">
        <w:rPr>
          <w:rFonts w:cs="Times New Roman"/>
          <w:color w:val="000000" w:themeColor="text1"/>
          <w:szCs w:val="20"/>
        </w:rPr>
        <w:t>Zapisy zawieranych umów sprzedaży drewna zabezpieczały interesy Parku, niemniej kontrola wykazała,</w:t>
      </w:r>
      <w:r w:rsidR="005A549E">
        <w:rPr>
          <w:rFonts w:cs="Times New Roman"/>
          <w:color w:val="000000" w:themeColor="text1"/>
          <w:szCs w:val="20"/>
        </w:rPr>
        <w:br/>
      </w:r>
      <w:r w:rsidRPr="008C1E51">
        <w:rPr>
          <w:rFonts w:cs="Times New Roman"/>
          <w:color w:val="000000" w:themeColor="text1"/>
          <w:szCs w:val="20"/>
        </w:rPr>
        <w:t xml:space="preserve">że </w:t>
      </w:r>
      <w:r w:rsidR="001129EF">
        <w:rPr>
          <w:rFonts w:cs="Times New Roman"/>
          <w:color w:val="000000" w:themeColor="text1"/>
          <w:szCs w:val="20"/>
        </w:rPr>
        <w:t xml:space="preserve">w przypadku 2 kontrolowanych umów </w:t>
      </w:r>
      <w:r w:rsidRPr="008C1E51">
        <w:rPr>
          <w:rFonts w:cs="Times New Roman"/>
          <w:color w:val="000000" w:themeColor="text1"/>
          <w:szCs w:val="20"/>
        </w:rPr>
        <w:t xml:space="preserve">nie były one stosowane przez pracowników Parku. </w:t>
      </w:r>
      <w:bookmarkEnd w:id="37"/>
      <w:r w:rsidRPr="008C1E51">
        <w:rPr>
          <w:rFonts w:cs="Times New Roman"/>
          <w:color w:val="000000" w:themeColor="text1"/>
          <w:szCs w:val="20"/>
        </w:rPr>
        <w:t>Stwierdzono przepadki sprzedaży drewna bez uiszczenia przedpłaty przez kupujących,</w:t>
      </w:r>
      <w:r w:rsidR="005A549E">
        <w:rPr>
          <w:rFonts w:cs="Times New Roman"/>
          <w:color w:val="000000" w:themeColor="text1"/>
          <w:szCs w:val="20"/>
        </w:rPr>
        <w:br/>
      </w:r>
      <w:r w:rsidRPr="008C1E51">
        <w:rPr>
          <w:rFonts w:cs="Times New Roman"/>
          <w:color w:val="000000" w:themeColor="text1"/>
          <w:szCs w:val="20"/>
        </w:rPr>
        <w:t>co doprowadziło do powstania zaległości</w:t>
      </w:r>
      <w:r w:rsidR="001129EF">
        <w:rPr>
          <w:rFonts w:cs="Times New Roman"/>
          <w:color w:val="000000" w:themeColor="text1"/>
          <w:szCs w:val="20"/>
        </w:rPr>
        <w:t xml:space="preserve"> </w:t>
      </w:r>
      <w:r w:rsidRPr="008C1E51">
        <w:rPr>
          <w:rFonts w:cs="Times New Roman"/>
          <w:color w:val="000000" w:themeColor="text1"/>
          <w:szCs w:val="20"/>
        </w:rPr>
        <w:t>i konieczności dochodzenia należności przed sądem. Powyższe szczegółowo opisano</w:t>
      </w:r>
      <w:r w:rsidR="005A549E">
        <w:rPr>
          <w:rFonts w:cs="Times New Roman"/>
          <w:color w:val="000000" w:themeColor="text1"/>
          <w:szCs w:val="20"/>
        </w:rPr>
        <w:t xml:space="preserve"> </w:t>
      </w:r>
      <w:r w:rsidRPr="008C1E51">
        <w:rPr>
          <w:rFonts w:cs="Times New Roman"/>
          <w:color w:val="000000" w:themeColor="text1"/>
          <w:szCs w:val="20"/>
        </w:rPr>
        <w:t>w dalszej części projektu wystąpienia pokontrolnego w obszarze wybranych zagadnień</w:t>
      </w:r>
      <w:r w:rsidR="005A549E">
        <w:rPr>
          <w:rFonts w:cs="Times New Roman"/>
          <w:color w:val="000000" w:themeColor="text1"/>
          <w:szCs w:val="20"/>
        </w:rPr>
        <w:t xml:space="preserve"> </w:t>
      </w:r>
      <w:r w:rsidRPr="008C1E51">
        <w:rPr>
          <w:rFonts w:cs="Times New Roman"/>
          <w:color w:val="000000" w:themeColor="text1"/>
          <w:szCs w:val="20"/>
        </w:rPr>
        <w:t>w zakresie gospodarki finansowej.</w:t>
      </w:r>
    </w:p>
    <w:p w14:paraId="5EA92E59" w14:textId="77777777" w:rsidR="008C1E51" w:rsidRPr="008C1E51" w:rsidRDefault="008C1E51" w:rsidP="008C1E51">
      <w:pPr>
        <w:spacing w:before="120" w:after="120" w:line="276" w:lineRule="auto"/>
        <w:jc w:val="right"/>
        <w:rPr>
          <w:rFonts w:eastAsia="Times New Roman" w:cs="Times New Roman"/>
          <w:lang w:eastAsia="pl-PL"/>
        </w:rPr>
      </w:pPr>
      <w:r w:rsidRPr="008C1E51">
        <w:rPr>
          <w:rFonts w:eastAsia="Times New Roman" w:cs="Times New Roman"/>
          <w:lang w:eastAsia="pl-PL"/>
        </w:rPr>
        <w:t xml:space="preserve">[Dowód: akt </w:t>
      </w:r>
      <w:r w:rsidRPr="008C1E51">
        <w:rPr>
          <w:rFonts w:cs="Times New Roman"/>
        </w:rPr>
        <w:t>kontroli str. I/1529-1930</w:t>
      </w:r>
      <w:r w:rsidRPr="008C1E51">
        <w:rPr>
          <w:rFonts w:eastAsia="Times New Roman" w:cs="Times New Roman"/>
          <w:lang w:eastAsia="pl-PL"/>
        </w:rPr>
        <w:t>]</w:t>
      </w:r>
    </w:p>
    <w:p w14:paraId="1B63F11D" w14:textId="77777777" w:rsidR="008C1E51" w:rsidRPr="008C1E51" w:rsidRDefault="008C1E51" w:rsidP="008C1E51">
      <w:pPr>
        <w:spacing w:before="120" w:after="120" w:line="276" w:lineRule="auto"/>
        <w:rPr>
          <w:rFonts w:eastAsia="Calibri" w:cs="Times New Roman"/>
          <w:b/>
          <w:bCs/>
          <w:iCs/>
          <w:szCs w:val="20"/>
        </w:rPr>
      </w:pPr>
      <w:r w:rsidRPr="008C1E51">
        <w:rPr>
          <w:rFonts w:eastAsia="Calibri" w:cs="Times New Roman"/>
          <w:b/>
          <w:bCs/>
          <w:iCs/>
          <w:szCs w:val="20"/>
        </w:rPr>
        <w:t>Ocena obszaru</w:t>
      </w:r>
    </w:p>
    <w:p w14:paraId="6425A4C6" w14:textId="77777777" w:rsidR="008C1E51" w:rsidRPr="008C1E51" w:rsidRDefault="008C1E51" w:rsidP="008C1E51">
      <w:pPr>
        <w:spacing w:before="120" w:after="120" w:line="276" w:lineRule="auto"/>
      </w:pPr>
      <w:bookmarkStart w:id="38" w:name="_Hlk135149200"/>
      <w:bookmarkStart w:id="39" w:name="_Hlk121412614"/>
      <w:r w:rsidRPr="008C1E51">
        <w:lastRenderedPageBreak/>
        <w:t xml:space="preserve">W latach 2019 – 2021 r. Park nie przekazał do zatwierdzenia przez nadzorującego ministra rocznych planów zadań rzeczowych wynikających z zadań ochronnych na kolejny rok. </w:t>
      </w:r>
    </w:p>
    <w:p w14:paraId="132F2576" w14:textId="1BA2602E" w:rsidR="008C1E51" w:rsidRPr="008C1E51" w:rsidRDefault="008C1E51" w:rsidP="00B10F42">
      <w:pPr>
        <w:spacing w:before="120" w:after="0" w:line="276" w:lineRule="auto"/>
      </w:pPr>
      <w:r w:rsidRPr="008C1E51">
        <w:t>Badane zadania ochronne w ekosystemach leśnych (2 zadania poddane szczegółowemu badaniu) zostały wykonane odpowiednio:</w:t>
      </w:r>
    </w:p>
    <w:p w14:paraId="12BCD811" w14:textId="1BC269A5" w:rsidR="008C1E51" w:rsidRPr="008C1E51" w:rsidRDefault="008C1E51" w:rsidP="008C1E51">
      <w:pPr>
        <w:numPr>
          <w:ilvl w:val="0"/>
          <w:numId w:val="29"/>
        </w:numPr>
        <w:spacing w:before="120" w:after="120" w:line="276" w:lineRule="auto"/>
        <w:contextualSpacing/>
      </w:pPr>
      <w:r w:rsidRPr="008C1E51">
        <w:t>1 zadanie – 85% wykonania,</w:t>
      </w:r>
    </w:p>
    <w:p w14:paraId="71B9C07E" w14:textId="34D84D52" w:rsidR="008C1E51" w:rsidRPr="008C1E51" w:rsidRDefault="008C1E51" w:rsidP="00B10F42">
      <w:pPr>
        <w:numPr>
          <w:ilvl w:val="0"/>
          <w:numId w:val="29"/>
        </w:numPr>
        <w:spacing w:before="120" w:after="120" w:line="276" w:lineRule="auto"/>
        <w:ind w:left="714" w:hanging="357"/>
      </w:pPr>
      <w:r w:rsidRPr="008C1E51">
        <w:t xml:space="preserve">1 zadanie – 100% wykonania, przewidzianym w zarządzeniu </w:t>
      </w:r>
      <w:proofErr w:type="spellStart"/>
      <w:r w:rsidRPr="008C1E51">
        <w:t>ws</w:t>
      </w:r>
      <w:proofErr w:type="spellEnd"/>
      <w:r w:rsidRPr="008C1E51">
        <w:t xml:space="preserve">. zadań ochronnych. </w:t>
      </w:r>
    </w:p>
    <w:p w14:paraId="7E1A8413" w14:textId="33519C7B" w:rsidR="008C1E51" w:rsidRPr="008C1E51" w:rsidRDefault="008C1E51" w:rsidP="008C1E51">
      <w:pPr>
        <w:spacing w:before="120" w:after="120" w:line="276" w:lineRule="auto"/>
      </w:pPr>
      <w:r w:rsidRPr="008C1E51">
        <w:t xml:space="preserve">Przyczyną </w:t>
      </w:r>
      <w:r w:rsidR="00AE01E0">
        <w:t xml:space="preserve">niepełnego </w:t>
      </w:r>
      <w:r w:rsidR="00AE01E0" w:rsidRPr="008C1E51">
        <w:t xml:space="preserve">wykonania </w:t>
      </w:r>
      <w:r w:rsidRPr="008C1E51">
        <w:t xml:space="preserve">jednego z zadań był braku przesłanek do cięć na powierzchniach zaplanowanych jako potencjalne, bądź z ograniczonej dostępności wybranych obszarów </w:t>
      </w:r>
      <w:r w:rsidRPr="008C1E51">
        <w:rPr>
          <w:rFonts w:cs="Times New Roman"/>
        </w:rPr>
        <w:t>– przejezdności dróg i szlaków zrywkowych</w:t>
      </w:r>
      <w:r w:rsidRPr="008C1E51">
        <w:t>.</w:t>
      </w:r>
    </w:p>
    <w:p w14:paraId="5A49D918" w14:textId="09876931" w:rsidR="008C1E51" w:rsidRPr="008C1E51" w:rsidRDefault="008C1E51" w:rsidP="008C1E51">
      <w:pPr>
        <w:spacing w:before="120" w:after="120" w:line="276" w:lineRule="auto"/>
      </w:pPr>
      <w:bookmarkStart w:id="40" w:name="_Hlk151648336"/>
      <w:r w:rsidRPr="008C1E51">
        <w:t xml:space="preserve">Z </w:t>
      </w:r>
      <w:r w:rsidR="001129EF">
        <w:t>3</w:t>
      </w:r>
      <w:r w:rsidR="001129EF" w:rsidRPr="008C1E51">
        <w:t xml:space="preserve"> </w:t>
      </w:r>
      <w:r w:rsidRPr="008C1E51">
        <w:t xml:space="preserve">kontrolowanych zadań ochronnych w dotyczących ekosystemów nieleśnych lądowych tylko jedno zostało wykonane w całości, natomiast pozostałe były realizowane na mniejszym obszarze niż wynikało to z Zarządzeń dot. zadań ochronnych. </w:t>
      </w:r>
    </w:p>
    <w:bookmarkEnd w:id="40"/>
    <w:p w14:paraId="5E1A41DD" w14:textId="30B5B993" w:rsidR="008C1E51" w:rsidRPr="008C1E51" w:rsidRDefault="008C1E51" w:rsidP="008C1E51">
      <w:pPr>
        <w:spacing w:before="120" w:after="120" w:line="276" w:lineRule="auto"/>
      </w:pPr>
      <w:r w:rsidRPr="008C1E51">
        <w:t>Zadanie ochronne - wypas na Połoni</w:t>
      </w:r>
      <w:r w:rsidR="000B5B5B">
        <w:t>ni</w:t>
      </w:r>
      <w:r w:rsidRPr="008C1E51">
        <w:t xml:space="preserve">e </w:t>
      </w:r>
      <w:proofErr w:type="spellStart"/>
      <w:r w:rsidRPr="008C1E51">
        <w:t>Wetlińskiej</w:t>
      </w:r>
      <w:proofErr w:type="spellEnd"/>
      <w:r w:rsidRPr="008C1E51">
        <w:t xml:space="preserve"> był realizowany przez dzierżawców na powierzchni mniejszej niż zaplanowana, a brak środków na to zadanie nie pozwalał Parkowi na wykonanie tego zadania samodzielnie. </w:t>
      </w:r>
    </w:p>
    <w:p w14:paraId="305D9473" w14:textId="77777777" w:rsidR="008C1E51" w:rsidRPr="008C1E51" w:rsidRDefault="008C1E51" w:rsidP="008C1E51">
      <w:pPr>
        <w:spacing w:before="120" w:after="120" w:line="276" w:lineRule="auto"/>
      </w:pPr>
      <w:r w:rsidRPr="008C1E51">
        <w:t xml:space="preserve">Zadanie ochronne polegające na mechanicznym koszeniu łąk zostało zrealizowane na ok. 57% powierzchni przewidzianej w zarządzeniu </w:t>
      </w:r>
      <w:proofErr w:type="spellStart"/>
      <w:r w:rsidRPr="008C1E51">
        <w:t>ws</w:t>
      </w:r>
      <w:proofErr w:type="spellEnd"/>
      <w:r w:rsidRPr="008C1E51">
        <w:t xml:space="preserve">. zadań ochronnych. </w:t>
      </w:r>
    </w:p>
    <w:p w14:paraId="1114DF77" w14:textId="77777777" w:rsidR="008C1E51" w:rsidRPr="008C1E51" w:rsidRDefault="008C1E51" w:rsidP="008C1E51">
      <w:pPr>
        <w:spacing w:before="120" w:after="120" w:line="276" w:lineRule="auto"/>
      </w:pPr>
      <w:r w:rsidRPr="008C1E51">
        <w:t xml:space="preserve">Park przy planowaniu zadań ochronnych wskazał do mechanicznego koszenia wydzielenia niejednolite pod kątem przyrodniczym, a zabieg według założeń miał być wykonany jedynie na części wskazanych </w:t>
      </w:r>
      <w:proofErr w:type="spellStart"/>
      <w:r w:rsidRPr="008C1E51">
        <w:t>wydzieleń</w:t>
      </w:r>
      <w:proofErr w:type="spellEnd"/>
      <w:r w:rsidRPr="008C1E51">
        <w:t xml:space="preserve">. Park przyjął jednocześnie założenie, że powierzchnia zabiegów miała być doprecyzowana na podstawie weryfikacji terenowej stanu ekosystemów i technicznych możliwości. Zdaniem Kontrolującego wykonanie zadania na poziomie ok. 57% powierzchni przewidzianej w zarządzeniu </w:t>
      </w:r>
      <w:proofErr w:type="spellStart"/>
      <w:r w:rsidRPr="008C1E51">
        <w:t>ws</w:t>
      </w:r>
      <w:proofErr w:type="spellEnd"/>
      <w:r w:rsidRPr="008C1E51">
        <w:t>. zadań ochronnych było niewystarczające. Powierzchnia przewidziana do wykoszenia ręcznego i mechanicznego oraz wypasu powinna zostać zweryfikowana i dostosowana do realiów i możliwości finansowych i logistycznych Parku.</w:t>
      </w:r>
    </w:p>
    <w:p w14:paraId="68CD89FB" w14:textId="132AFA2C" w:rsidR="008C1E51" w:rsidRPr="008C1E51" w:rsidRDefault="008C1E51" w:rsidP="008C1E51">
      <w:pPr>
        <w:spacing w:before="120" w:after="120" w:line="276" w:lineRule="auto"/>
      </w:pPr>
      <w:r w:rsidRPr="008C1E51">
        <w:t>Park realizował zadania ochronne w ramach umów dzierżaw. Dzierżawcy wykonywali zadania ochronne zgodnie z zapisami umownymi, a Park nadzorował działania Dzierżawców. W zakresie tym stwierdzono jedynie uchybienia formalne w sporządzaniu protokołów</w:t>
      </w:r>
      <w:r w:rsidRPr="008C1E51">
        <w:br/>
        <w:t xml:space="preserve">z wykonania prac, które nie </w:t>
      </w:r>
      <w:r w:rsidR="00211832" w:rsidRPr="008C1E51">
        <w:t>miały</w:t>
      </w:r>
      <w:r w:rsidRPr="008C1E51">
        <w:t xml:space="preserve"> jednakże wpływu na realizację wykonania umów i osiągnięty efekt przyrodniczy.</w:t>
      </w:r>
    </w:p>
    <w:p w14:paraId="30335367" w14:textId="77777777" w:rsidR="008C1E51" w:rsidRPr="008C1E51" w:rsidRDefault="008C1E51" w:rsidP="008C1E51">
      <w:pPr>
        <w:spacing w:before="120" w:after="120" w:line="276" w:lineRule="auto"/>
      </w:pPr>
      <w:r w:rsidRPr="008C1E51">
        <w:t xml:space="preserve">W pełnym rozmiarze zostały wykonane 3 z 3 badanych zadań ochronnych w ekosystemach wodnych oraz w kategorii </w:t>
      </w:r>
      <w:r w:rsidRPr="008C1E51">
        <w:rPr>
          <w:i/>
          <w:iCs/>
        </w:rPr>
        <w:t>Inne według specyfiki Parku</w:t>
      </w:r>
      <w:r w:rsidRPr="008C1E51">
        <w:t xml:space="preserve">. </w:t>
      </w:r>
    </w:p>
    <w:p w14:paraId="6538A5B7" w14:textId="0C105467" w:rsidR="00245D86" w:rsidRPr="00AE01E0" w:rsidRDefault="00245D86" w:rsidP="00245D86">
      <w:pPr>
        <w:spacing w:before="120" w:after="120" w:line="276" w:lineRule="auto"/>
      </w:pPr>
      <w:bookmarkStart w:id="41" w:name="_Hlk151729082"/>
      <w:r w:rsidRPr="00AE01E0">
        <w:t>Dyrektor Parku nie przekazywał do zaopiniowania Radzie programów badawczych i naukowych</w:t>
      </w:r>
      <w:r w:rsidR="001A560E">
        <w:t>.</w:t>
      </w:r>
    </w:p>
    <w:bookmarkEnd w:id="41"/>
    <w:p w14:paraId="4DAA2979" w14:textId="77777777" w:rsidR="008C1E51" w:rsidRPr="008C1E51" w:rsidRDefault="008C1E51" w:rsidP="008C1E51">
      <w:pPr>
        <w:spacing w:before="120" w:after="120" w:line="276" w:lineRule="auto"/>
      </w:pPr>
      <w:r w:rsidRPr="008C1E51">
        <w:t>Zbadane przetargi na sprzedaż drewna odbywały się zgodnie z przyjętymi w Parku regulacjami.</w:t>
      </w:r>
      <w:bookmarkEnd w:id="38"/>
      <w:bookmarkEnd w:id="39"/>
    </w:p>
    <w:p w14:paraId="1405D6FC" w14:textId="77777777" w:rsidR="008C1E51" w:rsidRPr="008C1E51" w:rsidRDefault="008C1E51" w:rsidP="008C1E51">
      <w:pPr>
        <w:numPr>
          <w:ilvl w:val="0"/>
          <w:numId w:val="11"/>
        </w:numPr>
        <w:spacing w:before="120" w:after="120" w:line="276" w:lineRule="auto"/>
        <w:ind w:left="426" w:hanging="426"/>
        <w:rPr>
          <w:b/>
          <w:bCs/>
          <w:szCs w:val="20"/>
        </w:rPr>
      </w:pPr>
      <w:r w:rsidRPr="008C1E51">
        <w:rPr>
          <w:rFonts w:cs="Arial"/>
          <w:b/>
          <w:bCs/>
          <w:szCs w:val="20"/>
        </w:rPr>
        <w:t>Wybrane aspekty funkcjonowania parków narodowych, t. j.:</w:t>
      </w:r>
    </w:p>
    <w:p w14:paraId="3F1534B9" w14:textId="77777777" w:rsidR="008C1E51" w:rsidRPr="008C1E51" w:rsidRDefault="008C1E51" w:rsidP="008C1E51">
      <w:pPr>
        <w:numPr>
          <w:ilvl w:val="0"/>
          <w:numId w:val="12"/>
        </w:numPr>
        <w:spacing w:before="120" w:after="120" w:line="276" w:lineRule="auto"/>
        <w:ind w:left="426" w:hanging="426"/>
        <w:rPr>
          <w:b/>
          <w:bCs/>
          <w:szCs w:val="20"/>
        </w:rPr>
      </w:pPr>
      <w:r w:rsidRPr="008C1E51">
        <w:rPr>
          <w:rFonts w:cs="Arial"/>
          <w:b/>
          <w:bCs/>
          <w:szCs w:val="20"/>
        </w:rPr>
        <w:t>Wybrane zagadnienia w zakresie gospodarki finansowej.</w:t>
      </w:r>
    </w:p>
    <w:p w14:paraId="2B94795F" w14:textId="77777777" w:rsidR="008C1E51" w:rsidRPr="008C1E51" w:rsidRDefault="008C1E51" w:rsidP="008C1E51">
      <w:pPr>
        <w:autoSpaceDE w:val="0"/>
        <w:autoSpaceDN w:val="0"/>
        <w:adjustRightInd w:val="0"/>
        <w:spacing w:before="120" w:after="120" w:line="276" w:lineRule="auto"/>
        <w:rPr>
          <w:rFonts w:cs="Times New Roman"/>
          <w:szCs w:val="20"/>
          <w:u w:val="single"/>
        </w:rPr>
      </w:pPr>
      <w:r w:rsidRPr="008C1E51">
        <w:rPr>
          <w:rFonts w:cs="Times New Roman"/>
          <w:szCs w:val="20"/>
          <w:u w:val="single"/>
        </w:rPr>
        <w:t>Sprawozdania finansowe</w:t>
      </w:r>
    </w:p>
    <w:p w14:paraId="7A00F505" w14:textId="77777777" w:rsidR="008C1E51" w:rsidRPr="008C1E51" w:rsidRDefault="008C1E51" w:rsidP="008C1E51">
      <w:pPr>
        <w:autoSpaceDE w:val="0"/>
        <w:autoSpaceDN w:val="0"/>
        <w:adjustRightInd w:val="0"/>
        <w:spacing w:before="120" w:after="120" w:line="276" w:lineRule="auto"/>
        <w:rPr>
          <w:rFonts w:cs="Times New Roman"/>
          <w:szCs w:val="20"/>
          <w:highlight w:val="yellow"/>
        </w:rPr>
      </w:pPr>
      <w:r w:rsidRPr="008C1E51">
        <w:rPr>
          <w:rFonts w:cs="Times New Roman"/>
          <w:szCs w:val="20"/>
        </w:rPr>
        <w:lastRenderedPageBreak/>
        <w:t>Kontrolą objęto prawidłowość sporządzenia sprawozdań w zakresie operacji finansowych za lata 2019-2021 o stanie należności wybranych aktywów finansowych (Rb-N), stanie zobowiązań według tytułów dłużnych oraz poręczeń i gwarancji (Rb-Z)</w:t>
      </w:r>
      <w:r w:rsidRPr="008C1E51">
        <w:rPr>
          <w:rFonts w:eastAsia="Times New Roman" w:cs="Times New Roman"/>
          <w:color w:val="000000" w:themeColor="text1"/>
          <w:vertAlign w:val="superscript"/>
          <w:lang w:eastAsia="pl-PL"/>
        </w:rPr>
        <w:footnoteReference w:id="44"/>
      </w:r>
      <w:r w:rsidRPr="008C1E51">
        <w:rPr>
          <w:rFonts w:eastAsia="Times New Roman" w:cs="Times New Roman"/>
          <w:color w:val="000000" w:themeColor="text1"/>
          <w:szCs w:val="20"/>
          <w:lang w:eastAsia="pl-PL"/>
        </w:rPr>
        <w:t>.</w:t>
      </w:r>
      <w:r w:rsidRPr="008C1E51">
        <w:rPr>
          <w:rFonts w:cs="Times New Roman"/>
          <w:szCs w:val="20"/>
        </w:rPr>
        <w:t xml:space="preserve"> Pliki sprawozdań Rb-Z i Rb-N były zgodne ze strukturami opracowanymi przez Ministerstwo Finansów</w:t>
      </w:r>
      <w:r w:rsidRPr="008C1E51">
        <w:rPr>
          <w:rFonts w:cs="Times New Roman"/>
          <w:vertAlign w:val="superscript"/>
        </w:rPr>
        <w:footnoteReference w:id="45"/>
      </w:r>
      <w:r w:rsidRPr="008C1E51">
        <w:rPr>
          <w:rFonts w:cs="Times New Roman"/>
          <w:szCs w:val="20"/>
        </w:rPr>
        <w:t>. Sprawozdania zostały sporządzone terminowo.</w:t>
      </w:r>
    </w:p>
    <w:p w14:paraId="11C4B3E9"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 xml:space="preserve">W sprawozdaniach Rb-Z nie wykazano żadnych zobowiązań według tytułów dłużnych oraz poręczeń i gwarancji. </w:t>
      </w:r>
      <w:r w:rsidRPr="008C1E51">
        <w:rPr>
          <w:rFonts w:eastAsia="Times New Roman" w:cs="Times New Roman"/>
          <w:szCs w:val="20"/>
          <w:lang w:eastAsia="pl-PL"/>
        </w:rPr>
        <w:t>Zgodnie z Rb-N w latach 2019-2021 zaległości wymagalne w Parku wynosiły:</w:t>
      </w:r>
    </w:p>
    <w:p w14:paraId="4236A51F" w14:textId="77777777" w:rsidR="008C1E51" w:rsidRPr="008C1E51" w:rsidRDefault="008C1E51" w:rsidP="008C1E51">
      <w:pPr>
        <w:numPr>
          <w:ilvl w:val="0"/>
          <w:numId w:val="13"/>
        </w:numPr>
        <w:spacing w:before="120" w:after="120" w:line="276" w:lineRule="auto"/>
        <w:ind w:left="714" w:hanging="357"/>
        <w:rPr>
          <w:rFonts w:eastAsia="Times New Roman" w:cs="Times New Roman"/>
          <w:szCs w:val="20"/>
          <w:lang w:eastAsia="pl-PL"/>
        </w:rPr>
      </w:pPr>
      <w:r w:rsidRPr="008C1E51">
        <w:rPr>
          <w:rFonts w:eastAsia="Times New Roman" w:cs="Times New Roman"/>
          <w:szCs w:val="20"/>
          <w:lang w:eastAsia="pl-PL"/>
        </w:rPr>
        <w:t>według stanu na koniec IV kwartału 2019 r. 202 719,16 zł,</w:t>
      </w:r>
    </w:p>
    <w:p w14:paraId="456967EF" w14:textId="77777777" w:rsidR="008C1E51" w:rsidRPr="008C1E51" w:rsidRDefault="008C1E51" w:rsidP="008C1E51">
      <w:pPr>
        <w:numPr>
          <w:ilvl w:val="0"/>
          <w:numId w:val="13"/>
        </w:numPr>
        <w:spacing w:before="120" w:after="120" w:line="276" w:lineRule="auto"/>
        <w:ind w:left="714" w:hanging="357"/>
        <w:rPr>
          <w:rFonts w:eastAsia="Times New Roman" w:cs="Times New Roman"/>
          <w:szCs w:val="20"/>
          <w:lang w:eastAsia="pl-PL"/>
        </w:rPr>
      </w:pPr>
      <w:r w:rsidRPr="008C1E51">
        <w:rPr>
          <w:rFonts w:eastAsia="Times New Roman" w:cs="Times New Roman"/>
          <w:szCs w:val="20"/>
          <w:lang w:eastAsia="pl-PL"/>
        </w:rPr>
        <w:t>według stanu na koniec IV kwartału 2020 r.  188 130,78 zł,</w:t>
      </w:r>
    </w:p>
    <w:p w14:paraId="77C51536" w14:textId="77777777" w:rsidR="008C1E51" w:rsidRPr="008C1E51" w:rsidRDefault="008C1E51" w:rsidP="008C1E51">
      <w:pPr>
        <w:numPr>
          <w:ilvl w:val="0"/>
          <w:numId w:val="13"/>
        </w:numPr>
        <w:spacing w:before="120" w:after="120" w:line="276" w:lineRule="auto"/>
        <w:ind w:left="714" w:hanging="357"/>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według stanu na koniec IV kwartału 2021 r. 214 927,63 zł,</w:t>
      </w:r>
    </w:p>
    <w:p w14:paraId="5ECBAD34" w14:textId="77777777" w:rsidR="008C1E51" w:rsidRPr="008C1E51" w:rsidRDefault="008C1E51" w:rsidP="008C1E51">
      <w:pPr>
        <w:numPr>
          <w:ilvl w:val="0"/>
          <w:numId w:val="13"/>
        </w:numPr>
        <w:spacing w:before="120" w:after="120" w:line="276" w:lineRule="auto"/>
        <w:ind w:left="714" w:hanging="357"/>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według stanu na koniec IV kwartału 2022 r. 91 947,61 zł.</w:t>
      </w:r>
    </w:p>
    <w:p w14:paraId="46C09602" w14:textId="77777777" w:rsidR="008C1E51" w:rsidRPr="008C1E51" w:rsidRDefault="008C1E51" w:rsidP="008C1E51">
      <w:pPr>
        <w:spacing w:before="120" w:after="120" w:line="276" w:lineRule="auto"/>
        <w:jc w:val="right"/>
        <w:rPr>
          <w:szCs w:val="20"/>
        </w:rPr>
      </w:pPr>
      <w:r w:rsidRPr="008C1E51">
        <w:rPr>
          <w:szCs w:val="20"/>
        </w:rPr>
        <w:t>[Dowód: akta kontroli str. I/1931-2029]</w:t>
      </w:r>
    </w:p>
    <w:p w14:paraId="654796B4"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 xml:space="preserve">W toku kontroli stwierdzono, że kwoty wykazane w sprawozdaniach Rb-N za IV kwartał 2019, 2020 i 2021 r. nie były zgodne z danymi wynikającymi z ewidencji księgowej. Weryfikacja zapisów kart kontowych wybranych dłużników Parku wykazała, że w Rb-N nie wykazano wszystkich należności wymagalnych. </w:t>
      </w:r>
    </w:p>
    <w:p w14:paraId="066D5847"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Błędne sporządzenie sprawozdań było naruszeniem Rozporządzenia Ministra Finansów</w:t>
      </w:r>
      <w:r w:rsidRPr="008C1E51">
        <w:rPr>
          <w:rFonts w:cs="Times New Roman"/>
          <w:szCs w:val="20"/>
        </w:rPr>
        <w:br/>
        <w:t>z dnia 4 marca 2010 r. w sprawie sprawozdań jednostek sektora finansów publicznych</w:t>
      </w:r>
      <w:r w:rsidRPr="008C1E51">
        <w:rPr>
          <w:rFonts w:cs="Times New Roman"/>
          <w:szCs w:val="20"/>
        </w:rPr>
        <w:br/>
        <w:t>w zakresie operacji finansowych</w:t>
      </w:r>
      <w:r w:rsidRPr="008C1E51">
        <w:rPr>
          <w:rFonts w:cs="Times New Roman"/>
          <w:szCs w:val="20"/>
          <w:vertAlign w:val="superscript"/>
        </w:rPr>
        <w:footnoteReference w:id="46"/>
      </w:r>
      <w:r w:rsidRPr="008C1E51">
        <w:rPr>
          <w:rFonts w:cs="Times New Roman"/>
          <w:szCs w:val="20"/>
        </w:rPr>
        <w:t xml:space="preserve"> i Rozporządzenia Ministra Finansów, Funduszy i Polityki Regionalnej z dnia 17 grudnia 2020 r. w sprawie sprawozdań jednostek sektora finansów publicznych w zakresie operacji finansowych</w:t>
      </w:r>
      <w:r w:rsidRPr="008C1E51">
        <w:rPr>
          <w:rFonts w:cs="Times New Roman"/>
          <w:szCs w:val="20"/>
          <w:vertAlign w:val="superscript"/>
        </w:rPr>
        <w:footnoteReference w:id="47"/>
      </w:r>
      <w:r w:rsidRPr="008C1E51">
        <w:rPr>
          <w:rFonts w:cs="Times New Roman"/>
          <w:szCs w:val="20"/>
        </w:rPr>
        <w:t>. Główna Księgowa poinformowała</w:t>
      </w:r>
      <w:r w:rsidRPr="008C1E51">
        <w:rPr>
          <w:rFonts w:cs="Times New Roman"/>
          <w:vertAlign w:val="superscript"/>
        </w:rPr>
        <w:footnoteReference w:id="48"/>
      </w:r>
      <w:r w:rsidRPr="008C1E51">
        <w:rPr>
          <w:rFonts w:cs="Times New Roman"/>
          <w:szCs w:val="20"/>
        </w:rPr>
        <w:t xml:space="preserve">, że na koniec 2019 r. prawidłowa kwota zaległości wymagalnych wynosiła 217 666,30 zł (różnica do Rb-N to 14 947,14 zł), ponieważ, błędnie policzono kwotę zaległości za sprzedaż drewna, na koniec 2020 r. prawidłowa kwota wynosiła 182 731,80 (różnica do Rb-N to 5 398,98 zł), ponieważ błędnie policzono kwotę zaległości za najem mieszkań i media, a na koniec 2021 r. prawidłowa kwota wynosiła 246 429,66 zł. (różnica do Rb-N to 31 502,03 zł), ponieważ błędnie policzono kwotę zaległości za sprzedaż drewna. Ponadto Główna Księgowa wyjaśniła, że program księgowy nie wylicza samodzielnie kwoty zaległości, a do Rb-N analizowane były wszystkie salda z podziałem na różne grupy odbiorców i uszczegółowienie do opisu, co powodowało błędy. </w:t>
      </w:r>
    </w:p>
    <w:p w14:paraId="2BE049F3"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[Dowód: akta kontroli str. I/1931-2124]</w:t>
      </w:r>
    </w:p>
    <w:p w14:paraId="5681C4EB" w14:textId="77777777" w:rsidR="008C1E51" w:rsidRPr="008C1E51" w:rsidRDefault="008C1E51" w:rsidP="008C1E51">
      <w:p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lastRenderedPageBreak/>
        <w:t>Bieszczadzki Park Narodowy sporządził sprawozdania finansowe wraz z bilansem, rachunkiem zysków i strat za 2019, 2020 r. i 2021 r. oraz uzyskał pozytywne opinie biegłego rewidenta.</w:t>
      </w:r>
    </w:p>
    <w:p w14:paraId="4B6C5CD0"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[Dowód: akta kontroli str. I/2125-2221]</w:t>
      </w:r>
    </w:p>
    <w:p w14:paraId="1731718E" w14:textId="77777777" w:rsidR="008C1E51" w:rsidRPr="008C1E51" w:rsidRDefault="008C1E51" w:rsidP="008C1E51">
      <w:pPr>
        <w:spacing w:before="120" w:after="120" w:line="276" w:lineRule="auto"/>
        <w:rPr>
          <w:rFonts w:cs="Times New Roman"/>
          <w:color w:val="000000"/>
          <w:szCs w:val="20"/>
          <w:u w:val="single"/>
        </w:rPr>
      </w:pPr>
      <w:r w:rsidRPr="008C1E51">
        <w:rPr>
          <w:rFonts w:cs="Times New Roman"/>
          <w:color w:val="000000"/>
          <w:szCs w:val="20"/>
          <w:u w:val="single"/>
        </w:rPr>
        <w:t>Dotacje celowe z Ministerstwa</w:t>
      </w:r>
    </w:p>
    <w:p w14:paraId="5EDE0DD4" w14:textId="0D3BDFA3"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W kontrolowanym okresie Bieszczadzki Park Narodowy otrzymał dotacje celowe</w:t>
      </w:r>
      <w:r w:rsidRPr="008C1E51">
        <w:rPr>
          <w:rFonts w:cs="Times New Roman"/>
          <w:color w:val="000000"/>
          <w:szCs w:val="20"/>
          <w:vertAlign w:val="superscript"/>
        </w:rPr>
        <w:footnoteReference w:id="49"/>
      </w:r>
      <w:r w:rsidRPr="008C1E51">
        <w:rPr>
          <w:rFonts w:cs="Times New Roman"/>
          <w:color w:val="000000"/>
          <w:szCs w:val="20"/>
        </w:rPr>
        <w:t xml:space="preserve"> przeznaczone na realizację zadań związanych </w:t>
      </w:r>
      <w:r w:rsidR="00211832" w:rsidRPr="008C1E51">
        <w:rPr>
          <w:rFonts w:cs="Times New Roman"/>
          <w:color w:val="000000"/>
          <w:szCs w:val="20"/>
        </w:rPr>
        <w:t>z:</w:t>
      </w:r>
    </w:p>
    <w:p w14:paraId="07C57588" w14:textId="77777777" w:rsidR="008C1E51" w:rsidRPr="008C1E51" w:rsidRDefault="008C1E51" w:rsidP="008C1E51">
      <w:pPr>
        <w:numPr>
          <w:ilvl w:val="0"/>
          <w:numId w:val="14"/>
        </w:numPr>
        <w:spacing w:before="120" w:after="120" w:line="276" w:lineRule="auto"/>
        <w:ind w:left="714" w:hanging="357"/>
        <w:rPr>
          <w:color w:val="000000"/>
          <w:szCs w:val="20"/>
        </w:rPr>
      </w:pPr>
      <w:r w:rsidRPr="008C1E51">
        <w:rPr>
          <w:color w:val="000000"/>
          <w:szCs w:val="20"/>
        </w:rPr>
        <w:t>prowadzeniem działań ochronnych w ekosystemach Bieszczadzkiego Parku Narodowego, zmierzających do zachowania różnorodności biologicznej, zasobów, tworów i składników przyrody nieożywionej i walorów krajobrazowych, przywrócenia właściwego stanu zasobów i składników przyrody oraz odtworzenia zniekształconych siedlisk przyrodniczych, siedlisk roślin, siedlisk zwierząt lub siedlisk grzybów.</w:t>
      </w:r>
    </w:p>
    <w:p w14:paraId="3D3A8B05" w14:textId="77777777" w:rsidR="008C1E51" w:rsidRPr="008C1E51" w:rsidRDefault="008C1E51" w:rsidP="008C1E51">
      <w:pPr>
        <w:numPr>
          <w:ilvl w:val="0"/>
          <w:numId w:val="14"/>
        </w:numPr>
        <w:spacing w:before="120" w:after="120" w:line="276" w:lineRule="auto"/>
        <w:ind w:left="714" w:hanging="357"/>
        <w:rPr>
          <w:color w:val="000000"/>
          <w:szCs w:val="20"/>
        </w:rPr>
      </w:pPr>
      <w:r w:rsidRPr="008C1E51">
        <w:rPr>
          <w:color w:val="000000"/>
          <w:szCs w:val="20"/>
        </w:rPr>
        <w:t xml:space="preserve">udostępnianiem obszaru Bieszczadzkiego Parku Narodowego na zasadach określonych w zadaniach ochronnych i w zarządzeniach Dyrektora Bieszczadzkiego Parku Narodowego, prowadzeniem działań związanych z edukacją przyrodniczą – </w:t>
      </w:r>
      <w:r w:rsidRPr="008C1E51">
        <w:rPr>
          <w:color w:val="000000"/>
          <w:szCs w:val="20"/>
        </w:rPr>
        <w:br/>
        <w:t>w tym zadań związanych z wydatkami majątkowymi dokonywanymi przez Dotowanego na podstawie ustawy o ochronie przyrody.</w:t>
      </w:r>
    </w:p>
    <w:p w14:paraId="09F40387" w14:textId="77777777" w:rsidR="008C1E51" w:rsidRPr="008C1E51" w:rsidRDefault="008C1E51" w:rsidP="008C1E51">
      <w:pPr>
        <w:spacing w:before="120" w:after="120" w:line="276" w:lineRule="auto"/>
        <w:rPr>
          <w:rFonts w:cs="Times New Roman"/>
          <w:szCs w:val="20"/>
        </w:rPr>
      </w:pPr>
      <w:r w:rsidRPr="008C1E51">
        <w:rPr>
          <w:rFonts w:eastAsia="Times New Roman" w:cs="Times New Roman"/>
          <w:szCs w:val="20"/>
          <w:lang w:eastAsia="pl-PL"/>
        </w:rPr>
        <w:t>Środki pozyskane z dotacji zostały wykorzystane na wy</w:t>
      </w:r>
      <w:r w:rsidRPr="008C1E51">
        <w:rPr>
          <w:rFonts w:cs="Times New Roman"/>
          <w:szCs w:val="20"/>
        </w:rPr>
        <w:t>datki związane z funkcjonowaniem Służby Parku Narodowego oraz pokrywały koszty działalności Bieszczadzkiego Parku Narodowego powstałe w związku z wykonywanymi zadaniami</w:t>
      </w:r>
      <w:r w:rsidRPr="008C1E51">
        <w:rPr>
          <w:rFonts w:cs="Times New Roman"/>
          <w:szCs w:val="20"/>
          <w:vertAlign w:val="superscript"/>
        </w:rPr>
        <w:footnoteReference w:id="50"/>
      </w:r>
      <w:r w:rsidRPr="008C1E51">
        <w:rPr>
          <w:rFonts w:cs="Times New Roman"/>
          <w:szCs w:val="20"/>
        </w:rPr>
        <w:t>.</w:t>
      </w:r>
    </w:p>
    <w:p w14:paraId="71381B2C"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Ponadto Park otrzymał dotacje</w:t>
      </w:r>
      <w:r w:rsidRPr="008C1E51">
        <w:rPr>
          <w:rFonts w:cs="Times New Roman"/>
          <w:color w:val="000000" w:themeColor="text1"/>
          <w:szCs w:val="20"/>
          <w:vertAlign w:val="superscript"/>
        </w:rPr>
        <w:footnoteReference w:id="51"/>
      </w:r>
      <w:r w:rsidRPr="008C1E51">
        <w:rPr>
          <w:rFonts w:cs="Times New Roman"/>
          <w:color w:val="000000" w:themeColor="text1"/>
          <w:szCs w:val="20"/>
        </w:rPr>
        <w:t xml:space="preserve"> w celu realizacji zadań określonych w art. 8b uop, na współfinansowanie projektów realizowanych ze środków pochodzących z budżetu Unii Europejskiej oraz niepodlegających zwrotowi ze środków z pomocy udzielanej przez państwa członkowskie EFTA oraz innych środków pochodzących ze źródeł zagranicznych niepodlegających zwrotowi.</w:t>
      </w:r>
    </w:p>
    <w:p w14:paraId="10774B9E"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[Dowód: akta kontroli str. I/2222-2277]</w:t>
      </w:r>
    </w:p>
    <w:p w14:paraId="4B9C9DC7" w14:textId="77777777" w:rsidR="008C1E51" w:rsidRPr="008C1E51" w:rsidRDefault="008C1E51" w:rsidP="008C1E51">
      <w:pPr>
        <w:spacing w:before="120" w:after="120" w:line="276" w:lineRule="auto"/>
        <w:rPr>
          <w:rFonts w:cs="Times New Roman"/>
          <w:color w:val="000000"/>
          <w:szCs w:val="20"/>
          <w:highlight w:val="yellow"/>
        </w:rPr>
      </w:pPr>
      <w:r w:rsidRPr="008C1E51">
        <w:rPr>
          <w:rFonts w:cs="Times New Roman"/>
          <w:color w:val="000000"/>
          <w:szCs w:val="20"/>
        </w:rPr>
        <w:t>Dotacje zostały przelane na wyodrębnione rachunki i prawidłowo ujęte na kontach 130-132 „Rachunki bieżące jednostki”</w:t>
      </w:r>
      <w:r w:rsidRPr="008C1E51">
        <w:rPr>
          <w:rFonts w:cs="Times New Roman"/>
          <w:szCs w:val="20"/>
        </w:rPr>
        <w:t xml:space="preserve">. Odsetki od dotacji zgodnie z § 3 pkt 3 umów dotacji oraz zgodnie z rozporządzeniem Ministra Finansów z dnia </w:t>
      </w:r>
      <w:r w:rsidRPr="008C1E51">
        <w:rPr>
          <w:rFonts w:cs="Times New Roman"/>
          <w:color w:val="000000"/>
          <w:szCs w:val="20"/>
        </w:rPr>
        <w:t xml:space="preserve">15 stycznia 2014 r. w sprawie </w:t>
      </w:r>
      <w:r w:rsidRPr="008C1E51">
        <w:rPr>
          <w:rFonts w:cs="Times New Roman"/>
          <w:color w:val="000000"/>
          <w:szCs w:val="20"/>
        </w:rPr>
        <w:lastRenderedPageBreak/>
        <w:t>szczegółowego sposobu wykonywania budżetu państwa</w:t>
      </w:r>
      <w:r w:rsidRPr="008C1E51">
        <w:rPr>
          <w:rFonts w:cs="Times New Roman"/>
          <w:color w:val="000000"/>
          <w:vertAlign w:val="superscript"/>
        </w:rPr>
        <w:footnoteReference w:id="52"/>
      </w:r>
      <w:r w:rsidRPr="008C1E51">
        <w:rPr>
          <w:rFonts w:cs="Times New Roman"/>
          <w:color w:val="000000"/>
          <w:szCs w:val="20"/>
        </w:rPr>
        <w:t xml:space="preserve"> zostały zwrócone na rachunek Dotującego. Zapisy konta 740 „Dotacje” wykazały kwoty zgodne z kwotami dotacji określonymi w umowach.</w:t>
      </w:r>
    </w:p>
    <w:p w14:paraId="525DA9AB"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[Dowód: akta kontroli str. I/2278-2343]</w:t>
      </w:r>
    </w:p>
    <w:p w14:paraId="6E42DECF"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W wyniku porównania zestawień wydatków z dotacji celowej z wydatkami finansowanymi </w:t>
      </w:r>
      <w:r w:rsidRPr="008C1E51">
        <w:rPr>
          <w:rFonts w:cs="Times New Roman"/>
          <w:szCs w:val="20"/>
        </w:rPr>
        <w:br/>
        <w:t xml:space="preserve">z Funduszu Leśnego nie stwierdzono finansowania tych samych zadań z tych dwóch źródeł. </w:t>
      </w:r>
    </w:p>
    <w:p w14:paraId="166A954D"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[Dowód: akta kontroli str. I/2344-2571]</w:t>
      </w:r>
    </w:p>
    <w:p w14:paraId="11EE663E" w14:textId="77777777" w:rsidR="008C1E51" w:rsidRPr="008C1E51" w:rsidRDefault="008C1E51" w:rsidP="008C1E51">
      <w:pPr>
        <w:spacing w:before="120" w:after="120" w:line="276" w:lineRule="auto"/>
        <w:rPr>
          <w:rFonts w:cs="Times New Roman"/>
          <w:szCs w:val="20"/>
          <w:u w:val="single"/>
        </w:rPr>
      </w:pPr>
      <w:bookmarkStart w:id="42" w:name="_Hlk118893957"/>
      <w:r w:rsidRPr="008C1E51">
        <w:rPr>
          <w:rFonts w:cs="Times New Roman"/>
          <w:szCs w:val="20"/>
          <w:u w:val="single"/>
        </w:rPr>
        <w:t>Należności wymagalne</w:t>
      </w:r>
    </w:p>
    <w:p w14:paraId="01D52601" w14:textId="77777777" w:rsidR="008C1E51" w:rsidRPr="008C1E51" w:rsidRDefault="008C1E51" w:rsidP="008C1E51">
      <w:pPr>
        <w:spacing w:before="120" w:after="120" w:line="276" w:lineRule="auto"/>
        <w:rPr>
          <w:rFonts w:cs="Times New Roman"/>
          <w:color w:val="000000" w:themeColor="text1"/>
          <w:szCs w:val="20"/>
        </w:rPr>
      </w:pPr>
      <w:bookmarkStart w:id="43" w:name="_Hlk112322213"/>
      <w:r w:rsidRPr="008C1E51">
        <w:rPr>
          <w:rFonts w:cs="Times New Roman"/>
          <w:color w:val="000000" w:themeColor="text1"/>
          <w:szCs w:val="20"/>
        </w:rPr>
        <w:t>Ogólne zasady dotyczące dochodzenia należności wymagalnych regulowała Polityka rachunkowości</w:t>
      </w:r>
      <w:r w:rsidRPr="008C1E51">
        <w:rPr>
          <w:rFonts w:cs="Times New Roman"/>
          <w:color w:val="000000" w:themeColor="text1"/>
          <w:vertAlign w:val="superscript"/>
        </w:rPr>
        <w:footnoteReference w:id="53"/>
      </w:r>
      <w:r w:rsidRPr="008C1E51">
        <w:rPr>
          <w:rFonts w:cs="Times New Roman"/>
          <w:color w:val="000000" w:themeColor="text1"/>
          <w:szCs w:val="20"/>
        </w:rPr>
        <w:t xml:space="preserve"> oraz od 1 stycznia 2022 r. procedury windykacji cywilnoprawnych</w:t>
      </w:r>
      <w:r w:rsidRPr="008C1E51">
        <w:rPr>
          <w:rFonts w:cs="Times New Roman"/>
          <w:color w:val="000000" w:themeColor="text1"/>
          <w:vertAlign w:val="superscript"/>
        </w:rPr>
        <w:footnoteReference w:id="54"/>
      </w:r>
      <w:r w:rsidRPr="008C1E51">
        <w:rPr>
          <w:rFonts w:cs="Times New Roman"/>
          <w:color w:val="000000" w:themeColor="text1"/>
          <w:szCs w:val="20"/>
        </w:rPr>
        <w:t>. Procedury te zostały wprowadzone Zarządzeniem Dyrektora Parku z października 2022 r. niemniej obowiązywały od stycznia 2022 r. Obieg dokumentów księgowych regulowała instrukcja kontroli wewnętrznej i obiegu dowodów finansowo-księgowych oraz instrukcji kasowej</w:t>
      </w:r>
      <w:r w:rsidRPr="008C1E51">
        <w:rPr>
          <w:rFonts w:cs="Times New Roman"/>
          <w:color w:val="000000" w:themeColor="text1"/>
          <w:szCs w:val="20"/>
          <w:vertAlign w:val="superscript"/>
        </w:rPr>
        <w:footnoteReference w:id="55"/>
      </w:r>
      <w:r w:rsidRPr="008C1E51">
        <w:rPr>
          <w:rFonts w:cs="Times New Roman"/>
          <w:color w:val="000000" w:themeColor="text1"/>
          <w:szCs w:val="20"/>
        </w:rPr>
        <w:t>.</w:t>
      </w:r>
    </w:p>
    <w:p w14:paraId="691FA0CB"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w:t>
      </w:r>
      <w:r w:rsidRPr="008C1E51">
        <w:rPr>
          <w:rFonts w:eastAsia="Arial Unicode MS" w:cs="Tahoma"/>
          <w:kern w:val="2"/>
          <w:szCs w:val="20"/>
          <w:lang w:eastAsia="hi-IN" w:bidi="hi-IN"/>
        </w:rPr>
        <w:t>2617-2656]</w:t>
      </w:r>
    </w:p>
    <w:p w14:paraId="7D6880EF"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W sprawie obowiązywania procedur z datą wsteczną Dyrektor Parku wyjaśnił</w:t>
      </w:r>
      <w:r w:rsidRPr="008C1E51">
        <w:rPr>
          <w:rFonts w:cs="Times New Roman"/>
          <w:color w:val="000000" w:themeColor="text1"/>
          <w:szCs w:val="20"/>
          <w:vertAlign w:val="superscript"/>
        </w:rPr>
        <w:footnoteReference w:id="56"/>
      </w:r>
      <w:r w:rsidRPr="008C1E51">
        <w:rPr>
          <w:rFonts w:cs="Times New Roman"/>
          <w:color w:val="000000" w:themeColor="text1"/>
          <w:szCs w:val="20"/>
        </w:rPr>
        <w:t>, że był to błędny zapis w zarządzeniu, a Główna Księgowa wyjaśniła</w:t>
      </w:r>
      <w:r w:rsidRPr="008C1E51">
        <w:rPr>
          <w:rFonts w:cs="Times New Roman"/>
          <w:color w:val="000000" w:themeColor="text1"/>
          <w:szCs w:val="20"/>
          <w:vertAlign w:val="superscript"/>
        </w:rPr>
        <w:footnoteReference w:id="57"/>
      </w:r>
      <w:r w:rsidRPr="008C1E51">
        <w:rPr>
          <w:rFonts w:cs="Times New Roman"/>
          <w:color w:val="000000" w:themeColor="text1"/>
          <w:szCs w:val="20"/>
        </w:rPr>
        <w:t>, że sprawy dotyczące dochodzenia należności były prowadzone w sposób opisany w zarządzeniu.</w:t>
      </w:r>
    </w:p>
    <w:p w14:paraId="2D2744F7"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I/2734-2740]</w:t>
      </w:r>
    </w:p>
    <w:p w14:paraId="568D802F" w14:textId="72CC325D" w:rsidR="008C1E51" w:rsidRPr="008C1E51" w:rsidRDefault="008C1E51" w:rsidP="008C1E51">
      <w:pPr>
        <w:spacing w:before="120" w:after="120" w:line="276" w:lineRule="auto"/>
      </w:pPr>
      <w:r w:rsidRPr="008C1E51">
        <w:rPr>
          <w:rFonts w:cs="Times New Roman"/>
          <w:color w:val="000000" w:themeColor="text1"/>
          <w:szCs w:val="20"/>
        </w:rPr>
        <w:t>Procedury windykacji do 10 marca 2023 r. były niezgodne z Polityką rachunkowości. Według Polityki rachunkowości wezwania do zapłaty Park powinien wysłać dłużnikom co najmniej trzykrotnie, a odsetek nie należało naliczać do wysokości 6 zł. Zgodnie z procedurą, wezwania do zapłaty należało wysłać co najmniej dwukrotnie, a odsetek nie należało doliczać do wysokość 8,70 zł</w:t>
      </w:r>
      <w:r w:rsidRPr="008C1E51">
        <w:rPr>
          <w:rFonts w:cs="Times New Roman"/>
          <w:color w:val="000000" w:themeColor="text1"/>
          <w:vertAlign w:val="superscript"/>
        </w:rPr>
        <w:footnoteReference w:id="58"/>
      </w:r>
      <w:r w:rsidRPr="008C1E51">
        <w:rPr>
          <w:rFonts w:cs="Times New Roman"/>
          <w:color w:val="000000" w:themeColor="text1"/>
          <w:szCs w:val="20"/>
        </w:rPr>
        <w:t>. Ponadto procedura windykacji w całym okresie objętym kontrolą była niezgodna z Instrukcją Kancelaryjną</w:t>
      </w:r>
      <w:r w:rsidRPr="008C1E51">
        <w:rPr>
          <w:rFonts w:cs="Times New Roman"/>
          <w:color w:val="000000" w:themeColor="text1"/>
          <w:szCs w:val="20"/>
          <w:vertAlign w:val="superscript"/>
        </w:rPr>
        <w:footnoteReference w:id="59"/>
      </w:r>
      <w:r w:rsidRPr="008C1E51">
        <w:rPr>
          <w:rFonts w:cs="Times New Roman"/>
          <w:color w:val="000000" w:themeColor="text1"/>
          <w:szCs w:val="20"/>
        </w:rPr>
        <w:t xml:space="preserve"> w zakresie czasu przechowywania dokumentów dotyczących dokumentów związanych z dochodzeniem sądowym należności. Zgodnie z procedurą dokumenty sądowe należało przechowywać do czasu uregulowania długu, jego umorzenia czy upływu terminu przedawnienia. Natomiast w Jednolitym Rzeczowym Wykazie Akt dokumenty oznaczone symbolem 314 Egzekucja i windykacja zostały zaklasyfikowane do kategorii archiwalnej B10, co oznacza </w:t>
      </w:r>
      <w:r w:rsidRPr="008C1E51">
        <w:t xml:space="preserve">kategorię archiwalną dokumentacji o czasowym znaczeniu praktycznym, przechowywaną przez 10 pełnych lat </w:t>
      </w:r>
      <w:r w:rsidRPr="008C1E51">
        <w:lastRenderedPageBreak/>
        <w:t>kalendarzowych począwszy od dnia 1 stycznia roku następnego od daty zakończenia sprawy, zgodnie z Rozporządzeniem z dnia 20 października 2015 r. Ministra Kultury i Dziedzictwa Narodowego w sprawie klasyfikowania dokumentacji, przekazywania materiałów archiwalnych do archiwów Państwowych i brakowania dokumentacji archiwalnej</w:t>
      </w:r>
      <w:r w:rsidRPr="008C1E51">
        <w:rPr>
          <w:vertAlign w:val="superscript"/>
        </w:rPr>
        <w:footnoteReference w:id="60"/>
      </w:r>
      <w:r w:rsidRPr="008C1E51">
        <w:t xml:space="preserve">. </w:t>
      </w:r>
      <w:r w:rsidRPr="008C1E51">
        <w:br/>
        <w:t>W okresie trwania kontroli w Dyrektor Parku zmienił Instrukcję Kancelaryjną</w:t>
      </w:r>
      <w:r w:rsidRPr="008C1E51">
        <w:rPr>
          <w:vertAlign w:val="superscript"/>
        </w:rPr>
        <w:footnoteReference w:id="61"/>
      </w:r>
      <w:r w:rsidRPr="008C1E51">
        <w:t xml:space="preserve"> dodając </w:t>
      </w:r>
      <w:r w:rsidR="00211832" w:rsidRPr="008C1E51">
        <w:t>zapis,</w:t>
      </w:r>
      <w:r w:rsidRPr="008C1E51">
        <w:t xml:space="preserve"> że okres przechowywania liczy się do daty uregulowania długu, jego umorzenia lub przedawnienia. Kontrolujący zwraca uwagę, że zapis ten jest sprzeczny z ww. Rozporządzeniem, a zmiany wymaga procedura windykacji należności.</w:t>
      </w:r>
    </w:p>
    <w:p w14:paraId="0D7B7DB8"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cs="Times New Roman"/>
          <w:color w:val="000000" w:themeColor="text1"/>
          <w:szCs w:val="20"/>
        </w:rPr>
        <w:t>[Dowód: akta kontroli str. 128-188, I/2652-2656, I/2663-2727, I/2730-2733]</w:t>
      </w:r>
    </w:p>
    <w:p w14:paraId="5592ABDF"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Główna Księgowa w sprawie różnic w procedurach wewnętrznych wyjaśniła</w:t>
      </w:r>
      <w:r w:rsidRPr="008C1E51">
        <w:rPr>
          <w:rFonts w:cs="Times New Roman"/>
          <w:color w:val="000000" w:themeColor="text1"/>
          <w:vertAlign w:val="superscript"/>
        </w:rPr>
        <w:footnoteReference w:id="62"/>
      </w:r>
      <w:r w:rsidRPr="008C1E51">
        <w:rPr>
          <w:rFonts w:cs="Times New Roman"/>
          <w:color w:val="000000" w:themeColor="text1"/>
          <w:szCs w:val="20"/>
        </w:rPr>
        <w:t>, że od czasu wprowadzenia Polityki rachunkowości wzrosła cena listu poleconego, stąd w procedurach windykacji została podana aktualna cena. Nie wyjaśniła natomiast różnic dotyczących liczby wysłanych wezwań do zapłaty.</w:t>
      </w:r>
    </w:p>
    <w:p w14:paraId="76D87468"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Dyrektor Parku w powyższej sprawie wyjaśnił</w:t>
      </w:r>
      <w:r w:rsidRPr="008C1E51">
        <w:rPr>
          <w:rFonts w:cs="Times New Roman"/>
          <w:color w:val="000000" w:themeColor="text1"/>
          <w:vertAlign w:val="superscript"/>
        </w:rPr>
        <w:footnoteReference w:id="63"/>
      </w:r>
      <w:r w:rsidRPr="008C1E51">
        <w:rPr>
          <w:rFonts w:cs="Times New Roman"/>
          <w:color w:val="000000" w:themeColor="text1"/>
          <w:szCs w:val="20"/>
        </w:rPr>
        <w:t>, że różnice pomiędzy ww. dokumentami zostały naprawione Zarządzeniem zmieniającym do polityki rachunkowości nr 7 z dnia 10 marca 2023 r., w którym ujednolicono stosowne zapisy oraz Zarządzeniem zmieniającym do Instrukcji Kancelaryjnej.</w:t>
      </w:r>
    </w:p>
    <w:p w14:paraId="68F6B749"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 xml:space="preserve">[Dowód: akta kontroli str. I/2730-2733, I/2737-2740] </w:t>
      </w:r>
    </w:p>
    <w:p w14:paraId="5BE24EF3" w14:textId="6EBF9155"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 xml:space="preserve">Zgodnie z Regulaminem organizacyjnym Parku obowiązującym do 30 grudnia 2020 r. dyrektor i główny księgowy byli odpowiedzialni za właściwe wykonywanie starannej obsługi finansowo-księgowej w obszarach planowania, wykonywania, kontroli zarządczej </w:t>
      </w:r>
      <w:r w:rsidRPr="008C1E51">
        <w:rPr>
          <w:rFonts w:cs="Times New Roman"/>
          <w:szCs w:val="20"/>
        </w:rPr>
        <w:br/>
        <w:t xml:space="preserve">i sprawozdawczości w celu </w:t>
      </w:r>
      <w:r w:rsidR="00211832" w:rsidRPr="008C1E51">
        <w:rPr>
          <w:rFonts w:cs="Times New Roman"/>
          <w:szCs w:val="20"/>
        </w:rPr>
        <w:t>realizacji wszystkich</w:t>
      </w:r>
      <w:r w:rsidRPr="008C1E51">
        <w:rPr>
          <w:rFonts w:cs="Times New Roman"/>
          <w:szCs w:val="20"/>
        </w:rPr>
        <w:t xml:space="preserve"> zadań Parku.</w:t>
      </w:r>
    </w:p>
    <w:p w14:paraId="13FB9B8B"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Główny Księgowy kierował rachunkowością jednostki polegającą zwłaszcza na:</w:t>
      </w:r>
    </w:p>
    <w:p w14:paraId="368AE01D" w14:textId="77777777" w:rsidR="008C1E51" w:rsidRPr="008C1E51" w:rsidRDefault="008C1E51" w:rsidP="008C1E51">
      <w:pPr>
        <w:numPr>
          <w:ilvl w:val="0"/>
          <w:numId w:val="15"/>
        </w:numPr>
        <w:autoSpaceDE w:val="0"/>
        <w:autoSpaceDN w:val="0"/>
        <w:adjustRightInd w:val="0"/>
        <w:spacing w:before="120" w:after="120" w:line="276" w:lineRule="auto"/>
        <w:rPr>
          <w:szCs w:val="20"/>
        </w:rPr>
      </w:pPr>
      <w:bookmarkStart w:id="44" w:name="_Hlk124953443"/>
      <w:r w:rsidRPr="008C1E51">
        <w:rPr>
          <w:szCs w:val="20"/>
        </w:rPr>
        <w:t xml:space="preserve">zorganizowaniu sprawdzania, przyjmowania, obiegu i kontroli dokumentów </w:t>
      </w:r>
      <w:r w:rsidRPr="008C1E51">
        <w:rPr>
          <w:szCs w:val="20"/>
        </w:rPr>
        <w:br/>
        <w:t>w sposób zapewniający właściwy przebieg operacji finansowych, sprawne przeprowadzenie kontroli wewnętrznej oraz prawidłowe prowadzenie rachunkowości jednostki.</w:t>
      </w:r>
    </w:p>
    <w:p w14:paraId="08C4905B" w14:textId="77777777" w:rsidR="008C1E51" w:rsidRPr="008C1E51" w:rsidRDefault="008C1E51" w:rsidP="008C1E51">
      <w:pPr>
        <w:numPr>
          <w:ilvl w:val="0"/>
          <w:numId w:val="15"/>
        </w:numPr>
        <w:autoSpaceDE w:val="0"/>
        <w:autoSpaceDN w:val="0"/>
        <w:adjustRightInd w:val="0"/>
        <w:spacing w:before="120" w:after="120" w:line="276" w:lineRule="auto"/>
        <w:rPr>
          <w:szCs w:val="20"/>
        </w:rPr>
      </w:pPr>
      <w:r w:rsidRPr="008C1E51">
        <w:rPr>
          <w:szCs w:val="20"/>
        </w:rPr>
        <w:t xml:space="preserve">zorganizowaniu i doskonaleniu księgowości, kalkulacji wynikowej </w:t>
      </w:r>
      <w:r w:rsidRPr="008C1E51">
        <w:rPr>
          <w:szCs w:val="20"/>
        </w:rPr>
        <w:br/>
        <w:t xml:space="preserve">i sprawozdawczości finansowej jednostki w celu zapewnienia ich rzetelności </w:t>
      </w:r>
      <w:r w:rsidRPr="008C1E51">
        <w:rPr>
          <w:szCs w:val="20"/>
        </w:rPr>
        <w:br/>
        <w:t>i prawidłowości, z zastosowaniem racjonalnej organizacji pracy i technik przetwarzania danych</w:t>
      </w:r>
    </w:p>
    <w:p w14:paraId="77E2A209" w14:textId="77777777" w:rsidR="008C1E51" w:rsidRPr="008C1E51" w:rsidRDefault="008C1E51" w:rsidP="008C1E51">
      <w:pPr>
        <w:numPr>
          <w:ilvl w:val="0"/>
          <w:numId w:val="15"/>
        </w:numPr>
        <w:autoSpaceDE w:val="0"/>
        <w:autoSpaceDN w:val="0"/>
        <w:adjustRightInd w:val="0"/>
        <w:spacing w:before="120" w:after="120" w:line="276" w:lineRule="auto"/>
        <w:rPr>
          <w:szCs w:val="20"/>
        </w:rPr>
      </w:pPr>
      <w:r w:rsidRPr="008C1E51">
        <w:rPr>
          <w:szCs w:val="20"/>
        </w:rPr>
        <w:t>bieżącym i prawidłowym prowadzeniu księgowości oraz sporządzaniu kalkulacji wynikowej i sprawozdawczości finansowej w sposób umożliwiający:</w:t>
      </w:r>
    </w:p>
    <w:p w14:paraId="4C6F2F33" w14:textId="77777777" w:rsidR="008C1E51" w:rsidRPr="008C1E51" w:rsidRDefault="008C1E51" w:rsidP="008C1E51">
      <w:pPr>
        <w:numPr>
          <w:ilvl w:val="1"/>
          <w:numId w:val="15"/>
        </w:numPr>
        <w:autoSpaceDE w:val="0"/>
        <w:autoSpaceDN w:val="0"/>
        <w:adjustRightInd w:val="0"/>
        <w:spacing w:before="120" w:after="120" w:line="276" w:lineRule="auto"/>
        <w:rPr>
          <w:szCs w:val="20"/>
        </w:rPr>
      </w:pPr>
      <w:r w:rsidRPr="008C1E51">
        <w:rPr>
          <w:szCs w:val="20"/>
        </w:rPr>
        <w:t xml:space="preserve">terminowe i rzetelne przekazywanie informacji ekonomicznych </w:t>
      </w:r>
      <w:r w:rsidRPr="008C1E51">
        <w:rPr>
          <w:szCs w:val="20"/>
        </w:rPr>
        <w:br/>
        <w:t>i działalności jednostki,</w:t>
      </w:r>
    </w:p>
    <w:p w14:paraId="6072A226" w14:textId="77777777" w:rsidR="008C1E51" w:rsidRPr="008C1E51" w:rsidRDefault="008C1E51" w:rsidP="008C1E51">
      <w:pPr>
        <w:numPr>
          <w:ilvl w:val="1"/>
          <w:numId w:val="15"/>
        </w:numPr>
        <w:autoSpaceDE w:val="0"/>
        <w:autoSpaceDN w:val="0"/>
        <w:adjustRightInd w:val="0"/>
        <w:spacing w:before="120" w:after="120" w:line="276" w:lineRule="auto"/>
        <w:rPr>
          <w:szCs w:val="20"/>
        </w:rPr>
      </w:pPr>
      <w:r w:rsidRPr="008C1E51">
        <w:rPr>
          <w:szCs w:val="20"/>
        </w:rPr>
        <w:lastRenderedPageBreak/>
        <w:t>prawidłowe i terminowe dochodzenie roszczeń oraz terminowe ściąganie prawomocnie zasądzonych należności</w:t>
      </w:r>
    </w:p>
    <w:p w14:paraId="28C377DA" w14:textId="77777777" w:rsidR="008C1E51" w:rsidRPr="008C1E51" w:rsidRDefault="008C1E51" w:rsidP="008C1E51">
      <w:pPr>
        <w:numPr>
          <w:ilvl w:val="0"/>
          <w:numId w:val="15"/>
        </w:numPr>
        <w:autoSpaceDE w:val="0"/>
        <w:autoSpaceDN w:val="0"/>
        <w:adjustRightInd w:val="0"/>
        <w:spacing w:before="120" w:after="120" w:line="276" w:lineRule="auto"/>
        <w:rPr>
          <w:szCs w:val="20"/>
        </w:rPr>
      </w:pPr>
      <w:r w:rsidRPr="008C1E51">
        <w:rPr>
          <w:szCs w:val="20"/>
        </w:rPr>
        <w:t>należytym przechowywaniu i zabezpieczaniu dokumentów księgowych, ksiąg rachunkowy oraz sprawozdań finansowych</w:t>
      </w:r>
    </w:p>
    <w:p w14:paraId="6DD9BD2F" w14:textId="77777777" w:rsidR="008C1E51" w:rsidRPr="008C1E51" w:rsidRDefault="008C1E51" w:rsidP="008C1E51">
      <w:pPr>
        <w:numPr>
          <w:ilvl w:val="0"/>
          <w:numId w:val="15"/>
        </w:numPr>
        <w:autoSpaceDE w:val="0"/>
        <w:autoSpaceDN w:val="0"/>
        <w:adjustRightInd w:val="0"/>
        <w:spacing w:before="120" w:after="120" w:line="276" w:lineRule="auto"/>
        <w:rPr>
          <w:szCs w:val="20"/>
        </w:rPr>
      </w:pPr>
      <w:r w:rsidRPr="008C1E51">
        <w:rPr>
          <w:szCs w:val="20"/>
        </w:rPr>
        <w:t>nadzorowaniu całokształtu prac z zakresu rachunkowości wykonywanych przez inne komórki organizacyjne</w:t>
      </w:r>
      <w:bookmarkEnd w:id="44"/>
    </w:p>
    <w:p w14:paraId="553BAFDB"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Główny Księgowy Kierował Działem Finansowo Księgowym.</w:t>
      </w:r>
    </w:p>
    <w:p w14:paraId="6DD64118"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Powyższe zadania zostały wpisane do zakresu czynności stanowiska Głównego Księgowego, który obowiązywał od sierpnia 2006 r. przez cały okres objęty kontrolą. Natomiast od 31 grudnia 2020 r. zgodnie z Regulaminem organizacyjnym Główny Księgowy odpowiadał m.in. za gospodarkę finansową Parku, wstępną kontrolę kompleksowości i rzetelności dokumentów dotyczących operacji gospodarczych i finansowych oraz zapewnienie prawidłowości, terminowości i zgodności sprawozdań składanych na zewnątrz przez Park.</w:t>
      </w:r>
    </w:p>
    <w:p w14:paraId="4F8C1C12"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246-291, I/2606-2608]</w:t>
      </w:r>
    </w:p>
    <w:p w14:paraId="4D1DBD2C"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Od 1 stycznia 2022 r. wprowadzono Zarządzenie Dyrektora Parku w sprawie wprowadzenia procedur windykacji należności cywilnoprawnych w Bieszczadzkim Parku Narodowym, które stanowiło, że właściwymi w sprawach windykacji należności byli pracownicy Działu Finansowo- Księgowego</w:t>
      </w:r>
      <w:r w:rsidRPr="008C1E51">
        <w:rPr>
          <w:rFonts w:cs="Times New Roman"/>
          <w:vertAlign w:val="superscript"/>
        </w:rPr>
        <w:footnoteReference w:id="64"/>
      </w:r>
      <w:r w:rsidRPr="008C1E51">
        <w:rPr>
          <w:rFonts w:cs="Times New Roman"/>
          <w:szCs w:val="20"/>
        </w:rPr>
        <w:t xml:space="preserve"> oraz radca prawny</w:t>
      </w:r>
      <w:r w:rsidRPr="008C1E51">
        <w:rPr>
          <w:rFonts w:cs="Times New Roman"/>
          <w:vertAlign w:val="superscript"/>
        </w:rPr>
        <w:footnoteReference w:id="65"/>
      </w:r>
      <w:r w:rsidRPr="008C1E51">
        <w:rPr>
          <w:rFonts w:cs="Times New Roman"/>
          <w:szCs w:val="20"/>
        </w:rPr>
        <w:t xml:space="preserve">. </w:t>
      </w:r>
    </w:p>
    <w:p w14:paraId="08EF2AA3"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I/2652-2656]</w:t>
      </w:r>
    </w:p>
    <w:p w14:paraId="5A436709" w14:textId="12C3C981"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Główna Księgowa poinformowała</w:t>
      </w:r>
      <w:r w:rsidRPr="008C1E51">
        <w:rPr>
          <w:rFonts w:cs="Times New Roman"/>
          <w:szCs w:val="20"/>
          <w:vertAlign w:val="superscript"/>
        </w:rPr>
        <w:footnoteReference w:id="66"/>
      </w:r>
      <w:r w:rsidRPr="008C1E51">
        <w:rPr>
          <w:rFonts w:cs="Times New Roman"/>
          <w:szCs w:val="20"/>
        </w:rPr>
        <w:t xml:space="preserve">, że wybrani pracownicy Działu Finansowo-Księgowego mieli to zadanie w zakresach obowiązków. Wyjaśnienia Głównej Księgowej nie znalazły potwierdzenia w dokumentach. To zadanie nie zostało powierzone w zakresach obowiązków pracownikom tego Działu, </w:t>
      </w:r>
      <w:r w:rsidR="00211832" w:rsidRPr="008C1E51">
        <w:rPr>
          <w:rFonts w:cs="Times New Roman"/>
          <w:szCs w:val="20"/>
        </w:rPr>
        <w:t>z wyjątkiem</w:t>
      </w:r>
      <w:r w:rsidRPr="008C1E51">
        <w:rPr>
          <w:rFonts w:cs="Times New Roman"/>
          <w:szCs w:val="20"/>
        </w:rPr>
        <w:t xml:space="preserve"> Głównej Księgowej.</w:t>
      </w:r>
    </w:p>
    <w:p w14:paraId="66D4AA78"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 xml:space="preserve">[Dowód: akta kontroli str. I/2737-2740, I/2749-2770] </w:t>
      </w:r>
    </w:p>
    <w:p w14:paraId="079CB482"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Park od początku 2016 r. posiadał zawartą umowę zlecenia z Radcą Prawnym na obsługę prawną Parku, w zakresie której było prowadzenie sporów sądowych, udzielanie porad</w:t>
      </w:r>
      <w:r w:rsidRPr="008C1E51">
        <w:rPr>
          <w:rFonts w:cs="Times New Roman"/>
          <w:szCs w:val="20"/>
        </w:rPr>
        <w:br/>
        <w:t>i opinii prawnych, realizacja zleconej pomocy prawnej w indywidualnych sprawach. Umowa była corocznie przedłużana. Przedmiot umowy był opisany nieprecyzyjnie. W umowie tej nie nałożono na Radcę obowiązków wynikających z Zarządzenia Dyrektora Parku w sprawie windykacji należności.</w:t>
      </w:r>
    </w:p>
    <w:p w14:paraId="21C59CD2"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I/2609-2616]</w:t>
      </w:r>
    </w:p>
    <w:p w14:paraId="351DE39B" w14:textId="20A9E818"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 xml:space="preserve">W kwestii </w:t>
      </w:r>
      <w:r w:rsidR="00211832" w:rsidRPr="008C1E51">
        <w:rPr>
          <w:rFonts w:cs="Times New Roman"/>
          <w:szCs w:val="20"/>
        </w:rPr>
        <w:t>nienałożenia</w:t>
      </w:r>
      <w:r w:rsidRPr="008C1E51">
        <w:rPr>
          <w:rFonts w:cs="Times New Roman"/>
          <w:szCs w:val="20"/>
        </w:rPr>
        <w:t xml:space="preserve"> na Radcę Prawnego obowiązków wynikających z ww. Zarządzenia Dyrektor Parku wyjaśnił</w:t>
      </w:r>
      <w:r w:rsidRPr="008C1E51">
        <w:rPr>
          <w:rFonts w:cs="Times New Roman"/>
          <w:vertAlign w:val="superscript"/>
        </w:rPr>
        <w:footnoteReference w:id="67"/>
      </w:r>
      <w:r w:rsidRPr="008C1E51">
        <w:rPr>
          <w:rFonts w:cs="Times New Roman"/>
          <w:szCs w:val="20"/>
        </w:rPr>
        <w:t xml:space="preserve">, że dochodzenie należności było zadaniem Głównej Księgowej, gdy powstawały wierzytelności, Główna Księgowa kontaktowała się z Radcą Prawnym </w:t>
      </w:r>
      <w:r w:rsidRPr="008C1E51">
        <w:rPr>
          <w:rFonts w:cs="Times New Roman"/>
          <w:szCs w:val="20"/>
        </w:rPr>
        <w:br/>
        <w:t xml:space="preserve">i zlecała do realizacji sprawę. Z Radcą Prawnym Park współpracował długo, wszystkie </w:t>
      </w:r>
      <w:r w:rsidRPr="008C1E51">
        <w:rPr>
          <w:rFonts w:cs="Times New Roman"/>
          <w:szCs w:val="20"/>
        </w:rPr>
        <w:lastRenderedPageBreak/>
        <w:t xml:space="preserve">sprawy były dobrze prowadzone, Dyrektor nie zgłaszał zastrzeżeń do jego pracy natomiast rozważał zatrudnienie radcy na etacie, ponieważ w statucie Parku jest samodzielne stanowisko dla radcy prawnego. Niemniej rynek w okolicy w warunkach bieszczadzkich był bardzo ograniczony. Kierownicy Działów oraz Zastępcy Dyrektora, którzy byli zobligowani do kontaktu z Radcą Prawnym przekazywali Dyrektorowi informacje na temat współpracy </w:t>
      </w:r>
      <w:r w:rsidRPr="008C1E51">
        <w:rPr>
          <w:rFonts w:cs="Times New Roman"/>
          <w:szCs w:val="20"/>
        </w:rPr>
        <w:br/>
        <w:t xml:space="preserve">z nim. Dyrektor wyjaśnił, że on i pracownicy mieli bieżący kontakt z Radcą Prawnym. Radca odpowiadał telefonicznie lub mailowo na pytania, uczestniczył w spotkaniach, na których była potrzebna pomoc prawna. Radca Prawny brał udział w toku spraw związanych </w:t>
      </w:r>
      <w:r w:rsidRPr="008C1E51">
        <w:rPr>
          <w:rFonts w:cs="Times New Roman"/>
          <w:szCs w:val="20"/>
        </w:rPr>
        <w:br/>
        <w:t xml:space="preserve">z realizacją inwestycji. Dyrektor oświadczył, że miał bieżącą wiedzę o sprawach, które prowadził Radca Prawny i systematycznie spotykał się z nim. </w:t>
      </w:r>
    </w:p>
    <w:p w14:paraId="56B17771"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I/2662, I/2734-2736]</w:t>
      </w:r>
    </w:p>
    <w:p w14:paraId="7140047D" w14:textId="321F7B0D" w:rsidR="008C1E51" w:rsidRPr="008C1E51" w:rsidRDefault="00211832" w:rsidP="008C1E51">
      <w:pPr>
        <w:autoSpaceDE w:val="0"/>
        <w:autoSpaceDN w:val="0"/>
        <w:adjustRightInd w:val="0"/>
        <w:spacing w:before="120" w:after="120" w:line="276" w:lineRule="auto"/>
        <w:rPr>
          <w:rFonts w:cs="Times New Roman"/>
          <w:szCs w:val="20"/>
        </w:rPr>
      </w:pPr>
      <w:r w:rsidRPr="008C1E51">
        <w:rPr>
          <w:rFonts w:cs="Times New Roman"/>
          <w:szCs w:val="20"/>
        </w:rPr>
        <w:t>Odnośnie do</w:t>
      </w:r>
      <w:r w:rsidR="008C1E51" w:rsidRPr="008C1E51">
        <w:rPr>
          <w:rFonts w:cs="Times New Roman"/>
          <w:szCs w:val="20"/>
        </w:rPr>
        <w:t xml:space="preserve"> podejmowanych działań w celu dochodzenia należności Główna Księgowa wyjaśniła</w:t>
      </w:r>
      <w:r w:rsidR="008C1E51" w:rsidRPr="008C1E51">
        <w:rPr>
          <w:rFonts w:cs="Times New Roman"/>
          <w:vertAlign w:val="superscript"/>
        </w:rPr>
        <w:footnoteReference w:id="68"/>
      </w:r>
      <w:r w:rsidR="008C1E51" w:rsidRPr="008C1E51">
        <w:rPr>
          <w:rFonts w:cs="Times New Roman"/>
          <w:szCs w:val="20"/>
        </w:rPr>
        <w:t>, że raz na kwartał były naliczane odsetki i wysyłane wezwania do zapłaty. Jeśli nie następowała żadna reakcja ze strony dłużnika, zgłaszała sprawę do Dyrektora. Jeśli miała kontakt z dłużnikiem, to starała się w sposób ugodowy dojść z nim do</w:t>
      </w:r>
      <w:r w:rsidR="00D17DD6">
        <w:rPr>
          <w:rFonts w:cs="Times New Roman"/>
          <w:szCs w:val="20"/>
        </w:rPr>
        <w:t xml:space="preserve"> porozumienia</w:t>
      </w:r>
      <w:r w:rsidR="008C1E51" w:rsidRPr="008C1E51">
        <w:rPr>
          <w:rFonts w:cs="Times New Roman"/>
          <w:szCs w:val="20"/>
        </w:rPr>
        <w:t>. Następnie była badana sytuacja dłużnika. Jeśli okazało się, że nie było reakcji ze strony dłużnika pomimo kontaktów z nim, przedstawiała do decyzji Dyrektora Parku wystąpienie na drogę sądową. W przypadku pozytywnej decyzji przekazywała dokumenty dla Radcy Prawnego, który reprezentował Park.</w:t>
      </w:r>
    </w:p>
    <w:p w14:paraId="3FF91277"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W kwestii nadzorowania zlecania i realizacji zadań przez Radcę Prawnego w zakresie dochodzenia należności Główna Księgowa poinformowała</w:t>
      </w:r>
      <w:r w:rsidRPr="008C1E51">
        <w:rPr>
          <w:rFonts w:cs="Times New Roman"/>
          <w:szCs w:val="20"/>
          <w:vertAlign w:val="superscript"/>
        </w:rPr>
        <w:footnoteReference w:id="69"/>
      </w:r>
      <w:r w:rsidRPr="008C1E51">
        <w:rPr>
          <w:rFonts w:cs="Times New Roman"/>
          <w:szCs w:val="20"/>
        </w:rPr>
        <w:t>, że zlecała Radcy Prawnemu prowadzenie sprawy i oczekiwała od niego kompleksowej informacji co do możliwości odzyskania należności. Samodzielnie nie podejmowała żadnych czynności</w:t>
      </w:r>
      <w:r w:rsidRPr="008C1E51">
        <w:rPr>
          <w:rFonts w:cs="Times New Roman"/>
          <w:szCs w:val="20"/>
        </w:rPr>
        <w:br/>
        <w:t>w postępowaniach sądowych, ponieważ nie miała do tego upoważnienia. Upoważnienie do tego miał Radca Prawny. Główna Księgowa poinformowała, że nie mogła niczego zlecić Radcy Prawnego, bez zgody Dyrektora Parku. Dokumenty dotyczące wierzytelności przekazywała Radcy Prawnemu.</w:t>
      </w:r>
    </w:p>
    <w:p w14:paraId="51463E2A"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I/2737-2740]</w:t>
      </w:r>
    </w:p>
    <w:p w14:paraId="0ECBB06C"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Kontrolujący zwraca jednak uwagę, iż wyjaśnienia Głównej Księgowej i Dyrektora Parku nie znajdują w pełni potwierdzenia w ustalonym stanie faktycznym i przedłożonych dokumentach. O ile Park przekazywał sprawy do realizacji Radcy Prawnemu to jako wierzyciel nie uczestniczył aktywnie w procesie dochodzenia należności pozostawiając Radcy swobodę w doborze czynności jakie powinny być zlecone i przeprowadzone w celu dochodzenia należności.</w:t>
      </w:r>
    </w:p>
    <w:p w14:paraId="373BC693" w14:textId="77777777" w:rsidR="008C1E51" w:rsidRPr="008C1E51" w:rsidRDefault="008C1E51" w:rsidP="008C1E51">
      <w:pPr>
        <w:spacing w:before="120" w:after="120" w:line="276" w:lineRule="auto"/>
        <w:rPr>
          <w:rFonts w:cs="Times New Roman"/>
          <w:szCs w:val="20"/>
        </w:rPr>
      </w:pPr>
      <w:r w:rsidRPr="008C1E51">
        <w:rPr>
          <w:rFonts w:cs="Times New Roman"/>
          <w:color w:val="000000" w:themeColor="text1"/>
          <w:szCs w:val="20"/>
        </w:rPr>
        <w:t xml:space="preserve">Park w </w:t>
      </w:r>
      <w:r w:rsidRPr="008C1E51">
        <w:rPr>
          <w:rFonts w:cs="Times New Roman"/>
          <w:szCs w:val="20"/>
        </w:rPr>
        <w:t>kontrolowanym okresie posiadał 117 należności wymagalnych, z czego 28 powstało z tytułu sprzedaży drewna, 79 z tytułu nieopłaconych czynszów za lokale mieszkalne, najem i media, 4 z tytułu nieopłaconych dzierżaw i umów użytkowania gruntów, oraz 6 z innych tytułów.</w:t>
      </w:r>
    </w:p>
    <w:p w14:paraId="0B3DB6BE" w14:textId="77777777" w:rsidR="008C1E51" w:rsidRPr="008C1E51" w:rsidRDefault="008C1E51" w:rsidP="008C1E51">
      <w:pPr>
        <w:spacing w:before="120" w:after="120" w:line="276" w:lineRule="auto"/>
        <w:rPr>
          <w:rFonts w:cs="Times New Roman"/>
          <w:szCs w:val="20"/>
        </w:rPr>
      </w:pPr>
      <w:r w:rsidRPr="008C1E51">
        <w:rPr>
          <w:rFonts w:cs="Times New Roman"/>
          <w:szCs w:val="20"/>
        </w:rPr>
        <w:t>Wartości dochodzonych należności na koniec:</w:t>
      </w:r>
    </w:p>
    <w:p w14:paraId="5998597C" w14:textId="77777777" w:rsidR="008C1E51" w:rsidRPr="008C1E51" w:rsidRDefault="008C1E51" w:rsidP="008C1E51">
      <w:pPr>
        <w:numPr>
          <w:ilvl w:val="0"/>
          <w:numId w:val="28"/>
        </w:numPr>
        <w:spacing w:before="120" w:after="120" w:line="276" w:lineRule="auto"/>
        <w:contextualSpacing/>
        <w:rPr>
          <w:rFonts w:cs="Times New Roman"/>
          <w:szCs w:val="20"/>
        </w:rPr>
      </w:pPr>
      <w:r w:rsidRPr="008C1E51">
        <w:rPr>
          <w:rFonts w:cs="Times New Roman"/>
          <w:szCs w:val="20"/>
        </w:rPr>
        <w:lastRenderedPageBreak/>
        <w:t>2019 r. wynosiły 217 666,30 zł, w tym w okresie przekroczenia terminu płatności sięgającym do 3 miesięcy w kwocie 32 309,36 zł, w okresie od 3 do 6 miesięcy w kwocie 8 931,05 zł, w okresie od 6 do 12 miesięcy w kwocie 7 647,24 zł, powyżej 12 miesięcy 168 788,65 zł.,</w:t>
      </w:r>
    </w:p>
    <w:p w14:paraId="44ADC84F" w14:textId="77777777" w:rsidR="008C1E51" w:rsidRPr="008C1E51" w:rsidRDefault="008C1E51" w:rsidP="008C1E51">
      <w:pPr>
        <w:numPr>
          <w:ilvl w:val="0"/>
          <w:numId w:val="28"/>
        </w:numPr>
        <w:spacing w:before="120" w:after="120" w:line="276" w:lineRule="auto"/>
        <w:contextualSpacing/>
        <w:rPr>
          <w:rFonts w:cs="Times New Roman"/>
          <w:szCs w:val="20"/>
        </w:rPr>
      </w:pPr>
      <w:r w:rsidRPr="008C1E51">
        <w:rPr>
          <w:rFonts w:cs="Times New Roman"/>
          <w:szCs w:val="20"/>
        </w:rPr>
        <w:t>2020 r. wynosiły 182 731,80 zł, w tym w okresie przekroczenia terminu płatności sięgającym do</w:t>
      </w:r>
      <w:r w:rsidRPr="008C1E51" w:rsidDel="00D00D62">
        <w:rPr>
          <w:rFonts w:cs="Times New Roman"/>
          <w:szCs w:val="20"/>
        </w:rPr>
        <w:t xml:space="preserve"> </w:t>
      </w:r>
      <w:r w:rsidRPr="008C1E51">
        <w:rPr>
          <w:rFonts w:cs="Times New Roman"/>
          <w:szCs w:val="20"/>
        </w:rPr>
        <w:t>3 miesięcy 2 726,80 zł, w okresie od 3 do 6 miesięcy w kwocie 0,00 zł, w okresie od 6 do 12 miesięcy w kwocie 18 090,03 zł, powyżej 12 miesięcy w kwocie 161 914,97 zł,</w:t>
      </w:r>
    </w:p>
    <w:p w14:paraId="59EA4581" w14:textId="77777777" w:rsidR="008C1E51" w:rsidRPr="008C1E51" w:rsidRDefault="008C1E51" w:rsidP="008C1E51">
      <w:pPr>
        <w:numPr>
          <w:ilvl w:val="0"/>
          <w:numId w:val="28"/>
        </w:numPr>
        <w:spacing w:before="120" w:after="120" w:line="276" w:lineRule="auto"/>
        <w:contextualSpacing/>
        <w:rPr>
          <w:rFonts w:cs="Times New Roman"/>
          <w:szCs w:val="20"/>
        </w:rPr>
      </w:pPr>
      <w:r w:rsidRPr="008C1E51">
        <w:rPr>
          <w:rFonts w:cs="Times New Roman"/>
          <w:szCs w:val="20"/>
        </w:rPr>
        <w:t>2021 r. wynosiły 246 429,66 zł, w tym w okresie przekroczenia terminu płatności sięgającym do</w:t>
      </w:r>
      <w:r w:rsidRPr="008C1E51" w:rsidDel="00D00D62">
        <w:rPr>
          <w:rFonts w:cs="Times New Roman"/>
          <w:szCs w:val="20"/>
        </w:rPr>
        <w:t xml:space="preserve"> </w:t>
      </w:r>
      <w:r w:rsidRPr="008C1E51">
        <w:rPr>
          <w:rFonts w:cs="Times New Roman"/>
          <w:szCs w:val="20"/>
        </w:rPr>
        <w:t>3 miesięcy w kwocie 58 354,34 zł, w okresie od 3 do 6 miesięcy</w:t>
      </w:r>
      <w:r w:rsidRPr="008C1E51">
        <w:rPr>
          <w:rFonts w:cs="Times New Roman"/>
          <w:szCs w:val="20"/>
        </w:rPr>
        <w:br/>
        <w:t>w kwocie 106 264,96 zł w okresie od 6 do 12 miesięcy w kwocie 0,00 zł oraz powyżej 12 miesięcy 81 810,36 zł,</w:t>
      </w:r>
    </w:p>
    <w:p w14:paraId="0B7958A8" w14:textId="77777777" w:rsidR="008C1E51" w:rsidRPr="008C1E51" w:rsidRDefault="008C1E51" w:rsidP="002A7688">
      <w:pPr>
        <w:numPr>
          <w:ilvl w:val="0"/>
          <w:numId w:val="28"/>
        </w:numPr>
        <w:spacing w:before="120" w:after="120" w:line="276" w:lineRule="auto"/>
        <w:ind w:left="714" w:hanging="357"/>
        <w:rPr>
          <w:rFonts w:cs="Times New Roman"/>
          <w:szCs w:val="20"/>
        </w:rPr>
      </w:pPr>
      <w:r w:rsidRPr="008C1E51">
        <w:rPr>
          <w:rFonts w:cs="Times New Roman"/>
          <w:szCs w:val="20"/>
        </w:rPr>
        <w:t>2022 r. wynosiły 91 947,61 zł, w tym w okresie przekroczenia terminu płatności sięgającym do</w:t>
      </w:r>
      <w:r w:rsidRPr="008C1E51" w:rsidDel="00D00D62">
        <w:rPr>
          <w:rFonts w:cs="Times New Roman"/>
          <w:szCs w:val="20"/>
        </w:rPr>
        <w:t xml:space="preserve"> </w:t>
      </w:r>
      <w:r w:rsidRPr="008C1E51">
        <w:rPr>
          <w:rFonts w:cs="Times New Roman"/>
          <w:szCs w:val="20"/>
        </w:rPr>
        <w:t>3 miesięcy w kwocie 8 634,58 zł, w okresie od 3 do 6 miesięcy</w:t>
      </w:r>
      <w:r w:rsidRPr="008C1E51">
        <w:rPr>
          <w:rFonts w:cs="Times New Roman"/>
          <w:szCs w:val="20"/>
        </w:rPr>
        <w:br/>
        <w:t>w kwocie 6 983,20 zł w okresie od 6 do 12 miesięcy w kwocie 30 380,72 zł oraz powyżej 12 miesięcy 45 949,11 zł.</w:t>
      </w:r>
    </w:p>
    <w:p w14:paraId="494AE2FF" w14:textId="77777777" w:rsidR="008C1E51" w:rsidRPr="008C1E51" w:rsidRDefault="008C1E51" w:rsidP="008C1E51">
      <w:pPr>
        <w:spacing w:before="120" w:after="120" w:line="276" w:lineRule="auto"/>
        <w:rPr>
          <w:rFonts w:cs="Times New Roman"/>
          <w:szCs w:val="20"/>
        </w:rPr>
      </w:pPr>
      <w:r w:rsidRPr="008C1E51">
        <w:rPr>
          <w:rFonts w:cs="Times New Roman"/>
          <w:szCs w:val="20"/>
        </w:rPr>
        <w:t>Wartości dochodzonych należności z tytułu sprzedaży drewna na koniec 2019 r. wynosiły 73 065,26 zł, na koniec 2020 r. 49 812,95 zł, na koniec 2021 r. 173 319,39 zł, a na koniec 2022 r. wynosiły 43 601,16 zł.</w:t>
      </w:r>
    </w:p>
    <w:p w14:paraId="58F332CB" w14:textId="77777777" w:rsidR="008C1E51" w:rsidRPr="008C1E51" w:rsidRDefault="008C1E51" w:rsidP="008C1E51">
      <w:pPr>
        <w:spacing w:before="120" w:after="120" w:line="276" w:lineRule="auto"/>
        <w:rPr>
          <w:rFonts w:cs="Times New Roman"/>
          <w:szCs w:val="20"/>
        </w:rPr>
      </w:pPr>
      <w:r w:rsidRPr="008C1E51">
        <w:rPr>
          <w:rFonts w:cs="Times New Roman"/>
          <w:szCs w:val="20"/>
        </w:rPr>
        <w:t>Wartości dochodzonych należności z tytułu nieopłaconych czynszów za lokale mieszkalne, najem i media wynosiły na koniec 2019 r. 92 557,95 zł, na koniec 2020 r. wynosiły 89 620,52 zł, na koniec 2021 r. wynosiły 23 630,54 zł, na koniec 2022 r. wynosiły 2 216,96 zł.</w:t>
      </w:r>
    </w:p>
    <w:p w14:paraId="04F06DA4" w14:textId="77777777" w:rsidR="008C1E51" w:rsidRPr="008C1E51" w:rsidRDefault="008C1E51" w:rsidP="008C1E51">
      <w:pPr>
        <w:spacing w:before="120" w:after="120" w:line="276" w:lineRule="auto"/>
        <w:rPr>
          <w:rFonts w:cs="Times New Roman"/>
          <w:szCs w:val="20"/>
        </w:rPr>
      </w:pPr>
      <w:r w:rsidRPr="008C1E51">
        <w:rPr>
          <w:rFonts w:cs="Times New Roman"/>
          <w:szCs w:val="20"/>
        </w:rPr>
        <w:t>Wartości dochodzonych należności z tytułu z tytułu nieopłaconych dzierżaw wynosiły na koniec 2019 r. 51 883,09 zł, na koniec 2020 r. 43 298,33 zł, na koniec 2021 r., 43 298,33 zł, na koniec 2022 r. 39 637,15 zł.</w:t>
      </w:r>
    </w:p>
    <w:bookmarkEnd w:id="43"/>
    <w:p w14:paraId="16AAE288" w14:textId="77777777" w:rsidR="008C1E51" w:rsidRPr="008C1E51" w:rsidRDefault="008C1E51" w:rsidP="008C1E51">
      <w:pPr>
        <w:spacing w:before="120" w:after="120" w:line="276" w:lineRule="auto"/>
        <w:jc w:val="right"/>
        <w:rPr>
          <w:rFonts w:cs="Times New Roman"/>
          <w:szCs w:val="20"/>
        </w:rPr>
      </w:pPr>
      <w:r w:rsidRPr="008C1E51">
        <w:rPr>
          <w:rFonts w:cs="Times New Roman"/>
          <w:szCs w:val="20"/>
        </w:rPr>
        <w:t>[</w:t>
      </w:r>
      <w:r w:rsidRPr="008C1E51">
        <w:rPr>
          <w:rFonts w:cs="Times New Roman"/>
          <w:color w:val="000000" w:themeColor="text1"/>
          <w:szCs w:val="20"/>
        </w:rPr>
        <w:t>Dowód: akta kontroli str. I/2771-2775</w:t>
      </w:r>
      <w:r w:rsidRPr="008C1E51">
        <w:rPr>
          <w:rFonts w:cs="Times New Roman"/>
          <w:szCs w:val="20"/>
        </w:rPr>
        <w:t>]</w:t>
      </w:r>
    </w:p>
    <w:bookmarkEnd w:id="42"/>
    <w:p w14:paraId="34C1267E" w14:textId="4FD90719"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Kontroli poddano 21 (tj. 18%) ze 117 zaległości wymagalnych w okresie objętym kontrolą. Zaległości wybrane do próby dotyczyły 13 dłużników. Kontrola wykazała, że w przypadku </w:t>
      </w:r>
      <w:r w:rsidRPr="008C1E51">
        <w:rPr>
          <w:rFonts w:cs="Times New Roman"/>
          <w:color w:val="000000" w:themeColor="text1"/>
          <w:szCs w:val="20"/>
        </w:rPr>
        <w:br/>
        <w:t xml:space="preserve">4 należności powstałych w latach 2009 – 2014 (a które to zaległości nie zostały odpisane </w:t>
      </w:r>
      <w:r w:rsidRPr="008C1E51">
        <w:rPr>
          <w:rFonts w:cs="Times New Roman"/>
          <w:color w:val="000000" w:themeColor="text1"/>
          <w:szCs w:val="20"/>
        </w:rPr>
        <w:br/>
        <w:t>w okresie objętym kontrolą lub wcześniejszym lub odpisano je dopiero z dniem 31 grudnia 2022 r.), Park zarchiwizował, a następnie zniszczył protokolarnie dokumenty dotyczące powstania tych należności, w tym dowody księgowe, pomimo braku upływu przedawnienia tych należności oraz prowadzenia przez Park czynności w zakresie dochodzenia należności od dłużników, co było działaniem niezgodnym z treścią art. 74 ust. 2 pkt. 4 ustawy z dnia 29 września 1994 r. o rachunkowości</w:t>
      </w:r>
      <w:r w:rsidRPr="008C1E51">
        <w:rPr>
          <w:rFonts w:cs="Times New Roman"/>
          <w:color w:val="000000" w:themeColor="text1"/>
          <w:vertAlign w:val="superscript"/>
        </w:rPr>
        <w:footnoteReference w:id="70"/>
      </w:r>
      <w:r w:rsidRPr="008C1E51">
        <w:rPr>
          <w:rFonts w:cs="Times New Roman"/>
          <w:color w:val="000000" w:themeColor="text1"/>
          <w:szCs w:val="20"/>
        </w:rPr>
        <w:t xml:space="preserve">. Zgodnie bowiem z ww. przepisem dowody księgowe dotyczące środków trwałych w budowie, pożyczek, kredytów oraz umów handlowych, roszczeń dochodzonych w postępowaniu cywilnym lub objętych postępowaniem karnym albo podatkowym przechowuje się przez 5 lat od początku roku następującego po roku obrotowym, w którym operacje, transakcje i postępowanie zostały ostatecznie zakończone, spłacone, rozliczone lub przedawnione. </w:t>
      </w:r>
      <w:r w:rsidR="00211832" w:rsidRPr="008C1E51">
        <w:rPr>
          <w:rFonts w:cs="Times New Roman"/>
          <w:color w:val="000000" w:themeColor="text1"/>
          <w:szCs w:val="20"/>
        </w:rPr>
        <w:t>Park</w:t>
      </w:r>
      <w:r w:rsidRPr="008C1E51">
        <w:rPr>
          <w:rFonts w:cs="Times New Roman"/>
          <w:color w:val="000000" w:themeColor="text1"/>
          <w:szCs w:val="20"/>
        </w:rPr>
        <w:t xml:space="preserve"> ani Radca Prawny działający na zlecenie Parku, nie przechowywali pełnej dokumentacji z podejmowanych działań w celu dochodzenia </w:t>
      </w:r>
      <w:r w:rsidRPr="008C1E51">
        <w:rPr>
          <w:rFonts w:cs="Times New Roman"/>
          <w:color w:val="000000" w:themeColor="text1"/>
          <w:szCs w:val="20"/>
        </w:rPr>
        <w:lastRenderedPageBreak/>
        <w:t>należności, np. wezwań do zapłaty pozwów do sądu, nakazów zapłaty, wniosków o wszczęcie egzekucji i innych dokumentów.</w:t>
      </w:r>
    </w:p>
    <w:p w14:paraId="70EE7441" w14:textId="77777777" w:rsidR="008C1E51" w:rsidRPr="008C1E51" w:rsidRDefault="008C1E51" w:rsidP="008C1E51">
      <w:pPr>
        <w:autoSpaceDE w:val="0"/>
        <w:autoSpaceDN w:val="0"/>
        <w:adjustRightInd w:val="0"/>
        <w:spacing w:before="120" w:after="120" w:line="276" w:lineRule="auto"/>
        <w:jc w:val="right"/>
        <w:rPr>
          <w:rFonts w:cs="Times New Roman"/>
          <w:szCs w:val="20"/>
        </w:rPr>
      </w:pPr>
      <w:bookmarkStart w:id="45" w:name="_Hlk135052567"/>
      <w:r w:rsidRPr="008C1E51">
        <w:rPr>
          <w:rFonts w:eastAsia="Times New Roman" w:cs="Times New Roman"/>
          <w:szCs w:val="20"/>
          <w:lang w:eastAsia="pl-PL"/>
        </w:rPr>
        <w:t>[Dowód: akta kontroli str. I/2776-3196, I/3198]</w:t>
      </w:r>
    </w:p>
    <w:bookmarkEnd w:id="45"/>
    <w:p w14:paraId="06EEE292" w14:textId="460A620D" w:rsidR="008C1E51" w:rsidRPr="008C1E51" w:rsidRDefault="00211832" w:rsidP="008C1E51">
      <w:pPr>
        <w:autoSpaceDE w:val="0"/>
        <w:autoSpaceDN w:val="0"/>
        <w:adjustRightInd w:val="0"/>
        <w:spacing w:before="120" w:after="120" w:line="276" w:lineRule="auto"/>
        <w:rPr>
          <w:rFonts w:cs="Times New Roman"/>
          <w:szCs w:val="20"/>
        </w:rPr>
      </w:pPr>
      <w:r w:rsidRPr="008C1E51">
        <w:rPr>
          <w:rFonts w:cs="Times New Roman"/>
          <w:szCs w:val="20"/>
        </w:rPr>
        <w:t>Odnośnie do</w:t>
      </w:r>
      <w:r w:rsidR="008C1E51" w:rsidRPr="008C1E51">
        <w:rPr>
          <w:rFonts w:cs="Times New Roman"/>
          <w:szCs w:val="20"/>
        </w:rPr>
        <w:t xml:space="preserve"> przechowywania dokumentów związanych z dochodzeniem należności Główna Księgowa wyjaśniła</w:t>
      </w:r>
      <w:r w:rsidR="008C1E51" w:rsidRPr="008C1E51">
        <w:rPr>
          <w:rFonts w:cs="Times New Roman"/>
          <w:szCs w:val="20"/>
          <w:vertAlign w:val="superscript"/>
        </w:rPr>
        <w:footnoteReference w:id="71"/>
      </w:r>
      <w:r w:rsidR="008C1E51" w:rsidRPr="008C1E51">
        <w:rPr>
          <w:rFonts w:cs="Times New Roman"/>
          <w:szCs w:val="20"/>
        </w:rPr>
        <w:t>, że dokumenty dotyczące postępowania sądowego przekazywane przez Radcę Prawnego były przechowywane w Dziale Finansowo-Księgowym, a Dyrektor Parku wskazał</w:t>
      </w:r>
      <w:r w:rsidR="008C1E51" w:rsidRPr="008C1E51">
        <w:rPr>
          <w:rFonts w:cs="Times New Roman"/>
          <w:szCs w:val="20"/>
          <w:vertAlign w:val="superscript"/>
        </w:rPr>
        <w:footnoteReference w:id="72"/>
      </w:r>
      <w:r w:rsidR="008C1E51" w:rsidRPr="008C1E51">
        <w:rPr>
          <w:rFonts w:cs="Times New Roman"/>
          <w:szCs w:val="20"/>
        </w:rPr>
        <w:t>, że dokumenty powinien przechowywać Dział Finansowo-Księgowy, natomiast przechowywał je Radca Prawny.</w:t>
      </w:r>
    </w:p>
    <w:p w14:paraId="15769F62"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 xml:space="preserve">[Dowód: akta kontroli str. </w:t>
      </w:r>
      <w:bookmarkStart w:id="46" w:name="_Hlk135051240"/>
      <w:r w:rsidRPr="008C1E51">
        <w:rPr>
          <w:rFonts w:eastAsia="Arial Unicode MS" w:cs="Times New Roman"/>
          <w:kern w:val="2"/>
          <w:szCs w:val="20"/>
          <w:lang w:eastAsia="hi-IN" w:bidi="hi-IN"/>
        </w:rPr>
        <w:t>I/2734</w:t>
      </w:r>
      <w:bookmarkEnd w:id="46"/>
      <w:r w:rsidRPr="008C1E51">
        <w:rPr>
          <w:rFonts w:eastAsia="Arial Unicode MS" w:cs="Times New Roman"/>
          <w:kern w:val="2"/>
          <w:szCs w:val="20"/>
          <w:lang w:eastAsia="hi-IN" w:bidi="hi-IN"/>
        </w:rPr>
        <w:t>-2740]</w:t>
      </w:r>
    </w:p>
    <w:p w14:paraId="02CD29C1" w14:textId="77777777" w:rsidR="008C1E51" w:rsidRPr="008C1E51" w:rsidRDefault="008C1E51" w:rsidP="008C1E51">
      <w:pPr>
        <w:autoSpaceDE w:val="0"/>
        <w:autoSpaceDN w:val="0"/>
        <w:adjustRightInd w:val="0"/>
        <w:spacing w:before="120" w:after="120" w:line="276" w:lineRule="auto"/>
        <w:rPr>
          <w:rFonts w:cs="Times New Roman"/>
          <w:color w:val="FF0000"/>
          <w:szCs w:val="20"/>
        </w:rPr>
      </w:pPr>
      <w:r w:rsidRPr="008C1E51">
        <w:rPr>
          <w:rFonts w:cs="Times New Roman"/>
          <w:szCs w:val="20"/>
        </w:rPr>
        <w:t>Wyjaśnienia wskazują, że w Parku funkcjonuje w ograniczonym stopniu kontrola zarządcza</w:t>
      </w:r>
      <w:r w:rsidRPr="008C1E51">
        <w:rPr>
          <w:rFonts w:cs="Times New Roman"/>
          <w:szCs w:val="20"/>
          <w:vertAlign w:val="superscript"/>
        </w:rPr>
        <w:footnoteReference w:id="73"/>
      </w:r>
      <w:r w:rsidRPr="008C1E51">
        <w:rPr>
          <w:rFonts w:cs="Times New Roman"/>
          <w:szCs w:val="20"/>
        </w:rPr>
        <w:t>, ponieważ osoby kierujące Parkiem nie były w stanie określić miejsca przechowywania dokumentów i wskazać komórki je przechowującej.</w:t>
      </w:r>
    </w:p>
    <w:p w14:paraId="13C7789B"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W sprawie zniszczenia dokumentów dotyczących dochodzonych należności powstałych </w:t>
      </w:r>
      <w:r w:rsidRPr="008C1E51">
        <w:rPr>
          <w:rFonts w:cs="Times New Roman"/>
          <w:color w:val="000000" w:themeColor="text1"/>
          <w:szCs w:val="20"/>
        </w:rPr>
        <w:br/>
        <w:t>w latach 2009-2014, Dyrektor Parku poinformował</w:t>
      </w:r>
      <w:r w:rsidRPr="008C1E51">
        <w:rPr>
          <w:rFonts w:cs="Times New Roman"/>
          <w:color w:val="000000" w:themeColor="text1"/>
          <w:vertAlign w:val="superscript"/>
        </w:rPr>
        <w:footnoteReference w:id="74"/>
      </w:r>
      <w:r w:rsidRPr="008C1E51">
        <w:rPr>
          <w:rFonts w:cs="Times New Roman"/>
          <w:color w:val="000000" w:themeColor="text1"/>
          <w:szCs w:val="20"/>
        </w:rPr>
        <w:t xml:space="preserve">, że w archiwum nie były przechowywane dokumenty księgowe dotyczące tych należności dłużej niż 5 lat zgodnie </w:t>
      </w:r>
      <w:r w:rsidRPr="008C1E51">
        <w:rPr>
          <w:rFonts w:cs="Times New Roman"/>
          <w:color w:val="000000" w:themeColor="text1"/>
          <w:szCs w:val="20"/>
        </w:rPr>
        <w:br/>
        <w:t xml:space="preserve">z art. 74 ustawy z dnia 29 września 1994 r. i załącznikiem nr 2 do Zarządzenia nr 3 Dyrektora Bieszczadzkiego Parku Narodowego z dnia 25 stycznia 2017 r. w sprawie instrukcji kancelaryjnej, jednolitego rzeczowego wykazu akt oraz instrukcji w sprawie organizacji </w:t>
      </w:r>
      <w:r w:rsidRPr="008C1E51">
        <w:rPr>
          <w:rFonts w:cs="Times New Roman"/>
          <w:color w:val="000000" w:themeColor="text1"/>
          <w:szCs w:val="20"/>
        </w:rPr>
        <w:br/>
        <w:t>i zakresu działania archiwum zakładowego. Było to również spowodowane brakiem wystarczającego miejsca w archiwum zakładowym. Natomiast Dyrektor Parku wyjaśnił</w:t>
      </w:r>
      <w:r w:rsidRPr="008C1E51">
        <w:rPr>
          <w:rFonts w:cs="Times New Roman"/>
          <w:color w:val="000000" w:themeColor="text1"/>
          <w:vertAlign w:val="superscript"/>
        </w:rPr>
        <w:footnoteReference w:id="75"/>
      </w:r>
      <w:r w:rsidRPr="008C1E51">
        <w:rPr>
          <w:rFonts w:cs="Times New Roman"/>
          <w:color w:val="000000" w:themeColor="text1"/>
          <w:szCs w:val="20"/>
        </w:rPr>
        <w:t xml:space="preserve"> także, że dowody księgowe dotyczące roszczeń dochodzonych w postępowaniu cywilnym lub objętych postępowaniem karnym przechowywane były przez okres 5 lat po roku obrotowym, w którym postępowanie zostało zakończone prawomocnym wyrokiem sądowym, który to wraz z egzekucją komorniczą, ugodami komorniczo-sądowymi czy innymi dokumentami związanymi z windykacją należności są przechowywane przez okres co najmniej 10 lat.</w:t>
      </w:r>
    </w:p>
    <w:p w14:paraId="666A7B38"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I/3197]</w:t>
      </w:r>
    </w:p>
    <w:p w14:paraId="1E060AEF"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Kontrolujący zwraca uwagę, że Dyrektor kilkukrotnie odnosił się do kwestii przechowywania dokumentów, przy czym niektóre informacje przekazywane przez Dyrektora są sprzeczne i wykluczają się. Pomimo udzielenia wyjaśnień, że dokumenty były przechowywane przez 5 lub 10 lat (w zależności od rodzaju dokumentów), kontrolującym nie przekazano pełnej dokumentacji dotyczącej dochodzenia należności, a Kontrolowany </w:t>
      </w:r>
      <w:r w:rsidRPr="008C1E51">
        <w:rPr>
          <w:rFonts w:cs="Times New Roman"/>
          <w:color w:val="000000" w:themeColor="text1"/>
          <w:szCs w:val="20"/>
        </w:rPr>
        <w:br/>
        <w:t xml:space="preserve">w wyjaśnieniach wskazał, że część dokumentów źródłowych stanowiących podstawę dochodzenia należności w trakcie prowadzonego postepowania zostało zniszczonych. </w:t>
      </w:r>
    </w:p>
    <w:p w14:paraId="68DE2267" w14:textId="77C9C29B" w:rsidR="008C1E51" w:rsidRPr="008C1E51" w:rsidRDefault="008C1E51" w:rsidP="008C1E51">
      <w:pPr>
        <w:spacing w:before="120" w:after="120" w:line="276" w:lineRule="auto"/>
        <w:rPr>
          <w:rFonts w:cs="Times New Roman"/>
          <w:szCs w:val="20"/>
        </w:rPr>
      </w:pPr>
      <w:r w:rsidRPr="008C1E51">
        <w:rPr>
          <w:rFonts w:cs="Times New Roman"/>
          <w:szCs w:val="20"/>
        </w:rPr>
        <w:t xml:space="preserve">Kontrola wykazała, że Park podejmował działania w celu </w:t>
      </w:r>
      <w:r w:rsidR="00211832" w:rsidRPr="008C1E51">
        <w:rPr>
          <w:rFonts w:cs="Times New Roman"/>
          <w:szCs w:val="20"/>
        </w:rPr>
        <w:t>dochodzenia 18</w:t>
      </w:r>
      <w:r w:rsidRPr="008C1E51">
        <w:rPr>
          <w:rFonts w:cs="Times New Roman"/>
          <w:szCs w:val="20"/>
        </w:rPr>
        <w:t xml:space="preserve"> z 21 należności wybranych w ramach próby. Trzy należności (2 dłużników) zostały spłacone z opóźnieniem </w:t>
      </w:r>
      <w:r w:rsidRPr="008C1E51">
        <w:rPr>
          <w:rFonts w:cs="Times New Roman"/>
          <w:szCs w:val="20"/>
        </w:rPr>
        <w:lastRenderedPageBreak/>
        <w:t>kilkunastodniowym. Opóźnienie była na tyle nieduże, że nie było konieczności podejmowania działań windykacyjnych.</w:t>
      </w:r>
    </w:p>
    <w:p w14:paraId="2CDAB05F"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I/2776-3196, I/3198]</w:t>
      </w:r>
    </w:p>
    <w:p w14:paraId="5CACF604" w14:textId="1CFFE4B3" w:rsidR="008C1E51" w:rsidRPr="008C1E51" w:rsidRDefault="008C1E51" w:rsidP="008C1E51">
      <w:pPr>
        <w:spacing w:before="120" w:after="120" w:line="276" w:lineRule="auto"/>
        <w:rPr>
          <w:rFonts w:cs="Times New Roman"/>
          <w:szCs w:val="20"/>
        </w:rPr>
      </w:pPr>
      <w:r w:rsidRPr="008C1E51">
        <w:rPr>
          <w:rFonts w:cs="Times New Roman"/>
          <w:szCs w:val="20"/>
        </w:rPr>
        <w:t xml:space="preserve">Wezwania do zapłaty zostały wysłane do 6 dłużników (dla 14 zaległości). Dwóch dłużników w 3 przypadkach zapłaciło należność z opóźnieniem kilkunastodniowym, </w:t>
      </w:r>
      <w:r w:rsidR="00211832" w:rsidRPr="008C1E51">
        <w:rPr>
          <w:rFonts w:cs="Times New Roman"/>
          <w:szCs w:val="20"/>
        </w:rPr>
        <w:t>wskutek</w:t>
      </w:r>
      <w:r w:rsidRPr="008C1E51">
        <w:rPr>
          <w:rFonts w:cs="Times New Roman"/>
          <w:szCs w:val="20"/>
        </w:rPr>
        <w:t xml:space="preserve"> czego wezwania do zapłaty nie były wysyłane. W przypadku 4 dłużników (dla 4 zaległości) Park nie przechował wezwań do zapłaty, </w:t>
      </w:r>
      <w:r w:rsidR="00211832" w:rsidRPr="008C1E51">
        <w:rPr>
          <w:rFonts w:cs="Times New Roman"/>
          <w:szCs w:val="20"/>
        </w:rPr>
        <w:t>wskutek</w:t>
      </w:r>
      <w:r w:rsidRPr="008C1E51">
        <w:rPr>
          <w:rFonts w:cs="Times New Roman"/>
          <w:szCs w:val="20"/>
        </w:rPr>
        <w:t xml:space="preserve"> czego nie było możliwe jednoznaczne potwierdzenie ich wysłania. Wezwania do zapłaty należności głównej były wysyłane do dłużników jednokrotnie, dwukrotne, trzykrotne lub sześciokrotne. Zaprzestanie wysyłania wezwań po jedno lub dwukrotnym wezwaniu było niezgodne z Polityką rachunkowości </w:t>
      </w:r>
      <w:r w:rsidRPr="008C1E51">
        <w:rPr>
          <w:rFonts w:cs="Times New Roman"/>
          <w:szCs w:val="20"/>
        </w:rPr>
        <w:br/>
        <w:t>i procedurami windykacji należności obowiązującymi w Parku od 1 stycznia 2022 r.</w:t>
      </w:r>
    </w:p>
    <w:p w14:paraId="7266D88F"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Naliczono odsetki 10 dłużnikom (dla 18 zaległości), natomiast w przypadku jednego dłużnika (2 należności) kwota odsetek od nieterminowej zapłaty była niższa od wysokości odsetek, poniżej której nie było obowiązku naliczania odsetek. W przypadku innego dłużnika </w:t>
      </w:r>
      <w:r w:rsidRPr="008C1E51">
        <w:rPr>
          <w:rFonts w:cs="Times New Roman"/>
          <w:szCs w:val="20"/>
        </w:rPr>
        <w:br/>
        <w:t xml:space="preserve">(1 należność) nie naliczono odsetek, pomimo istnienia takiego obowiązku wynikającego </w:t>
      </w:r>
      <w:r w:rsidRPr="008C1E51">
        <w:rPr>
          <w:rFonts w:cs="Times New Roman"/>
          <w:szCs w:val="20"/>
        </w:rPr>
        <w:br/>
        <w:t>z Polityki rachunkowości i procedur windykacji należności. Odsetki wynosiły 9,74 zł</w:t>
      </w:r>
      <w:r w:rsidRPr="008C1E51">
        <w:rPr>
          <w:rFonts w:cs="Times New Roman"/>
          <w:vertAlign w:val="superscript"/>
        </w:rPr>
        <w:footnoteReference w:id="76"/>
      </w:r>
      <w:r w:rsidRPr="008C1E51">
        <w:rPr>
          <w:rFonts w:cs="Times New Roman"/>
          <w:szCs w:val="20"/>
        </w:rPr>
        <w:t>.</w:t>
      </w:r>
    </w:p>
    <w:p w14:paraId="6E8ECF5F"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I/2776-3196, I/3198]</w:t>
      </w:r>
    </w:p>
    <w:p w14:paraId="77B65F3A" w14:textId="35CF549A" w:rsidR="008C1E51" w:rsidRPr="008C1E51" w:rsidRDefault="008C1E51" w:rsidP="008C1E51">
      <w:pPr>
        <w:spacing w:before="120" w:after="120" w:line="276" w:lineRule="auto"/>
        <w:rPr>
          <w:rFonts w:cs="Times New Roman"/>
          <w:szCs w:val="20"/>
        </w:rPr>
      </w:pPr>
      <w:r w:rsidRPr="008C1E51">
        <w:rPr>
          <w:rFonts w:cs="Times New Roman"/>
          <w:szCs w:val="20"/>
        </w:rPr>
        <w:t xml:space="preserve">Główna Księgowa w sprawie </w:t>
      </w:r>
      <w:r w:rsidR="00211832" w:rsidRPr="008C1E51">
        <w:rPr>
          <w:rFonts w:cs="Times New Roman"/>
          <w:szCs w:val="20"/>
        </w:rPr>
        <w:t>nienaliczenia</w:t>
      </w:r>
      <w:r w:rsidRPr="008C1E51">
        <w:rPr>
          <w:rFonts w:cs="Times New Roman"/>
          <w:szCs w:val="20"/>
        </w:rPr>
        <w:t xml:space="preserve"> odsetek wyjaśniła, że nie naliczono odsetek </w:t>
      </w:r>
      <w:r w:rsidRPr="008C1E51">
        <w:rPr>
          <w:rFonts w:cs="Times New Roman"/>
          <w:szCs w:val="20"/>
        </w:rPr>
        <w:br/>
        <w:t>z powodu krótkiego terminu zadłużenia, a kwota odsetek nie przekroczyła kosztu opłaty za list polecony z potwierdzeniem odbioru. Wskazała również</w:t>
      </w:r>
      <w:r w:rsidRPr="008C1E51">
        <w:rPr>
          <w:rFonts w:cs="Times New Roman"/>
          <w:vertAlign w:val="superscript"/>
        </w:rPr>
        <w:footnoteReference w:id="77"/>
      </w:r>
      <w:r w:rsidRPr="008C1E51">
        <w:rPr>
          <w:rFonts w:cs="Times New Roman"/>
          <w:szCs w:val="20"/>
        </w:rPr>
        <w:t>, że system finansowo-księgowy nie miał możliwości raportowania zadłużenia. Salda były analizowane przez pracowników Działu Finansowo-Księgowego. Jeśli na koniec kwartału nie było salda, nie były analizowane wpłaty, ponieważ zobowiązanie wygasło. Księgowanie odbywało się w pierwszej kolejności na odsetki, a następnie na należność główną.</w:t>
      </w:r>
    </w:p>
    <w:p w14:paraId="2A702DAE"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I/2737-2740, I/3072]</w:t>
      </w:r>
    </w:p>
    <w:p w14:paraId="2C953E8F" w14:textId="4D9E71AA" w:rsidR="008C1E51" w:rsidRPr="008C1E51" w:rsidRDefault="008C1E51" w:rsidP="008C1E51">
      <w:pPr>
        <w:spacing w:before="120" w:after="120" w:line="276" w:lineRule="auto"/>
        <w:rPr>
          <w:rFonts w:cs="Times New Roman"/>
          <w:szCs w:val="20"/>
        </w:rPr>
      </w:pPr>
      <w:r w:rsidRPr="008C1E51">
        <w:rPr>
          <w:rFonts w:cs="Times New Roman"/>
          <w:szCs w:val="20"/>
        </w:rPr>
        <w:t xml:space="preserve">Brak naliczania odsetek w </w:t>
      </w:r>
      <w:r w:rsidR="00211832" w:rsidRPr="008C1E51">
        <w:rPr>
          <w:rFonts w:cs="Times New Roman"/>
          <w:szCs w:val="20"/>
        </w:rPr>
        <w:t>przypadku,</w:t>
      </w:r>
      <w:r w:rsidRPr="008C1E51">
        <w:rPr>
          <w:rFonts w:cs="Times New Roman"/>
          <w:szCs w:val="20"/>
        </w:rPr>
        <w:t xml:space="preserve"> gdy ich wartość była większa niż wskazana w Polityce Rachunkowości i w Procedurze windykacji było działaniem nielegalnym. Mimo, że zapisy ww. dokumentów były różne, to w każdym przypadku kwota odsetek jaka powinna być naliczona była wyższa niż wysokości odsetek w nich wskazane. Park nie zapewnił bieżącego monitorowania wpłat i naliczania </w:t>
      </w:r>
      <w:r w:rsidR="00211832" w:rsidRPr="008C1E51">
        <w:rPr>
          <w:rFonts w:cs="Times New Roman"/>
          <w:szCs w:val="20"/>
        </w:rPr>
        <w:t>odsetek,</w:t>
      </w:r>
      <w:r w:rsidRPr="008C1E51">
        <w:rPr>
          <w:rFonts w:cs="Times New Roman"/>
          <w:szCs w:val="20"/>
        </w:rPr>
        <w:t xml:space="preserve"> jeśli wystąpiły przesłanki ku ich naliczeniu przed końcem kwartału. Powyższe należy uznać za słabość procedur dochodzenia należności. </w:t>
      </w:r>
    </w:p>
    <w:p w14:paraId="748DBF53" w14:textId="73B351DF" w:rsidR="008C1E51" w:rsidRPr="008C1E51" w:rsidRDefault="008C1E51" w:rsidP="008C1E51">
      <w:pPr>
        <w:spacing w:before="120" w:after="120" w:line="276" w:lineRule="auto"/>
        <w:rPr>
          <w:rFonts w:cs="Times New Roman"/>
          <w:szCs w:val="20"/>
        </w:rPr>
      </w:pPr>
      <w:r w:rsidRPr="008C1E51">
        <w:rPr>
          <w:rFonts w:cs="Times New Roman"/>
          <w:szCs w:val="20"/>
        </w:rPr>
        <w:t xml:space="preserve">W stosunku do 7 dłużników (dla 13 należności) Radca Prawny na zlecenie </w:t>
      </w:r>
      <w:r w:rsidR="00211832" w:rsidRPr="008C1E51">
        <w:rPr>
          <w:rFonts w:cs="Times New Roman"/>
          <w:szCs w:val="20"/>
        </w:rPr>
        <w:t>Parku skierował</w:t>
      </w:r>
      <w:r w:rsidRPr="008C1E51">
        <w:rPr>
          <w:rFonts w:cs="Times New Roman"/>
          <w:szCs w:val="20"/>
        </w:rPr>
        <w:t xml:space="preserve"> do sądu pozwy w celu odzyskania należności, przy czym Park nie posiadał kopii 4 pozwów.</w:t>
      </w:r>
    </w:p>
    <w:p w14:paraId="7CF1C903" w14:textId="77777777" w:rsidR="008C1E51" w:rsidRPr="008C1E51" w:rsidRDefault="008C1E51" w:rsidP="008C1E51">
      <w:pPr>
        <w:spacing w:before="120" w:after="120" w:line="276" w:lineRule="auto"/>
        <w:rPr>
          <w:rFonts w:cs="Times New Roman"/>
          <w:szCs w:val="20"/>
        </w:rPr>
      </w:pPr>
      <w:r w:rsidRPr="008C1E51">
        <w:rPr>
          <w:rFonts w:cs="Times New Roman"/>
          <w:szCs w:val="20"/>
        </w:rPr>
        <w:t>W ramach badanej próby Park odzyskał 8 na 21 należności (od 5 dłużników) w pełnej kwocie, oraz częściowo 1 należność. Park nie odzyskał w pełni 13</w:t>
      </w:r>
      <w:r w:rsidRPr="008C1E51">
        <w:rPr>
          <w:rFonts w:cs="Times New Roman"/>
          <w:vertAlign w:val="superscript"/>
        </w:rPr>
        <w:footnoteReference w:id="78"/>
      </w:r>
      <w:r w:rsidRPr="008C1E51">
        <w:rPr>
          <w:rFonts w:cs="Times New Roman"/>
          <w:szCs w:val="20"/>
        </w:rPr>
        <w:t xml:space="preserve"> należności od 7 dłużników </w:t>
      </w:r>
      <w:r w:rsidRPr="008C1E51">
        <w:rPr>
          <w:rFonts w:cs="Times New Roman"/>
          <w:szCs w:val="20"/>
        </w:rPr>
        <w:br/>
        <w:t xml:space="preserve">o wartości 107 663,83 zł według stanu na dzień 31 grudnia 2022 r. 3 z 21 należności </w:t>
      </w:r>
      <w:r w:rsidRPr="008C1E51">
        <w:rPr>
          <w:rFonts w:cs="Times New Roman"/>
          <w:szCs w:val="20"/>
        </w:rPr>
        <w:br/>
        <w:t>o wartości 24 425,52zł zostało odpisane z ksiąg z końcem 2022 roku.</w:t>
      </w:r>
    </w:p>
    <w:p w14:paraId="62B96DA7"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I/2776-3196, I/3198]</w:t>
      </w:r>
    </w:p>
    <w:p w14:paraId="7EB0795B"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lastRenderedPageBreak/>
        <w:t>Badanie szczegółowe podejmowanych przez Park działań w celu odzyskania należności wykazało następujące nieprawidłowości:</w:t>
      </w:r>
    </w:p>
    <w:p w14:paraId="532C8228" w14:textId="77777777" w:rsidR="008C1E51" w:rsidRPr="008C1E51" w:rsidRDefault="008C1E51" w:rsidP="008C1E51">
      <w:pPr>
        <w:numPr>
          <w:ilvl w:val="0"/>
          <w:numId w:val="22"/>
        </w:numPr>
        <w:spacing w:before="120" w:after="120" w:line="276" w:lineRule="auto"/>
        <w:rPr>
          <w:rFonts w:cs="Times New Roman"/>
          <w:color w:val="000000" w:themeColor="text1"/>
          <w:szCs w:val="20"/>
        </w:rPr>
      </w:pPr>
      <w:r w:rsidRPr="008C1E51">
        <w:rPr>
          <w:rFonts w:cs="Times New Roman"/>
          <w:color w:val="000000" w:themeColor="text1"/>
          <w:szCs w:val="20"/>
        </w:rPr>
        <w:t>nienaliczenie odsetek od 1 dłużnika dla 1 zaległości, co było działaniem nielegalnym,</w:t>
      </w:r>
    </w:p>
    <w:p w14:paraId="6D8A1A29" w14:textId="77777777" w:rsidR="008C1E51" w:rsidRPr="008C1E51" w:rsidRDefault="008C1E51" w:rsidP="008C1E51">
      <w:pPr>
        <w:autoSpaceDE w:val="0"/>
        <w:autoSpaceDN w:val="0"/>
        <w:adjustRightInd w:val="0"/>
        <w:spacing w:before="120" w:after="120" w:line="276" w:lineRule="auto"/>
        <w:ind w:left="360"/>
        <w:jc w:val="right"/>
        <w:rPr>
          <w:rFonts w:cs="Times New Roman"/>
          <w:szCs w:val="20"/>
        </w:rPr>
      </w:pPr>
      <w:r w:rsidRPr="008C1E51">
        <w:rPr>
          <w:rFonts w:eastAsia="Times New Roman" w:cs="Times New Roman"/>
          <w:szCs w:val="20"/>
          <w:lang w:eastAsia="pl-PL"/>
        </w:rPr>
        <w:t>[Dowód: akta kontroli str. I/3072-3079]</w:t>
      </w:r>
    </w:p>
    <w:p w14:paraId="661A8ABB" w14:textId="77777777" w:rsidR="008C1E51" w:rsidRPr="008C1E51" w:rsidRDefault="008C1E51" w:rsidP="008C1E51">
      <w:pPr>
        <w:numPr>
          <w:ilvl w:val="0"/>
          <w:numId w:val="22"/>
        </w:numPr>
        <w:spacing w:before="120" w:after="120" w:line="276" w:lineRule="auto"/>
        <w:rPr>
          <w:rFonts w:cs="Times New Roman"/>
          <w:color w:val="000000" w:themeColor="text1"/>
          <w:szCs w:val="20"/>
        </w:rPr>
      </w:pPr>
      <w:r w:rsidRPr="008C1E51">
        <w:rPr>
          <w:rFonts w:cs="Times New Roman"/>
          <w:color w:val="000000" w:themeColor="text1"/>
          <w:szCs w:val="20"/>
        </w:rPr>
        <w:t>nierzetelne sporządzenie protokołu o nieściągalności wierzytelności z 31 grudnia 2018 r., na podstawie art. 16 ust. 2 pkt 3 ustawy z 15 lutego 1992 r. o podatku dochodowym od osób prawnych</w:t>
      </w:r>
      <w:r w:rsidRPr="008C1E51">
        <w:rPr>
          <w:rFonts w:cs="Times New Roman"/>
          <w:color w:val="000000" w:themeColor="text1"/>
          <w:szCs w:val="20"/>
          <w:vertAlign w:val="superscript"/>
        </w:rPr>
        <w:footnoteReference w:id="79"/>
      </w:r>
      <w:r w:rsidRPr="008C1E51">
        <w:rPr>
          <w:rFonts w:cs="Times New Roman"/>
          <w:color w:val="000000" w:themeColor="text1"/>
          <w:szCs w:val="20"/>
        </w:rPr>
        <w:t xml:space="preserve"> zawierającego informacje niemające odzwierciedlenia w dokumentach. W protokole podano, że spółka-dłużnik została zlikwidowana, natomiast na dzień 26 stycznia 2023 r. według KRS spółka istniała. Brak było również informacji o rozpoczęciu procesu likwidacji oraz ustanowieniu likwidatora.</w:t>
      </w:r>
    </w:p>
    <w:p w14:paraId="2349213F" w14:textId="77777777" w:rsidR="008C1E51" w:rsidRPr="008C1E51" w:rsidRDefault="008C1E51" w:rsidP="008C1E51">
      <w:pPr>
        <w:autoSpaceDE w:val="0"/>
        <w:autoSpaceDN w:val="0"/>
        <w:adjustRightInd w:val="0"/>
        <w:spacing w:before="120" w:after="120" w:line="276" w:lineRule="auto"/>
        <w:ind w:left="360"/>
        <w:jc w:val="right"/>
        <w:rPr>
          <w:rFonts w:cs="Times New Roman"/>
          <w:szCs w:val="20"/>
        </w:rPr>
      </w:pPr>
      <w:r w:rsidRPr="008C1E51">
        <w:rPr>
          <w:rFonts w:eastAsia="Times New Roman" w:cs="Times New Roman"/>
          <w:szCs w:val="20"/>
          <w:lang w:eastAsia="pl-PL"/>
        </w:rPr>
        <w:t>[Dowód: akta kontroli str. I/2776-2803</w:t>
      </w:r>
    </w:p>
    <w:p w14:paraId="478D2449"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Dyrektor Parku w zakresie podania nieprawdziwych informacji w protokole</w:t>
      </w:r>
      <w:r w:rsidRPr="008C1E51">
        <w:rPr>
          <w:rFonts w:cs="Times New Roman"/>
          <w:color w:val="000000" w:themeColor="text1"/>
          <w:szCs w:val="20"/>
        </w:rPr>
        <w:br/>
        <w:t>o nieściągalności wierzytelności wyjaśnił</w:t>
      </w:r>
      <w:r w:rsidRPr="008C1E51">
        <w:rPr>
          <w:rFonts w:cs="Times New Roman"/>
          <w:color w:val="000000" w:themeColor="text1"/>
          <w:szCs w:val="20"/>
          <w:vertAlign w:val="superscript"/>
        </w:rPr>
        <w:footnoteReference w:id="80"/>
      </w:r>
      <w:r w:rsidRPr="008C1E51">
        <w:rPr>
          <w:rFonts w:cs="Times New Roman"/>
          <w:color w:val="000000" w:themeColor="text1"/>
          <w:szCs w:val="20"/>
        </w:rPr>
        <w:t>, że informacja o likwidacji Spółki była prawdopodobna, ale nie doszła do skutku, a Park nie posiadał dokumentów o jej likwidacji. Dodatkowo wyjaśnił, że wszystkie niezbędne pisma procesowe i egzekucyjne oraz reprezentowanie Bieszczadzkiego Parku Narodowego przed wszystkimi organami sądowymi i egzekucyjnymi pełnił upoważniony Radca Prawny.</w:t>
      </w:r>
    </w:p>
    <w:p w14:paraId="0CB5D96B"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Kontrolujący zwraca uwagę, że mimo, że protokół o nieściągalności wierzytelności został sporządzony w związku z analizowaniem sald i ustalaniem stopnia prawdopodobieństwa zapłaty należności przez kontrahentów, nie zwalnia to z obowiązku podawania w nim informacji popartych faktami i dokumentami.</w:t>
      </w:r>
    </w:p>
    <w:p w14:paraId="376289A1"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[Dowód: akta kontroli str. I/2578-2592]</w:t>
      </w:r>
    </w:p>
    <w:p w14:paraId="5A46C253" w14:textId="77777777" w:rsidR="008C1E51" w:rsidRPr="008C1E51" w:rsidRDefault="008C1E51" w:rsidP="008C1E51">
      <w:pPr>
        <w:numPr>
          <w:ilvl w:val="0"/>
          <w:numId w:val="22"/>
        </w:numPr>
        <w:spacing w:before="120" w:after="120" w:line="276" w:lineRule="auto"/>
        <w:rPr>
          <w:rFonts w:cs="Times New Roman"/>
          <w:color w:val="000000" w:themeColor="text1"/>
          <w:szCs w:val="20"/>
        </w:rPr>
      </w:pPr>
      <w:r w:rsidRPr="008C1E51">
        <w:rPr>
          <w:rFonts w:cs="Times New Roman"/>
          <w:color w:val="000000" w:themeColor="text1"/>
          <w:szCs w:val="20"/>
        </w:rPr>
        <w:t>Nieuprawnione wyrażenie zgody na spłatę długu w kwocie 12 846,55 zł zmarłego dłużnika przez jego żonę, pomimo braku ustalenia prawnych spadkobierców dłużnika.</w:t>
      </w:r>
    </w:p>
    <w:p w14:paraId="6799C603" w14:textId="77777777" w:rsidR="008C1E51" w:rsidRPr="008C1E51" w:rsidRDefault="008C1E51" w:rsidP="008C1E51">
      <w:pPr>
        <w:autoSpaceDE w:val="0"/>
        <w:autoSpaceDN w:val="0"/>
        <w:adjustRightInd w:val="0"/>
        <w:spacing w:before="120" w:after="120" w:line="276" w:lineRule="auto"/>
        <w:ind w:left="360"/>
        <w:jc w:val="right"/>
        <w:rPr>
          <w:rFonts w:cs="Times New Roman"/>
          <w:szCs w:val="20"/>
        </w:rPr>
      </w:pPr>
      <w:r w:rsidRPr="008C1E51">
        <w:rPr>
          <w:rFonts w:eastAsia="Times New Roman" w:cs="Times New Roman"/>
          <w:szCs w:val="20"/>
          <w:lang w:eastAsia="pl-PL"/>
        </w:rPr>
        <w:t>[Dowód: akta kontroli str. I/3125-3145]</w:t>
      </w:r>
    </w:p>
    <w:p w14:paraId="114E5575" w14:textId="77777777" w:rsidR="008C1E51" w:rsidRPr="008C1E51" w:rsidRDefault="008C1E51" w:rsidP="008C1E51">
      <w:pPr>
        <w:spacing w:before="120" w:after="120" w:line="276" w:lineRule="auto"/>
        <w:rPr>
          <w:rFonts w:cs="Times New Roman"/>
          <w:szCs w:val="20"/>
        </w:rPr>
      </w:pPr>
      <w:r w:rsidRPr="008C1E51">
        <w:rPr>
          <w:rFonts w:cs="Times New Roman"/>
          <w:szCs w:val="20"/>
        </w:rPr>
        <w:t>Zgodnie z art. 931 § 1 ustawy z dnia z dnia 23 kwietnia 1964 r. Kodeks Cywilny</w:t>
      </w:r>
      <w:r w:rsidRPr="008C1E51">
        <w:rPr>
          <w:rFonts w:cs="Times New Roman"/>
          <w:szCs w:val="20"/>
          <w:vertAlign w:val="superscript"/>
        </w:rPr>
        <w:footnoteReference w:id="81"/>
      </w:r>
      <w:r w:rsidRPr="008C1E51">
        <w:rPr>
          <w:rFonts w:cs="Times New Roman"/>
          <w:szCs w:val="20"/>
        </w:rPr>
        <w:t xml:space="preserve">  pierwszej kolejności powołane są z ustawy do spadku dzieci spadkodawcy oraz jego małżonek; dziedziczą oni w częściach równych. Jednakże część przypadająca małżonkowi nie może być mniejsza niż jedna czwarta całości spadku. Z przepisu tego wynika, że spadkobiercami dłużnika, mogli być także dzieci, wobec czego zdaniem Kontrolującego przed wyrażeniem zgody na spłatę długu przez żonę Park powinien przeanalizować, czy żona dłużnika jest jego jedynym spadkobiercą.</w:t>
      </w:r>
    </w:p>
    <w:p w14:paraId="0531205B" w14:textId="77777777" w:rsidR="008C1E51" w:rsidRPr="008C1E51" w:rsidRDefault="008C1E51" w:rsidP="008C1E51">
      <w:pPr>
        <w:spacing w:before="120" w:after="120" w:line="276" w:lineRule="auto"/>
        <w:rPr>
          <w:rFonts w:cs="Times New Roman"/>
          <w:szCs w:val="20"/>
        </w:rPr>
      </w:pPr>
      <w:r w:rsidRPr="008C1E51">
        <w:rPr>
          <w:rFonts w:cs="Times New Roman"/>
          <w:szCs w:val="20"/>
        </w:rPr>
        <w:t>W kwestii wyrażenia zgody na spłatę długu przez żonę dłużnika Dyrektor Parku wyjaśnił</w:t>
      </w:r>
      <w:r w:rsidRPr="008C1E51">
        <w:rPr>
          <w:rFonts w:cs="Times New Roman"/>
          <w:szCs w:val="20"/>
          <w:vertAlign w:val="superscript"/>
        </w:rPr>
        <w:footnoteReference w:id="82"/>
      </w:r>
      <w:r w:rsidRPr="008C1E51">
        <w:rPr>
          <w:rFonts w:cs="Times New Roman"/>
          <w:szCs w:val="20"/>
        </w:rPr>
        <w:t xml:space="preserve">, że Park starał się odzyskać należności w sposób najbardziej efektywny, w tym zawierając ugody, które zwykle są najskuteczniejsze, do tego spłata ich nie jest obarczona dodatkowymi </w:t>
      </w:r>
      <w:r w:rsidRPr="008C1E51">
        <w:rPr>
          <w:rFonts w:cs="Times New Roman"/>
          <w:szCs w:val="20"/>
        </w:rPr>
        <w:lastRenderedPageBreak/>
        <w:t>kosztami dochodzenia sądowo komorniczego i przeciąga się czasowo. Zdaniem Dyrektora Parku działania komorników są długotrwałe, kosztowne i rzadko kończą się całkowitym ściągnięciem długu. Dlatego ugoda zawarta z żoną Kupującego dawała największe prawdopodobieństwo spłaty długu.</w:t>
      </w:r>
    </w:p>
    <w:p w14:paraId="48B2F509" w14:textId="77777777" w:rsidR="008C1E51" w:rsidRPr="008C1E51" w:rsidRDefault="008C1E51" w:rsidP="008C1E51">
      <w:pPr>
        <w:autoSpaceDE w:val="0"/>
        <w:autoSpaceDN w:val="0"/>
        <w:adjustRightInd w:val="0"/>
        <w:spacing w:before="120" w:after="120" w:line="276" w:lineRule="auto"/>
        <w:jc w:val="right"/>
        <w:rPr>
          <w:rFonts w:cs="Times New Roman"/>
          <w:szCs w:val="20"/>
        </w:rPr>
      </w:pPr>
      <w:r w:rsidRPr="008C1E51">
        <w:rPr>
          <w:rFonts w:eastAsia="Times New Roman" w:cs="Times New Roman"/>
          <w:szCs w:val="20"/>
          <w:lang w:eastAsia="pl-PL"/>
        </w:rPr>
        <w:t xml:space="preserve">[Dowód: akta kontroli str. </w:t>
      </w:r>
      <w:r w:rsidRPr="008C1E51">
        <w:rPr>
          <w:rFonts w:eastAsia="Arial Unicode MS" w:cs="Times New Roman"/>
          <w:kern w:val="2"/>
          <w:sz w:val="19"/>
          <w:szCs w:val="19"/>
          <w:lang w:eastAsia="hi-IN" w:bidi="hi-IN"/>
        </w:rPr>
        <w:t>I/2578-2592]</w:t>
      </w:r>
    </w:p>
    <w:p w14:paraId="146F3A08" w14:textId="77777777" w:rsidR="008C1E51" w:rsidRPr="008C1E51" w:rsidRDefault="008C1E51" w:rsidP="008C1E51">
      <w:pPr>
        <w:numPr>
          <w:ilvl w:val="0"/>
          <w:numId w:val="22"/>
        </w:numPr>
        <w:spacing w:before="120" w:after="120" w:line="276" w:lineRule="auto"/>
        <w:ind w:left="714" w:hanging="357"/>
        <w:rPr>
          <w:rFonts w:cs="Times New Roman"/>
          <w:color w:val="000000" w:themeColor="text1"/>
          <w:szCs w:val="20"/>
        </w:rPr>
      </w:pPr>
      <w:r w:rsidRPr="008C1E51">
        <w:rPr>
          <w:rFonts w:cs="Times New Roman"/>
          <w:color w:val="000000" w:themeColor="text1"/>
          <w:szCs w:val="20"/>
        </w:rPr>
        <w:t xml:space="preserve">Doprowadzenie do powstania 8 należności (od 2 dłużników) w kwocie 124 828,81 zł przez wydanie drewna kupującym bez uiszczenia przez nich przedpłaty, co było niezgodne z wewnętrznymi zasadami sprzedaży drewna oraz z umowami zawartymi z kupującymi. </w:t>
      </w:r>
    </w:p>
    <w:p w14:paraId="0A11FDA1" w14:textId="7A6A02D1"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W pierwszym przypadku drewno było wydawane pomimo tego, że kupujący nie uiszczał przedpłaty, a potem nie wywiązywał się z płatności za wydane mu drewno. Przyczyną tego był fakt, że jeden z Leśniczych wydający drewno, nie miał wiedzy, że drugi z Leśniczych wydał drewno na poczet przedpłaty. Pomimo wiedzy o przedpłacie, wydając drewno wystawiał faktury</w:t>
      </w:r>
      <w:r w:rsidRPr="008C1E51">
        <w:rPr>
          <w:rFonts w:cs="Times New Roman"/>
          <w:color w:val="000000" w:themeColor="text1"/>
          <w:szCs w:val="20"/>
        </w:rPr>
        <w:br/>
        <w:t xml:space="preserve">z terminem płatności. Drugi z Leśniczych błędnie zinterpretował zapisy umowy dotyczące warunków wydawania drewna Kupującemu, </w:t>
      </w:r>
      <w:r w:rsidR="00211832" w:rsidRPr="008C1E51">
        <w:rPr>
          <w:rFonts w:cs="Times New Roman"/>
          <w:color w:val="000000" w:themeColor="text1"/>
          <w:szCs w:val="20"/>
        </w:rPr>
        <w:t>wskutek</w:t>
      </w:r>
      <w:r w:rsidRPr="008C1E51">
        <w:rPr>
          <w:rFonts w:cs="Times New Roman"/>
          <w:color w:val="000000" w:themeColor="text1"/>
          <w:szCs w:val="20"/>
        </w:rPr>
        <w:t xml:space="preserve"> czego po wpłaceniu przez kupującego przedpłaty wydał drewno o wartości większej niż kwota przedpłaty. Dyrektor Parku nie zapewnił mechanizmów wydawania drewna zgodnie z wewnętrznymi regulacjami, tj. na podstawie przedpłaty. Zabrakło właściwej komunikacji pomiędzy Działem Księgowości</w:t>
      </w:r>
      <w:r w:rsidRPr="008C1E51">
        <w:rPr>
          <w:rFonts w:cs="Times New Roman"/>
          <w:color w:val="000000" w:themeColor="text1"/>
          <w:szCs w:val="20"/>
        </w:rPr>
        <w:br/>
        <w:t>a Leśniczymi wydającymi drewno. Nie były na bieżąco sprawdzane rozrachunki z Kupującym, wskutek czego o powstaniu należności Park powziął wiedzę dopiero na koniec kwartału,</w:t>
      </w:r>
      <w:r w:rsidRPr="008C1E51">
        <w:rPr>
          <w:rFonts w:cs="Times New Roman"/>
          <w:color w:val="000000" w:themeColor="text1"/>
          <w:szCs w:val="20"/>
        </w:rPr>
        <w:br/>
        <w:t>co było jedną z przyczyn wydawania drewna Kupującemu pomimo faktu, że nie dokonywał on płatności. Nie ustalono jednolitego systemu obiegu dokumentów w przypadku faktur wystawianych przez leśniczych. Dział Finansowo-Księgowy miał wgląd w fakturę dopiero jak leśniczy dostarczył ją do Dyrekcji Parku i dopiero wtedy faktury były wprowadzane do systemu finansowo-księgowego. Fakt dostarczenia faktury do Dyrekcji nie był odnotowywany, a leśniczy nie byli w stanie podać dokładnej daty dostarczenia faktur. Natomiast według wewnętrznych procedur</w:t>
      </w:r>
      <w:r w:rsidRPr="008C1E51">
        <w:rPr>
          <w:rFonts w:cs="Times New Roman"/>
          <w:color w:val="000000" w:themeColor="text1"/>
          <w:szCs w:val="20"/>
          <w:vertAlign w:val="superscript"/>
        </w:rPr>
        <w:footnoteReference w:id="83"/>
      </w:r>
      <w:r w:rsidRPr="008C1E51">
        <w:rPr>
          <w:rFonts w:cs="Times New Roman"/>
          <w:color w:val="000000" w:themeColor="text1"/>
          <w:szCs w:val="20"/>
        </w:rPr>
        <w:t xml:space="preserve"> faktury powinny być przekazywane do Działu Księgowo-Finansowego na bieżąco. Kontrolujący wskazuję, że takie sformułowanie terminu jest błędne, ponieważ powoduje dowolności interpretacyjne i nie zapewnia właściwego</w:t>
      </w:r>
      <w:r w:rsidRPr="008C1E51">
        <w:rPr>
          <w:rFonts w:cs="Times New Roman"/>
          <w:color w:val="000000" w:themeColor="text1"/>
          <w:szCs w:val="20"/>
        </w:rPr>
        <w:br/>
        <w:t>i terminowego obiegu dokumentów.</w:t>
      </w:r>
    </w:p>
    <w:p w14:paraId="6F3BD038" w14:textId="77777777" w:rsidR="008C1E51" w:rsidRPr="008C1E51" w:rsidRDefault="008C1E51" w:rsidP="008C1E51">
      <w:pPr>
        <w:spacing w:before="120" w:after="120" w:line="276" w:lineRule="auto"/>
        <w:ind w:left="720"/>
        <w:jc w:val="right"/>
        <w:rPr>
          <w:rFonts w:cs="Times New Roman"/>
          <w:color w:val="000000" w:themeColor="text1"/>
          <w:szCs w:val="20"/>
        </w:rPr>
      </w:pPr>
      <w:r w:rsidRPr="008C1E51">
        <w:rPr>
          <w:rFonts w:eastAsia="Times New Roman" w:cs="Times New Roman"/>
          <w:szCs w:val="20"/>
          <w:lang w:eastAsia="pl-PL"/>
        </w:rPr>
        <w:t>[Dowód: akta kontroli str. I/2851-3048]</w:t>
      </w:r>
    </w:p>
    <w:p w14:paraId="64AFE02A"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W drugim przypadku stwierdzono, że umowa sprzedaży drewna została sporządzona niezgodnie z decyzją Dyrektora Parku. Dyrektor na wniosek Kupującego wyraził zgodę by zaplata za surowiec nastąpiła w formie rat, natomiast w treści umowy zobowiązano Kupującego do zapłaty pełnej wysokości należności przed wydaniem drewna. </w:t>
      </w:r>
    </w:p>
    <w:p w14:paraId="4A3793C8"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Nieprawidłowością było również wydanie przez Leśniczego Kupującemu drewna w sytuacji, gdy Nabywca nie dokonał płatności w pełnej wysokości za zakupiony surowiec. Widząc rozbieżności pomiędzy treścią decyzji Dyrektora a zapisami umowy należało przed </w:t>
      </w:r>
      <w:r w:rsidRPr="008C1E51">
        <w:rPr>
          <w:rFonts w:cs="Times New Roman"/>
          <w:color w:val="000000" w:themeColor="text1"/>
          <w:szCs w:val="20"/>
        </w:rPr>
        <w:lastRenderedPageBreak/>
        <w:t xml:space="preserve">wydaniem drewna wyjaśnić rozbieżności, dokonać zmian w treści umowy i dopiero wtedy ewentualnie wydać drewno. </w:t>
      </w:r>
    </w:p>
    <w:p w14:paraId="512D4868"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Powyższe działanie było działaniem nierzetelnym i świadczącym o słabości kontroli zarządczej. </w:t>
      </w:r>
    </w:p>
    <w:p w14:paraId="513F9512" w14:textId="77777777" w:rsidR="008C1E51" w:rsidRPr="008C1E51" w:rsidRDefault="008C1E51" w:rsidP="008C1E51">
      <w:pPr>
        <w:spacing w:before="120" w:after="120" w:line="276" w:lineRule="auto"/>
        <w:ind w:left="720"/>
        <w:jc w:val="right"/>
        <w:rPr>
          <w:rFonts w:cs="Times New Roman"/>
          <w:color w:val="000000" w:themeColor="text1"/>
          <w:szCs w:val="20"/>
        </w:rPr>
      </w:pPr>
      <w:r w:rsidRPr="008C1E51">
        <w:rPr>
          <w:rFonts w:eastAsia="Times New Roman" w:cs="Times New Roman"/>
          <w:szCs w:val="20"/>
          <w:lang w:eastAsia="pl-PL"/>
        </w:rPr>
        <w:t>[Dowód: akta kontroli str. I/3162-3176]</w:t>
      </w:r>
    </w:p>
    <w:p w14:paraId="0F46C4D5" w14:textId="28074419" w:rsidR="008C1E51" w:rsidRPr="008C1E51" w:rsidRDefault="008C1E51" w:rsidP="008C1E51">
      <w:pPr>
        <w:spacing w:before="120" w:after="120" w:line="276" w:lineRule="auto"/>
        <w:rPr>
          <w:rFonts w:cs="Times New Roman"/>
          <w:szCs w:val="20"/>
        </w:rPr>
      </w:pPr>
      <w:r w:rsidRPr="008C1E51">
        <w:rPr>
          <w:rFonts w:cs="Times New Roman"/>
          <w:szCs w:val="20"/>
        </w:rPr>
        <w:t xml:space="preserve">W kwestii </w:t>
      </w:r>
      <w:r w:rsidR="00211832" w:rsidRPr="008C1E51">
        <w:rPr>
          <w:rFonts w:cs="Times New Roman"/>
          <w:szCs w:val="20"/>
        </w:rPr>
        <w:t>nieuwzględnienia</w:t>
      </w:r>
      <w:r w:rsidRPr="008C1E51">
        <w:rPr>
          <w:rFonts w:cs="Times New Roman"/>
          <w:szCs w:val="20"/>
        </w:rPr>
        <w:t xml:space="preserve"> w umowie możliwości płatności ratalnej Dyrektor Parku wyjaśnił</w:t>
      </w:r>
      <w:r w:rsidRPr="008C1E51">
        <w:rPr>
          <w:rFonts w:cs="Times New Roman"/>
          <w:vertAlign w:val="superscript"/>
        </w:rPr>
        <w:footnoteReference w:id="84"/>
      </w:r>
      <w:r w:rsidRPr="008C1E51">
        <w:rPr>
          <w:rFonts w:cs="Times New Roman"/>
          <w:szCs w:val="20"/>
        </w:rPr>
        <w:t>, że przy sporządzaniu umowy nie było informacji o zgodzie na rozłożenie płatności na raty.</w:t>
      </w:r>
    </w:p>
    <w:p w14:paraId="28F9EB6F" w14:textId="77777777" w:rsidR="008C1E51" w:rsidRPr="008C1E51" w:rsidRDefault="008C1E51" w:rsidP="008C1E51">
      <w:pPr>
        <w:spacing w:before="120" w:after="120" w:line="276" w:lineRule="auto"/>
        <w:jc w:val="right"/>
        <w:rPr>
          <w:rFonts w:cs="Times New Roman"/>
          <w:szCs w:val="20"/>
        </w:rPr>
      </w:pPr>
      <w:r w:rsidRPr="008C1E51">
        <w:rPr>
          <w:rFonts w:eastAsia="Times New Roman" w:cs="Times New Roman"/>
          <w:szCs w:val="20"/>
          <w:lang w:eastAsia="pl-PL"/>
        </w:rPr>
        <w:t>[Dowód: akta kontroli str. I/2601-2656]</w:t>
      </w:r>
    </w:p>
    <w:p w14:paraId="16C9C2D0" w14:textId="77777777" w:rsidR="008C1E51" w:rsidRPr="008C1E51" w:rsidRDefault="008C1E51" w:rsidP="008C1E51">
      <w:pPr>
        <w:spacing w:before="120" w:after="120" w:line="276" w:lineRule="auto"/>
        <w:rPr>
          <w:rFonts w:cs="Times New Roman"/>
          <w:szCs w:val="20"/>
        </w:rPr>
      </w:pPr>
      <w:r w:rsidRPr="008C1E51">
        <w:rPr>
          <w:rFonts w:cs="Times New Roman"/>
          <w:szCs w:val="20"/>
        </w:rPr>
        <w:t>Kontrolujący zwraca uwagę, że Dyrektor wyraził zgodę na rozłożenie płatności na raty 6 grudnia 2021 r., natomiast umowa została podpisana przez Dyrektora 21 grudnia 2021 r., zatem po wyrażeniu zgody na rozłożenie płatności w ratach. Niezrozumiałym jest zatem twierdzenie Dyrektora, że przy sporządzaniu umowy nie było informacji o zgodzie na rozłożenie płatności na raty.</w:t>
      </w:r>
    </w:p>
    <w:p w14:paraId="554375F6" w14:textId="77777777" w:rsidR="008C1E51" w:rsidRPr="008C1E51" w:rsidRDefault="008C1E51" w:rsidP="008C1E51">
      <w:pPr>
        <w:spacing w:before="120" w:after="120" w:line="276" w:lineRule="auto"/>
        <w:rPr>
          <w:rFonts w:cs="Times New Roman"/>
          <w:szCs w:val="20"/>
        </w:rPr>
      </w:pPr>
      <w:r w:rsidRPr="008C1E51">
        <w:rPr>
          <w:rFonts w:cs="Times New Roman"/>
          <w:szCs w:val="20"/>
        </w:rPr>
        <w:t>W kwestii wydania drewna bez uiszczenia przedpłaty Dyrektor Parku wyjaśnił</w:t>
      </w:r>
      <w:r w:rsidRPr="008C1E51">
        <w:rPr>
          <w:rFonts w:cs="Times New Roman"/>
          <w:vertAlign w:val="superscript"/>
        </w:rPr>
        <w:footnoteReference w:id="85"/>
      </w:r>
      <w:r w:rsidRPr="008C1E51">
        <w:rPr>
          <w:rFonts w:cs="Times New Roman"/>
          <w:szCs w:val="20"/>
        </w:rPr>
        <w:t>,</w:t>
      </w:r>
      <w:r w:rsidRPr="008C1E51">
        <w:rPr>
          <w:rFonts w:cs="Times New Roman"/>
          <w:szCs w:val="20"/>
        </w:rPr>
        <w:br/>
        <w:t>że Kupujący pokazał Leśniczemu zgodę na rozłożenie płatności na raty.</w:t>
      </w:r>
    </w:p>
    <w:p w14:paraId="18113463" w14:textId="77777777" w:rsidR="008C1E51" w:rsidRPr="008C1E51" w:rsidRDefault="008C1E51" w:rsidP="008C1E51">
      <w:pPr>
        <w:spacing w:before="120" w:after="120" w:line="276" w:lineRule="auto"/>
        <w:jc w:val="right"/>
        <w:rPr>
          <w:rFonts w:cs="Times New Roman"/>
          <w:szCs w:val="20"/>
        </w:rPr>
      </w:pPr>
      <w:r w:rsidRPr="008C1E51">
        <w:rPr>
          <w:rFonts w:eastAsia="Times New Roman" w:cs="Times New Roman"/>
          <w:szCs w:val="20"/>
          <w:lang w:eastAsia="pl-PL"/>
        </w:rPr>
        <w:t>[Dowód: akta kontroli str. I/2601-2656]</w:t>
      </w:r>
    </w:p>
    <w:p w14:paraId="67138185" w14:textId="77777777" w:rsidR="008C1E51" w:rsidRPr="008C1E51" w:rsidRDefault="008C1E51" w:rsidP="008C1E51">
      <w:pPr>
        <w:spacing w:before="120" w:after="120" w:line="276" w:lineRule="auto"/>
        <w:rPr>
          <w:rFonts w:cs="Times New Roman"/>
          <w:szCs w:val="20"/>
        </w:rPr>
      </w:pPr>
      <w:r w:rsidRPr="008C1E51">
        <w:rPr>
          <w:rFonts w:cs="Times New Roman"/>
          <w:szCs w:val="20"/>
        </w:rPr>
        <w:t>Dodatkowo Główna Księgowa poinformowała</w:t>
      </w:r>
      <w:r w:rsidRPr="008C1E51">
        <w:rPr>
          <w:rFonts w:cs="Times New Roman"/>
          <w:szCs w:val="20"/>
          <w:vertAlign w:val="superscript"/>
        </w:rPr>
        <w:footnoteReference w:id="86"/>
      </w:r>
      <w:r w:rsidRPr="008C1E51">
        <w:rPr>
          <w:rFonts w:cs="Times New Roman"/>
          <w:szCs w:val="20"/>
        </w:rPr>
        <w:t>, że pismo ze zgodą Dyrektora Parku było</w:t>
      </w:r>
      <w:r w:rsidRPr="008C1E51">
        <w:rPr>
          <w:rFonts w:cs="Times New Roman"/>
          <w:szCs w:val="20"/>
        </w:rPr>
        <w:br/>
        <w:t>w Dziale Finansowo-Księgowym, niemniej nie widziała jej jak trafiła do Parku. Terminy płatności według zgody udzielonej przez Dyrektora Parku były ustalone na 15 dnia każdego miesiąca. W umowie były inne zapisy – nie przewidywały rat, czego przyczyną był brak komunikacji pomiędzy Dyrektorem a działem sporządzającym umowę. Utrudniona jest komunikacja pomiędzy działami w Parku ze względu na to, że Park jest w kilku siedzibach, jest utrudniona komunikacja z leśniczymi, do których nie raz nie ma zasięgu.</w:t>
      </w:r>
    </w:p>
    <w:p w14:paraId="725CB70F"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[Dowód: akta kontroli str. I</w:t>
      </w:r>
      <w:r w:rsidRPr="008C1E51">
        <w:t xml:space="preserve"> </w:t>
      </w:r>
      <w:r w:rsidRPr="008C1E51">
        <w:rPr>
          <w:rFonts w:eastAsia="Times New Roman" w:cs="Times New Roman"/>
          <w:szCs w:val="20"/>
          <w:lang w:eastAsia="pl-PL"/>
        </w:rPr>
        <w:t>I/2737-2740]</w:t>
      </w:r>
    </w:p>
    <w:p w14:paraId="69E7C24B" w14:textId="3E57E0A4" w:rsidR="008C1E51" w:rsidRPr="008C1E51" w:rsidRDefault="008C1E51" w:rsidP="008C1E51">
      <w:pPr>
        <w:spacing w:before="120" w:after="120" w:line="276" w:lineRule="auto"/>
        <w:rPr>
          <w:rFonts w:cs="Times New Roman"/>
          <w:szCs w:val="20"/>
        </w:rPr>
      </w:pPr>
      <w:r w:rsidRPr="008C1E51">
        <w:rPr>
          <w:rFonts w:eastAsia="Times New Roman" w:cs="Times New Roman"/>
          <w:szCs w:val="20"/>
          <w:lang w:eastAsia="pl-PL"/>
        </w:rPr>
        <w:t xml:space="preserve">Kontrolujący zwraca uwagę, że to Dział Finansowo-Księgowy posiadał oryginał dokumentu, w którym była notatka ze zgodą na dokonanie płatności w ratach i to na tej komórce spoczywał obowiązek upewnienia się, czy komórka odpowiedzialna za przygotowanie umowy posiada taką informację. W ocenie kontrolującego </w:t>
      </w:r>
      <w:r w:rsidRPr="008C1E51">
        <w:rPr>
          <w:rFonts w:cs="Times New Roman"/>
          <w:szCs w:val="20"/>
        </w:rPr>
        <w:t xml:space="preserve">powyższe wskazuje na brak komunikacji pomiędzy Działem Finansowym a komórką sporządzającą umowę sprzedaży </w:t>
      </w:r>
      <w:r w:rsidR="00211832" w:rsidRPr="008C1E51">
        <w:rPr>
          <w:rFonts w:cs="Times New Roman"/>
          <w:szCs w:val="20"/>
        </w:rPr>
        <w:t>drewna, tym</w:t>
      </w:r>
      <w:r w:rsidRPr="008C1E51">
        <w:rPr>
          <w:rFonts w:cs="Times New Roman"/>
          <w:szCs w:val="20"/>
        </w:rPr>
        <w:t xml:space="preserve"> samym brak zachowania standardów kontroli zarządczej</w:t>
      </w:r>
      <w:r w:rsidR="004D4B63">
        <w:rPr>
          <w:rFonts w:cs="Times New Roman"/>
          <w:szCs w:val="20"/>
        </w:rPr>
        <w:t xml:space="preserve"> </w:t>
      </w:r>
      <w:r w:rsidRPr="008C1E51">
        <w:rPr>
          <w:rFonts w:cs="Times New Roman"/>
          <w:szCs w:val="20"/>
        </w:rPr>
        <w:t xml:space="preserve">w zakresie informacji i komunikacji. </w:t>
      </w:r>
    </w:p>
    <w:p w14:paraId="7B159D38" w14:textId="77777777" w:rsidR="008C1E51" w:rsidRPr="008C1E51" w:rsidRDefault="008C1E51" w:rsidP="008C1E51">
      <w:pPr>
        <w:spacing w:before="120" w:after="120" w:line="276" w:lineRule="auto"/>
        <w:rPr>
          <w:rFonts w:cs="Times New Roman"/>
          <w:szCs w:val="20"/>
        </w:rPr>
      </w:pPr>
      <w:r w:rsidRPr="008C1E51">
        <w:rPr>
          <w:rFonts w:cs="Times New Roman"/>
          <w:szCs w:val="20"/>
        </w:rPr>
        <w:t>Kupujący miał także zawartą umowę na świadczenie usług na rzecz Parku. Dyrektor Parku początkowo poinformował</w:t>
      </w:r>
      <w:r w:rsidRPr="008C1E51">
        <w:rPr>
          <w:rFonts w:cs="Times New Roman"/>
          <w:vertAlign w:val="superscript"/>
        </w:rPr>
        <w:footnoteReference w:id="87"/>
      </w:r>
      <w:r w:rsidRPr="008C1E51">
        <w:rPr>
          <w:rFonts w:cs="Times New Roman"/>
          <w:szCs w:val="20"/>
        </w:rPr>
        <w:t xml:space="preserve">, że zabezpieczeniem jego długu miały być jego należności </w:t>
      </w:r>
      <w:r w:rsidRPr="008C1E51">
        <w:rPr>
          <w:rFonts w:cs="Times New Roman"/>
          <w:szCs w:val="20"/>
        </w:rPr>
        <w:br/>
        <w:t>z tytułu świadczonych usług. Niemniej umowa na świadczenie usług zakończyła się z końcem kwietnia 2022 r., a kupujący przestał płacić w lipcu 2022 r.</w:t>
      </w:r>
    </w:p>
    <w:p w14:paraId="073D75B8" w14:textId="77777777" w:rsidR="008C1E51" w:rsidRPr="008C1E51" w:rsidRDefault="008C1E51" w:rsidP="008C1E51">
      <w:pPr>
        <w:spacing w:before="120" w:after="120" w:line="276" w:lineRule="auto"/>
        <w:jc w:val="right"/>
        <w:rPr>
          <w:rFonts w:cs="Times New Roman"/>
          <w:szCs w:val="20"/>
        </w:rPr>
      </w:pPr>
      <w:r w:rsidRPr="008C1E51">
        <w:rPr>
          <w:rFonts w:eastAsia="Times New Roman" w:cs="Times New Roman"/>
          <w:szCs w:val="20"/>
          <w:lang w:eastAsia="pl-PL"/>
        </w:rPr>
        <w:lastRenderedPageBreak/>
        <w:t>[Dowód: akta kontroli str. I/2578-2592]</w:t>
      </w:r>
    </w:p>
    <w:p w14:paraId="5BD9B76F" w14:textId="77777777" w:rsidR="008C1E51" w:rsidRPr="008C1E51" w:rsidRDefault="008C1E51" w:rsidP="008C1E51">
      <w:pPr>
        <w:numPr>
          <w:ilvl w:val="0"/>
          <w:numId w:val="22"/>
        </w:numPr>
        <w:spacing w:before="120" w:after="120" w:line="276" w:lineRule="auto"/>
        <w:ind w:left="714" w:hanging="357"/>
        <w:rPr>
          <w:rFonts w:cs="Times New Roman"/>
          <w:color w:val="000000" w:themeColor="text1"/>
          <w:szCs w:val="20"/>
        </w:rPr>
      </w:pPr>
      <w:r w:rsidRPr="008C1E51">
        <w:rPr>
          <w:rFonts w:cs="Times New Roman"/>
          <w:color w:val="000000" w:themeColor="text1"/>
          <w:szCs w:val="20"/>
        </w:rPr>
        <w:t>Nieprawidłowe naliczenie odsetek od nieterminowej zapłaty w przypadku jednego dłużnika i jednej należności. Kupujący otrzymał zgodę Dyrektora Parku na rozłożenie płatności za drewno na raty, niemniej Dyrektor zawarł umowę z datą późniejszą niż wydana przez niego zgoda, która zawierała zapis, że drewno może być wydane po uiszczeniu przedpłaty. Kupujący po pobraniu drewna regularnie spłacał część rat, natomiast później nie wniósł kolejnych opłat. Odsetki Park naliczył jedynie od niezapłaconych rat, a za termin wymagalności uznano kolejny dzień po dniu na zapłatę kolejnej raty. Odsetki powinny zostać naliczone od dnia upływu wymagalności wystawionej faktury za drewno.</w:t>
      </w:r>
    </w:p>
    <w:p w14:paraId="4A5F01E1" w14:textId="77777777" w:rsidR="008C1E51" w:rsidRPr="008C1E51" w:rsidRDefault="008C1E51" w:rsidP="008C1E51">
      <w:pPr>
        <w:spacing w:before="120" w:after="120" w:line="276" w:lineRule="auto"/>
        <w:ind w:left="720"/>
        <w:jc w:val="right"/>
        <w:rPr>
          <w:rFonts w:cs="Times New Roman"/>
          <w:color w:val="000000" w:themeColor="text1"/>
          <w:szCs w:val="20"/>
        </w:rPr>
      </w:pPr>
      <w:r w:rsidRPr="008C1E51">
        <w:rPr>
          <w:rFonts w:eastAsia="Times New Roman" w:cs="Times New Roman"/>
          <w:szCs w:val="20"/>
          <w:lang w:eastAsia="pl-PL"/>
        </w:rPr>
        <w:t>[Dowód: akta kontroli str. I/3162-3176]</w:t>
      </w:r>
    </w:p>
    <w:p w14:paraId="39D7E570" w14:textId="46708DD2" w:rsidR="008C1E51" w:rsidRPr="008C1E51" w:rsidRDefault="008C1E51" w:rsidP="008C1E51">
      <w:pPr>
        <w:spacing w:before="120" w:after="120" w:line="276" w:lineRule="auto"/>
        <w:rPr>
          <w:rFonts w:cs="Times New Roman"/>
          <w:szCs w:val="20"/>
        </w:rPr>
      </w:pPr>
      <w:r w:rsidRPr="008C1E51">
        <w:rPr>
          <w:rFonts w:cs="Times New Roman"/>
          <w:szCs w:val="20"/>
        </w:rPr>
        <w:t xml:space="preserve">W sprawie </w:t>
      </w:r>
      <w:r w:rsidR="00211832" w:rsidRPr="008C1E51">
        <w:rPr>
          <w:rFonts w:cs="Times New Roman"/>
          <w:szCs w:val="20"/>
        </w:rPr>
        <w:t>nienaliczenia</w:t>
      </w:r>
      <w:r w:rsidRPr="008C1E51">
        <w:rPr>
          <w:rFonts w:cs="Times New Roman"/>
          <w:szCs w:val="20"/>
        </w:rPr>
        <w:t xml:space="preserve"> odsetek od upływu terminu wymagalności określonego </w:t>
      </w:r>
      <w:r w:rsidRPr="008C1E51">
        <w:rPr>
          <w:rFonts w:cs="Times New Roman"/>
          <w:szCs w:val="20"/>
        </w:rPr>
        <w:br/>
        <w:t>w wystawionej przez Leśniczego fakturze, Dyrektor Parku oraz Główna Księgowa wyjaśnili</w:t>
      </w:r>
      <w:r w:rsidRPr="008C1E51">
        <w:rPr>
          <w:rFonts w:cs="Times New Roman"/>
          <w:vertAlign w:val="superscript"/>
        </w:rPr>
        <w:footnoteReference w:id="88"/>
      </w:r>
      <w:r w:rsidRPr="008C1E51">
        <w:rPr>
          <w:rFonts w:cs="Times New Roman"/>
          <w:szCs w:val="20"/>
        </w:rPr>
        <w:t>, że Kupujący posiadał zgodę Dyrektora Parku na płatność w ratach, zatem został zmieniony termin zapłaty z 23 stycznia 2022 r. na terminu kolejnych rat. Należność nie była przeterminowana i dopóki były terminowo płacone raty nie występowało zadłużenie</w:t>
      </w:r>
      <w:r w:rsidRPr="008C1E51">
        <w:rPr>
          <w:rFonts w:cs="Times New Roman"/>
          <w:szCs w:val="20"/>
        </w:rPr>
        <w:br/>
        <w:t>i konieczność naliczenia odsetek od nieterminowych wpłat.</w:t>
      </w:r>
    </w:p>
    <w:p w14:paraId="2A89C538" w14:textId="77777777" w:rsidR="008C1E51" w:rsidRPr="008C1E51" w:rsidRDefault="008C1E51" w:rsidP="008C1E51">
      <w:pPr>
        <w:spacing w:before="120" w:after="120" w:line="276" w:lineRule="auto"/>
        <w:jc w:val="right"/>
        <w:rPr>
          <w:rFonts w:cs="Times New Roman"/>
          <w:szCs w:val="20"/>
        </w:rPr>
      </w:pPr>
      <w:r w:rsidRPr="008C1E51">
        <w:rPr>
          <w:rFonts w:eastAsia="Times New Roman" w:cs="Times New Roman"/>
          <w:szCs w:val="20"/>
          <w:lang w:eastAsia="pl-PL"/>
        </w:rPr>
        <w:t>[Dowód: akta kontroli str. I/2601-2656, I/2660-2661]</w:t>
      </w:r>
    </w:p>
    <w:p w14:paraId="025FAC6C" w14:textId="77777777" w:rsidR="008C1E51" w:rsidRPr="008C1E51" w:rsidRDefault="008C1E51" w:rsidP="008C1E51">
      <w:pPr>
        <w:numPr>
          <w:ilvl w:val="0"/>
          <w:numId w:val="22"/>
        </w:numPr>
        <w:spacing w:before="120" w:after="120" w:line="276" w:lineRule="auto"/>
        <w:ind w:left="714" w:hanging="357"/>
        <w:rPr>
          <w:rFonts w:cs="Times New Roman"/>
          <w:szCs w:val="20"/>
        </w:rPr>
      </w:pPr>
      <w:r w:rsidRPr="008C1E51">
        <w:rPr>
          <w:rFonts w:cs="Times New Roman"/>
          <w:szCs w:val="20"/>
        </w:rPr>
        <w:t xml:space="preserve">Wystawiane przez Leśniczych faktury miały różne okresy płatności (od 7 do 30 dni). </w:t>
      </w:r>
    </w:p>
    <w:p w14:paraId="2B664BC1" w14:textId="77777777" w:rsidR="008C1E51" w:rsidRPr="008C1E51" w:rsidRDefault="008C1E51" w:rsidP="008C1E51">
      <w:pPr>
        <w:spacing w:before="120" w:after="120" w:line="276" w:lineRule="auto"/>
        <w:ind w:left="720"/>
        <w:jc w:val="right"/>
        <w:rPr>
          <w:rFonts w:cs="Times New Roman"/>
          <w:szCs w:val="20"/>
        </w:rPr>
      </w:pPr>
      <w:r w:rsidRPr="008C1E51">
        <w:rPr>
          <w:rFonts w:eastAsia="Times New Roman" w:cs="Times New Roman"/>
          <w:szCs w:val="20"/>
          <w:lang w:eastAsia="pl-PL"/>
        </w:rPr>
        <w:t>[Dowód: akta kontroli str. I/2851-3048]</w:t>
      </w:r>
    </w:p>
    <w:p w14:paraId="0E74FE84" w14:textId="7AAC6A5C" w:rsidR="008C1E51" w:rsidRPr="008C1E51" w:rsidRDefault="00211832" w:rsidP="008C1E51">
      <w:pPr>
        <w:spacing w:before="120" w:after="120" w:line="276" w:lineRule="auto"/>
        <w:rPr>
          <w:rFonts w:cs="Times New Roman"/>
          <w:szCs w:val="20"/>
        </w:rPr>
      </w:pPr>
      <w:r w:rsidRPr="008C1E51">
        <w:rPr>
          <w:rFonts w:cs="Times New Roman"/>
          <w:szCs w:val="20"/>
        </w:rPr>
        <w:t>Odnośnie do</w:t>
      </w:r>
      <w:r w:rsidR="008C1E51" w:rsidRPr="008C1E51">
        <w:rPr>
          <w:rFonts w:cs="Times New Roman"/>
          <w:szCs w:val="20"/>
        </w:rPr>
        <w:t xml:space="preserve"> różnych okresów płatności jeden z Leśniczych</w:t>
      </w:r>
      <w:r w:rsidR="008C1E51" w:rsidRPr="008C1E51">
        <w:rPr>
          <w:rFonts w:cs="Times New Roman"/>
          <w:vertAlign w:val="superscript"/>
        </w:rPr>
        <w:footnoteReference w:id="89"/>
      </w:r>
      <w:r w:rsidR="008C1E51" w:rsidRPr="008C1E51">
        <w:rPr>
          <w:rFonts w:cs="Times New Roman"/>
          <w:szCs w:val="20"/>
        </w:rPr>
        <w:t xml:space="preserve"> wystawiający faktury wyjaśnił, że starał się, aby okresy płatności były przeważnie na koniec miesiąca. Stali odbiorcy mieli dłuższe okresy płatności tj. około 21-28 dniowe. Drugi z leśniczych poinformował</w:t>
      </w:r>
      <w:r w:rsidR="008C1E51" w:rsidRPr="008C1E51">
        <w:rPr>
          <w:rFonts w:cs="Times New Roman"/>
          <w:szCs w:val="20"/>
          <w:vertAlign w:val="superscript"/>
        </w:rPr>
        <w:footnoteReference w:id="90"/>
      </w:r>
      <w:r w:rsidR="008C1E51" w:rsidRPr="008C1E51">
        <w:rPr>
          <w:rFonts w:cs="Times New Roman"/>
          <w:szCs w:val="20"/>
        </w:rPr>
        <w:t xml:space="preserve">, że starał się wystawiać faktury z okresem płatności 30 dniowym od wydania drewna. Taki termin według leśniczego był wyznaczony w innych umowach na sprzedaż drewna, dlatego takie terminy przyjął. </w:t>
      </w:r>
    </w:p>
    <w:p w14:paraId="3954B870" w14:textId="77777777" w:rsidR="008C1E51" w:rsidRPr="008C1E51" w:rsidRDefault="008C1E51" w:rsidP="008C1E51">
      <w:pPr>
        <w:spacing w:before="120" w:after="120" w:line="276" w:lineRule="auto"/>
        <w:ind w:left="720"/>
        <w:jc w:val="right"/>
        <w:rPr>
          <w:rFonts w:eastAsia="Times New Roman" w:cs="Times New Roman"/>
          <w:szCs w:val="20"/>
          <w:lang w:eastAsia="pl-PL"/>
        </w:rPr>
      </w:pPr>
      <w:r w:rsidRPr="008C1E51">
        <w:rPr>
          <w:rFonts w:eastAsia="Times New Roman" w:cs="Times New Roman"/>
          <w:szCs w:val="20"/>
          <w:lang w:eastAsia="pl-PL"/>
        </w:rPr>
        <w:t>[Dowód: akta kontroli str. I/2741-2748]</w:t>
      </w:r>
    </w:p>
    <w:p w14:paraId="02347A28" w14:textId="77777777" w:rsidR="008C1E51" w:rsidRPr="008C1E51" w:rsidRDefault="008C1E51" w:rsidP="008C1E51">
      <w:pPr>
        <w:spacing w:before="120" w:after="120" w:line="276" w:lineRule="auto"/>
        <w:rPr>
          <w:rFonts w:cs="Times New Roman"/>
          <w:szCs w:val="20"/>
        </w:rPr>
      </w:pPr>
      <w:r w:rsidRPr="008C1E51">
        <w:rPr>
          <w:rFonts w:cs="Times New Roman"/>
          <w:szCs w:val="20"/>
        </w:rPr>
        <w:t>Dyrektor Parku w odniesieniu do różnych terminów płatności określonych w fakturach wyjaśnił</w:t>
      </w:r>
      <w:r w:rsidRPr="008C1E51">
        <w:rPr>
          <w:rFonts w:cs="Times New Roman"/>
          <w:vertAlign w:val="superscript"/>
        </w:rPr>
        <w:footnoteReference w:id="91"/>
      </w:r>
      <w:r w:rsidRPr="008C1E51">
        <w:rPr>
          <w:rFonts w:cs="Times New Roman"/>
          <w:szCs w:val="20"/>
        </w:rPr>
        <w:t>, że faktury były wystawiane przez Leśniczych, którzy nie znaleźli w umowie terminu zapłaty i nie wiedzieli jakie terminy należy wpisać na fakturach. Poinformował także, że terminy płatności przy sprzedaży drewna były określone w umowach z odbiorcami, ale od jakiegoś czasu w umowach zabrakło terminu zapłaty, także w zarządzeniach były ogólne zapisy o przedpłatach i zapłacie po wystawieniu faktur, a przed wydaniem drewna w terminie 14 dni. Zdaniem Dyrektora Parku jest to niedopatrzenie, które zostanie naprawione.</w:t>
      </w:r>
      <w:r w:rsidRPr="008C1E51">
        <w:rPr>
          <w:rFonts w:cs="Times New Roman"/>
          <w:szCs w:val="20"/>
        </w:rPr>
        <w:br/>
        <w:t>W ocenie Kontrolującego świadczy to nieznajomości przez pracowników procedur obowiązujących w Parku, braku właściwego nadzoru i jasnych procedur a tym samym powyższe świadczy o nieprzestrzeganiu standardów kontroli zarządczej.</w:t>
      </w:r>
      <w:r w:rsidRPr="008C1E51" w:rsidDel="00D25925">
        <w:rPr>
          <w:rFonts w:cs="Times New Roman"/>
          <w:szCs w:val="20"/>
        </w:rPr>
        <w:t xml:space="preserve"> </w:t>
      </w:r>
    </w:p>
    <w:p w14:paraId="323EFF5D" w14:textId="77777777" w:rsidR="008C1E51" w:rsidRPr="008C1E51" w:rsidRDefault="008C1E51" w:rsidP="008C1E51">
      <w:pPr>
        <w:spacing w:before="120" w:after="120" w:line="276" w:lineRule="auto"/>
        <w:jc w:val="right"/>
        <w:rPr>
          <w:rFonts w:cs="Times New Roman"/>
          <w:szCs w:val="20"/>
        </w:rPr>
      </w:pPr>
      <w:r w:rsidRPr="008C1E51">
        <w:rPr>
          <w:rFonts w:eastAsia="Times New Roman" w:cs="Times New Roman"/>
          <w:szCs w:val="20"/>
          <w:lang w:eastAsia="pl-PL"/>
        </w:rPr>
        <w:lastRenderedPageBreak/>
        <w:t>[Dowód: akta kontroli str. I/2578-2592]</w:t>
      </w:r>
    </w:p>
    <w:p w14:paraId="35D75A6B" w14:textId="77777777" w:rsidR="008C1E51" w:rsidRPr="008C1E51" w:rsidRDefault="008C1E51" w:rsidP="008C1E51">
      <w:pPr>
        <w:numPr>
          <w:ilvl w:val="0"/>
          <w:numId w:val="22"/>
        </w:numPr>
        <w:spacing w:before="120" w:after="120" w:line="276" w:lineRule="auto"/>
        <w:rPr>
          <w:rFonts w:cs="Times New Roman"/>
          <w:color w:val="000000" w:themeColor="text1"/>
          <w:szCs w:val="20"/>
        </w:rPr>
      </w:pPr>
      <w:r w:rsidRPr="008C1E51">
        <w:rPr>
          <w:rFonts w:cs="Times New Roman"/>
          <w:color w:val="000000" w:themeColor="text1"/>
          <w:szCs w:val="20"/>
        </w:rPr>
        <w:t>Wystawienie jednej faktury za sprzedaż drewna z 2 miesięcznym opóźnieniem</w:t>
      </w:r>
      <w:r w:rsidRPr="008C1E51">
        <w:rPr>
          <w:rFonts w:cs="Times New Roman"/>
          <w:color w:val="000000" w:themeColor="text1"/>
          <w:szCs w:val="20"/>
          <w:vertAlign w:val="superscript"/>
        </w:rPr>
        <w:footnoteReference w:id="92"/>
      </w:r>
      <w:r w:rsidRPr="008C1E51">
        <w:rPr>
          <w:rFonts w:cs="Times New Roman"/>
          <w:color w:val="000000" w:themeColor="text1"/>
          <w:szCs w:val="20"/>
        </w:rPr>
        <w:t xml:space="preserve"> oraz z terminem płatności określonym na miesiąc przed jej wystawieniem, czego skutkiem było naliczenie odsetek na nieprawidłową kwotę, tj. </w:t>
      </w:r>
      <w:r w:rsidRPr="008C1E51">
        <w:rPr>
          <w:rFonts w:cs="Times New Roman"/>
          <w:szCs w:val="20"/>
        </w:rPr>
        <w:t>na kwotę 9,29 zł, zamiast na kwotę 24,48 zł.</w:t>
      </w:r>
    </w:p>
    <w:p w14:paraId="21B49E3A" w14:textId="77777777" w:rsidR="008C1E51" w:rsidRPr="008C1E51" w:rsidRDefault="008C1E51" w:rsidP="008C1E51">
      <w:pPr>
        <w:spacing w:before="120" w:after="120" w:line="276" w:lineRule="auto"/>
        <w:ind w:left="360"/>
        <w:jc w:val="right"/>
        <w:rPr>
          <w:rFonts w:cs="Times New Roman"/>
          <w:color w:val="000000" w:themeColor="text1"/>
          <w:szCs w:val="20"/>
        </w:rPr>
      </w:pPr>
      <w:r w:rsidRPr="008C1E51">
        <w:rPr>
          <w:rFonts w:eastAsia="Times New Roman" w:cs="Times New Roman"/>
          <w:szCs w:val="20"/>
          <w:lang w:eastAsia="pl-PL"/>
        </w:rPr>
        <w:t>[Dowód: akta kontroli str. I/2851-3048]</w:t>
      </w:r>
    </w:p>
    <w:p w14:paraId="2926EB5E" w14:textId="77777777" w:rsidR="008C1E51" w:rsidRPr="008C1E51" w:rsidRDefault="008C1E51" w:rsidP="008C1E51">
      <w:pPr>
        <w:spacing w:before="120" w:after="120" w:line="276" w:lineRule="auto"/>
        <w:rPr>
          <w:rFonts w:cs="Times New Roman"/>
          <w:szCs w:val="20"/>
        </w:rPr>
      </w:pPr>
      <w:r w:rsidRPr="008C1E51">
        <w:rPr>
          <w:rFonts w:cs="Times New Roman"/>
          <w:szCs w:val="20"/>
        </w:rPr>
        <w:t>W tej sprawie Dyrektor Parku wyjaśnił</w:t>
      </w:r>
      <w:r w:rsidRPr="008C1E51">
        <w:rPr>
          <w:rFonts w:cs="Times New Roman"/>
          <w:szCs w:val="20"/>
          <w:vertAlign w:val="superscript"/>
        </w:rPr>
        <w:footnoteReference w:id="93"/>
      </w:r>
      <w:r w:rsidRPr="008C1E51">
        <w:rPr>
          <w:rFonts w:cs="Times New Roman"/>
          <w:szCs w:val="20"/>
        </w:rPr>
        <w:t>, że faktura ta dotyczyła obciążenia za pobrane,</w:t>
      </w:r>
      <w:r w:rsidRPr="008C1E51">
        <w:rPr>
          <w:rFonts w:cs="Times New Roman"/>
          <w:szCs w:val="20"/>
        </w:rPr>
        <w:br/>
        <w:t>a niezafakturowane drewno. Dopiero w październiku 2021 r., został zauważony błąd,</w:t>
      </w:r>
      <w:r w:rsidRPr="008C1E51">
        <w:rPr>
          <w:rFonts w:cs="Times New Roman"/>
          <w:szCs w:val="20"/>
        </w:rPr>
        <w:br/>
        <w:t>a umowa kończyła się we wrześniu, więc termin zapłaty wpisano wcześniejszy. Natomiast Główna Księgowa wyjaśniła</w:t>
      </w:r>
      <w:r w:rsidRPr="008C1E51">
        <w:rPr>
          <w:rFonts w:cs="Times New Roman"/>
          <w:szCs w:val="20"/>
          <w:vertAlign w:val="superscript"/>
        </w:rPr>
        <w:footnoteReference w:id="94"/>
      </w:r>
      <w:r w:rsidRPr="008C1E51">
        <w:rPr>
          <w:rFonts w:cs="Times New Roman"/>
          <w:szCs w:val="20"/>
        </w:rPr>
        <w:t>, że odsetki naliczono omyłkowo za okres od 25 listopada do 31 grudnia 2021 r. na kwotę 9,29 zł, a powinny być naliczone od 15 września 2021 r. na kwotę 24,48 zł.</w:t>
      </w:r>
    </w:p>
    <w:p w14:paraId="552035E3" w14:textId="77777777" w:rsidR="008C1E51" w:rsidRPr="008C1E51" w:rsidRDefault="008C1E51" w:rsidP="008C1E51">
      <w:pPr>
        <w:spacing w:before="120" w:after="120" w:line="276" w:lineRule="auto"/>
        <w:jc w:val="right"/>
        <w:rPr>
          <w:rFonts w:cs="Times New Roman"/>
          <w:szCs w:val="20"/>
        </w:rPr>
      </w:pPr>
      <w:r w:rsidRPr="008C1E51">
        <w:rPr>
          <w:rFonts w:eastAsia="Times New Roman" w:cs="Times New Roman"/>
          <w:szCs w:val="20"/>
          <w:lang w:eastAsia="pl-PL"/>
        </w:rPr>
        <w:t>[Dowód: akta kontroli str. I/2601-2656, I/2660-2661]</w:t>
      </w:r>
    </w:p>
    <w:p w14:paraId="4FC01CE8" w14:textId="77777777" w:rsidR="008C1E51" w:rsidRPr="008C1E51" w:rsidRDefault="008C1E51" w:rsidP="008C1E51">
      <w:pPr>
        <w:numPr>
          <w:ilvl w:val="0"/>
          <w:numId w:val="22"/>
        </w:numPr>
        <w:spacing w:before="120" w:after="120" w:line="276" w:lineRule="auto"/>
        <w:rPr>
          <w:rFonts w:cs="Times New Roman"/>
          <w:szCs w:val="20"/>
        </w:rPr>
      </w:pPr>
      <w:r w:rsidRPr="008C1E51">
        <w:rPr>
          <w:rFonts w:cs="Times New Roman"/>
          <w:color w:val="000000" w:themeColor="text1"/>
          <w:szCs w:val="20"/>
        </w:rPr>
        <w:t>Stwierdzono także że Park będący wierzycielem w sposób nienależyty realizował zadania związane z dochodzeniem należności.</w:t>
      </w:r>
    </w:p>
    <w:p w14:paraId="1821C926" w14:textId="77777777" w:rsidR="008C1E51" w:rsidRPr="008C1E51" w:rsidRDefault="008C1E51" w:rsidP="008C1E51">
      <w:pPr>
        <w:spacing w:before="120" w:after="120" w:line="276" w:lineRule="auto"/>
        <w:rPr>
          <w:rFonts w:cs="Times New Roman"/>
          <w:szCs w:val="20"/>
        </w:rPr>
      </w:pPr>
      <w:r w:rsidRPr="008C1E51">
        <w:rPr>
          <w:rFonts w:cs="Times New Roman"/>
          <w:color w:val="000000" w:themeColor="text1"/>
          <w:szCs w:val="20"/>
        </w:rPr>
        <w:t>Ustalono, że Park nie korzystał z przysługujących mu uprawnień wynikających z art. 109 ustawy o księgach wieczystych i hipotece. Park mimo wiedzy o posiadaniu przez jednego</w:t>
      </w:r>
      <w:r w:rsidRPr="008C1E51">
        <w:rPr>
          <w:rFonts w:cs="Times New Roman"/>
          <w:color w:val="000000" w:themeColor="text1"/>
          <w:szCs w:val="20"/>
        </w:rPr>
        <w:br/>
        <w:t>z dłużników nieruchomości nie wszczął czynności zmierzających do ustanowienia hipoteki przymusowej. W żadnej ze zbadanych spraw nie stwierdzono również, by Park korzystał</w:t>
      </w:r>
      <w:r w:rsidRPr="008C1E51">
        <w:rPr>
          <w:rFonts w:cs="Times New Roman"/>
          <w:color w:val="000000" w:themeColor="text1"/>
          <w:szCs w:val="20"/>
        </w:rPr>
        <w:br/>
        <w:t>z możliwości wynikającej z treści art. 913 KPC lub art. 299 § 1 ustawy Kodeks spółek handlowych. W przypadku śmierci jednego z dłużników Park nie dokonał analizy, czy z</w:t>
      </w:r>
      <w:r w:rsidRPr="008C1E51">
        <w:rPr>
          <w:rFonts w:cs="Times New Roman"/>
          <w:szCs w:val="20"/>
        </w:rPr>
        <w:t xml:space="preserve">godnie z art. 56 ust. 1 ustawy z dnia 27 sierpnia 2009 r. należność mogła być umorzona z urzędu jeśli osoba fizyczna - zmarła, nie pozostawiając żadnego majątku albo pozostawiła majątek niepodlegający egzekucji na podstawie odrębnych przepisów, albo pozostawiła przedmioty codziennego użytku domowego, których łączna wartość nie przekracza kwoty 6000 zł. </w:t>
      </w:r>
      <w:r w:rsidRPr="008C1E51">
        <w:rPr>
          <w:rFonts w:cs="Times New Roman"/>
          <w:color w:val="000000" w:themeColor="text1"/>
          <w:szCs w:val="20"/>
        </w:rPr>
        <w:t xml:space="preserve">Ponadto Wierzyciel nie posiadał wiedzy o zaawansowaniu postępowań sądowych </w:t>
      </w:r>
      <w:r w:rsidRPr="008C1E51">
        <w:rPr>
          <w:rFonts w:cs="Times New Roman"/>
          <w:color w:val="000000" w:themeColor="text1"/>
          <w:szCs w:val="20"/>
        </w:rPr>
        <w:br/>
        <w:t>i komorniczych związanych z dochodzeniem należności pozostawiając w całości ten proces nadzorowi Radcy Prawnemu przy jednoczesnym braku właściwego nadzoru Radcy. Należy również zauważyć, iż wierzyciel w żadnej z badanych spraw nie korzystał z dyspozycji art. 760</w:t>
      </w:r>
      <w:r w:rsidRPr="008C1E51">
        <w:rPr>
          <w:rFonts w:cs="Times New Roman"/>
          <w:color w:val="000000" w:themeColor="text1"/>
          <w:szCs w:val="20"/>
          <w:vertAlign w:val="superscript"/>
        </w:rPr>
        <w:t>1</w:t>
      </w:r>
      <w:r w:rsidRPr="008C1E51">
        <w:rPr>
          <w:rFonts w:cs="Times New Roman"/>
          <w:color w:val="000000" w:themeColor="text1"/>
          <w:szCs w:val="20"/>
        </w:rPr>
        <w:t xml:space="preserve"> ustawy z dnia 17 listopada 1964 r. Kodeks postępowania cywilnego. Stosownie do treści tego przepisu na żądanie wierzyciela, którego roszczenie stwierdzone jest tytułem wykonawczym lub tytułem egzekucyjnym, organ egzekucyjny, który prowadzi egzekucję lub który jest właściwy do jej prowadzenia według przepisów kodeksu, udzieli mu informacji, czy przeciwko dłużnikowi prowadzone jest przez ten organ egzekucyjny postępowanie egzekucyjne, a jeżeli tak, powiadomi go o stosowanych sposobach egzekucji oraz o wysokości egzekwowanych roszczeń, a także o aktualnym stanie sprawy. Przepis ten umożliwia wierzycielowi monitorowanie przebiegu egzekucji.</w:t>
      </w:r>
    </w:p>
    <w:p w14:paraId="632E7A9D" w14:textId="77777777" w:rsidR="008C1E51" w:rsidRPr="008C1E51" w:rsidRDefault="008C1E51" w:rsidP="008C1E51">
      <w:pPr>
        <w:autoSpaceDE w:val="0"/>
        <w:autoSpaceDN w:val="0"/>
        <w:adjustRightInd w:val="0"/>
        <w:spacing w:before="120" w:after="120" w:line="276" w:lineRule="auto"/>
        <w:ind w:left="357"/>
        <w:jc w:val="right"/>
        <w:rPr>
          <w:rFonts w:cs="Times New Roman"/>
          <w:szCs w:val="20"/>
        </w:rPr>
      </w:pPr>
      <w:r w:rsidRPr="008C1E51">
        <w:rPr>
          <w:rFonts w:eastAsia="Times New Roman" w:cs="Times New Roman"/>
          <w:szCs w:val="20"/>
          <w:lang w:eastAsia="pl-PL"/>
        </w:rPr>
        <w:t>[Dowód: akta kontroli str. I/2776-3196, I/3198]</w:t>
      </w:r>
    </w:p>
    <w:p w14:paraId="0922C1A4" w14:textId="77777777" w:rsidR="008C1E51" w:rsidRPr="008C1E51" w:rsidRDefault="008C1E51" w:rsidP="008C1E51">
      <w:pPr>
        <w:spacing w:before="120" w:after="120" w:line="276" w:lineRule="auto"/>
        <w:rPr>
          <w:rFonts w:eastAsia="Calibri" w:cs="Times New Roman"/>
          <w:b/>
          <w:bCs/>
          <w:iCs/>
          <w:szCs w:val="20"/>
        </w:rPr>
      </w:pPr>
      <w:r w:rsidRPr="008C1E51">
        <w:rPr>
          <w:rFonts w:eastAsia="Calibri" w:cs="Times New Roman"/>
          <w:b/>
          <w:bCs/>
          <w:iCs/>
          <w:szCs w:val="20"/>
        </w:rPr>
        <w:t>Ocena obszaru</w:t>
      </w:r>
    </w:p>
    <w:p w14:paraId="156B5393" w14:textId="77777777" w:rsidR="008C1E51" w:rsidRPr="008C1E51" w:rsidRDefault="008C1E51" w:rsidP="008C1E51">
      <w:pPr>
        <w:spacing w:before="120" w:after="120" w:line="276" w:lineRule="auto"/>
        <w:rPr>
          <w:rFonts w:eastAsia="Calibri" w:cs="Times New Roman"/>
          <w:iCs/>
          <w:szCs w:val="20"/>
        </w:rPr>
      </w:pPr>
      <w:bookmarkStart w:id="47" w:name="_Hlk135149269"/>
      <w:r w:rsidRPr="008C1E51">
        <w:rPr>
          <w:rFonts w:eastAsia="Calibri" w:cs="Times New Roman"/>
          <w:iCs/>
          <w:szCs w:val="20"/>
        </w:rPr>
        <w:lastRenderedPageBreak/>
        <w:t>Park nierzetelnie sporządził sprawozdania Rb-N z lata 2019- 2021. Dane przedstawione</w:t>
      </w:r>
      <w:r w:rsidRPr="008C1E51">
        <w:rPr>
          <w:rFonts w:eastAsia="Calibri" w:cs="Times New Roman"/>
          <w:iCs/>
          <w:szCs w:val="20"/>
        </w:rPr>
        <w:br/>
        <w:t>w sprawozdaniach były częściowo niezgodne z ewidencją księgową, co było działaniem nielegalnym. Dotacje celowe były prawidłowo rozliczane, nie stwierdzono podwójnego finansowania. W kontrolowanym okresie zmniejszył się stan należności wymagalnych. Park podejmował działania w celu dochodzenia należności. Niemniej nie podejmował wszystkich czynności do jakich był uprawniony jako wierzyciel. Dochodzenie należności zostało całkowicie powierzone podmiotowi zewnętrznemu, nad którym nie pełniono dostatecznego nadzoru, pomimo tego, że jednemu z pracowników przypisano zadanie dotyczące dochodzenia należności. W okresie objętym kontrolą obowiązywały rozbieżne procedury dotyczące windykacji należności, które w trakcie trwania kontroli zostały częściowo poprawione. Pomimo obowiązywania tych procedur działania podejmowanie w celu dochodzenia należności były niejednolite wobec dłużników, a procedury nie były</w:t>
      </w:r>
      <w:r w:rsidRPr="008C1E51">
        <w:rPr>
          <w:rFonts w:eastAsia="Calibri" w:cs="Times New Roman"/>
          <w:iCs/>
          <w:szCs w:val="20"/>
        </w:rPr>
        <w:br/>
        <w:t>w niektórych przypadkach stosowane. Ustalono, iż w trakcie trwania czynności związanych</w:t>
      </w:r>
      <w:r w:rsidRPr="008C1E51">
        <w:rPr>
          <w:rFonts w:eastAsia="Calibri" w:cs="Times New Roman"/>
          <w:iCs/>
          <w:szCs w:val="20"/>
        </w:rPr>
        <w:br/>
        <w:t>z dochodzeniem należności Park brakował dokumenty lub nie posiadał ich wcale. Brakowaniu poddawano dokumenty źródłowe stanowiące podstawę dochodzenia należności jak również Park nie posiadał dokumentów związanych z procesem związanym</w:t>
      </w:r>
      <w:r w:rsidRPr="008C1E51">
        <w:rPr>
          <w:rFonts w:eastAsia="Calibri" w:cs="Times New Roman"/>
          <w:iCs/>
          <w:szCs w:val="20"/>
        </w:rPr>
        <w:br/>
        <w:t>z dochodzeniem należności oraz stwierdzono przypadek odpisania należności przed terminem przedawnienia, tj. w okresie wymagalności.</w:t>
      </w:r>
      <w:bookmarkEnd w:id="47"/>
      <w:r w:rsidRPr="008C1E51">
        <w:rPr>
          <w:rFonts w:eastAsia="Calibri" w:cs="Times New Roman"/>
          <w:iCs/>
          <w:szCs w:val="20"/>
        </w:rPr>
        <w:t xml:space="preserve"> Powyższe świadczy o słabości kontroli zarządczej sprawowanej przez kadrę kierowniczą Parku. Brak posiadania pełnej dokumentacji powoduje brak możliwości skontrolowania prawidłowości dochodzenia należności. Postępowanie takie wskazuje na niedochowanie w Parku standardu określonego w pkt 11 Nadzór części II. Standardy kontroli zarządczej lit. C. Mechanizmy kontroli załącznika do komunikatu nr 23 Ministra Finansów. Zgodnie z tym standardem należy prowadzić nadzór nad wykonaniem zadań w celu ich oszczędnej, efektywnej i skutecznej realizacji.</w:t>
      </w:r>
    </w:p>
    <w:p w14:paraId="5171DB35" w14:textId="77777777" w:rsidR="008C1E51" w:rsidRPr="008C1E51" w:rsidRDefault="008C1E51" w:rsidP="004D4B63">
      <w:pPr>
        <w:numPr>
          <w:ilvl w:val="0"/>
          <w:numId w:val="12"/>
        </w:numPr>
        <w:spacing w:before="120" w:after="120" w:line="276" w:lineRule="auto"/>
        <w:ind w:left="425" w:hanging="425"/>
        <w:rPr>
          <w:rFonts w:eastAsia="Calibri" w:cs="Times New Roman"/>
          <w:iCs/>
          <w:szCs w:val="20"/>
        </w:rPr>
      </w:pPr>
      <w:r w:rsidRPr="008C1E51">
        <w:rPr>
          <w:rFonts w:cs="Arial"/>
          <w:b/>
        </w:rPr>
        <w:t>Funkcjonowanie Parku w zakresie udzielania zamówień publicznych.</w:t>
      </w:r>
    </w:p>
    <w:p w14:paraId="17F371EC" w14:textId="77777777" w:rsidR="008C1E51" w:rsidRPr="008C1E51" w:rsidRDefault="008C1E51" w:rsidP="008C1E51">
      <w:pPr>
        <w:spacing w:before="120" w:after="120" w:line="276" w:lineRule="auto"/>
        <w:rPr>
          <w:rFonts w:eastAsia="Times New Roman" w:cs="Times New Roman"/>
          <w:szCs w:val="20"/>
          <w:lang w:eastAsia="pl-PL"/>
        </w:rPr>
      </w:pPr>
      <w:r w:rsidRPr="008C1E51">
        <w:rPr>
          <w:rFonts w:eastAsia="Times New Roman" w:cs="Times New Roman"/>
          <w:szCs w:val="20"/>
          <w:lang w:eastAsia="pl-PL"/>
        </w:rPr>
        <w:t>W okresie objętym kontrolą, zasady udzielania zamówień publicznych o wartości do 30 000,00 euro netto przed 2021 r. oraz 130 000 zł po 2021 r. określono w Regulaminie udzielania zamówień</w:t>
      </w:r>
      <w:r w:rsidRPr="008C1E51">
        <w:rPr>
          <w:rFonts w:eastAsia="Times New Roman" w:cs="Times New Roman"/>
          <w:bCs/>
          <w:vertAlign w:val="superscript"/>
          <w:lang w:eastAsia="pl-PL"/>
        </w:rPr>
        <w:footnoteReference w:id="95"/>
      </w:r>
      <w:r w:rsidRPr="008C1E51">
        <w:rPr>
          <w:rFonts w:eastAsia="Times New Roman" w:cs="Times New Roman"/>
          <w:bCs/>
          <w:szCs w:val="20"/>
          <w:lang w:eastAsia="pl-PL"/>
        </w:rPr>
        <w:t xml:space="preserve">. </w:t>
      </w:r>
      <w:r w:rsidRPr="008C1E51">
        <w:rPr>
          <w:rFonts w:eastAsia="Times New Roman" w:cs="Times New Roman"/>
          <w:szCs w:val="20"/>
          <w:lang w:eastAsia="pl-PL"/>
        </w:rPr>
        <w:t>Zamówienia publiczne o wartości szacunkowej równej lub przekraczającej kwotę 30 000,00 euro do 2021 r. i 130 000 zł po 2021 r. były prowadzone na podstawie ustawy z dnia 19 września 2019 r. Prawo zamówień publicznych</w:t>
      </w:r>
      <w:r w:rsidRPr="008C1E51">
        <w:rPr>
          <w:rFonts w:cs="Times New Roman"/>
          <w:szCs w:val="20"/>
          <w:vertAlign w:val="superscript"/>
          <w:lang w:eastAsia="pl-PL"/>
        </w:rPr>
        <w:footnoteReference w:id="96"/>
      </w:r>
      <w:r w:rsidRPr="008C1E51">
        <w:rPr>
          <w:rFonts w:eastAsia="Times New Roman" w:cs="Times New Roman"/>
          <w:szCs w:val="20"/>
          <w:lang w:eastAsia="pl-PL"/>
        </w:rPr>
        <w:t xml:space="preserve">. Ponadto – z uwagi na fakt, że przepisów ustawy </w:t>
      </w:r>
      <w:proofErr w:type="spellStart"/>
      <w:r w:rsidRPr="008C1E51">
        <w:rPr>
          <w:rFonts w:eastAsia="Times New Roman" w:cs="Times New Roman"/>
          <w:szCs w:val="20"/>
          <w:lang w:eastAsia="pl-PL"/>
        </w:rPr>
        <w:t>Pzp</w:t>
      </w:r>
      <w:proofErr w:type="spellEnd"/>
      <w:r w:rsidRPr="008C1E51">
        <w:rPr>
          <w:rFonts w:eastAsia="Times New Roman" w:cs="Times New Roman"/>
          <w:szCs w:val="20"/>
          <w:lang w:eastAsia="pl-PL"/>
        </w:rPr>
        <w:t xml:space="preserve"> nie stosuje się do zamówień o wartości mniejszej niż progi unijne, których przedmiotem są usługi z zakresu leśnictwa – w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funkcjonowały stosowne regulacje w tym zakresie</w:t>
      </w:r>
      <w:r w:rsidRPr="008C1E51">
        <w:rPr>
          <w:rFonts w:eastAsia="Times New Roman" w:cs="Times New Roman"/>
          <w:vertAlign w:val="superscript"/>
          <w:lang w:eastAsia="pl-PL"/>
        </w:rPr>
        <w:footnoteReference w:id="97"/>
      </w:r>
      <w:r w:rsidRPr="008C1E51">
        <w:rPr>
          <w:rFonts w:eastAsia="Times New Roman" w:cs="Times New Roman"/>
          <w:szCs w:val="20"/>
          <w:lang w:eastAsia="pl-PL"/>
        </w:rPr>
        <w:t>.</w:t>
      </w:r>
    </w:p>
    <w:p w14:paraId="71663343"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t>[Dowód: akta kontroli str. II/1-63]</w:t>
      </w:r>
    </w:p>
    <w:p w14:paraId="78C98AF2" w14:textId="77777777" w:rsidR="008C1E51" w:rsidRPr="008C1E51" w:rsidRDefault="008C1E51" w:rsidP="008C1E51">
      <w:pPr>
        <w:spacing w:before="120" w:after="120" w:line="276" w:lineRule="auto"/>
        <w:rPr>
          <w:rFonts w:eastAsia="Times New Roman" w:cs="Times New Roman"/>
          <w:bCs/>
          <w:szCs w:val="20"/>
          <w:lang w:eastAsia="pl-PL"/>
        </w:rPr>
      </w:pPr>
      <w:r w:rsidRPr="008C1E51">
        <w:rPr>
          <w:rFonts w:eastAsia="Times New Roman" w:cs="Times New Roman"/>
          <w:bCs/>
          <w:szCs w:val="20"/>
          <w:lang w:eastAsia="pl-PL"/>
        </w:rPr>
        <w:lastRenderedPageBreak/>
        <w:t xml:space="preserve">Zgodnie z zapisami wyżej przywołanych regulacji – postępowanie w sprawie wyłonienia wykonawcy prowadził pracownik merytorycznie odpowiedzialny za realizację zamówienia na podstawie ustnego lub pisemnego (dotyczy postępowań o szacunkowej wartości powyżej 64 000 zł) polecenia służbowego. Pracownicy merytoryczni odpowiedzialni za realizację zamówień do 130 000 zł byli zobowiązani do ich ewidencji w Rejestrze zamówień, celem realizacji obowiązku sprawozdawczego, wprowadzonego </w:t>
      </w:r>
      <w:r w:rsidRPr="008C1E51">
        <w:rPr>
          <w:rFonts w:eastAsia="Times New Roman" w:cs="Times New Roman"/>
          <w:bCs/>
          <w:iCs/>
          <w:szCs w:val="20"/>
          <w:lang w:eastAsia="pl-PL"/>
        </w:rPr>
        <w:t>Rozporządzeniem Prezesa Rady Ministrów z 15 grudnia 2016 r. w sprawie zakresu informacji zawartych w rocznym sprawozdaniu o udzielonych zamówieniach, jego wzorze oraz sposobu przekazywania</w:t>
      </w:r>
      <w:r w:rsidRPr="008C1E51">
        <w:rPr>
          <w:rFonts w:eastAsia="Times New Roman" w:cs="Times New Roman"/>
          <w:bCs/>
          <w:iCs/>
          <w:szCs w:val="20"/>
          <w:vertAlign w:val="superscript"/>
          <w:lang w:eastAsia="pl-PL"/>
        </w:rPr>
        <w:footnoteReference w:id="98"/>
      </w:r>
      <w:r w:rsidRPr="008C1E51">
        <w:rPr>
          <w:rFonts w:eastAsia="Times New Roman" w:cs="Times New Roman"/>
          <w:bCs/>
          <w:iCs/>
          <w:szCs w:val="20"/>
          <w:lang w:eastAsia="pl-PL"/>
        </w:rPr>
        <w:t>.</w:t>
      </w:r>
    </w:p>
    <w:p w14:paraId="66E45E9F" w14:textId="77777777" w:rsidR="008C1E51" w:rsidRPr="008C1E51" w:rsidRDefault="008C1E51" w:rsidP="008C1E51">
      <w:pPr>
        <w:spacing w:before="120" w:after="120" w:line="276" w:lineRule="auto"/>
        <w:rPr>
          <w:rFonts w:eastAsia="Times New Roman" w:cs="Times New Roman"/>
          <w:bCs/>
          <w:szCs w:val="20"/>
          <w:highlight w:val="yellow"/>
          <w:lang w:eastAsia="pl-PL"/>
        </w:rPr>
      </w:pPr>
      <w:r w:rsidRPr="008C1E51">
        <w:rPr>
          <w:rFonts w:cs="Times New Roman"/>
          <w:szCs w:val="20"/>
        </w:rPr>
        <w:t xml:space="preserve">W okresie objętym kontrolą, tj. od stycznia 2019 r. zamówieniami powyżej progu </w:t>
      </w:r>
      <w:r w:rsidRPr="008C1E51">
        <w:rPr>
          <w:rFonts w:cs="Times New Roman"/>
          <w:szCs w:val="20"/>
        </w:rPr>
        <w:br/>
        <w:t xml:space="preserve">ustawowego (tj. powyżej 30 000 euro, a po nowelizacji ustawy </w:t>
      </w:r>
      <w:proofErr w:type="spellStart"/>
      <w:r w:rsidRPr="008C1E51">
        <w:rPr>
          <w:rFonts w:cs="Times New Roman"/>
          <w:szCs w:val="20"/>
        </w:rPr>
        <w:t>pzp</w:t>
      </w:r>
      <w:proofErr w:type="spellEnd"/>
      <w:r w:rsidRPr="008C1E51">
        <w:rPr>
          <w:rFonts w:cs="Times New Roman"/>
          <w:szCs w:val="20"/>
        </w:rPr>
        <w:t xml:space="preserve"> - powyżej 130 000 zł) zajmował się pracownik zatrudniony na Samodzielnym Stanowisku ds. Zamówień Publicznych – opierając się na przepisach ustawy </w:t>
      </w:r>
      <w:proofErr w:type="spellStart"/>
      <w:r w:rsidRPr="008C1E51">
        <w:rPr>
          <w:rFonts w:cs="Times New Roman"/>
          <w:szCs w:val="20"/>
        </w:rPr>
        <w:t>Pzp</w:t>
      </w:r>
      <w:proofErr w:type="spellEnd"/>
      <w:r w:rsidRPr="008C1E51">
        <w:rPr>
          <w:rFonts w:cs="Times New Roman"/>
          <w:szCs w:val="20"/>
        </w:rPr>
        <w:t>, natomiast zamówienia poniżej ww. kwot realizowali kierownicy poszczególnych działów – w oparciu o wewnętrzne regulaminy udzielania zamówień. Osoba zatrudniona na Samodzielnym Stanowisku ds. Zamówień Publicznych była odpowiedzialna za zgodne z przepisami prawa przygotowanie dokumentacji przetargowej i przebieg procedury zmierzającej do wyłonienia wykonawcy zamówienia</w:t>
      </w:r>
      <w:r w:rsidRPr="008C1E51">
        <w:rPr>
          <w:rFonts w:cs="Times New Roman"/>
          <w:vertAlign w:val="superscript"/>
        </w:rPr>
        <w:footnoteReference w:id="99"/>
      </w:r>
      <w:r w:rsidRPr="008C1E51">
        <w:rPr>
          <w:rFonts w:cs="Times New Roman"/>
          <w:szCs w:val="20"/>
        </w:rPr>
        <w:t>.</w:t>
      </w:r>
      <w:r w:rsidRPr="008C1E51">
        <w:rPr>
          <w:rFonts w:eastAsia="Times New Roman" w:cs="Times New Roman"/>
          <w:bCs/>
          <w:szCs w:val="20"/>
          <w:lang w:eastAsia="pl-PL"/>
        </w:rPr>
        <w:t xml:space="preserve"> Do zadań ww. Stanowiska należało m.in. sporządzanie planów zamówień na każdy kolejny rok wraz z jego bieżącą aktualizacją, przygotowywanie dokumentacji </w:t>
      </w:r>
      <w:r w:rsidRPr="008C1E51">
        <w:rPr>
          <w:rFonts w:eastAsia="Times New Roman" w:cs="Times New Roman"/>
          <w:bCs/>
          <w:szCs w:val="20"/>
          <w:lang w:eastAsia="pl-PL"/>
        </w:rPr>
        <w:br/>
        <w:t>i przeprowadzanie zamówień publicznych, współpraca z pracownikami merytorycznymi odpowiedzialnymi za przygotowania opisów technicznych przedmiotu zamówienia, przygotowywanie propozycji składu komisji przetargowych oraz przewodniczenie tej komisji, a także gromadzenie i przechowywanie dokumentacji związanej z prowadzonymi postępowaniami przetargowymi.</w:t>
      </w:r>
    </w:p>
    <w:p w14:paraId="620EEB93" w14:textId="77777777" w:rsidR="008C1E51" w:rsidRPr="008C1E51" w:rsidRDefault="008C1E51" w:rsidP="008C1E51">
      <w:pPr>
        <w:spacing w:before="120" w:after="120" w:line="276" w:lineRule="auto"/>
        <w:rPr>
          <w:rFonts w:eastAsia="Times New Roman" w:cs="Times New Roman"/>
          <w:bCs/>
          <w:szCs w:val="20"/>
          <w:lang w:eastAsia="pl-PL"/>
        </w:rPr>
      </w:pPr>
      <w:r w:rsidRPr="008C1E51">
        <w:rPr>
          <w:rFonts w:eastAsia="Times New Roman" w:cs="Times New Roman"/>
          <w:bCs/>
          <w:szCs w:val="20"/>
          <w:lang w:eastAsia="pl-PL"/>
        </w:rPr>
        <w:t xml:space="preserve">W okresie objętym kontrolą za przeprowadzanie postępowań odpowiedzialna była stała Komisja, kierowana przez Przewodniczącego, a bezpośredni nadzór nad jej pracami sprawował Dyrektor </w:t>
      </w:r>
      <w:proofErr w:type="spellStart"/>
      <w:r w:rsidRPr="008C1E51">
        <w:rPr>
          <w:rFonts w:eastAsia="Times New Roman" w:cs="Times New Roman"/>
          <w:bCs/>
          <w:szCs w:val="20"/>
          <w:lang w:eastAsia="pl-PL"/>
        </w:rPr>
        <w:t>BdPN</w:t>
      </w:r>
      <w:proofErr w:type="spellEnd"/>
      <w:r w:rsidRPr="008C1E51">
        <w:rPr>
          <w:rFonts w:cs="Times New Roman"/>
          <w:bCs/>
          <w:vertAlign w:val="superscript"/>
        </w:rPr>
        <w:footnoteReference w:id="100"/>
      </w:r>
      <w:r w:rsidRPr="008C1E51">
        <w:rPr>
          <w:rFonts w:eastAsia="Times New Roman" w:cs="Times New Roman"/>
          <w:bCs/>
          <w:szCs w:val="20"/>
          <w:lang w:eastAsia="pl-PL"/>
        </w:rPr>
        <w:t xml:space="preserve">. </w:t>
      </w:r>
    </w:p>
    <w:p w14:paraId="7170633B" w14:textId="77777777" w:rsidR="008C1E51" w:rsidRPr="008C1E51" w:rsidRDefault="008C1E51" w:rsidP="008C1E51">
      <w:pPr>
        <w:spacing w:before="120" w:after="120" w:line="276" w:lineRule="auto"/>
        <w:jc w:val="right"/>
        <w:rPr>
          <w:rFonts w:eastAsia="Times New Roman" w:cs="Times New Roman"/>
          <w:bCs/>
          <w:szCs w:val="20"/>
          <w:lang w:eastAsia="pl-PL"/>
        </w:rPr>
      </w:pPr>
      <w:r w:rsidRPr="008C1E51">
        <w:rPr>
          <w:rFonts w:eastAsia="Times New Roman" w:cs="Times New Roman"/>
          <w:bCs/>
          <w:szCs w:val="20"/>
          <w:lang w:eastAsia="pl-PL"/>
        </w:rPr>
        <w:tab/>
      </w:r>
      <w:r w:rsidRPr="008C1E51">
        <w:rPr>
          <w:rFonts w:eastAsia="Times New Roman" w:cs="Times New Roman"/>
          <w:bCs/>
          <w:szCs w:val="20"/>
          <w:lang w:eastAsia="pl-PL"/>
        </w:rPr>
        <w:tab/>
      </w:r>
      <w:r w:rsidRPr="008C1E51">
        <w:rPr>
          <w:rFonts w:eastAsia="Times New Roman" w:cs="Times New Roman"/>
          <w:bCs/>
          <w:szCs w:val="20"/>
          <w:lang w:eastAsia="pl-PL"/>
        </w:rPr>
        <w:tab/>
      </w:r>
      <w:r w:rsidRPr="008C1E51">
        <w:rPr>
          <w:rFonts w:eastAsia="Times New Roman" w:cs="Times New Roman"/>
          <w:bCs/>
          <w:szCs w:val="20"/>
          <w:lang w:eastAsia="pl-PL"/>
        </w:rPr>
        <w:tab/>
      </w:r>
      <w:r w:rsidRPr="008C1E51">
        <w:rPr>
          <w:rFonts w:eastAsia="Times New Roman" w:cs="Times New Roman"/>
          <w:bCs/>
          <w:szCs w:val="20"/>
          <w:lang w:eastAsia="pl-PL"/>
        </w:rPr>
        <w:tab/>
      </w:r>
      <w:r w:rsidRPr="008C1E51">
        <w:rPr>
          <w:rFonts w:eastAsia="Times New Roman" w:cs="Times New Roman"/>
          <w:bCs/>
          <w:szCs w:val="20"/>
          <w:lang w:eastAsia="pl-PL"/>
        </w:rPr>
        <w:tab/>
      </w:r>
      <w:r w:rsidRPr="008C1E51">
        <w:rPr>
          <w:rFonts w:eastAsia="Times New Roman" w:cs="Times New Roman"/>
          <w:szCs w:val="20"/>
          <w:lang w:eastAsia="pl-PL"/>
        </w:rPr>
        <w:t>[Dowód: akta kontroli str. II/64-71]</w:t>
      </w:r>
    </w:p>
    <w:p w14:paraId="7F9BBFCC" w14:textId="77777777" w:rsidR="008C1E51" w:rsidRPr="008C1E51" w:rsidRDefault="008C1E51" w:rsidP="008C1E51">
      <w:pPr>
        <w:spacing w:before="120" w:after="120" w:line="276" w:lineRule="auto"/>
        <w:rPr>
          <w:rFonts w:cs="Times New Roman"/>
          <w:szCs w:val="20"/>
          <w:u w:val="single"/>
        </w:rPr>
      </w:pPr>
      <w:r w:rsidRPr="008C1E51">
        <w:rPr>
          <w:rFonts w:cs="Times New Roman"/>
          <w:szCs w:val="20"/>
          <w:u w:val="single"/>
        </w:rPr>
        <w:t>Planowanie i obowiązki sprawozdawcze</w:t>
      </w:r>
    </w:p>
    <w:p w14:paraId="1519EE92" w14:textId="77777777" w:rsidR="008C1E51" w:rsidRPr="008C1E51" w:rsidRDefault="008C1E51" w:rsidP="008C1E51">
      <w:pPr>
        <w:spacing w:before="120" w:after="120" w:line="276" w:lineRule="auto"/>
        <w:rPr>
          <w:rFonts w:eastAsia="Times New Roman" w:cs="Times New Roman"/>
          <w:szCs w:val="20"/>
          <w:lang w:eastAsia="pl-PL"/>
        </w:rPr>
      </w:pPr>
      <w:r w:rsidRPr="008C1E51">
        <w:rPr>
          <w:rFonts w:eastAsia="Times New Roman" w:cs="Times New Roman"/>
          <w:szCs w:val="20"/>
          <w:lang w:eastAsia="pl-PL"/>
        </w:rPr>
        <w:t xml:space="preserve">W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w okresie objętym kontrolą sporządzano - zgodnie z</w:t>
      </w:r>
      <w:r w:rsidRPr="008C1E51">
        <w:rPr>
          <w:rFonts w:cs="Times New Roman"/>
          <w:szCs w:val="20"/>
        </w:rPr>
        <w:t xml:space="preserve"> art. 13a ust. 1 ustawy z dnia 29 stycznia 2004 r. Prawo zamówień publicznych</w:t>
      </w:r>
      <w:r w:rsidRPr="008C1E51">
        <w:rPr>
          <w:rFonts w:cs="Times New Roman"/>
          <w:szCs w:val="20"/>
          <w:vertAlign w:val="superscript"/>
        </w:rPr>
        <w:footnoteReference w:id="101"/>
      </w:r>
      <w:r w:rsidRPr="008C1E51">
        <w:rPr>
          <w:rFonts w:cs="Times New Roman"/>
          <w:szCs w:val="20"/>
        </w:rPr>
        <w:t xml:space="preserve">, oraz w art. 23 ust. 1 ustawy z dnia 11 września 2019 r. Prawo zamówień publicznych Plany postępowań o udzielenie zamówień publicznych kwalifikujących się do objęcia ich procedurami zamówień publicznych, które następnie były </w:t>
      </w:r>
      <w:r w:rsidRPr="008C1E51">
        <w:rPr>
          <w:rFonts w:eastAsia="Times New Roman" w:cs="Times New Roman"/>
          <w:szCs w:val="20"/>
          <w:lang w:eastAsia="pl-PL"/>
        </w:rPr>
        <w:t xml:space="preserve">zamieszczane na stronie internetowej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a w przypadku planów na rok 2021 oraz 2022 r. również w Biuletynie Zamówień Publicznych (BZP). W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w okresie kontrolowanym opracowywano i przekazywano do Prezesa Urzędu Zamówień Publicznych</w:t>
      </w:r>
      <w:r w:rsidRPr="008C1E51">
        <w:rPr>
          <w:rFonts w:eastAsia="Times New Roman" w:cs="Times New Roman"/>
          <w:szCs w:val="20"/>
          <w:vertAlign w:val="superscript"/>
          <w:lang w:eastAsia="pl-PL"/>
        </w:rPr>
        <w:footnoteReference w:id="102"/>
      </w:r>
      <w:r w:rsidRPr="008C1E51">
        <w:rPr>
          <w:rFonts w:eastAsia="Times New Roman" w:cs="Times New Roman"/>
          <w:szCs w:val="20"/>
          <w:lang w:eastAsia="pl-PL"/>
        </w:rPr>
        <w:t xml:space="preserve"> sprawozdania roczne o udzielonych zamówieniach, o których mowa </w:t>
      </w:r>
      <w:r w:rsidRPr="008C1E51">
        <w:rPr>
          <w:rFonts w:cs="Times New Roman"/>
          <w:szCs w:val="20"/>
        </w:rPr>
        <w:t xml:space="preserve">w art. 13a ust. 1 ustawy </w:t>
      </w:r>
      <w:proofErr w:type="spellStart"/>
      <w:r w:rsidRPr="008C1E51">
        <w:rPr>
          <w:rFonts w:cs="Times New Roman"/>
          <w:szCs w:val="20"/>
        </w:rPr>
        <w:t>Pzp</w:t>
      </w:r>
      <w:proofErr w:type="spellEnd"/>
      <w:r w:rsidRPr="008C1E51">
        <w:rPr>
          <w:rFonts w:cs="Times New Roman"/>
          <w:szCs w:val="20"/>
        </w:rPr>
        <w:t xml:space="preserve">, oraz w art. 23 ust. 1 ustawy </w:t>
      </w:r>
      <w:proofErr w:type="spellStart"/>
      <w:r w:rsidRPr="008C1E51">
        <w:rPr>
          <w:rFonts w:cs="Times New Roman"/>
          <w:szCs w:val="20"/>
        </w:rPr>
        <w:t>Pzp</w:t>
      </w:r>
      <w:proofErr w:type="spellEnd"/>
      <w:r w:rsidRPr="008C1E51">
        <w:rPr>
          <w:rFonts w:cs="Times New Roman"/>
          <w:szCs w:val="20"/>
        </w:rPr>
        <w:t>.</w:t>
      </w:r>
    </w:p>
    <w:p w14:paraId="1EE21B73" w14:textId="77777777" w:rsidR="008C1E51" w:rsidRPr="008C1E51" w:rsidRDefault="008C1E51" w:rsidP="008C1E51">
      <w:pPr>
        <w:spacing w:before="120" w:after="120" w:line="276" w:lineRule="auto"/>
        <w:jc w:val="right"/>
        <w:rPr>
          <w:rFonts w:eastAsia="Times New Roman" w:cs="Times New Roman"/>
          <w:szCs w:val="20"/>
          <w:lang w:eastAsia="pl-PL"/>
        </w:rPr>
      </w:pPr>
      <w:r w:rsidRPr="008C1E51">
        <w:rPr>
          <w:rFonts w:eastAsia="Times New Roman" w:cs="Times New Roman"/>
          <w:szCs w:val="20"/>
          <w:lang w:eastAsia="pl-PL"/>
        </w:rPr>
        <w:lastRenderedPageBreak/>
        <w:t>[Dowód: akta kontroli str. I/96-127]</w:t>
      </w:r>
    </w:p>
    <w:p w14:paraId="6343DE65" w14:textId="77777777" w:rsidR="008C1E51" w:rsidRPr="008C1E51" w:rsidRDefault="008C1E51" w:rsidP="008C1E51">
      <w:pPr>
        <w:spacing w:before="120" w:after="120" w:line="276" w:lineRule="auto"/>
        <w:rPr>
          <w:rFonts w:cs="Times New Roman"/>
          <w:szCs w:val="20"/>
        </w:rPr>
      </w:pPr>
      <w:r w:rsidRPr="008C1E51">
        <w:rPr>
          <w:rFonts w:cs="Times New Roman"/>
          <w:szCs w:val="20"/>
        </w:rPr>
        <w:t>W kontrolowanym okresie nie wpłynęły do Bieszczadzkiego Parku Narodowego żadne skargi lub wnioski związane z funkcjonowaniem Parku w obszarze udzielania zamówień publicznych.</w:t>
      </w:r>
    </w:p>
    <w:p w14:paraId="3DB7BDCE" w14:textId="7C942D00"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W okresie od 1 stycznia 2019 r. do 13 maja 2022 r. przeprowadzono łącznie 152 postępowania o udzielenie zamówień publicznych. z czego 35 zamówień publicznych</w:t>
      </w:r>
      <w:r w:rsidRPr="008C1E51">
        <w:rPr>
          <w:rFonts w:cs="Times New Roman"/>
          <w:szCs w:val="20"/>
        </w:rPr>
        <w:br/>
        <w:t>w oparciu o przepisy ustawy – Prawo zamówień publicznych (tj. zamówień o szacunkowej wartości: powyżej progu 30 000 euro - w okresie od 1 stycznia 2019 r. do 31 grudnia 2020 r. oraz powyżej: 130 000 zł od 1 stycznia 2021 r.). Wobec pozostałych zamówień (w liczbie 117) nie stosowano ustawy - Prawo zamówień publicznych. Były to zamówienia</w:t>
      </w:r>
      <w:r w:rsidRPr="008C1E51">
        <w:rPr>
          <w:rFonts w:cs="Times New Roman"/>
          <w:szCs w:val="20"/>
        </w:rPr>
        <w:br/>
        <w:t xml:space="preserve">o szacunkowej wartości: powyżej 6000 zł i poniżej 30 000 euro w okresie od 1 stycznia 2019 r. do 31 grudnia 2020 </w:t>
      </w:r>
      <w:r w:rsidR="00211832" w:rsidRPr="008C1E51">
        <w:rPr>
          <w:rFonts w:cs="Times New Roman"/>
          <w:szCs w:val="20"/>
        </w:rPr>
        <w:t>r.,</w:t>
      </w:r>
      <w:r w:rsidRPr="008C1E51">
        <w:rPr>
          <w:rFonts w:cs="Times New Roman"/>
          <w:szCs w:val="20"/>
        </w:rPr>
        <w:t xml:space="preserve"> oraz powyżej 6000 zł i poniżej 130 000 zł od 1 stycznia 2021 r. </w:t>
      </w:r>
      <w:r w:rsidR="00211832" w:rsidRPr="008C1E51">
        <w:rPr>
          <w:rFonts w:cs="Times New Roman"/>
          <w:szCs w:val="20"/>
        </w:rPr>
        <w:t>udzielono 8</w:t>
      </w:r>
      <w:r w:rsidRPr="008C1E51">
        <w:rPr>
          <w:rFonts w:cs="Times New Roman"/>
          <w:szCs w:val="20"/>
        </w:rPr>
        <w:t xml:space="preserve"> postępowań dotyczyło zamówień na usługi z zakresu leśnictwa. </w:t>
      </w:r>
    </w:p>
    <w:p w14:paraId="4CF95E01" w14:textId="77777777" w:rsidR="008C1E51" w:rsidRPr="008C1E51" w:rsidRDefault="008C1E51" w:rsidP="008C1E51">
      <w:pPr>
        <w:spacing w:before="120" w:after="120" w:line="276" w:lineRule="auto"/>
        <w:ind w:right="-142"/>
        <w:rPr>
          <w:szCs w:val="20"/>
        </w:rPr>
      </w:pPr>
      <w:r w:rsidRPr="008C1E51">
        <w:rPr>
          <w:rFonts w:cs="Times New Roman"/>
          <w:szCs w:val="20"/>
        </w:rPr>
        <w:t>Łączna kwota zrealizowanych zamówień, w badanym okresie</w:t>
      </w:r>
      <w:r w:rsidRPr="008C1E51">
        <w:rPr>
          <w:rFonts w:cs="Times New Roman"/>
          <w:vertAlign w:val="superscript"/>
        </w:rPr>
        <w:footnoteReference w:id="103"/>
      </w:r>
      <w:r w:rsidRPr="008C1E51">
        <w:rPr>
          <w:rFonts w:cs="Times New Roman"/>
          <w:szCs w:val="20"/>
        </w:rPr>
        <w:t xml:space="preserve"> (tj. w okresie od 1 stycznia 2019 r. do 13 maja 2022 r.) wyniosła 29 326 663,72 zł, w tym: </w:t>
      </w:r>
      <w:r w:rsidRPr="008C1E51">
        <w:rPr>
          <w:szCs w:val="20"/>
        </w:rPr>
        <w:t xml:space="preserve">zamówienia powyżej progów ustawy </w:t>
      </w:r>
      <w:proofErr w:type="spellStart"/>
      <w:r w:rsidRPr="008C1E51">
        <w:rPr>
          <w:szCs w:val="20"/>
        </w:rPr>
        <w:t>Pzp</w:t>
      </w:r>
      <w:proofErr w:type="spellEnd"/>
      <w:r w:rsidRPr="008C1E51">
        <w:rPr>
          <w:szCs w:val="20"/>
        </w:rPr>
        <w:t xml:space="preserve"> na kwotę 19 474 794,69 zł, oraz zamówienia poniżej progów ustawy </w:t>
      </w:r>
      <w:proofErr w:type="spellStart"/>
      <w:r w:rsidRPr="008C1E51">
        <w:rPr>
          <w:szCs w:val="20"/>
        </w:rPr>
        <w:t>Pzp</w:t>
      </w:r>
      <w:proofErr w:type="spellEnd"/>
      <w:r w:rsidRPr="008C1E51">
        <w:rPr>
          <w:szCs w:val="20"/>
        </w:rPr>
        <w:t xml:space="preserve"> na kwotę 9 851 869,03 zł.</w:t>
      </w:r>
    </w:p>
    <w:p w14:paraId="159821DC" w14:textId="77777777" w:rsidR="008C1E51" w:rsidRPr="008C1E51" w:rsidRDefault="008C1E51" w:rsidP="008C1E51">
      <w:pPr>
        <w:spacing w:before="120" w:after="120" w:line="276" w:lineRule="auto"/>
        <w:ind w:right="-142"/>
        <w:jc w:val="right"/>
        <w:rPr>
          <w:szCs w:val="20"/>
        </w:rPr>
      </w:pPr>
      <w:r w:rsidRPr="008C1E51">
        <w:rPr>
          <w:szCs w:val="20"/>
        </w:rPr>
        <w:tab/>
      </w:r>
      <w:r w:rsidRPr="008C1E51">
        <w:rPr>
          <w:szCs w:val="20"/>
        </w:rPr>
        <w:tab/>
      </w:r>
      <w:r w:rsidRPr="008C1E51">
        <w:rPr>
          <w:szCs w:val="20"/>
        </w:rPr>
        <w:tab/>
      </w:r>
      <w:r w:rsidRPr="008C1E51">
        <w:rPr>
          <w:szCs w:val="20"/>
        </w:rPr>
        <w:tab/>
      </w:r>
      <w:r w:rsidRPr="008C1E51">
        <w:rPr>
          <w:szCs w:val="20"/>
        </w:rPr>
        <w:tab/>
      </w:r>
      <w:r w:rsidRPr="008C1E51">
        <w:rPr>
          <w:szCs w:val="20"/>
        </w:rPr>
        <w:tab/>
      </w:r>
      <w:r w:rsidRPr="008C1E51">
        <w:rPr>
          <w:rFonts w:eastAsia="Times New Roman" w:cs="Times New Roman"/>
          <w:szCs w:val="20"/>
          <w:lang w:eastAsia="pl-PL"/>
        </w:rPr>
        <w:t>[Dowód: akta kontroli str. II/72-144]</w:t>
      </w:r>
    </w:p>
    <w:p w14:paraId="0857B211" w14:textId="77777777" w:rsidR="008C1E51" w:rsidRPr="008C1E51" w:rsidRDefault="008C1E51" w:rsidP="008C1E51">
      <w:pPr>
        <w:spacing w:before="120" w:after="120" w:line="276" w:lineRule="auto"/>
        <w:ind w:right="-142"/>
        <w:rPr>
          <w:rFonts w:cs="Times New Roman"/>
          <w:szCs w:val="20"/>
        </w:rPr>
      </w:pPr>
      <w:r w:rsidRPr="008C1E51">
        <w:rPr>
          <w:rFonts w:cs="Times New Roman"/>
          <w:szCs w:val="20"/>
        </w:rPr>
        <w:t>W badanym okresie zostało unieważnionych (w całości lub w części) 16 postępowań</w:t>
      </w:r>
      <w:r w:rsidRPr="008C1E51">
        <w:rPr>
          <w:rFonts w:cs="Times New Roman"/>
          <w:szCs w:val="20"/>
        </w:rPr>
        <w:br/>
        <w:t xml:space="preserve"> o udzielenie zamówienia publicznego. </w:t>
      </w:r>
    </w:p>
    <w:p w14:paraId="2756F20C" w14:textId="77777777" w:rsidR="008C1E51" w:rsidRPr="008C1E51" w:rsidRDefault="008C1E51" w:rsidP="008C1E51">
      <w:pPr>
        <w:spacing w:before="120" w:after="120" w:line="276" w:lineRule="auto"/>
        <w:rPr>
          <w:rFonts w:cs="Times New Roman"/>
          <w:bCs/>
          <w:szCs w:val="20"/>
        </w:rPr>
      </w:pPr>
      <w:r w:rsidRPr="008C1E51">
        <w:rPr>
          <w:rFonts w:cs="Times New Roman"/>
          <w:bCs/>
          <w:szCs w:val="20"/>
        </w:rPr>
        <w:t xml:space="preserve">Kontroli poddano 4 zamówienia publiczne ze 152 zamówień udzielonych przez Park </w:t>
      </w:r>
      <w:r w:rsidRPr="008C1E51">
        <w:rPr>
          <w:rFonts w:cs="Times New Roman"/>
          <w:bCs/>
          <w:szCs w:val="20"/>
        </w:rPr>
        <w:br/>
        <w:t>w okresie od 1 stycznia 2019 r. do 13 maja 2022 r. W trakcie prowadzenia czynności kontrolnych w odniesieniu do jednego z postępowań</w:t>
      </w:r>
      <w:r w:rsidRPr="008C1E51">
        <w:rPr>
          <w:rFonts w:cs="Times New Roman"/>
          <w:bCs/>
          <w:vertAlign w:val="superscript"/>
        </w:rPr>
        <w:footnoteReference w:id="104"/>
      </w:r>
      <w:r w:rsidRPr="008C1E51">
        <w:rPr>
          <w:rFonts w:cs="Times New Roman"/>
          <w:bCs/>
          <w:szCs w:val="20"/>
        </w:rPr>
        <w:t xml:space="preserve"> (Realizacja zabiegów rolnych (…) ustalono, że powyższe </w:t>
      </w:r>
      <w:r w:rsidRPr="008C1E51">
        <w:rPr>
          <w:rFonts w:cs="Times New Roman"/>
          <w:szCs w:val="20"/>
        </w:rPr>
        <w:t xml:space="preserve">postępowanie w Planie zamówień publicznych przewidziano na </w:t>
      </w:r>
      <w:r w:rsidRPr="008C1E51">
        <w:rPr>
          <w:rFonts w:cs="Times New Roman"/>
          <w:szCs w:val="20"/>
        </w:rPr>
        <w:br/>
        <w:t>I kwartał 2021 r., natomiast jego wszczęcie nastąpiło w kwietniu 2021 r., tj. w II kwartale 2021 r. Odnośnie do przesunięcia wszczęcia postępowania pracownik zatrudniony na Samodzielnym Stanowisku do spraw Zamówień Publicznych wyjaśnił, że</w:t>
      </w:r>
      <w:r w:rsidRPr="008C1E51">
        <w:rPr>
          <w:rFonts w:cs="Times New Roman"/>
          <w:vertAlign w:val="superscript"/>
        </w:rPr>
        <w:footnoteReference w:id="105"/>
      </w:r>
      <w:r w:rsidRPr="008C1E51">
        <w:rPr>
          <w:rFonts w:cs="Times New Roman"/>
          <w:szCs w:val="20"/>
        </w:rPr>
        <w:t xml:space="preserve"> spowodowane to było koniecznością szczegółowego doprecyzowania opisu przedmiotu zamówienia, </w:t>
      </w:r>
      <w:r w:rsidRPr="008C1E51">
        <w:rPr>
          <w:rFonts w:cs="Times New Roman"/>
          <w:szCs w:val="20"/>
        </w:rPr>
        <w:br/>
        <w:t xml:space="preserve">a w związku z okolicznością, że prace rolne na terenach łąkowych mogły być rozpoczęte nie wcześniej niż 15 czerwca 2021 r., czas od kwietnia był wystarczający do przeprowadzenia procedury wyboru wykonawcy. Wszczęcie postępowania w II kwartale (miast w pierwotnie zakładanym I kwartale) nie mogło mieć też wpływu na proces realizacji zadań ochronnych </w:t>
      </w:r>
      <w:r w:rsidRPr="008C1E51">
        <w:rPr>
          <w:rFonts w:cs="Times New Roman"/>
          <w:szCs w:val="20"/>
        </w:rPr>
        <w:br/>
        <w:t xml:space="preserve">z uwagi na okoliczność, że zadania takie (w tym przypadku polegające na pracach rolnych na terenach łąkowych) mogły zostać faktycznie rozpoczęte po 15 czerwca, czyli pod koniec II kwartału. </w:t>
      </w:r>
    </w:p>
    <w:p w14:paraId="4D906EDB" w14:textId="77777777" w:rsidR="008C1E51" w:rsidRPr="008C1E51" w:rsidRDefault="008C1E51" w:rsidP="008C1E51">
      <w:pPr>
        <w:spacing w:before="120" w:after="120" w:line="276" w:lineRule="auto"/>
        <w:jc w:val="right"/>
        <w:rPr>
          <w:rFonts w:cs="Times New Roman"/>
          <w:szCs w:val="20"/>
        </w:rPr>
      </w:pPr>
      <w:r w:rsidRPr="008C1E51">
        <w:rPr>
          <w:rFonts w:eastAsia="Times New Roman" w:cs="Times New Roman"/>
          <w:szCs w:val="20"/>
          <w:lang w:eastAsia="pl-PL"/>
        </w:rPr>
        <w:t>[Dowód: akta kontroli str. II/125-157, II/174-175]</w:t>
      </w:r>
    </w:p>
    <w:p w14:paraId="38F99FC0"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Mając na uwadze powyższe – w opinii Kontrolującego – trudno jest się w opisywanym przypadku doszukać po stronie Zamawiającego uchybienia, które mogłoby mieć wpływ na wybór wykonawcy, a w konsekwencji naruszać – fundamentalną w obszarze zamówień publicznych - zasadę konkurencji.  Należy jednak mieć na względzie, że zgodnie z wytycznymi z art. 23 ustawy </w:t>
      </w:r>
      <w:proofErr w:type="spellStart"/>
      <w:r w:rsidRPr="008C1E51">
        <w:rPr>
          <w:rFonts w:cs="Times New Roman"/>
          <w:szCs w:val="20"/>
        </w:rPr>
        <w:t>Pzp</w:t>
      </w:r>
      <w:proofErr w:type="spellEnd"/>
      <w:r w:rsidRPr="008C1E51">
        <w:rPr>
          <w:rFonts w:cs="Times New Roman"/>
          <w:szCs w:val="20"/>
        </w:rPr>
        <w:t xml:space="preserve"> plan zamówień publicznych należy aktualizować w odniesieniu do zmieniających się </w:t>
      </w:r>
      <w:r w:rsidRPr="008C1E51">
        <w:rPr>
          <w:rFonts w:cs="Times New Roman"/>
          <w:bCs/>
          <w:szCs w:val="20"/>
        </w:rPr>
        <w:t xml:space="preserve">w ciągu roku potrzeb zamawiającego. Plan postępowań ze swojej istoty wyraża zamysł zamawiającego udzielenia w przyszłości określonych zamówień, w związku </w:t>
      </w:r>
      <w:r w:rsidRPr="008C1E51">
        <w:rPr>
          <w:rFonts w:cs="Times New Roman"/>
          <w:bCs/>
          <w:szCs w:val="20"/>
        </w:rPr>
        <w:br/>
        <w:t xml:space="preserve">z dynamicznym charakterem procesów zakupowych, może się okazać – jak w opisanym przypadku – że informacje podane w planie postępowań z biegiem czasu uległy dezaktualizacji. W takiej sytuacji zamawiający ma obowiązek dostosowania informacji zawartych w planie do obecnego stanu wiedzy i zmienionego stanu faktycznego. Obowiązek zapewnienia aktualizacji planu postępowań został nałożony na zamawiającego w art. 23 ust. 4 ustawy </w:t>
      </w:r>
      <w:proofErr w:type="spellStart"/>
      <w:r w:rsidRPr="008C1E51">
        <w:rPr>
          <w:rFonts w:cs="Times New Roman"/>
          <w:bCs/>
          <w:szCs w:val="20"/>
        </w:rPr>
        <w:t>Pzp</w:t>
      </w:r>
      <w:proofErr w:type="spellEnd"/>
      <w:r w:rsidRPr="008C1E51">
        <w:rPr>
          <w:rFonts w:cs="Times New Roman"/>
          <w:bCs/>
          <w:szCs w:val="20"/>
        </w:rPr>
        <w:t xml:space="preserve">. </w:t>
      </w:r>
    </w:p>
    <w:p w14:paraId="5B725A92"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Ponadto, w odniesieniu do dwóch postępowań realizowanych według postanowień Regulaminu udzielania zamówień publicznych poniżej 30 000 Euro zł (tj. Wykonanie usługi zarządzania niestrzeżonymi parkingami (…) oraz Dostawa </w:t>
      </w:r>
      <w:proofErr w:type="spellStart"/>
      <w:r w:rsidRPr="008C1E51">
        <w:rPr>
          <w:rFonts w:cs="Times New Roman"/>
          <w:szCs w:val="20"/>
        </w:rPr>
        <w:t>sortów</w:t>
      </w:r>
      <w:proofErr w:type="spellEnd"/>
      <w:r w:rsidRPr="008C1E51">
        <w:rPr>
          <w:rFonts w:cs="Times New Roman"/>
          <w:szCs w:val="20"/>
        </w:rPr>
        <w:t xml:space="preserve"> mundurowych w 2020 r.” w przekazanej dokumentacji dotyczącej rzeczonych postępowań stwierdzono brak oświadczeń o braku powiązań z wykonawcami. W prawdzie Regulamin zamówień publicznych nie wymaga złożenia takich oświadczeń od pracowników, niemniej w ocenie Kontrolującego ich złożenie zapewniałoby przejrzystość prowadzonych postępowań.</w:t>
      </w:r>
    </w:p>
    <w:p w14:paraId="4D097A5D" w14:textId="77777777" w:rsidR="008C1E51" w:rsidRPr="008C1E51" w:rsidRDefault="008C1E51" w:rsidP="008C1E51">
      <w:pPr>
        <w:spacing w:before="120" w:after="120" w:line="276" w:lineRule="auto"/>
        <w:rPr>
          <w:rFonts w:cs="Times New Roman"/>
          <w:b/>
          <w:szCs w:val="20"/>
        </w:rPr>
      </w:pPr>
      <w:r w:rsidRPr="008C1E51">
        <w:rPr>
          <w:rFonts w:cs="Times New Roman"/>
          <w:b/>
          <w:szCs w:val="20"/>
        </w:rPr>
        <w:t>Ocena obszaru</w:t>
      </w:r>
    </w:p>
    <w:p w14:paraId="7FA82E21" w14:textId="7B0FF89D" w:rsidR="008C1E51" w:rsidRPr="008C1E51" w:rsidRDefault="008C1E51" w:rsidP="008C1E51">
      <w:pPr>
        <w:rPr>
          <w:rFonts w:cs="Times New Roman"/>
          <w:bCs/>
          <w:szCs w:val="20"/>
        </w:rPr>
      </w:pPr>
      <w:r w:rsidRPr="008C1E51">
        <w:rPr>
          <w:rFonts w:eastAsia="Calibri" w:cs="Times New Roman"/>
          <w:iCs/>
          <w:szCs w:val="20"/>
        </w:rPr>
        <w:t>Stwierdzono uchybienia formalne, które nie miały wpływu na przebieg i rozstrzygni</w:t>
      </w:r>
      <w:r w:rsidR="00FD6821">
        <w:rPr>
          <w:rFonts w:eastAsia="Calibri" w:cs="Times New Roman"/>
          <w:iCs/>
          <w:szCs w:val="20"/>
        </w:rPr>
        <w:t>ę</w:t>
      </w:r>
      <w:r w:rsidRPr="008C1E51">
        <w:rPr>
          <w:rFonts w:eastAsia="Calibri" w:cs="Times New Roman"/>
          <w:iCs/>
          <w:szCs w:val="20"/>
        </w:rPr>
        <w:t xml:space="preserve">cie postępowań. </w:t>
      </w:r>
      <w:r w:rsidRPr="008C1E51">
        <w:rPr>
          <w:rFonts w:cs="Times New Roman"/>
          <w:bCs/>
          <w:szCs w:val="20"/>
        </w:rPr>
        <w:t xml:space="preserve">W dwóch badanych postępowaniach stwierdzono brak oświadczeń o braku powiązań z wykonawcami starającymi się o udzielenie zamówienia. Ponadto stwierdzono brak aktualizacji Planu zamówień Publicznych w roku 2021, co było niezgodne </w:t>
      </w:r>
      <w:r w:rsidR="00211832" w:rsidRPr="008C1E51">
        <w:rPr>
          <w:rFonts w:cs="Times New Roman"/>
          <w:bCs/>
          <w:szCs w:val="20"/>
        </w:rPr>
        <w:t>z art.</w:t>
      </w:r>
      <w:r w:rsidRPr="008C1E51">
        <w:rPr>
          <w:rFonts w:cs="Times New Roman"/>
          <w:bCs/>
          <w:szCs w:val="20"/>
        </w:rPr>
        <w:t xml:space="preserve"> 23 ust. 4 ustawy </w:t>
      </w:r>
      <w:proofErr w:type="spellStart"/>
      <w:r w:rsidRPr="008C1E51">
        <w:rPr>
          <w:rFonts w:cs="Times New Roman"/>
          <w:bCs/>
          <w:szCs w:val="20"/>
        </w:rPr>
        <w:t>Pzp</w:t>
      </w:r>
      <w:proofErr w:type="spellEnd"/>
      <w:r w:rsidRPr="008C1E51">
        <w:rPr>
          <w:rFonts w:cs="Times New Roman"/>
          <w:bCs/>
          <w:szCs w:val="20"/>
        </w:rPr>
        <w:t>.</w:t>
      </w:r>
    </w:p>
    <w:p w14:paraId="71FE9ADA" w14:textId="77777777" w:rsidR="008C1E51" w:rsidRPr="008C1E51" w:rsidRDefault="008C1E51" w:rsidP="008C1E51">
      <w:pPr>
        <w:numPr>
          <w:ilvl w:val="0"/>
          <w:numId w:val="12"/>
        </w:numPr>
        <w:spacing w:before="120" w:after="120" w:line="276" w:lineRule="auto"/>
        <w:ind w:left="425" w:hanging="425"/>
        <w:rPr>
          <w:rFonts w:cs="Times New Roman"/>
          <w:b/>
          <w:iCs/>
          <w:szCs w:val="20"/>
        </w:rPr>
      </w:pPr>
      <w:r w:rsidRPr="008C1E51">
        <w:rPr>
          <w:rFonts w:cs="Times New Roman"/>
          <w:b/>
          <w:iCs/>
          <w:szCs w:val="20"/>
        </w:rPr>
        <w:t>Gospodarowanie nieruchomościami Skarbu Państwa znajdującymi się w zasobach Parku.</w:t>
      </w:r>
    </w:p>
    <w:p w14:paraId="4F878891" w14:textId="77777777" w:rsidR="008C1E51" w:rsidRPr="008C1E51" w:rsidRDefault="008C1E51" w:rsidP="008C1E51">
      <w:pPr>
        <w:numPr>
          <w:ilvl w:val="1"/>
          <w:numId w:val="26"/>
        </w:numPr>
        <w:tabs>
          <w:tab w:val="left" w:pos="6096"/>
          <w:tab w:val="left" w:pos="7514"/>
        </w:tabs>
        <w:suppressAutoHyphens/>
        <w:spacing w:before="120" w:after="120" w:line="276" w:lineRule="auto"/>
        <w:ind w:left="426" w:hanging="426"/>
        <w:contextualSpacing/>
        <w:rPr>
          <w:rFonts w:cs="Times New Roman"/>
          <w:szCs w:val="20"/>
          <w:u w:val="single"/>
        </w:rPr>
      </w:pPr>
      <w:r w:rsidRPr="008C1E51">
        <w:rPr>
          <w:rFonts w:cs="Times New Roman"/>
          <w:szCs w:val="20"/>
          <w:u w:val="single"/>
        </w:rPr>
        <w:t>Gospodarowanie budynkami Skarbu Państwa znajdującymi się w zasobach Parku.</w:t>
      </w:r>
    </w:p>
    <w:p w14:paraId="1D8F07C2" w14:textId="77777777" w:rsidR="008C1E51" w:rsidRPr="008C1E51" w:rsidRDefault="008C1E51" w:rsidP="008C1E51">
      <w:pPr>
        <w:tabs>
          <w:tab w:val="left" w:pos="6096"/>
          <w:tab w:val="left" w:pos="7514"/>
        </w:tabs>
        <w:spacing w:before="120" w:after="120" w:line="276" w:lineRule="auto"/>
        <w:rPr>
          <w:rFonts w:cs="Times New Roman"/>
          <w:szCs w:val="20"/>
          <w:u w:val="single"/>
        </w:rPr>
      </w:pPr>
      <w:r w:rsidRPr="008C1E51">
        <w:rPr>
          <w:rFonts w:cs="Times New Roman"/>
          <w:szCs w:val="20"/>
          <w:u w:val="single"/>
        </w:rPr>
        <w:t xml:space="preserve">Budynki Skarbu Państwa znajdujące się w zasobach </w:t>
      </w:r>
      <w:proofErr w:type="spellStart"/>
      <w:r w:rsidRPr="008C1E51">
        <w:rPr>
          <w:rFonts w:cs="Times New Roman"/>
          <w:szCs w:val="20"/>
          <w:u w:val="single"/>
        </w:rPr>
        <w:t>BdPN</w:t>
      </w:r>
      <w:proofErr w:type="spellEnd"/>
      <w:r w:rsidRPr="008C1E51">
        <w:rPr>
          <w:rFonts w:cs="Times New Roman"/>
          <w:szCs w:val="20"/>
          <w:u w:val="single"/>
        </w:rPr>
        <w:t>.</w:t>
      </w:r>
    </w:p>
    <w:p w14:paraId="1329523B" w14:textId="77777777" w:rsidR="008C1E51" w:rsidRPr="008C1E51" w:rsidRDefault="008C1E51" w:rsidP="008C1E51">
      <w:pPr>
        <w:autoSpaceDE w:val="0"/>
        <w:autoSpaceDN w:val="0"/>
        <w:adjustRightInd w:val="0"/>
        <w:spacing w:before="120" w:after="120" w:line="276" w:lineRule="auto"/>
        <w:rPr>
          <w:rFonts w:cs="Times New Roman"/>
          <w:color w:val="000000" w:themeColor="text1"/>
          <w:szCs w:val="20"/>
        </w:rPr>
      </w:pP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dysponował</w:t>
      </w:r>
      <w:r w:rsidRPr="008C1E51">
        <w:rPr>
          <w:rFonts w:ascii="Times New Roman" w:hAnsi="Times New Roman" w:cs="Times New Roman"/>
          <w:color w:val="000000" w:themeColor="text1"/>
          <w:sz w:val="24"/>
          <w:szCs w:val="24"/>
          <w:vertAlign w:val="superscript"/>
        </w:rPr>
        <w:footnoteReference w:id="106"/>
      </w:r>
      <w:r w:rsidRPr="008C1E51">
        <w:rPr>
          <w:rFonts w:cs="Times New Roman"/>
          <w:color w:val="000000" w:themeColor="text1"/>
          <w:szCs w:val="20"/>
        </w:rPr>
        <w:t xml:space="preserve"> łącznie 200 budynkami, które przeznaczono na działalność w liczbie:</w:t>
      </w:r>
    </w:p>
    <w:p w14:paraId="3344501D" w14:textId="77777777" w:rsidR="008C1E51" w:rsidRPr="008C1E51" w:rsidRDefault="008C1E51" w:rsidP="008C1E51">
      <w:pPr>
        <w:numPr>
          <w:ilvl w:val="0"/>
          <w:numId w:val="7"/>
        </w:numPr>
        <w:autoSpaceDE w:val="0"/>
        <w:autoSpaceDN w:val="0"/>
        <w:adjustRightInd w:val="0"/>
        <w:spacing w:after="0" w:line="276" w:lineRule="auto"/>
        <w:ind w:left="714" w:hanging="357"/>
        <w:rPr>
          <w:rFonts w:cs="Times New Roman"/>
          <w:color w:val="000000" w:themeColor="text1"/>
          <w:szCs w:val="20"/>
        </w:rPr>
      </w:pPr>
      <w:r w:rsidRPr="008C1E51">
        <w:rPr>
          <w:rFonts w:cs="Times New Roman"/>
          <w:color w:val="000000" w:themeColor="text1"/>
          <w:szCs w:val="20"/>
        </w:rPr>
        <w:t>administracyjno-biurową: 2</w:t>
      </w:r>
    </w:p>
    <w:p w14:paraId="5EC24897" w14:textId="77777777" w:rsidR="008C1E51" w:rsidRPr="008C1E51" w:rsidRDefault="008C1E51" w:rsidP="008C1E51">
      <w:pPr>
        <w:numPr>
          <w:ilvl w:val="0"/>
          <w:numId w:val="7"/>
        </w:numPr>
        <w:autoSpaceDE w:val="0"/>
        <w:autoSpaceDN w:val="0"/>
        <w:adjustRightInd w:val="0"/>
        <w:spacing w:after="0" w:line="276" w:lineRule="auto"/>
        <w:ind w:left="714" w:hanging="357"/>
        <w:rPr>
          <w:rFonts w:cs="Times New Roman"/>
          <w:color w:val="000000" w:themeColor="text1"/>
          <w:szCs w:val="20"/>
        </w:rPr>
      </w:pPr>
      <w:r w:rsidRPr="008C1E51">
        <w:rPr>
          <w:rFonts w:cs="Times New Roman"/>
          <w:color w:val="000000" w:themeColor="text1"/>
          <w:szCs w:val="20"/>
        </w:rPr>
        <w:t>gospodarczą: 51,</w:t>
      </w:r>
    </w:p>
    <w:p w14:paraId="5E67C3D0" w14:textId="77777777" w:rsidR="008C1E51" w:rsidRPr="008C1E51" w:rsidRDefault="008C1E51" w:rsidP="008C1E51">
      <w:pPr>
        <w:numPr>
          <w:ilvl w:val="0"/>
          <w:numId w:val="7"/>
        </w:numPr>
        <w:autoSpaceDE w:val="0"/>
        <w:autoSpaceDN w:val="0"/>
        <w:adjustRightInd w:val="0"/>
        <w:spacing w:after="0" w:line="276" w:lineRule="auto"/>
        <w:ind w:left="714" w:hanging="357"/>
        <w:rPr>
          <w:rFonts w:cs="Times New Roman"/>
          <w:color w:val="000000" w:themeColor="text1"/>
          <w:szCs w:val="20"/>
        </w:rPr>
      </w:pPr>
      <w:r w:rsidRPr="008C1E51">
        <w:rPr>
          <w:rFonts w:cs="Times New Roman"/>
          <w:color w:val="000000" w:themeColor="text1"/>
          <w:szCs w:val="20"/>
        </w:rPr>
        <w:t>mieszkalną: 46,</w:t>
      </w:r>
    </w:p>
    <w:p w14:paraId="4DCFDF2C" w14:textId="77777777" w:rsidR="008C1E51" w:rsidRPr="008C1E51" w:rsidRDefault="008C1E51" w:rsidP="008C1E51">
      <w:pPr>
        <w:numPr>
          <w:ilvl w:val="0"/>
          <w:numId w:val="7"/>
        </w:numPr>
        <w:autoSpaceDE w:val="0"/>
        <w:autoSpaceDN w:val="0"/>
        <w:adjustRightInd w:val="0"/>
        <w:spacing w:after="0" w:line="276" w:lineRule="auto"/>
        <w:ind w:left="714" w:hanging="357"/>
        <w:rPr>
          <w:rFonts w:cs="Times New Roman"/>
          <w:szCs w:val="20"/>
        </w:rPr>
      </w:pPr>
      <w:r w:rsidRPr="008C1E51">
        <w:rPr>
          <w:rFonts w:cs="Times New Roman"/>
          <w:szCs w:val="20"/>
        </w:rPr>
        <w:t>pozostałą: 101</w:t>
      </w:r>
    </w:p>
    <w:p w14:paraId="3AB1884E"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o łącznej powierzchni: 31 290,62 m</w:t>
      </w:r>
      <w:r w:rsidRPr="008C1E51">
        <w:rPr>
          <w:rFonts w:cs="Times New Roman"/>
          <w:szCs w:val="20"/>
          <w:vertAlign w:val="superscript"/>
        </w:rPr>
        <w:t>2</w:t>
      </w:r>
      <w:r w:rsidRPr="008C1E51">
        <w:rPr>
          <w:rFonts w:cs="Times New Roman"/>
          <w:szCs w:val="20"/>
        </w:rPr>
        <w:t>.</w:t>
      </w:r>
    </w:p>
    <w:p w14:paraId="47C6F2B3" w14:textId="77777777" w:rsidR="008C1E51" w:rsidRPr="008C1E51" w:rsidRDefault="008C1E51" w:rsidP="008C1E51">
      <w:pPr>
        <w:tabs>
          <w:tab w:val="left" w:pos="426"/>
          <w:tab w:val="left" w:pos="6096"/>
          <w:tab w:val="left" w:pos="7514"/>
        </w:tabs>
        <w:spacing w:before="120" w:after="120" w:line="276" w:lineRule="auto"/>
        <w:rPr>
          <w:rFonts w:cs="Times New Roman"/>
          <w:szCs w:val="20"/>
        </w:rPr>
      </w:pPr>
      <w:r w:rsidRPr="008C1E51">
        <w:rPr>
          <w:rFonts w:cs="Times New Roman"/>
          <w:szCs w:val="20"/>
        </w:rPr>
        <w:t>Łączna wartość księgowa ww. budynków to 32 056 437,04 zł</w:t>
      </w:r>
      <w:r w:rsidRPr="008C1E51">
        <w:rPr>
          <w:rFonts w:cs="Times New Roman"/>
          <w:vertAlign w:val="superscript"/>
        </w:rPr>
        <w:footnoteReference w:id="107"/>
      </w:r>
      <w:r w:rsidRPr="008C1E51">
        <w:rPr>
          <w:rFonts w:cs="Times New Roman"/>
          <w:szCs w:val="20"/>
        </w:rPr>
        <w:t>.</w:t>
      </w:r>
    </w:p>
    <w:p w14:paraId="3659991D" w14:textId="77777777" w:rsidR="008C1E51" w:rsidRPr="008C1E51" w:rsidRDefault="008C1E51" w:rsidP="008C1E51">
      <w:pPr>
        <w:tabs>
          <w:tab w:val="left" w:pos="426"/>
          <w:tab w:val="left" w:pos="6096"/>
          <w:tab w:val="left" w:pos="7514"/>
        </w:tabs>
        <w:spacing w:before="120" w:after="120" w:line="276" w:lineRule="auto"/>
        <w:jc w:val="right"/>
        <w:rPr>
          <w:rFonts w:cs="Times New Roman"/>
          <w:szCs w:val="20"/>
        </w:rPr>
      </w:pPr>
      <w:r w:rsidRPr="008C1E51">
        <w:rPr>
          <w:rFonts w:cs="Times New Roman"/>
          <w:szCs w:val="20"/>
        </w:rPr>
        <w:t xml:space="preserve"> </w:t>
      </w:r>
      <w:r w:rsidRPr="008C1E51">
        <w:rPr>
          <w:rFonts w:eastAsia="Times New Roman" w:cs="Times New Roman"/>
          <w:szCs w:val="20"/>
          <w:lang w:eastAsia="pl-PL"/>
        </w:rPr>
        <w:t>[Dowód: akta kontroli str. II/176-201]</w:t>
      </w:r>
    </w:p>
    <w:p w14:paraId="2653D071" w14:textId="77777777" w:rsidR="008C1E51" w:rsidRPr="008C1E51" w:rsidRDefault="008C1E51" w:rsidP="008C1E51">
      <w:pPr>
        <w:tabs>
          <w:tab w:val="left" w:pos="6096"/>
          <w:tab w:val="left" w:pos="7514"/>
        </w:tabs>
        <w:spacing w:before="120" w:after="120" w:line="276" w:lineRule="auto"/>
        <w:rPr>
          <w:rFonts w:cs="Times New Roman"/>
          <w:color w:val="44546A" w:themeColor="text2"/>
          <w:szCs w:val="20"/>
          <w:u w:val="single"/>
        </w:rPr>
      </w:pPr>
      <w:r w:rsidRPr="008C1E51">
        <w:rPr>
          <w:rFonts w:cs="Times New Roman"/>
          <w:szCs w:val="20"/>
          <w:u w:val="single"/>
        </w:rPr>
        <w:t>Gospodarowanie budynkami w strukturze organizacyjnej Parku oraz uregulowania wewnętrzne w zakresie gospodarowania nieruchomościami.</w:t>
      </w:r>
    </w:p>
    <w:p w14:paraId="78704FE5" w14:textId="77777777" w:rsidR="008C1E51" w:rsidRPr="008C1E51" w:rsidRDefault="008C1E51" w:rsidP="008C1E51">
      <w:pPr>
        <w:spacing w:before="120" w:after="120" w:line="276" w:lineRule="auto"/>
        <w:rPr>
          <w:rFonts w:cs="Times New Roman"/>
          <w:szCs w:val="20"/>
          <w:lang w:eastAsia="pl-PL"/>
        </w:rPr>
      </w:pPr>
      <w:r w:rsidRPr="008C1E51">
        <w:rPr>
          <w:rFonts w:cs="Times New Roman"/>
          <w:szCs w:val="20"/>
          <w:lang w:eastAsia="pl-PL"/>
        </w:rPr>
        <w:t xml:space="preserve">W okresie objętym kontrolą w </w:t>
      </w:r>
      <w:proofErr w:type="spellStart"/>
      <w:r w:rsidRPr="008C1E51">
        <w:rPr>
          <w:rFonts w:cs="Times New Roman"/>
          <w:szCs w:val="20"/>
          <w:lang w:eastAsia="pl-PL"/>
        </w:rPr>
        <w:t>BdPN</w:t>
      </w:r>
      <w:proofErr w:type="spellEnd"/>
      <w:r w:rsidRPr="008C1E51">
        <w:rPr>
          <w:rFonts w:cs="Times New Roman"/>
          <w:szCs w:val="20"/>
          <w:lang w:eastAsia="pl-PL"/>
        </w:rPr>
        <w:t xml:space="preserve"> obowiązywały uregulowania wewnętrzne w zakresie gospodarowania nieruchomościami</w:t>
      </w:r>
      <w:r w:rsidRPr="008C1E51">
        <w:rPr>
          <w:rFonts w:cs="Times New Roman"/>
          <w:vertAlign w:val="superscript"/>
          <w:lang w:eastAsia="pl-PL"/>
        </w:rPr>
        <w:footnoteReference w:id="108"/>
      </w:r>
      <w:r w:rsidRPr="008C1E51">
        <w:rPr>
          <w:rFonts w:cs="Times New Roman"/>
          <w:szCs w:val="20"/>
          <w:lang w:eastAsia="pl-PL"/>
        </w:rPr>
        <w:t>. W dokumencie tym wskazano, że zawarcie umowy</w:t>
      </w:r>
      <w:r w:rsidRPr="008C1E51">
        <w:rPr>
          <w:rFonts w:cs="Times New Roman"/>
          <w:szCs w:val="20"/>
          <w:lang w:eastAsia="pl-PL"/>
        </w:rPr>
        <w:br/>
        <w:t xml:space="preserve">w zakresie rozporządzania nieruchomością będącą w zasobach Parku następuje – co do zasady - na drodze przetargu. Określono również enumeratywnie, w jakich przypadkach umowa dotycząca rozporządzenia nieruchomością będącą w posiadaniu Parku może nastąpić w drodze bezprzetargowej. Mocą wskazanego wyżej Zarządzenia, powołano do życia Komisję do rozporządzania nieruchomościami Bieszczadzkiego Parku Narodowego. Do zadań ww. Komisji należało m.in.: ocenianie przydatności nieruchomości do dalszego użytkowania, proponowanie sposobu gospodarowania nieruchomościami (sprzedaż, oddanie w najem, dzierżawa, rozbiórka), przygotowanie, przeprowadzenie przetargów oraz rokowań na rozporządzanie nieruchomościami </w:t>
      </w:r>
      <w:proofErr w:type="spellStart"/>
      <w:r w:rsidRPr="008C1E51">
        <w:rPr>
          <w:rFonts w:cs="Times New Roman"/>
          <w:szCs w:val="20"/>
          <w:lang w:eastAsia="pl-PL"/>
        </w:rPr>
        <w:t>BdPN</w:t>
      </w:r>
      <w:proofErr w:type="spellEnd"/>
      <w:r w:rsidRPr="008C1E51">
        <w:rPr>
          <w:rFonts w:cs="Times New Roman"/>
          <w:szCs w:val="20"/>
          <w:lang w:eastAsia="pl-PL"/>
        </w:rPr>
        <w:t>, nadzór nad likwidacją nieruchomości i inne.</w:t>
      </w:r>
    </w:p>
    <w:p w14:paraId="07B60406"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Według Regulaminu organizacyjnego </w:t>
      </w:r>
      <w:proofErr w:type="spellStart"/>
      <w:r w:rsidRPr="008C1E51">
        <w:rPr>
          <w:rFonts w:cs="Times New Roman"/>
          <w:color w:val="000000" w:themeColor="text1"/>
          <w:szCs w:val="20"/>
        </w:rPr>
        <w:t>BdPN</w:t>
      </w:r>
      <w:proofErr w:type="spellEnd"/>
      <w:r w:rsidRPr="008C1E51">
        <w:rPr>
          <w:rFonts w:cs="Times New Roman"/>
          <w:color w:val="000000" w:themeColor="text1"/>
          <w:vertAlign w:val="superscript"/>
        </w:rPr>
        <w:footnoteReference w:id="109"/>
      </w:r>
      <w:r w:rsidRPr="008C1E51">
        <w:rPr>
          <w:rFonts w:cs="Times New Roman"/>
          <w:color w:val="000000" w:themeColor="text1"/>
          <w:szCs w:val="20"/>
        </w:rPr>
        <w:t xml:space="preserve"> do zadań kierownika i pracowników Działu Administracji i Gospodarowania Mieniem należało w szczególności: administrowanie </w:t>
      </w:r>
      <w:r w:rsidRPr="008C1E51">
        <w:rPr>
          <w:rFonts w:cs="Times New Roman"/>
          <w:color w:val="000000" w:themeColor="text1"/>
          <w:szCs w:val="20"/>
        </w:rPr>
        <w:br/>
        <w:t xml:space="preserve">i gospodarowanie mieniem Parku, przygotowywanie programów nowych inwestycji oraz modernizacji i remontów budynków i budowli, przygotowywanie umów na wykonywanie inwestycji i remontów, przygotowywanie umów dzierżaw i umów najmu dotyczących nieruchomości Parku, nadzór nad prowadzonymi inwestycjami i remontami, nadzór nad budynkami i budowlami w tym m. in. przeglądy budowlane, przeglądy instalacji elektrycznych i kominiarskich, prowadzenie bieżącej dokumentacji dla wszystkich budynków i obiektów budowlanych parku. Nadto, zgodnie z Regulaminem organizacyjnym, Kierownik Działu Administracji i Gospodarowania Mieniem odpowiadał za: zgodny </w:t>
      </w:r>
      <w:r w:rsidRPr="008C1E51">
        <w:rPr>
          <w:rFonts w:cs="Times New Roman"/>
          <w:color w:val="000000" w:themeColor="text1"/>
          <w:szCs w:val="20"/>
        </w:rPr>
        <w:br/>
        <w:t xml:space="preserve">z prawem przebieg robót budowlanych, remontowych i rozbiórkowych, przygotowywanie projektów postanowień odnoszących się do decyzji o warunkach zabudowy </w:t>
      </w:r>
      <w:r w:rsidRPr="008C1E51">
        <w:rPr>
          <w:rFonts w:cs="Times New Roman"/>
          <w:color w:val="000000" w:themeColor="text1"/>
          <w:szCs w:val="20"/>
        </w:rPr>
        <w:br/>
        <w:t xml:space="preserve">i zagospodarowania terenu. </w:t>
      </w:r>
    </w:p>
    <w:p w14:paraId="6CC50928"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cs="Times New Roman"/>
          <w:color w:val="000000" w:themeColor="text1"/>
          <w:szCs w:val="20"/>
        </w:rPr>
        <w:tab/>
      </w:r>
      <w:r w:rsidRPr="008C1E51">
        <w:rPr>
          <w:rFonts w:cs="Times New Roman"/>
          <w:color w:val="000000" w:themeColor="text1"/>
          <w:szCs w:val="20"/>
        </w:rPr>
        <w:tab/>
      </w:r>
      <w:r w:rsidRPr="008C1E51">
        <w:rPr>
          <w:rFonts w:cs="Times New Roman"/>
          <w:color w:val="000000" w:themeColor="text1"/>
          <w:szCs w:val="20"/>
        </w:rPr>
        <w:tab/>
      </w:r>
      <w:r w:rsidRPr="008C1E51">
        <w:rPr>
          <w:rFonts w:cs="Times New Roman"/>
          <w:color w:val="000000" w:themeColor="text1"/>
          <w:szCs w:val="20"/>
        </w:rPr>
        <w:tab/>
      </w:r>
      <w:r w:rsidRPr="008C1E51">
        <w:rPr>
          <w:rFonts w:cs="Times New Roman"/>
          <w:color w:val="000000" w:themeColor="text1"/>
          <w:szCs w:val="20"/>
        </w:rPr>
        <w:tab/>
      </w:r>
      <w:r w:rsidRPr="008C1E51">
        <w:rPr>
          <w:rFonts w:eastAsia="Times New Roman" w:cs="Times New Roman"/>
          <w:szCs w:val="20"/>
          <w:lang w:eastAsia="pl-PL"/>
        </w:rPr>
        <w:t>[Dowód: akta kontroli str. II/202-215, I/246-291]</w:t>
      </w:r>
    </w:p>
    <w:p w14:paraId="5DFD3F76" w14:textId="2198831F" w:rsidR="008C1E51" w:rsidRPr="008C1E51" w:rsidRDefault="008C1E51" w:rsidP="008C1E51">
      <w:pPr>
        <w:spacing w:before="120" w:after="120" w:line="276" w:lineRule="auto"/>
        <w:rPr>
          <w:color w:val="000000" w:themeColor="text1"/>
          <w:szCs w:val="20"/>
        </w:rPr>
      </w:pPr>
      <w:r w:rsidRPr="008C1E51">
        <w:rPr>
          <w:color w:val="000000" w:themeColor="text1"/>
          <w:szCs w:val="20"/>
          <w:u w:val="single"/>
        </w:rPr>
        <w:t>Ewidencja budynków</w:t>
      </w:r>
      <w:r w:rsidRPr="008C1E51">
        <w:rPr>
          <w:color w:val="000000" w:themeColor="text1"/>
          <w:szCs w:val="20"/>
        </w:rPr>
        <w:t>.</w:t>
      </w:r>
    </w:p>
    <w:p w14:paraId="57787C7D" w14:textId="77777777" w:rsidR="008C1E51" w:rsidRPr="008C1E51" w:rsidRDefault="008C1E51" w:rsidP="008C1E51">
      <w:pPr>
        <w:spacing w:before="120" w:after="120" w:line="276" w:lineRule="auto"/>
      </w:pPr>
      <w:r w:rsidRPr="008C1E51">
        <w:rPr>
          <w:rFonts w:cs="Times New Roman"/>
          <w:color w:val="000000" w:themeColor="text1"/>
          <w:szCs w:val="20"/>
        </w:rPr>
        <w:t xml:space="preserve">Park prowadził ewidencję budynków, tj. środków trwałych wraz z ich umorzeniem. Ewidencja prowadzona była przez pracownika Działu Finansowo- Księgowego przy zastosowaniu programu </w:t>
      </w:r>
      <w:proofErr w:type="spellStart"/>
      <w:r w:rsidRPr="008C1E51">
        <w:rPr>
          <w:rFonts w:cs="Times New Roman"/>
          <w:color w:val="000000" w:themeColor="text1"/>
          <w:szCs w:val="20"/>
        </w:rPr>
        <w:t>Comarch</w:t>
      </w:r>
      <w:proofErr w:type="spellEnd"/>
      <w:r w:rsidRPr="008C1E51">
        <w:rPr>
          <w:rFonts w:cs="Times New Roman"/>
          <w:color w:val="000000" w:themeColor="text1"/>
          <w:szCs w:val="20"/>
        </w:rPr>
        <w:t>-Optima</w:t>
      </w:r>
      <w:r w:rsidRPr="008C1E51">
        <w:rPr>
          <w:rFonts w:cs="Times New Roman"/>
          <w:vertAlign w:val="superscript"/>
        </w:rPr>
        <w:footnoteReference w:id="110"/>
      </w:r>
      <w:r w:rsidRPr="008C1E51">
        <w:rPr>
          <w:rFonts w:cs="Times New Roman"/>
          <w:color w:val="000000" w:themeColor="text1"/>
          <w:szCs w:val="20"/>
        </w:rPr>
        <w:t>, co wynikało z zapisów Zarządzenia w sprawie przyjętej polityki rachunkowości i Zakładowego Planu Kont w Bieszczadzkim Parku Narodowym.</w:t>
      </w:r>
      <w:r w:rsidRPr="008C1E51">
        <w:rPr>
          <w:rFonts w:cs="Times New Roman"/>
          <w:color w:val="000000" w:themeColor="text1"/>
          <w:vertAlign w:val="superscript"/>
        </w:rPr>
        <w:footnoteReference w:id="111"/>
      </w:r>
      <w:r w:rsidRPr="008C1E51">
        <w:rPr>
          <w:rFonts w:cs="Times New Roman"/>
          <w:color w:val="000000" w:themeColor="text1"/>
          <w:szCs w:val="20"/>
        </w:rPr>
        <w:t xml:space="preserve"> Zgodnie z przywołanym wyżej dokumentem, </w:t>
      </w:r>
      <w:r w:rsidRPr="008C1E51">
        <w:t xml:space="preserve">księgi rachunkowe w </w:t>
      </w:r>
      <w:proofErr w:type="spellStart"/>
      <w:r w:rsidRPr="008C1E51">
        <w:t>BdPN</w:t>
      </w:r>
      <w:proofErr w:type="spellEnd"/>
      <w:r w:rsidRPr="008C1E51">
        <w:t xml:space="preserve"> od 1 stycznia 2013 r. prowadzone były przy pomocy programu księgowego</w:t>
      </w:r>
      <w:r w:rsidRPr="008C1E51">
        <w:rPr>
          <w:b/>
        </w:rPr>
        <w:t xml:space="preserve"> </w:t>
      </w:r>
      <w:proofErr w:type="spellStart"/>
      <w:r w:rsidRPr="008C1E51">
        <w:rPr>
          <w:bCs/>
        </w:rPr>
        <w:t>Comarch</w:t>
      </w:r>
      <w:proofErr w:type="spellEnd"/>
      <w:r w:rsidRPr="008C1E51">
        <w:rPr>
          <w:bCs/>
        </w:rPr>
        <w:t xml:space="preserve"> OPTIMA. </w:t>
      </w:r>
    </w:p>
    <w:p w14:paraId="444CB375" w14:textId="77777777" w:rsidR="008C1E51" w:rsidRPr="008C1E51" w:rsidRDefault="008C1E51" w:rsidP="008C1E51">
      <w:pPr>
        <w:tabs>
          <w:tab w:val="left" w:pos="426"/>
          <w:tab w:val="left" w:pos="6096"/>
          <w:tab w:val="left" w:pos="7514"/>
        </w:tabs>
        <w:spacing w:before="120" w:after="120" w:line="276" w:lineRule="auto"/>
        <w:jc w:val="right"/>
        <w:rPr>
          <w:rFonts w:cs="Times New Roman"/>
          <w:color w:val="000000" w:themeColor="text1"/>
          <w:szCs w:val="20"/>
        </w:rPr>
      </w:pPr>
      <w:r w:rsidRPr="008C1E51">
        <w:rPr>
          <w:rFonts w:cs="Times New Roman"/>
          <w:color w:val="000000" w:themeColor="text1"/>
          <w:szCs w:val="20"/>
        </w:rPr>
        <w:tab/>
        <w:t xml:space="preserve">                                                                                                              </w:t>
      </w:r>
      <w:r w:rsidRPr="008C1E51">
        <w:rPr>
          <w:rFonts w:eastAsia="Times New Roman" w:cs="Times New Roman"/>
          <w:szCs w:val="20"/>
          <w:lang w:eastAsia="pl-PL"/>
        </w:rPr>
        <w:t xml:space="preserve">[Dowód: akta kontroli str. </w:t>
      </w:r>
      <w:r w:rsidRPr="008C1E51">
        <w:rPr>
          <w:szCs w:val="20"/>
        </w:rPr>
        <w:t>I/128-188</w:t>
      </w:r>
      <w:r w:rsidRPr="008C1E51">
        <w:rPr>
          <w:rFonts w:eastAsia="Times New Roman" w:cs="Times New Roman"/>
          <w:szCs w:val="20"/>
          <w:lang w:eastAsia="pl-PL"/>
        </w:rPr>
        <w:t>]</w:t>
      </w:r>
    </w:p>
    <w:p w14:paraId="4D8D667F" w14:textId="20DAB444" w:rsidR="008C1E51" w:rsidRPr="008C1E51" w:rsidRDefault="00245D86" w:rsidP="008C1E51">
      <w:pPr>
        <w:tabs>
          <w:tab w:val="left" w:pos="426"/>
          <w:tab w:val="left" w:pos="6096"/>
          <w:tab w:val="left" w:pos="7514"/>
        </w:tabs>
        <w:spacing w:before="120" w:after="120" w:line="276" w:lineRule="auto"/>
        <w:rPr>
          <w:rFonts w:cs="Times New Roman"/>
          <w:color w:val="000000" w:themeColor="text1"/>
          <w:szCs w:val="20"/>
        </w:rPr>
      </w:pPr>
      <w:r w:rsidRPr="004D1C90">
        <w:rPr>
          <w:rFonts w:cs="Times New Roman"/>
          <w:color w:val="000000" w:themeColor="text1"/>
          <w:szCs w:val="20"/>
        </w:rPr>
        <w:t xml:space="preserve">Ubezpieczeniem (od pożaru i innych zagrożeń) objęte były tylko budynki użyteczności publicznej, tj.: budynek Dyrekcji Parku, Muzeum Przyrodnicze, 2 Terenowe Stacje Edukacji Ekologicznej (w </w:t>
      </w:r>
      <w:proofErr w:type="spellStart"/>
      <w:r w:rsidRPr="004D1C90">
        <w:rPr>
          <w:rFonts w:cs="Times New Roman"/>
          <w:color w:val="000000" w:themeColor="text1"/>
          <w:szCs w:val="20"/>
        </w:rPr>
        <w:t>Wołosatem</w:t>
      </w:r>
      <w:proofErr w:type="spellEnd"/>
      <w:r w:rsidRPr="004D1C90">
        <w:rPr>
          <w:rFonts w:cs="Times New Roman"/>
          <w:color w:val="000000" w:themeColor="text1"/>
          <w:szCs w:val="20"/>
        </w:rPr>
        <w:t xml:space="preserve"> i w Suchych Rzekach), Placówkę Naukowo-Badawczą i Ośrodek Informacji i Edukacji Ekologicznej</w:t>
      </w:r>
      <w:r w:rsidR="004D1C90">
        <w:rPr>
          <w:rFonts w:cs="Times New Roman"/>
          <w:color w:val="000000" w:themeColor="text1"/>
          <w:szCs w:val="20"/>
        </w:rPr>
        <w:t>,</w:t>
      </w:r>
      <w:r w:rsidRPr="004D1C90">
        <w:rPr>
          <w:rFonts w:cs="Times New Roman"/>
          <w:color w:val="000000" w:themeColor="text1"/>
          <w:szCs w:val="20"/>
        </w:rPr>
        <w:t xml:space="preserve"> Domek Strażnika w Moczarnym.</w:t>
      </w:r>
      <w:r w:rsidR="008C1E51" w:rsidRPr="004D1C90">
        <w:rPr>
          <w:rFonts w:cs="Times New Roman"/>
          <w:color w:val="000000" w:themeColor="text1"/>
          <w:vertAlign w:val="superscript"/>
        </w:rPr>
        <w:footnoteReference w:id="112"/>
      </w:r>
      <w:r w:rsidR="008C1E51" w:rsidRPr="004D1C90">
        <w:rPr>
          <w:rFonts w:cs="Times New Roman"/>
          <w:color w:val="000000" w:themeColor="text1"/>
          <w:szCs w:val="20"/>
        </w:rPr>
        <w:t>. Obiekty Parku będące w</w:t>
      </w:r>
      <w:r w:rsidR="008C1E51" w:rsidRPr="008C1E51">
        <w:rPr>
          <w:rFonts w:cs="Times New Roman"/>
          <w:color w:val="000000" w:themeColor="text1"/>
          <w:szCs w:val="20"/>
        </w:rPr>
        <w:t xml:space="preserve"> dzierżawie były – zgodnie z informacją przekazaną przez Dyrektora </w:t>
      </w:r>
      <w:proofErr w:type="spellStart"/>
      <w:r w:rsidR="008C1E51" w:rsidRPr="008C1E51">
        <w:rPr>
          <w:rFonts w:cs="Times New Roman"/>
          <w:color w:val="000000" w:themeColor="text1"/>
          <w:szCs w:val="20"/>
        </w:rPr>
        <w:t>BdPN</w:t>
      </w:r>
      <w:proofErr w:type="spellEnd"/>
      <w:r w:rsidR="008C1E51" w:rsidRPr="008C1E51">
        <w:rPr>
          <w:rFonts w:cs="Times New Roman"/>
          <w:color w:val="000000" w:themeColor="text1"/>
          <w:szCs w:val="20"/>
        </w:rPr>
        <w:t xml:space="preserve"> – ubezpieczane przez dzierżawców. We wszystkich przetargach na dzierżawę </w:t>
      </w:r>
      <w:r w:rsidR="00211832" w:rsidRPr="008C1E51">
        <w:rPr>
          <w:rFonts w:cs="Times New Roman"/>
          <w:color w:val="000000" w:themeColor="text1"/>
          <w:szCs w:val="20"/>
        </w:rPr>
        <w:t>nieruchomości,</w:t>
      </w:r>
      <w:r w:rsidR="008C1E51" w:rsidRPr="008C1E51">
        <w:rPr>
          <w:rFonts w:cs="Times New Roman"/>
          <w:color w:val="000000" w:themeColor="text1"/>
          <w:szCs w:val="20"/>
        </w:rPr>
        <w:t xml:space="preserve"> w załączonych do ogłoszeń o przetargach projektach umów zawierano zapisy dotyczące obowiązku Dzierżawcy dotyczącego ubezpieczenia obiektu na koszt Dzierżawcy, wskazując jednocześnie termin złożenia kopii polisy ubezpieczeniowej Wydzierżawiającemu, tj. Parkowi. Wysokość wartości ubezpieczenia stanowiła pochodną wartości księgowej dzierżawionego obiektu. Dyrektor Parku skazał również, że z uwagi na ograniczenia finansowe związane z wysokością otrzymywanej dotacji, Park nie dysponował środkami finansowymi pozwalającymi na pokrycie kosztów dodatkowych ubezpieczeń budynków.</w:t>
      </w:r>
      <w:r w:rsidR="008C1E51" w:rsidRPr="008C1E51">
        <w:rPr>
          <w:rFonts w:cs="Times New Roman"/>
          <w:color w:val="000000" w:themeColor="text1"/>
          <w:szCs w:val="20"/>
        </w:rPr>
        <w:br/>
        <w:t xml:space="preserve">Z tego względu Park objął ubezpieczeniem jedynie wskazane wyżej budynki użyteczności publicznej. </w:t>
      </w:r>
    </w:p>
    <w:p w14:paraId="44A1EB8E"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II/218-252, II/257-260, II/261-274]</w:t>
      </w:r>
    </w:p>
    <w:p w14:paraId="12D68320" w14:textId="77777777" w:rsidR="008C1E51" w:rsidRPr="008C1E51" w:rsidRDefault="008C1E51" w:rsidP="008C1E51">
      <w:pPr>
        <w:autoSpaceDE w:val="0"/>
        <w:autoSpaceDN w:val="0"/>
        <w:adjustRightInd w:val="0"/>
        <w:spacing w:before="120" w:after="120" w:line="276" w:lineRule="auto"/>
        <w:rPr>
          <w:rFonts w:cs="Times New Roman"/>
          <w:color w:val="000000" w:themeColor="text1"/>
          <w:szCs w:val="20"/>
        </w:rPr>
      </w:pPr>
      <w:r w:rsidRPr="008C1E51">
        <w:rPr>
          <w:rFonts w:cs="Times New Roman"/>
          <w:color w:val="000000" w:themeColor="text1"/>
          <w:szCs w:val="20"/>
          <w:u w:val="single"/>
        </w:rPr>
        <w:t>Program gospodarowania budynkami</w:t>
      </w:r>
    </w:p>
    <w:p w14:paraId="4A71229D"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szCs w:val="20"/>
        </w:rPr>
        <w:t>Park nie opracował wieloletniego programu gospodarowania budynkami. Dyrektor wyjaśnił</w:t>
      </w:r>
      <w:r w:rsidRPr="008C1E51">
        <w:rPr>
          <w:rFonts w:cs="Times New Roman"/>
          <w:szCs w:val="20"/>
          <w:vertAlign w:val="superscript"/>
        </w:rPr>
        <w:footnoteReference w:id="113"/>
      </w:r>
      <w:r w:rsidRPr="008C1E51">
        <w:rPr>
          <w:rFonts w:cs="Times New Roman"/>
          <w:szCs w:val="20"/>
        </w:rPr>
        <w:t>, że s</w:t>
      </w:r>
      <w:r w:rsidRPr="008C1E51">
        <w:rPr>
          <w:rFonts w:cs="Times New Roman"/>
          <w:iCs/>
          <w:szCs w:val="20"/>
        </w:rPr>
        <w:t>yntetyczna strategia była opracowana w roku 2008 oraz aktualizowana</w:t>
      </w:r>
      <w:r w:rsidRPr="008C1E51">
        <w:rPr>
          <w:rFonts w:cs="Times New Roman"/>
          <w:iCs/>
          <w:szCs w:val="20"/>
        </w:rPr>
        <w:br/>
        <w:t>w 2010 r.</w:t>
      </w:r>
      <w:r w:rsidRPr="008C1E51">
        <w:rPr>
          <w:rFonts w:cs="Times New Roman"/>
          <w:iCs/>
          <w:vertAlign w:val="superscript"/>
        </w:rPr>
        <w:footnoteReference w:id="114"/>
      </w:r>
      <w:r w:rsidRPr="008C1E51">
        <w:rPr>
          <w:rFonts w:cs="Times New Roman"/>
          <w:iCs/>
          <w:szCs w:val="20"/>
        </w:rPr>
        <w:t xml:space="preserve"> Gospodarowanie budynkami było dostosowane do możliwości finansowych parku związanych z dotacją budżetową. Trwające remonty budynków funkcyjnych były związane z pozyskaniem środków dotacji z pozabudżetowych źródeł</w:t>
      </w:r>
      <w:r w:rsidRPr="008C1E51">
        <w:rPr>
          <w:rFonts w:cs="Times New Roman"/>
          <w:szCs w:val="20"/>
        </w:rPr>
        <w:t xml:space="preserve">. Trudno jest zatem uznać, aby „dostosowane do możliwości finansowych Parku gospodarowanie budynkami” mogło stanowić planowanie w ujęciu wieloletnim. </w:t>
      </w:r>
    </w:p>
    <w:p w14:paraId="7149BF84" w14:textId="77777777" w:rsidR="008C1E51" w:rsidRPr="008C1E51" w:rsidRDefault="008C1E51" w:rsidP="008C1E51">
      <w:pPr>
        <w:tabs>
          <w:tab w:val="left" w:pos="426"/>
          <w:tab w:val="left" w:pos="6096"/>
          <w:tab w:val="left" w:pos="7514"/>
        </w:tabs>
        <w:spacing w:before="120" w:after="120" w:line="276" w:lineRule="auto"/>
        <w:rPr>
          <w:rFonts w:cs="Times New Roman"/>
          <w:i/>
          <w:color w:val="000000" w:themeColor="text1"/>
          <w:szCs w:val="20"/>
        </w:rPr>
      </w:pPr>
      <w:r w:rsidRPr="008C1E51">
        <w:rPr>
          <w:rFonts w:cs="Times New Roman"/>
          <w:color w:val="000000" w:themeColor="text1"/>
          <w:szCs w:val="20"/>
        </w:rPr>
        <w:t xml:space="preserve">W okresie objętym kontrolą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nie posiadał opracowanego wieloletniego planu remontów i inwestycji. Z informacji przekazanych przez Dyrektora </w:t>
      </w:r>
      <w:proofErr w:type="spellStart"/>
      <w:r w:rsidRPr="008C1E51">
        <w:rPr>
          <w:rFonts w:cs="Times New Roman"/>
          <w:color w:val="000000" w:themeColor="text1"/>
          <w:szCs w:val="20"/>
        </w:rPr>
        <w:t>BdPN</w:t>
      </w:r>
      <w:proofErr w:type="spellEnd"/>
      <w:r w:rsidRPr="008C1E51">
        <w:rPr>
          <w:rFonts w:cs="Times New Roman"/>
          <w:color w:val="000000" w:themeColor="text1"/>
          <w:szCs w:val="20"/>
          <w:vertAlign w:val="superscript"/>
        </w:rPr>
        <w:footnoteReference w:id="115"/>
      </w:r>
      <w:r w:rsidRPr="008C1E51">
        <w:rPr>
          <w:rFonts w:cs="Times New Roman"/>
          <w:color w:val="000000" w:themeColor="text1"/>
          <w:szCs w:val="20"/>
        </w:rPr>
        <w:t xml:space="preserve"> wynika, że Park opracowywał roczne plany remontów</w:t>
      </w:r>
      <w:r w:rsidRPr="008C1E51">
        <w:rPr>
          <w:rFonts w:cs="Times New Roman"/>
          <w:color w:val="000000" w:themeColor="text1"/>
          <w:vertAlign w:val="superscript"/>
        </w:rPr>
        <w:footnoteReference w:id="116"/>
      </w:r>
      <w:r w:rsidRPr="008C1E51">
        <w:rPr>
          <w:rFonts w:cs="Times New Roman"/>
          <w:color w:val="000000" w:themeColor="text1"/>
          <w:szCs w:val="20"/>
        </w:rPr>
        <w:t>, które były dostosowane do aktualnych możliwości finansowych. Zdaniem Dyrekcji Parku – tworzenie wieloletniego planu remontów</w:t>
      </w:r>
      <w:r w:rsidRPr="008C1E51">
        <w:rPr>
          <w:rFonts w:cs="Times New Roman"/>
          <w:color w:val="000000" w:themeColor="text1"/>
          <w:szCs w:val="20"/>
        </w:rPr>
        <w:br/>
        <w:t xml:space="preserve">i inwestycji jest niezasadne z uwagi na </w:t>
      </w:r>
      <w:r w:rsidRPr="008C1E51">
        <w:rPr>
          <w:rFonts w:cs="Times New Roman"/>
          <w:iCs/>
          <w:color w:val="000000" w:themeColor="text1"/>
          <w:szCs w:val="20"/>
        </w:rPr>
        <w:t>brak stałego dofinansowania/dotacji na potrzeby inwestycyjne</w:t>
      </w:r>
      <w:r w:rsidRPr="008C1E51">
        <w:rPr>
          <w:rFonts w:cs="Times New Roman"/>
          <w:i/>
          <w:color w:val="000000" w:themeColor="text1"/>
          <w:szCs w:val="20"/>
        </w:rPr>
        <w:t xml:space="preserve">, </w:t>
      </w:r>
      <w:r w:rsidRPr="008C1E51">
        <w:rPr>
          <w:rFonts w:cs="Times New Roman"/>
          <w:color w:val="000000" w:themeColor="text1"/>
          <w:szCs w:val="20"/>
        </w:rPr>
        <w:t>a potrzeby inwestycyjne związane z remontami były uzależnione od możliwości pozyskania finansowania zewnętrznego na ten cel. Zdaniem Parku, posiadane</w:t>
      </w:r>
      <w:r w:rsidRPr="008C1E51">
        <w:rPr>
          <w:rFonts w:cs="Times New Roman"/>
          <w:color w:val="000000" w:themeColor="text1"/>
          <w:szCs w:val="20"/>
        </w:rPr>
        <w:br/>
        <w:t xml:space="preserve">w skali roku środki finansowe były przeznaczane na </w:t>
      </w:r>
      <w:r w:rsidRPr="008C1E51">
        <w:rPr>
          <w:rFonts w:cs="Times New Roman"/>
          <w:iCs/>
          <w:color w:val="000000" w:themeColor="text1"/>
          <w:szCs w:val="20"/>
        </w:rPr>
        <w:t>najbardziej pilne bieżące remonty</w:t>
      </w:r>
      <w:r w:rsidRPr="008C1E51">
        <w:rPr>
          <w:rFonts w:cs="Times New Roman"/>
          <w:i/>
          <w:color w:val="000000" w:themeColor="text1"/>
          <w:szCs w:val="20"/>
        </w:rPr>
        <w:t>.</w:t>
      </w:r>
    </w:p>
    <w:p w14:paraId="35452D08" w14:textId="56E2B756"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w:t>
      </w:r>
      <w:r w:rsidR="00211832" w:rsidRPr="008C1E51">
        <w:rPr>
          <w:rFonts w:eastAsia="Times New Roman" w:cs="Times New Roman"/>
          <w:szCs w:val="20"/>
          <w:lang w:eastAsia="pl-PL"/>
        </w:rPr>
        <w:t>287, II</w:t>
      </w:r>
      <w:r w:rsidRPr="008C1E51">
        <w:rPr>
          <w:rFonts w:eastAsia="Times New Roman" w:cs="Times New Roman"/>
          <w:szCs w:val="20"/>
          <w:lang w:eastAsia="pl-PL"/>
        </w:rPr>
        <w:t>/584-589]</w:t>
      </w:r>
    </w:p>
    <w:p w14:paraId="39DD4BF8" w14:textId="20298F92" w:rsidR="008C1E51" w:rsidRPr="008C1E51" w:rsidRDefault="008C1E51" w:rsidP="008C1E51">
      <w:pPr>
        <w:tabs>
          <w:tab w:val="left" w:pos="426"/>
          <w:tab w:val="left" w:pos="6096"/>
          <w:tab w:val="left" w:pos="7514"/>
        </w:tabs>
        <w:spacing w:before="120" w:after="120" w:line="276" w:lineRule="auto"/>
        <w:rPr>
          <w:rFonts w:cs="Times New Roman"/>
          <w:color w:val="000000" w:themeColor="text1"/>
          <w:szCs w:val="20"/>
        </w:rPr>
      </w:pPr>
      <w:r w:rsidRPr="008C1E51">
        <w:rPr>
          <w:rFonts w:cs="Times New Roman"/>
          <w:color w:val="000000" w:themeColor="text1"/>
          <w:szCs w:val="20"/>
        </w:rPr>
        <w:t xml:space="preserve">Zdaniem Kontrolującego, Park powinien podjąć działania zmierzające do opracowania wieloletniego programu gospodarowania </w:t>
      </w:r>
      <w:r w:rsidR="00211832" w:rsidRPr="008C1E51">
        <w:rPr>
          <w:rFonts w:cs="Times New Roman"/>
          <w:color w:val="000000" w:themeColor="text1"/>
          <w:szCs w:val="20"/>
        </w:rPr>
        <w:t>budynkami</w:t>
      </w:r>
      <w:r w:rsidRPr="008C1E51">
        <w:rPr>
          <w:rFonts w:cs="Times New Roman"/>
          <w:color w:val="000000" w:themeColor="text1"/>
          <w:szCs w:val="20"/>
        </w:rPr>
        <w:t xml:space="preserve"> oraz remontów i inwestycji. Takie planowanie w ujęciu wieloletnim pozwoli właściwie zaplanować i realizować zadania inwestycyjne, których realizacja wymaga w świetle przepisów Prawa budowlanego pozwolenia na budowę.</w:t>
      </w:r>
    </w:p>
    <w:p w14:paraId="79B84E8B" w14:textId="77777777" w:rsidR="008C1E51" w:rsidRPr="008C1E51" w:rsidRDefault="008C1E51" w:rsidP="008C1E51">
      <w:pPr>
        <w:spacing w:before="120" w:after="120" w:line="276" w:lineRule="auto"/>
        <w:rPr>
          <w:rFonts w:cs="Times New Roman"/>
          <w:szCs w:val="20"/>
          <w:u w:val="single"/>
          <w:lang w:eastAsia="pl-PL"/>
        </w:rPr>
      </w:pPr>
      <w:bookmarkStart w:id="48" w:name="_Hlk100060942"/>
      <w:r w:rsidRPr="008C1E51">
        <w:rPr>
          <w:rFonts w:cs="Times New Roman"/>
          <w:szCs w:val="20"/>
          <w:u w:val="single"/>
          <w:lang w:eastAsia="pl-PL"/>
        </w:rPr>
        <w:t>Dzierżawy nieruchomości budowalnych</w:t>
      </w:r>
    </w:p>
    <w:p w14:paraId="2EAA2874" w14:textId="77777777" w:rsidR="008C1E51" w:rsidRPr="008C1E51" w:rsidRDefault="008C1E51" w:rsidP="008C1E51">
      <w:pPr>
        <w:spacing w:before="120" w:after="120" w:line="276" w:lineRule="auto"/>
        <w:rPr>
          <w:rFonts w:cs="Times New Roman"/>
          <w:szCs w:val="20"/>
          <w:lang w:eastAsia="pl-PL"/>
        </w:rPr>
      </w:pPr>
      <w:r w:rsidRPr="008C1E51">
        <w:rPr>
          <w:rFonts w:cs="Times New Roman"/>
          <w:szCs w:val="20"/>
          <w:lang w:eastAsia="pl-PL"/>
        </w:rPr>
        <w:t xml:space="preserve">Sposób korzystania z nieruchomości budowlanych należących Parku uregulowano </w:t>
      </w:r>
      <w:r w:rsidRPr="008C1E51">
        <w:rPr>
          <w:rFonts w:cs="Times New Roman"/>
          <w:szCs w:val="20"/>
          <w:lang w:eastAsia="pl-PL"/>
        </w:rPr>
        <w:br/>
        <w:t>w regulacjach wewnętrznych</w:t>
      </w:r>
      <w:r w:rsidRPr="008C1E51">
        <w:rPr>
          <w:rFonts w:cs="Times New Roman"/>
          <w:szCs w:val="20"/>
          <w:vertAlign w:val="superscript"/>
          <w:lang w:eastAsia="pl-PL"/>
        </w:rPr>
        <w:footnoteReference w:id="117"/>
      </w:r>
      <w:r w:rsidRPr="008C1E51">
        <w:rPr>
          <w:rFonts w:cs="Times New Roman"/>
          <w:szCs w:val="20"/>
          <w:lang w:eastAsia="pl-PL"/>
        </w:rPr>
        <w:t xml:space="preserve">,  których określono m.in. zasady: dzierżawy nieruchomości, zabezpieczenia interesów </w:t>
      </w:r>
      <w:proofErr w:type="spellStart"/>
      <w:r w:rsidRPr="008C1E51">
        <w:rPr>
          <w:rFonts w:cs="Times New Roman"/>
          <w:szCs w:val="20"/>
          <w:lang w:eastAsia="pl-PL"/>
        </w:rPr>
        <w:t>BdPN</w:t>
      </w:r>
      <w:proofErr w:type="spellEnd"/>
      <w:r w:rsidRPr="008C1E51">
        <w:rPr>
          <w:rFonts w:cs="Times New Roman"/>
          <w:szCs w:val="20"/>
          <w:lang w:eastAsia="pl-PL"/>
        </w:rPr>
        <w:t xml:space="preserve"> itp. Szczegółowe warunki </w:t>
      </w:r>
      <w:r w:rsidRPr="008C1E51">
        <w:rPr>
          <w:rFonts w:cs="Times New Roman"/>
          <w:iCs/>
          <w:szCs w:val="20"/>
          <w:lang w:eastAsia="pl-PL"/>
        </w:rPr>
        <w:t>dzierżawy określane są indywidualnie w poszczególnych umowach, w zależności od przedmiotu dzierżawy, przeznaczenia budynków itp. (np. kwoty czynszu, naprawy, kontrole instalacji itp.).</w:t>
      </w:r>
    </w:p>
    <w:p w14:paraId="50DEAAA7"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Według stanu na 31 grudnia 2021 r. </w:t>
      </w:r>
      <w:proofErr w:type="spellStart"/>
      <w:r w:rsidRPr="008C1E51">
        <w:rPr>
          <w:rFonts w:cs="Times New Roman"/>
          <w:szCs w:val="20"/>
        </w:rPr>
        <w:t>BdPN</w:t>
      </w:r>
      <w:proofErr w:type="spellEnd"/>
      <w:r w:rsidRPr="008C1E51">
        <w:rPr>
          <w:rFonts w:cs="Times New Roman"/>
          <w:szCs w:val="20"/>
        </w:rPr>
        <w:t xml:space="preserve"> był stroną 13 umów dzierżawy nieruchomości budowlanych pozostających w posiadaniu Parku.</w:t>
      </w:r>
    </w:p>
    <w:p w14:paraId="0945B192"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 okresie objętym kontrolą</w:t>
      </w:r>
      <w:r w:rsidRPr="008C1E51">
        <w:rPr>
          <w:rFonts w:eastAsia="Times New Roman" w:cs="Times New Roman"/>
          <w:color w:val="000000" w:themeColor="text1"/>
          <w:vertAlign w:val="superscript"/>
          <w:lang w:eastAsia="pl-PL"/>
        </w:rPr>
        <w:footnoteReference w:id="118"/>
      </w:r>
      <w:r w:rsidRPr="008C1E51">
        <w:rPr>
          <w:rFonts w:eastAsia="Times New Roman" w:cs="Times New Roman"/>
          <w:color w:val="000000" w:themeColor="text1"/>
          <w:szCs w:val="20"/>
          <w:lang w:eastAsia="pl-PL"/>
        </w:rPr>
        <w:t xml:space="preserve"> z tytułu dzierżawy nieruchomości budowlanych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szCs w:val="20"/>
          <w:lang w:eastAsia="pl-PL"/>
        </w:rPr>
        <w:t xml:space="preserve"> osiągnięto</w:t>
      </w:r>
      <w:r w:rsidRPr="008C1E51">
        <w:rPr>
          <w:rFonts w:eastAsia="Times New Roman" w:cs="Times New Roman"/>
          <w:color w:val="000000" w:themeColor="text1"/>
          <w:vertAlign w:val="superscript"/>
          <w:lang w:eastAsia="pl-PL"/>
        </w:rPr>
        <w:footnoteReference w:id="119"/>
      </w:r>
      <w:r w:rsidRPr="008C1E51">
        <w:rPr>
          <w:rFonts w:eastAsia="Times New Roman" w:cs="Times New Roman"/>
          <w:color w:val="000000" w:themeColor="text1"/>
          <w:szCs w:val="20"/>
          <w:lang w:eastAsia="pl-PL"/>
        </w:rPr>
        <w:t xml:space="preserve"> łącznie przychody w wysokości 723 316,55 zł</w:t>
      </w:r>
      <w:r w:rsidRPr="008C1E51">
        <w:rPr>
          <w:rFonts w:eastAsia="Times New Roman" w:cs="Times New Roman"/>
          <w:color w:val="000000" w:themeColor="text1"/>
          <w:vertAlign w:val="superscript"/>
          <w:lang w:eastAsia="pl-PL"/>
        </w:rPr>
        <w:footnoteReference w:id="120"/>
      </w:r>
      <w:r w:rsidRPr="008C1E51">
        <w:rPr>
          <w:rFonts w:eastAsia="Times New Roman" w:cs="Times New Roman"/>
          <w:color w:val="000000" w:themeColor="text1"/>
          <w:szCs w:val="20"/>
          <w:lang w:eastAsia="pl-PL"/>
        </w:rPr>
        <w:t>.</w:t>
      </w:r>
    </w:p>
    <w:p w14:paraId="51B9ECE7"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II/202-215, II/592]</w:t>
      </w:r>
    </w:p>
    <w:p w14:paraId="64C242F7" w14:textId="77777777" w:rsidR="008C1E51" w:rsidRPr="008C1E51" w:rsidRDefault="008C1E51" w:rsidP="008C1E51">
      <w:pPr>
        <w:spacing w:before="120" w:after="120" w:line="276" w:lineRule="auto"/>
        <w:rPr>
          <w:rFonts w:eastAsia="Times New Roman" w:cs="Times New Roman"/>
          <w:szCs w:val="20"/>
          <w:u w:val="single"/>
          <w:lang w:eastAsia="pl-PL"/>
        </w:rPr>
      </w:pPr>
      <w:r w:rsidRPr="008C1E51">
        <w:rPr>
          <w:rFonts w:cs="Times New Roman"/>
          <w:szCs w:val="20"/>
          <w:lang w:eastAsia="pl-PL"/>
        </w:rPr>
        <w:t>Szczegółowej analizie poddano 2</w:t>
      </w:r>
      <w:r w:rsidRPr="008C1E51">
        <w:rPr>
          <w:rFonts w:cs="Times New Roman"/>
          <w:vertAlign w:val="superscript"/>
          <w:lang w:eastAsia="pl-PL"/>
        </w:rPr>
        <w:footnoteReference w:id="121"/>
      </w:r>
      <w:r w:rsidRPr="008C1E51">
        <w:rPr>
          <w:rFonts w:cs="Times New Roman"/>
          <w:szCs w:val="20"/>
          <w:lang w:eastAsia="pl-PL"/>
        </w:rPr>
        <w:t xml:space="preserve"> z 13 umów na rozporządzanie nieruchomościami gruntowymi nierolniczymi. </w:t>
      </w:r>
    </w:p>
    <w:p w14:paraId="0B8FF0E6" w14:textId="3B986DE0" w:rsidR="008C1E51" w:rsidRPr="008C1E51" w:rsidRDefault="008C1E51" w:rsidP="008C1E51">
      <w:pPr>
        <w:spacing w:before="120" w:after="120" w:line="276" w:lineRule="auto"/>
        <w:rPr>
          <w:rFonts w:cs="Times New Roman"/>
          <w:szCs w:val="20"/>
          <w:lang w:eastAsia="pl-PL"/>
        </w:rPr>
      </w:pPr>
      <w:r w:rsidRPr="008C1E51">
        <w:rPr>
          <w:rFonts w:cs="Times New Roman"/>
          <w:szCs w:val="20"/>
          <w:lang w:eastAsia="pl-PL"/>
        </w:rPr>
        <w:t xml:space="preserve">Ustalono, że umowy dzierżaw zostały zawarte przez </w:t>
      </w:r>
      <w:proofErr w:type="spellStart"/>
      <w:r w:rsidRPr="008C1E51">
        <w:rPr>
          <w:rFonts w:cs="Times New Roman"/>
          <w:szCs w:val="20"/>
          <w:lang w:eastAsia="pl-PL"/>
        </w:rPr>
        <w:t>BdPN</w:t>
      </w:r>
      <w:proofErr w:type="spellEnd"/>
      <w:r w:rsidRPr="008C1E51">
        <w:rPr>
          <w:rFonts w:cs="Times New Roman"/>
          <w:szCs w:val="20"/>
          <w:lang w:eastAsia="pl-PL"/>
        </w:rPr>
        <w:t xml:space="preserve"> na </w:t>
      </w:r>
      <w:r w:rsidRPr="008C1E51">
        <w:rPr>
          <w:rFonts w:cs="Times New Roman"/>
          <w:szCs w:val="20"/>
        </w:rPr>
        <w:t xml:space="preserve">podstawie przepisów art. 10d-10g uop i Rozporządzenia Ministra Środowiska z dnia 20 lipca 2012 r. w sprawie przetargów oraz rokowań na rozporządzanie nieruchomościami przez parki </w:t>
      </w:r>
      <w:r w:rsidR="00211832" w:rsidRPr="008C1E51">
        <w:rPr>
          <w:rFonts w:cs="Times New Roman"/>
          <w:szCs w:val="20"/>
        </w:rPr>
        <w:t>narodowe.</w:t>
      </w:r>
      <w:r w:rsidRPr="008C1E51">
        <w:rPr>
          <w:rFonts w:cs="Times New Roman"/>
          <w:vertAlign w:val="superscript"/>
        </w:rPr>
        <w:footnoteReference w:id="122"/>
      </w:r>
      <w:r w:rsidRPr="008C1E51">
        <w:rPr>
          <w:rFonts w:cs="Times New Roman"/>
          <w:color w:val="000000"/>
          <w:szCs w:val="20"/>
        </w:rPr>
        <w:t xml:space="preserve"> Zapisy umów zabezpieczają </w:t>
      </w:r>
      <w:r w:rsidRPr="008C1E51">
        <w:rPr>
          <w:rFonts w:cs="Times New Roman"/>
          <w:iCs/>
          <w:szCs w:val="20"/>
          <w:lang w:eastAsia="pl-PL"/>
        </w:rPr>
        <w:t xml:space="preserve">interesy </w:t>
      </w:r>
      <w:proofErr w:type="spellStart"/>
      <w:r w:rsidRPr="008C1E51">
        <w:rPr>
          <w:rFonts w:cs="Times New Roman"/>
          <w:iCs/>
          <w:szCs w:val="20"/>
          <w:lang w:eastAsia="pl-PL"/>
        </w:rPr>
        <w:t>BdPN</w:t>
      </w:r>
      <w:proofErr w:type="spellEnd"/>
      <w:r w:rsidRPr="008C1E51">
        <w:rPr>
          <w:rFonts w:cs="Times New Roman"/>
          <w:iCs/>
          <w:szCs w:val="20"/>
          <w:lang w:eastAsia="pl-PL"/>
        </w:rPr>
        <w:t xml:space="preserve">, </w:t>
      </w:r>
      <w:r w:rsidRPr="008C1E51">
        <w:rPr>
          <w:rFonts w:cs="Times New Roman"/>
          <w:szCs w:val="20"/>
          <w:lang w:eastAsia="pl-PL"/>
        </w:rPr>
        <w:t>kwoty czynszu za dzierżawę podlegały waloryzacji w oparciu o wskaźnik wzrostu cen towarów i usług za rok ubiegły na podstawie obwieszczenia Prezesa Głównego Urzędu Statystycznego. Wszystkie kontrolowane umowy zawierały zapisy: zapewniające Parkowi sprawowanie kontroli prawidłowości realizowania postanowień umów – w postaci zapisu dającemu wydzierżawiającemu prawa do kontroli w ciągu całego roku w okresie dzierżawy, zapisy dotyczące kar umownych, klauzule zabezpieczające (obowiązek zapłaty polis ubezpieczeniowych, obowiązek zapłaty podatku od nieruchomości itp.), możliwość wypowiadania umów i ich rozwiązywania w określonych umownie przypadkach.</w:t>
      </w:r>
      <w:bookmarkEnd w:id="48"/>
    </w:p>
    <w:p w14:paraId="2C196200" w14:textId="77777777" w:rsidR="008C1E51" w:rsidRPr="008C1E51" w:rsidRDefault="008C1E51" w:rsidP="008C1E51">
      <w:pPr>
        <w:spacing w:before="120" w:after="120" w:line="276" w:lineRule="auto"/>
        <w:rPr>
          <w:rFonts w:cs="Times New Roman"/>
          <w:szCs w:val="20"/>
          <w:lang w:eastAsia="pl-PL"/>
        </w:rPr>
      </w:pPr>
      <w:r w:rsidRPr="008C1E51">
        <w:rPr>
          <w:rFonts w:cs="Times New Roman"/>
          <w:szCs w:val="20"/>
          <w:u w:val="single"/>
          <w:lang w:eastAsia="pl-PL"/>
        </w:rPr>
        <w:t>Korzystanie bezumowne.</w:t>
      </w:r>
    </w:p>
    <w:p w14:paraId="64D1678D" w14:textId="11903F20" w:rsidR="008C1E51" w:rsidRPr="008C1E51" w:rsidRDefault="008C1E51" w:rsidP="008C1E51">
      <w:pPr>
        <w:spacing w:before="120" w:after="120" w:line="276" w:lineRule="auto"/>
        <w:rPr>
          <w:rFonts w:cs="Times New Roman"/>
          <w:szCs w:val="20"/>
          <w:lang w:eastAsia="pl-PL"/>
        </w:rPr>
      </w:pPr>
      <w:r w:rsidRPr="008C1E51">
        <w:rPr>
          <w:rFonts w:cs="Times New Roman"/>
          <w:szCs w:val="20"/>
          <w:lang w:eastAsia="pl-PL"/>
        </w:rPr>
        <w:t xml:space="preserve">Ustalono, że w okresie objętym kontrolą w Parku brak było bezumownego korzystania </w:t>
      </w:r>
      <w:r w:rsidRPr="008C1E51">
        <w:rPr>
          <w:rFonts w:cs="Times New Roman"/>
          <w:szCs w:val="20"/>
          <w:lang w:eastAsia="pl-PL"/>
        </w:rPr>
        <w:br/>
        <w:t xml:space="preserve">z nieruchomości należących do </w:t>
      </w:r>
      <w:proofErr w:type="spellStart"/>
      <w:r w:rsidRPr="008C1E51">
        <w:rPr>
          <w:rFonts w:cs="Times New Roman"/>
          <w:szCs w:val="20"/>
          <w:lang w:eastAsia="pl-PL"/>
        </w:rPr>
        <w:t>BdPN</w:t>
      </w:r>
      <w:proofErr w:type="spellEnd"/>
      <w:r w:rsidRPr="008C1E51">
        <w:rPr>
          <w:rFonts w:cs="Times New Roman"/>
          <w:szCs w:val="20"/>
          <w:lang w:eastAsia="pl-PL"/>
        </w:rPr>
        <w:t>, co znalazło również potwierdzenie w wyjaśnieniach Dyrektora</w:t>
      </w:r>
      <w:r w:rsidRPr="008C1E51">
        <w:rPr>
          <w:rFonts w:cs="Times New Roman"/>
          <w:vertAlign w:val="superscript"/>
          <w:lang w:eastAsia="pl-PL"/>
        </w:rPr>
        <w:footnoteReference w:id="123"/>
      </w:r>
      <w:r w:rsidRPr="008C1E51">
        <w:rPr>
          <w:rFonts w:cs="Times New Roman"/>
          <w:szCs w:val="20"/>
          <w:lang w:eastAsia="pl-PL"/>
        </w:rPr>
        <w:t xml:space="preserve">, który </w:t>
      </w:r>
      <w:r w:rsidR="00211832" w:rsidRPr="008C1E51">
        <w:rPr>
          <w:rFonts w:cs="Times New Roman"/>
          <w:szCs w:val="20"/>
          <w:lang w:eastAsia="pl-PL"/>
        </w:rPr>
        <w:t>przekazał,</w:t>
      </w:r>
      <w:r w:rsidRPr="008C1E51">
        <w:rPr>
          <w:rFonts w:cs="Times New Roman"/>
          <w:szCs w:val="20"/>
          <w:lang w:eastAsia="pl-PL"/>
        </w:rPr>
        <w:t xml:space="preserve"> że: „w badanym okresie nie wystąpiły przypadki bezumownego korzystania z budynków będących w zasobach Parku”.</w:t>
      </w:r>
    </w:p>
    <w:p w14:paraId="507E65FC"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II/279-287]</w:t>
      </w:r>
    </w:p>
    <w:p w14:paraId="1C1B659E"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szCs w:val="20"/>
          <w:u w:val="single"/>
          <w:lang w:eastAsia="pl-PL"/>
        </w:rPr>
        <w:t>Utrzymywanie budynków.</w:t>
      </w:r>
    </w:p>
    <w:p w14:paraId="6216158B" w14:textId="658B41BF" w:rsidR="008C1E51" w:rsidRPr="008C1E51" w:rsidRDefault="008C1E51" w:rsidP="008C1E51">
      <w:pPr>
        <w:spacing w:before="120" w:after="120" w:line="276" w:lineRule="auto"/>
        <w:rPr>
          <w:rFonts w:eastAsia="Times New Roman" w:cs="Times New Roman"/>
          <w:szCs w:val="20"/>
          <w:lang w:eastAsia="pl-PL"/>
        </w:rPr>
      </w:pPr>
      <w:r w:rsidRPr="008C1E51">
        <w:rPr>
          <w:rFonts w:cs="Times New Roman"/>
          <w:szCs w:val="20"/>
          <w:lang w:eastAsia="pl-PL"/>
        </w:rPr>
        <w:t xml:space="preserve">Łączne koszty utrzymania nieruchomości budowlanych Skarbu Państwa znajdujących się </w:t>
      </w:r>
      <w:r w:rsidRPr="008C1E51">
        <w:rPr>
          <w:rFonts w:cs="Times New Roman"/>
          <w:szCs w:val="20"/>
          <w:lang w:eastAsia="pl-PL"/>
        </w:rPr>
        <w:br/>
        <w:t xml:space="preserve">w zarządzie </w:t>
      </w:r>
      <w:proofErr w:type="spellStart"/>
      <w:r w:rsidRPr="008C1E51">
        <w:rPr>
          <w:rFonts w:cs="Times New Roman"/>
          <w:szCs w:val="20"/>
          <w:lang w:eastAsia="pl-PL"/>
        </w:rPr>
        <w:t>BdPN</w:t>
      </w:r>
      <w:proofErr w:type="spellEnd"/>
      <w:r w:rsidRPr="008C1E51">
        <w:rPr>
          <w:rFonts w:cs="Times New Roman"/>
          <w:szCs w:val="20"/>
          <w:lang w:eastAsia="pl-PL"/>
        </w:rPr>
        <w:t xml:space="preserve"> w okresie 01 stycznia 2019- 30 czerwca 2022, wyniosły 12 513 291,21 zł, na co składały się </w:t>
      </w:r>
      <w:r w:rsidRPr="008C1E51">
        <w:rPr>
          <w:rFonts w:eastAsia="Times New Roman" w:cs="Times New Roman"/>
          <w:szCs w:val="20"/>
          <w:lang w:eastAsia="pl-PL"/>
        </w:rPr>
        <w:t xml:space="preserve">koszty remontów - 230 970,36 zł, inwestycji - </w:t>
      </w:r>
      <w:hyperlink r:id="rId8" w:history="1">
        <w:r w:rsidRPr="008C1E51">
          <w:rPr>
            <w:rFonts w:eastAsia="Times New Roman" w:cs="Times New Roman"/>
            <w:szCs w:val="20"/>
            <w:lang w:eastAsia="pl-PL"/>
          </w:rPr>
          <w:t>12 068 220,07</w:t>
        </w:r>
      </w:hyperlink>
      <w:r w:rsidRPr="008C1E51">
        <w:rPr>
          <w:rFonts w:eastAsia="Times New Roman" w:cs="Times New Roman"/>
          <w:szCs w:val="20"/>
          <w:lang w:eastAsia="pl-PL"/>
        </w:rPr>
        <w:t xml:space="preserve"> </w:t>
      </w:r>
      <w:r w:rsidR="00211832" w:rsidRPr="008C1E51">
        <w:rPr>
          <w:rFonts w:eastAsia="Times New Roman" w:cs="Times New Roman"/>
          <w:szCs w:val="20"/>
          <w:lang w:eastAsia="pl-PL"/>
        </w:rPr>
        <w:t>zł, podatku</w:t>
      </w:r>
      <w:r w:rsidRPr="008C1E51">
        <w:rPr>
          <w:rFonts w:eastAsia="Times New Roman" w:cs="Times New Roman"/>
          <w:szCs w:val="20"/>
          <w:lang w:eastAsia="pl-PL"/>
        </w:rPr>
        <w:t xml:space="preserve"> od nieruchomości - 140 508 zł, ubezpieczeń - 32 449 zł oraz przeglądów - 41 143,78 zł.</w:t>
      </w:r>
    </w:p>
    <w:p w14:paraId="044569B7" w14:textId="77777777" w:rsidR="008C1E51" w:rsidRPr="008C1E51" w:rsidRDefault="008C1E51" w:rsidP="008C1E51">
      <w:pPr>
        <w:tabs>
          <w:tab w:val="left" w:pos="2835"/>
        </w:tabs>
        <w:spacing w:before="120" w:after="120" w:line="276" w:lineRule="auto"/>
        <w:rPr>
          <w:rFonts w:cs="Times New Roman"/>
          <w:szCs w:val="20"/>
          <w:lang w:eastAsia="pl-PL"/>
        </w:rPr>
      </w:pPr>
      <w:r w:rsidRPr="008C1E51">
        <w:rPr>
          <w:rFonts w:cs="Times New Roman"/>
          <w:szCs w:val="20"/>
          <w:lang w:eastAsia="pl-PL"/>
        </w:rPr>
        <w:t>Przeprowadzone w trakcie kontroli oględziny</w:t>
      </w:r>
      <w:r w:rsidRPr="008C1E51">
        <w:rPr>
          <w:rFonts w:cs="Times New Roman"/>
          <w:vertAlign w:val="superscript"/>
          <w:lang w:eastAsia="pl-PL"/>
        </w:rPr>
        <w:footnoteReference w:id="124"/>
      </w:r>
      <w:r w:rsidRPr="008C1E51">
        <w:rPr>
          <w:rFonts w:cs="Times New Roman"/>
          <w:szCs w:val="20"/>
          <w:lang w:eastAsia="pl-PL"/>
        </w:rPr>
        <w:t xml:space="preserve"> wybranych losowo 11 zabudowanych nieruchomości wykazały, że:</w:t>
      </w:r>
    </w:p>
    <w:p w14:paraId="75F53A63" w14:textId="77777777" w:rsidR="008C1E51" w:rsidRPr="008C1E51" w:rsidRDefault="008C1E51" w:rsidP="008C1E51">
      <w:pPr>
        <w:numPr>
          <w:ilvl w:val="0"/>
          <w:numId w:val="9"/>
        </w:numPr>
        <w:suppressAutoHyphens/>
        <w:spacing w:after="0" w:line="276" w:lineRule="auto"/>
        <w:ind w:left="709" w:hanging="357"/>
        <w:rPr>
          <w:rFonts w:cs="Times New Roman"/>
          <w:szCs w:val="20"/>
          <w:lang w:eastAsia="pl-PL"/>
        </w:rPr>
      </w:pPr>
      <w:r w:rsidRPr="008C1E51">
        <w:rPr>
          <w:rFonts w:cs="Times New Roman"/>
          <w:szCs w:val="20"/>
          <w:lang w:eastAsia="pl-PL"/>
        </w:rPr>
        <w:t>estetyka otoczenia osad służbowych nie budziła zastrzeżeń;</w:t>
      </w:r>
    </w:p>
    <w:p w14:paraId="5BCDEEE9" w14:textId="77777777" w:rsidR="008C1E51" w:rsidRPr="008C1E51" w:rsidRDefault="008C1E51" w:rsidP="008C1E51">
      <w:pPr>
        <w:numPr>
          <w:ilvl w:val="0"/>
          <w:numId w:val="9"/>
        </w:numPr>
        <w:suppressAutoHyphens/>
        <w:spacing w:after="0" w:line="276" w:lineRule="auto"/>
        <w:ind w:left="709" w:hanging="357"/>
        <w:rPr>
          <w:rFonts w:cs="Times New Roman"/>
          <w:szCs w:val="20"/>
          <w:lang w:eastAsia="pl-PL"/>
        </w:rPr>
      </w:pPr>
      <w:r w:rsidRPr="008C1E51">
        <w:rPr>
          <w:rFonts w:cs="Times New Roman"/>
          <w:szCs w:val="20"/>
          <w:lang w:eastAsia="pl-PL"/>
        </w:rPr>
        <w:t>budynki administracyjne oraz gospodarcze poddane oględzinom znajdowały się w wizualnym dobrym stanie technicznym;</w:t>
      </w:r>
    </w:p>
    <w:p w14:paraId="06533FBB" w14:textId="77777777" w:rsidR="008C1E51" w:rsidRPr="008C1E51" w:rsidRDefault="008C1E51" w:rsidP="008C1E51">
      <w:pPr>
        <w:numPr>
          <w:ilvl w:val="0"/>
          <w:numId w:val="9"/>
        </w:numPr>
        <w:suppressAutoHyphens/>
        <w:spacing w:after="0" w:line="276" w:lineRule="auto"/>
        <w:ind w:left="709" w:hanging="357"/>
        <w:rPr>
          <w:rFonts w:cs="Times New Roman"/>
          <w:szCs w:val="20"/>
          <w:lang w:eastAsia="pl-PL"/>
        </w:rPr>
      </w:pPr>
      <w:r w:rsidRPr="008C1E51">
        <w:rPr>
          <w:rFonts w:cs="Times New Roman"/>
          <w:szCs w:val="20"/>
          <w:lang w:eastAsia="pl-PL"/>
        </w:rPr>
        <w:t xml:space="preserve">większość z budynków (z wyjątkiem jednego, tj. budynku nowo oddanego budynku schroniska na Połoninie </w:t>
      </w:r>
      <w:proofErr w:type="spellStart"/>
      <w:r w:rsidRPr="008C1E51">
        <w:rPr>
          <w:rFonts w:cs="Times New Roman"/>
          <w:szCs w:val="20"/>
          <w:lang w:eastAsia="pl-PL"/>
        </w:rPr>
        <w:t>Wetlińskiej</w:t>
      </w:r>
      <w:proofErr w:type="spellEnd"/>
      <w:r w:rsidRPr="008C1E51">
        <w:rPr>
          <w:rFonts w:cs="Times New Roman"/>
          <w:szCs w:val="20"/>
          <w:lang w:eastAsia="pl-PL"/>
        </w:rPr>
        <w:t>) zostały zaopatrzone w stosowne tabliczki</w:t>
      </w:r>
      <w:r w:rsidRPr="008C1E51">
        <w:rPr>
          <w:rFonts w:cs="Times New Roman"/>
          <w:szCs w:val="20"/>
          <w:lang w:eastAsia="pl-PL"/>
        </w:rPr>
        <w:br/>
        <w:t xml:space="preserve">z numerami inwentarzowymi </w:t>
      </w:r>
      <w:proofErr w:type="spellStart"/>
      <w:r w:rsidRPr="008C1E51">
        <w:rPr>
          <w:rFonts w:cs="Times New Roman"/>
          <w:szCs w:val="20"/>
          <w:lang w:eastAsia="pl-PL"/>
        </w:rPr>
        <w:t>BdPN</w:t>
      </w:r>
      <w:proofErr w:type="spellEnd"/>
      <w:r w:rsidRPr="008C1E51">
        <w:rPr>
          <w:rFonts w:cs="Times New Roman"/>
          <w:szCs w:val="20"/>
          <w:lang w:eastAsia="pl-PL"/>
        </w:rPr>
        <w:t>;</w:t>
      </w:r>
    </w:p>
    <w:p w14:paraId="42C0AFAB" w14:textId="77777777" w:rsidR="008C1E51" w:rsidRPr="008C1E51" w:rsidRDefault="008C1E51" w:rsidP="008C1E51">
      <w:pPr>
        <w:numPr>
          <w:ilvl w:val="0"/>
          <w:numId w:val="9"/>
        </w:numPr>
        <w:spacing w:after="120" w:line="276" w:lineRule="auto"/>
        <w:ind w:left="709" w:hanging="357"/>
        <w:rPr>
          <w:rFonts w:cs="Times New Roman"/>
          <w:szCs w:val="20"/>
          <w:lang w:eastAsia="pl-PL"/>
        </w:rPr>
      </w:pPr>
      <w:r w:rsidRPr="008C1E51">
        <w:rPr>
          <w:rFonts w:cs="Times New Roman"/>
          <w:szCs w:val="20"/>
          <w:lang w:eastAsia="pl-PL"/>
        </w:rPr>
        <w:t>stwierdzono, że budynki o funkcjach administracyjno-edukacyjno-turystycznych zostały zaopatrzone w tablice urzędowe ze stosowną nazwą, a także tabliczki</w:t>
      </w:r>
      <w:r w:rsidRPr="008C1E51">
        <w:rPr>
          <w:rFonts w:cs="Times New Roman"/>
          <w:szCs w:val="20"/>
          <w:lang w:eastAsia="pl-PL"/>
        </w:rPr>
        <w:br/>
        <w:t>z numerem porządkowym zgodnie z art. 47b ustawy z dnia 17 maja 1989 r. Prawo geodezyjne i kartograficzne</w:t>
      </w:r>
      <w:r w:rsidRPr="008C1E51">
        <w:rPr>
          <w:rFonts w:cs="Times New Roman"/>
          <w:szCs w:val="20"/>
          <w:vertAlign w:val="superscript"/>
          <w:lang w:eastAsia="pl-PL"/>
        </w:rPr>
        <w:footnoteReference w:id="125"/>
      </w:r>
      <w:r w:rsidRPr="008C1E51">
        <w:rPr>
          <w:rFonts w:cs="Times New Roman"/>
          <w:szCs w:val="20"/>
          <w:lang w:eastAsia="pl-PL"/>
        </w:rPr>
        <w:t>. Ponadto w przypadku budynków pełniących funkcje administracyjne i edukacyjne były one przystosowane dla osób</w:t>
      </w:r>
      <w:r w:rsidRPr="008C1E51">
        <w:rPr>
          <w:rFonts w:cs="Times New Roman"/>
          <w:szCs w:val="20"/>
          <w:lang w:eastAsia="pl-PL"/>
        </w:rPr>
        <w:br/>
        <w:t>z niepełnosprawnościami i posiadały dla tych osób miejsca do parkowania.</w:t>
      </w:r>
    </w:p>
    <w:p w14:paraId="751FF894"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 xml:space="preserve"> [Dowód: akta kontroli str. II/288-290]</w:t>
      </w:r>
    </w:p>
    <w:p w14:paraId="66902E37" w14:textId="77777777" w:rsidR="008C1E51" w:rsidRPr="008C1E51" w:rsidRDefault="008C1E51" w:rsidP="008C1E51">
      <w:pPr>
        <w:spacing w:before="120" w:after="120" w:line="276" w:lineRule="auto"/>
        <w:rPr>
          <w:rFonts w:cs="Times New Roman"/>
          <w:szCs w:val="20"/>
          <w:u w:val="single"/>
          <w:lang w:eastAsia="pl-PL"/>
        </w:rPr>
      </w:pPr>
      <w:r w:rsidRPr="008C1E51">
        <w:rPr>
          <w:rFonts w:cs="Times New Roman"/>
          <w:szCs w:val="20"/>
          <w:u w:val="single"/>
          <w:lang w:eastAsia="pl-PL"/>
        </w:rPr>
        <w:t xml:space="preserve">Kontrole budynków w </w:t>
      </w:r>
      <w:proofErr w:type="spellStart"/>
      <w:r w:rsidRPr="008C1E51">
        <w:rPr>
          <w:rFonts w:cs="Times New Roman"/>
          <w:szCs w:val="20"/>
          <w:u w:val="single"/>
          <w:lang w:eastAsia="pl-PL"/>
        </w:rPr>
        <w:t>BdPN</w:t>
      </w:r>
      <w:proofErr w:type="spellEnd"/>
      <w:r w:rsidRPr="008C1E51">
        <w:rPr>
          <w:rFonts w:cs="Times New Roman"/>
          <w:szCs w:val="20"/>
          <w:u w:val="single"/>
          <w:lang w:eastAsia="pl-PL"/>
        </w:rPr>
        <w:t>.</w:t>
      </w:r>
    </w:p>
    <w:p w14:paraId="4449D5E9"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Zgodnie z art. </w:t>
      </w:r>
      <w:bookmarkStart w:id="49" w:name="_Hlk51574701"/>
      <w:r w:rsidRPr="008C1E51">
        <w:rPr>
          <w:rFonts w:cs="Times New Roman"/>
          <w:szCs w:val="20"/>
        </w:rPr>
        <w:t>62 ustawy z dnia 7 lipca 1994 r. Prawo budowlane</w:t>
      </w:r>
      <w:bookmarkEnd w:id="49"/>
      <w:r w:rsidRPr="008C1E51">
        <w:rPr>
          <w:rFonts w:cs="Times New Roman"/>
          <w:szCs w:val="20"/>
          <w:vertAlign w:val="superscript"/>
        </w:rPr>
        <w:footnoteReference w:id="126"/>
      </w:r>
      <w:r w:rsidRPr="008C1E51">
        <w:rPr>
          <w:rFonts w:cs="Times New Roman"/>
          <w:szCs w:val="20"/>
        </w:rPr>
        <w:t xml:space="preserve">, </w:t>
      </w:r>
      <w:proofErr w:type="spellStart"/>
      <w:r w:rsidRPr="008C1E51">
        <w:rPr>
          <w:rFonts w:cs="Times New Roman"/>
          <w:szCs w:val="20"/>
        </w:rPr>
        <w:t>BdPN</w:t>
      </w:r>
      <w:proofErr w:type="spellEnd"/>
      <w:r w:rsidRPr="008C1E51">
        <w:rPr>
          <w:rFonts w:cs="Times New Roman"/>
          <w:szCs w:val="20"/>
        </w:rPr>
        <w:t xml:space="preserve"> realizował okresowe kontrole w osadach służbowych oraz obiektach budowlanych. </w:t>
      </w:r>
    </w:p>
    <w:p w14:paraId="5FA034FE" w14:textId="77777777" w:rsidR="008C1E51" w:rsidRPr="008C1E51" w:rsidRDefault="008C1E51" w:rsidP="008C1E51">
      <w:pPr>
        <w:spacing w:before="120" w:after="120" w:line="276" w:lineRule="auto"/>
        <w:rPr>
          <w:rFonts w:cs="Times New Roman"/>
          <w:szCs w:val="20"/>
          <w:lang w:eastAsia="pl-PL"/>
        </w:rPr>
      </w:pPr>
      <w:r w:rsidRPr="008C1E51">
        <w:rPr>
          <w:rFonts w:cs="Times New Roman"/>
          <w:szCs w:val="20"/>
          <w:lang w:eastAsia="pl-PL"/>
        </w:rPr>
        <w:t>Badanie przeprowadzone na podstawie 22 protokołów</w:t>
      </w:r>
      <w:r w:rsidRPr="008C1E51">
        <w:rPr>
          <w:rFonts w:cs="Times New Roman"/>
          <w:szCs w:val="20"/>
          <w:vertAlign w:val="superscript"/>
          <w:lang w:eastAsia="pl-PL"/>
        </w:rPr>
        <w:footnoteReference w:id="127"/>
      </w:r>
      <w:r w:rsidRPr="008C1E51">
        <w:rPr>
          <w:rFonts w:cs="Times New Roman"/>
          <w:szCs w:val="20"/>
          <w:lang w:eastAsia="pl-PL"/>
        </w:rPr>
        <w:t>, tj. 12</w:t>
      </w:r>
      <w:r w:rsidRPr="008C1E51">
        <w:rPr>
          <w:rFonts w:cs="Times New Roman"/>
          <w:vertAlign w:val="superscript"/>
          <w:lang w:eastAsia="pl-PL"/>
        </w:rPr>
        <w:footnoteReference w:id="128"/>
      </w:r>
      <w:r w:rsidRPr="008C1E51">
        <w:rPr>
          <w:rFonts w:cs="Times New Roman"/>
          <w:szCs w:val="20"/>
          <w:lang w:eastAsia="pl-PL"/>
        </w:rPr>
        <w:t xml:space="preserve"> protokołów z okresowej kontroli rocznej polegającej na sprawdzeniu instalacji i urządzeń służących ochronie środowiska zgodnych z art. 62 ust. 1 pkt 1 lit. a Prawa budowlanego, 4</w:t>
      </w:r>
      <w:r w:rsidRPr="008C1E51">
        <w:rPr>
          <w:rFonts w:cs="Times New Roman"/>
          <w:vertAlign w:val="superscript"/>
          <w:lang w:eastAsia="pl-PL"/>
        </w:rPr>
        <w:footnoteReference w:id="129"/>
      </w:r>
      <w:r w:rsidRPr="008C1E51">
        <w:rPr>
          <w:rFonts w:cs="Times New Roman"/>
          <w:szCs w:val="20"/>
          <w:lang w:eastAsia="pl-PL"/>
        </w:rPr>
        <w:t xml:space="preserve"> protokołów </w:t>
      </w:r>
      <w:r w:rsidRPr="008C1E51">
        <w:rPr>
          <w:rFonts w:cs="Times New Roman"/>
          <w:szCs w:val="20"/>
          <w:lang w:eastAsia="pl-PL"/>
        </w:rPr>
        <w:br/>
        <w:t>z okresowej kontroli przewodów kominowych zgodnych z art. 62 Prawa budowlanego, 4</w:t>
      </w:r>
      <w:r w:rsidRPr="008C1E51">
        <w:rPr>
          <w:rFonts w:cs="Times New Roman"/>
          <w:vertAlign w:val="superscript"/>
          <w:lang w:eastAsia="pl-PL"/>
        </w:rPr>
        <w:footnoteReference w:id="130"/>
      </w:r>
      <w:r w:rsidRPr="008C1E51">
        <w:rPr>
          <w:rFonts w:cs="Times New Roman"/>
          <w:szCs w:val="20"/>
          <w:lang w:eastAsia="pl-PL"/>
        </w:rPr>
        <w:t xml:space="preserve"> protokołów z okresowej (rocznej) kontroli stanu technicznego (w tym 1 protokół z rocznej </w:t>
      </w:r>
      <w:r w:rsidRPr="008C1E51">
        <w:rPr>
          <w:rFonts w:cs="Times New Roman"/>
          <w:szCs w:val="20"/>
          <w:lang w:eastAsia="pl-PL"/>
        </w:rPr>
        <w:br/>
        <w:t>i pięcioletniej kontroli stanu technicznego</w:t>
      </w:r>
      <w:r w:rsidRPr="008C1E51">
        <w:rPr>
          <w:rFonts w:cs="Times New Roman"/>
          <w:vertAlign w:val="superscript"/>
          <w:lang w:eastAsia="pl-PL"/>
        </w:rPr>
        <w:footnoteReference w:id="131"/>
      </w:r>
      <w:r w:rsidRPr="008C1E51">
        <w:rPr>
          <w:rFonts w:cs="Times New Roman"/>
          <w:szCs w:val="20"/>
          <w:lang w:eastAsia="pl-PL"/>
        </w:rPr>
        <w:t>) zgodnej z art. 62 Prawa budowlanego, 2</w:t>
      </w:r>
      <w:r w:rsidRPr="008C1E51">
        <w:rPr>
          <w:rFonts w:cs="Times New Roman"/>
          <w:vertAlign w:val="superscript"/>
          <w:lang w:eastAsia="pl-PL"/>
        </w:rPr>
        <w:footnoteReference w:id="132"/>
      </w:r>
      <w:r w:rsidRPr="008C1E51">
        <w:rPr>
          <w:rFonts w:cs="Times New Roman"/>
          <w:szCs w:val="20"/>
          <w:lang w:eastAsia="pl-PL"/>
        </w:rPr>
        <w:t xml:space="preserve"> protokołów z okresowej pięcioletniej kontroli stanu technicznego zgodnych z art. 62 ust. </w:t>
      </w:r>
      <w:r w:rsidRPr="008C1E51">
        <w:rPr>
          <w:rFonts w:cs="Times New Roman"/>
          <w:szCs w:val="20"/>
          <w:lang w:eastAsia="pl-PL"/>
        </w:rPr>
        <w:br/>
        <w:t>2 Prawa budowlanego.</w:t>
      </w:r>
    </w:p>
    <w:p w14:paraId="201DDCF3" w14:textId="77777777" w:rsidR="008C1E51" w:rsidRPr="008C1E51" w:rsidRDefault="008C1E51" w:rsidP="008C1E51">
      <w:pPr>
        <w:spacing w:before="120" w:after="120" w:line="276" w:lineRule="auto"/>
        <w:rPr>
          <w:rFonts w:cs="Times New Roman"/>
          <w:szCs w:val="20"/>
          <w:lang w:eastAsia="pl-PL"/>
        </w:rPr>
      </w:pPr>
      <w:r w:rsidRPr="008C1E51">
        <w:rPr>
          <w:rFonts w:cs="Times New Roman"/>
          <w:szCs w:val="20"/>
          <w:lang w:eastAsia="pl-PL"/>
        </w:rPr>
        <w:t>Ustalono, że kontrole budynków i instalacji, przeprowadzane były przez osoby posiadające wymagane kwalifikacje</w:t>
      </w:r>
      <w:r w:rsidRPr="008C1E51">
        <w:rPr>
          <w:rFonts w:cs="Times New Roman"/>
          <w:vertAlign w:val="superscript"/>
          <w:lang w:eastAsia="pl-PL"/>
        </w:rPr>
        <w:footnoteReference w:id="133"/>
      </w:r>
      <w:r w:rsidRPr="008C1E51">
        <w:rPr>
          <w:rFonts w:cs="Times New Roman"/>
          <w:szCs w:val="20"/>
          <w:lang w:eastAsia="pl-PL"/>
        </w:rPr>
        <w:t>. W przypadku 3 przeglądów z okresowej rocznej kontroli polegającej na sprawdzeniu instalacji i urządzeń służących ochronie środowiska (dot. przeglądów oczyszczalni ścieków), 1 przeglądu okresowej kontroli przewodów kominowych</w:t>
      </w:r>
      <w:r w:rsidRPr="008C1E51">
        <w:rPr>
          <w:rFonts w:cs="Times New Roman"/>
          <w:vertAlign w:val="superscript"/>
          <w:lang w:eastAsia="pl-PL"/>
        </w:rPr>
        <w:footnoteReference w:id="134"/>
      </w:r>
      <w:r w:rsidRPr="008C1E51">
        <w:rPr>
          <w:rFonts w:cs="Times New Roman"/>
          <w:szCs w:val="20"/>
          <w:lang w:eastAsia="pl-PL"/>
        </w:rPr>
        <w:t>, czyli 4 z 22 badanych przypadków zostały sporządzone po terminie (tj. bez zachowania określonych w ustawie Prawo budowlane 365 dni), co skutkowało brakiem ciągłości ważności przeglądów.  Powyższe działanie było niezgodne z art. 62 ust. 1 pkt 1 ustawy Prawo budowlane.</w:t>
      </w:r>
    </w:p>
    <w:p w14:paraId="34B2269A"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II/291-318]</w:t>
      </w:r>
    </w:p>
    <w:p w14:paraId="317FB0FF" w14:textId="77777777" w:rsidR="008C1E51" w:rsidRPr="008C1E51" w:rsidRDefault="008C1E51" w:rsidP="008C1E51">
      <w:pPr>
        <w:spacing w:before="120" w:after="120" w:line="276" w:lineRule="auto"/>
        <w:rPr>
          <w:rFonts w:cs="Times New Roman"/>
          <w:bCs/>
          <w:szCs w:val="20"/>
          <w:lang w:eastAsia="pl-PL"/>
        </w:rPr>
      </w:pPr>
      <w:r w:rsidRPr="008C1E51">
        <w:rPr>
          <w:rFonts w:cs="Times New Roman"/>
          <w:bCs/>
          <w:szCs w:val="20"/>
          <w:u w:val="single"/>
          <w:lang w:eastAsia="pl-PL"/>
        </w:rPr>
        <w:t xml:space="preserve">Skargi dotyczące gospodarowania budynkami przez </w:t>
      </w:r>
      <w:proofErr w:type="spellStart"/>
      <w:r w:rsidRPr="008C1E51">
        <w:rPr>
          <w:rFonts w:cs="Times New Roman"/>
          <w:bCs/>
          <w:szCs w:val="20"/>
          <w:u w:val="single"/>
          <w:lang w:eastAsia="pl-PL"/>
        </w:rPr>
        <w:t>BdPN</w:t>
      </w:r>
      <w:proofErr w:type="spellEnd"/>
      <w:r w:rsidRPr="008C1E51">
        <w:rPr>
          <w:rFonts w:cs="Times New Roman"/>
          <w:bCs/>
          <w:szCs w:val="20"/>
          <w:u w:val="single"/>
          <w:lang w:eastAsia="pl-PL"/>
        </w:rPr>
        <w:t xml:space="preserve"> w okresie kontrolowanym.</w:t>
      </w:r>
    </w:p>
    <w:p w14:paraId="0AB5F251" w14:textId="4C91F119" w:rsidR="008C1E51" w:rsidRPr="008C1E51" w:rsidRDefault="008C1E51" w:rsidP="008C1E51">
      <w:pPr>
        <w:spacing w:before="120" w:after="120" w:line="276" w:lineRule="auto"/>
        <w:rPr>
          <w:rFonts w:cs="Times New Roman"/>
          <w:bCs/>
          <w:szCs w:val="20"/>
          <w:lang w:eastAsia="pl-PL"/>
        </w:rPr>
      </w:pPr>
      <w:r w:rsidRPr="008C1E51">
        <w:rPr>
          <w:rFonts w:cs="Times New Roman"/>
          <w:szCs w:val="20"/>
        </w:rPr>
        <w:t xml:space="preserve">W okresie objętym kontrolą do </w:t>
      </w:r>
      <w:proofErr w:type="spellStart"/>
      <w:r w:rsidRPr="008C1E51">
        <w:rPr>
          <w:rFonts w:cs="Times New Roman"/>
          <w:szCs w:val="20"/>
        </w:rPr>
        <w:t>BdPN</w:t>
      </w:r>
      <w:proofErr w:type="spellEnd"/>
      <w:r w:rsidRPr="008C1E51">
        <w:rPr>
          <w:rFonts w:cs="Times New Roman"/>
          <w:szCs w:val="20"/>
        </w:rPr>
        <w:t xml:space="preserve"> nie wpłynęła żadna </w:t>
      </w:r>
      <w:r w:rsidR="00211832" w:rsidRPr="008C1E51">
        <w:rPr>
          <w:rFonts w:cs="Times New Roman"/>
          <w:szCs w:val="20"/>
        </w:rPr>
        <w:t>skarga</w:t>
      </w:r>
      <w:r w:rsidRPr="008C1E51">
        <w:rPr>
          <w:rFonts w:cs="Times New Roman"/>
          <w:szCs w:val="20"/>
        </w:rPr>
        <w:t xml:space="preserve"> ani wniosek dotyczący spraw związanych z gospodarowaniem budynkami. </w:t>
      </w:r>
    </w:p>
    <w:p w14:paraId="011DD270" w14:textId="77777777" w:rsidR="008C1E51" w:rsidRPr="008C1E51" w:rsidRDefault="008C1E51" w:rsidP="008C1E51">
      <w:pPr>
        <w:spacing w:before="120" w:after="120" w:line="276" w:lineRule="auto"/>
        <w:rPr>
          <w:rFonts w:cs="Times New Roman"/>
          <w:bCs/>
          <w:szCs w:val="20"/>
          <w:lang w:eastAsia="pl-PL"/>
        </w:rPr>
      </w:pPr>
      <w:r w:rsidRPr="008C1E51">
        <w:rPr>
          <w:rFonts w:cs="Times New Roman"/>
          <w:szCs w:val="20"/>
          <w:u w:val="single"/>
          <w:lang w:eastAsia="pl-PL"/>
        </w:rPr>
        <w:t xml:space="preserve">Kontrole wewnętrzne, zewnętrzne i audyt przeprowadzony w </w:t>
      </w:r>
      <w:proofErr w:type="spellStart"/>
      <w:r w:rsidRPr="008C1E51">
        <w:rPr>
          <w:rFonts w:cs="Times New Roman"/>
          <w:szCs w:val="20"/>
          <w:u w:val="single"/>
          <w:lang w:eastAsia="pl-PL"/>
        </w:rPr>
        <w:t>BdPN</w:t>
      </w:r>
      <w:proofErr w:type="spellEnd"/>
      <w:r w:rsidRPr="008C1E51">
        <w:rPr>
          <w:rFonts w:cs="Times New Roman"/>
          <w:szCs w:val="20"/>
          <w:u w:val="single"/>
          <w:lang w:eastAsia="pl-PL"/>
        </w:rPr>
        <w:t xml:space="preserve"> okresie kontrolowanym w zakresie nieruchomości budowlanych</w:t>
      </w:r>
    </w:p>
    <w:p w14:paraId="701ED153" w14:textId="77777777" w:rsidR="008C1E51" w:rsidRPr="008C1E51" w:rsidRDefault="008C1E51" w:rsidP="008C1E51">
      <w:pPr>
        <w:spacing w:before="120" w:after="120" w:line="276" w:lineRule="auto"/>
        <w:rPr>
          <w:rFonts w:cs="Times New Roman"/>
          <w:iCs/>
          <w:szCs w:val="20"/>
        </w:rPr>
      </w:pPr>
      <w:r w:rsidRPr="008C1E51">
        <w:rPr>
          <w:rFonts w:cs="Times New Roman"/>
          <w:szCs w:val="20"/>
        </w:rPr>
        <w:t>W okresie objętym kontrolą nie przeprowadzano kontroli związanych gospodarowaniem nieruchomościami. Dyrektor Parku wyjaśnił, że</w:t>
      </w:r>
      <w:r w:rsidRPr="008C1E51">
        <w:rPr>
          <w:rFonts w:cs="Times New Roman"/>
          <w:vertAlign w:val="superscript"/>
        </w:rPr>
        <w:footnoteReference w:id="135"/>
      </w:r>
      <w:r w:rsidRPr="008C1E51">
        <w:rPr>
          <w:rFonts w:cs="Times New Roman"/>
          <w:szCs w:val="20"/>
        </w:rPr>
        <w:t xml:space="preserve"> w okresie objętym kontrolą zagadnienia związane z gospodarowaniem budynkami nie były przedmiotem kontroli wewnętrznej. Ponadto nadmienił, że zgodnie z obowiązującymi przepisami prawa, </w:t>
      </w:r>
      <w:proofErr w:type="spellStart"/>
      <w:r w:rsidRPr="008C1E51">
        <w:rPr>
          <w:rFonts w:cs="Times New Roman"/>
          <w:szCs w:val="20"/>
        </w:rPr>
        <w:t>BdPN</w:t>
      </w:r>
      <w:proofErr w:type="spellEnd"/>
      <w:r w:rsidRPr="008C1E51">
        <w:rPr>
          <w:rFonts w:cs="Times New Roman"/>
          <w:szCs w:val="20"/>
        </w:rPr>
        <w:t xml:space="preserve"> nie ma obowiązku przeprowadzania audytu w zakresie spraw związanych z gospodarowaniem budynkami. Zdaniem Dyrektora </w:t>
      </w:r>
      <w:proofErr w:type="spellStart"/>
      <w:r w:rsidRPr="008C1E51">
        <w:rPr>
          <w:rFonts w:cs="Times New Roman"/>
          <w:szCs w:val="20"/>
        </w:rPr>
        <w:t>BdPN</w:t>
      </w:r>
      <w:proofErr w:type="spellEnd"/>
      <w:r w:rsidRPr="008C1E51">
        <w:rPr>
          <w:rFonts w:cs="Times New Roman"/>
          <w:i/>
          <w:vertAlign w:val="superscript"/>
        </w:rPr>
        <w:footnoteReference w:id="136"/>
      </w:r>
      <w:r w:rsidRPr="008C1E51">
        <w:rPr>
          <w:rFonts w:cs="Times New Roman"/>
          <w:szCs w:val="20"/>
        </w:rPr>
        <w:t xml:space="preserve">: </w:t>
      </w:r>
      <w:r w:rsidRPr="008C1E51">
        <w:rPr>
          <w:rFonts w:cs="Times New Roman"/>
          <w:iCs/>
          <w:szCs w:val="20"/>
        </w:rPr>
        <w:t>Kontrola wewnętrzna jest wykonywana poprzez coroczne przeglądy obiektów budowlanych, bezpośredni nadzór leśniczych odpowiedzialnych za dany teren, pracowników Straży Parku oraz na bieżąco w zakresie oczyszczalni i ujęć wody przez pracowników Działu Administracji i Gospodarowania Mieniem.</w:t>
      </w:r>
    </w:p>
    <w:p w14:paraId="695157A9"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II/279-287]</w:t>
      </w:r>
    </w:p>
    <w:p w14:paraId="709CD32C" w14:textId="77777777" w:rsidR="008C1E51" w:rsidRPr="008C1E51" w:rsidRDefault="008C1E51" w:rsidP="008C1E51">
      <w:pPr>
        <w:suppressAutoHyphens/>
        <w:autoSpaceDE w:val="0"/>
        <w:autoSpaceDN w:val="0"/>
        <w:spacing w:before="120" w:after="120" w:line="276" w:lineRule="auto"/>
        <w:rPr>
          <w:rFonts w:cs="Times New Roman"/>
          <w:bCs/>
          <w:iCs/>
          <w:color w:val="000000" w:themeColor="text1"/>
          <w:szCs w:val="20"/>
          <w:u w:val="single"/>
        </w:rPr>
      </w:pPr>
      <w:r w:rsidRPr="008C1E51">
        <w:rPr>
          <w:rFonts w:cs="Times New Roman"/>
          <w:bCs/>
          <w:iCs/>
          <w:color w:val="000000" w:themeColor="text1"/>
          <w:szCs w:val="20"/>
          <w:u w:val="single"/>
        </w:rPr>
        <w:t xml:space="preserve">3.2. Gospodarowanie gruntami Skarbu Państwa znajdującymi się w zasobach Parku. </w:t>
      </w:r>
    </w:p>
    <w:p w14:paraId="4B5E2496" w14:textId="77777777" w:rsidR="008C1E51" w:rsidRPr="008C1E51" w:rsidRDefault="008C1E51" w:rsidP="008C1E51">
      <w:pPr>
        <w:numPr>
          <w:ilvl w:val="0"/>
          <w:numId w:val="6"/>
        </w:numPr>
        <w:tabs>
          <w:tab w:val="num" w:pos="426"/>
        </w:tabs>
        <w:suppressAutoHyphens/>
        <w:autoSpaceDE w:val="0"/>
        <w:autoSpaceDN w:val="0"/>
        <w:spacing w:before="120" w:after="120" w:line="276" w:lineRule="auto"/>
        <w:ind w:left="1560" w:hanging="1560"/>
        <w:rPr>
          <w:rFonts w:cs="Times New Roman"/>
          <w:color w:val="000000" w:themeColor="text1"/>
          <w:szCs w:val="20"/>
          <w:u w:val="single"/>
        </w:rPr>
      </w:pPr>
      <w:r w:rsidRPr="008C1E51">
        <w:rPr>
          <w:rFonts w:cs="Times New Roman"/>
          <w:color w:val="000000" w:themeColor="text1"/>
          <w:szCs w:val="20"/>
          <w:u w:val="single"/>
        </w:rPr>
        <w:t>Stan prawny gruntów.</w:t>
      </w:r>
    </w:p>
    <w:p w14:paraId="75AE7404" w14:textId="77777777" w:rsidR="008C1E51" w:rsidRPr="008C1E51" w:rsidRDefault="008C1E51" w:rsidP="008C1E51">
      <w:pPr>
        <w:autoSpaceDE w:val="0"/>
        <w:autoSpaceDN w:val="0"/>
        <w:adjustRightInd w:val="0"/>
        <w:spacing w:before="120" w:after="120" w:line="276" w:lineRule="auto"/>
        <w:rPr>
          <w:rFonts w:eastAsia="Times New Roman" w:cs="Times New Roman"/>
          <w:szCs w:val="20"/>
          <w:lang w:eastAsia="pl-PL"/>
        </w:rPr>
      </w:pPr>
      <w:r w:rsidRPr="008C1E51">
        <w:rPr>
          <w:rFonts w:eastAsia="Times New Roman" w:cs="Times New Roman"/>
          <w:szCs w:val="20"/>
          <w:lang w:eastAsia="pl-PL"/>
        </w:rPr>
        <w:t>Na podstawie art. 7 ust. 1-3 ustawy z dnia 18 sierpnia 2011 r. o zmianie ustawy o ochronie przyrody oraz niektórych innych ustaw</w:t>
      </w:r>
      <w:r w:rsidRPr="008C1E51">
        <w:rPr>
          <w:rFonts w:cs="Times New Roman"/>
          <w:szCs w:val="20"/>
          <w:vertAlign w:val="superscript"/>
          <w:lang w:eastAsia="pl-PL"/>
        </w:rPr>
        <w:footnoteReference w:id="137"/>
      </w:r>
      <w:r w:rsidRPr="008C1E51">
        <w:rPr>
          <w:rFonts w:eastAsia="Times New Roman" w:cs="Times New Roman"/>
          <w:szCs w:val="20"/>
          <w:lang w:eastAsia="pl-PL"/>
        </w:rPr>
        <w:t xml:space="preserve"> Bieszczadzki Park Narodowy, będący państwową osobą prawną z mocy samego prawa z dniem 1 stycznia 2012 r. nabył prawo użytkowania wieczystego gruntów stanowiących własność Skarbu Państwa o powierzchni 29 200,48 ha oraz budynków i budowli zlokalizowanych na tych gruntach. Na dzień 10 maja 2022 roku powierzchnia nieruchomości gruntowych Parku wynosiła </w:t>
      </w:r>
      <w:r w:rsidRPr="008C1E51">
        <w:rPr>
          <w:rFonts w:cs="Times New Roman"/>
          <w:color w:val="000000" w:themeColor="text1"/>
          <w:szCs w:val="20"/>
        </w:rPr>
        <w:t>29 040,63 ha.</w:t>
      </w:r>
    </w:p>
    <w:p w14:paraId="40A5C260" w14:textId="77777777" w:rsidR="008C1E51" w:rsidRPr="008C1E51" w:rsidRDefault="008C1E51" w:rsidP="008C1E51">
      <w:p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 xml:space="preserve">Struktura zasobów gruntowych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wynosi:</w:t>
      </w:r>
    </w:p>
    <w:p w14:paraId="321EBFB5" w14:textId="77777777" w:rsidR="008C1E51" w:rsidRPr="008C1E51" w:rsidRDefault="008C1E51" w:rsidP="008C1E51">
      <w:pPr>
        <w:numPr>
          <w:ilvl w:val="0"/>
          <w:numId w:val="17"/>
        </w:num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Grunty leśne: 24 439,48 ha,</w:t>
      </w:r>
    </w:p>
    <w:p w14:paraId="60AD4CA2" w14:textId="77777777" w:rsidR="008C1E51" w:rsidRPr="008C1E51" w:rsidRDefault="008C1E51" w:rsidP="008C1E51">
      <w:pPr>
        <w:numPr>
          <w:ilvl w:val="0"/>
          <w:numId w:val="17"/>
        </w:num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Grunty zadrzewione i zakrzewione: 188,65 ha,</w:t>
      </w:r>
    </w:p>
    <w:p w14:paraId="7361C06F" w14:textId="77777777" w:rsidR="008C1E51" w:rsidRPr="008C1E51" w:rsidRDefault="008C1E51" w:rsidP="008C1E51">
      <w:pPr>
        <w:numPr>
          <w:ilvl w:val="0"/>
          <w:numId w:val="17"/>
        </w:num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Grunty pod infrastrukturą: 30,79 ha,</w:t>
      </w:r>
    </w:p>
    <w:p w14:paraId="08205D83" w14:textId="77777777" w:rsidR="008C1E51" w:rsidRPr="008C1E51" w:rsidRDefault="008C1E51" w:rsidP="008C1E51">
      <w:pPr>
        <w:numPr>
          <w:ilvl w:val="0"/>
          <w:numId w:val="17"/>
        </w:num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Grunty rolne: 2 650,53 ha,</w:t>
      </w:r>
    </w:p>
    <w:p w14:paraId="5CB00F61" w14:textId="77777777" w:rsidR="008C1E51" w:rsidRPr="008C1E51" w:rsidRDefault="008C1E51" w:rsidP="008C1E51">
      <w:pPr>
        <w:numPr>
          <w:ilvl w:val="0"/>
          <w:numId w:val="17"/>
        </w:num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Grunty pozostałe: 1 665,99 ha.</w:t>
      </w:r>
    </w:p>
    <w:p w14:paraId="694ADD31" w14:textId="77777777" w:rsidR="008C1E51" w:rsidRPr="008C1E51" w:rsidRDefault="008C1E51" w:rsidP="008C1E51">
      <w:p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 xml:space="preserve">W granicach parku znajdowało się 151,36 ha gruntów nie należących do Parku, co stanowiło 0,52% powierzchni Parku. Grunty te nie zostały przejęte podczas tworzenia i w czasie kolejnych powiększeń obszaru Parku. Znaczną część tzw. gruntów obcych stanowią drogi wojewódzkie i powiatowe, których przejęcie jest niemożliwe. Park podejmował starania celem pozyskania niektórych z tych gruntów (stanowiących własność Gminy Lutowiska) – jednak ani gmina Lutowiska ani Powiat Bieszczadzki nie był zainteresowany przekazaniem gruntów do Parku. Dyrektor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przekazał</w:t>
      </w:r>
      <w:r w:rsidRPr="008C1E51">
        <w:rPr>
          <w:rFonts w:cs="Times New Roman"/>
          <w:color w:val="000000" w:themeColor="text1"/>
          <w:vertAlign w:val="superscript"/>
        </w:rPr>
        <w:footnoteReference w:id="138"/>
      </w:r>
      <w:r w:rsidRPr="008C1E51">
        <w:rPr>
          <w:rFonts w:cs="Times New Roman"/>
          <w:color w:val="000000" w:themeColor="text1"/>
          <w:szCs w:val="20"/>
        </w:rPr>
        <w:t xml:space="preserve">, że </w:t>
      </w:r>
      <w:r w:rsidRPr="008C1E51">
        <w:rPr>
          <w:rFonts w:cs="Times New Roman"/>
          <w:iCs/>
          <w:color w:val="000000" w:themeColor="text1"/>
          <w:szCs w:val="20"/>
        </w:rPr>
        <w:t xml:space="preserve">w okresie objętym kontrolą nie podejmowano takich działań, gdyż nie zachodziły ku temu przesłanki. Teren Parku jest specyficzny. W granicach Parku grunty obce to głównie drogi wojewódzkie oraz grunty komunalne gminy Lutowiska. Stanowią one ułamek procenta powierzchni </w:t>
      </w:r>
      <w:proofErr w:type="spellStart"/>
      <w:r w:rsidRPr="008C1E51">
        <w:rPr>
          <w:rFonts w:cs="Times New Roman"/>
          <w:iCs/>
          <w:color w:val="000000" w:themeColor="text1"/>
          <w:szCs w:val="20"/>
        </w:rPr>
        <w:t>BdPN</w:t>
      </w:r>
      <w:proofErr w:type="spellEnd"/>
      <w:r w:rsidRPr="008C1E51">
        <w:rPr>
          <w:rFonts w:cs="Times New Roman"/>
          <w:iCs/>
          <w:color w:val="000000" w:themeColor="text1"/>
          <w:szCs w:val="20"/>
        </w:rPr>
        <w:t>.</w:t>
      </w:r>
    </w:p>
    <w:p w14:paraId="7814A2A6" w14:textId="77777777" w:rsidR="008C1E51" w:rsidRPr="008C1E51" w:rsidRDefault="008C1E51" w:rsidP="008C1E51">
      <w:p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 xml:space="preserve">Zestawienie gruntów obcych położonych w granicach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przedstawia się następująco</w:t>
      </w:r>
      <w:r w:rsidRPr="008C1E51">
        <w:rPr>
          <w:rFonts w:cs="Times New Roman"/>
          <w:color w:val="000000" w:themeColor="text1"/>
          <w:vertAlign w:val="superscript"/>
        </w:rPr>
        <w:footnoteReference w:id="139"/>
      </w:r>
      <w:r w:rsidRPr="008C1E51">
        <w:rPr>
          <w:rFonts w:cs="Times New Roman"/>
          <w:color w:val="000000" w:themeColor="text1"/>
          <w:szCs w:val="20"/>
        </w:rPr>
        <w:t>:</w:t>
      </w:r>
    </w:p>
    <w:p w14:paraId="4AB0B231" w14:textId="77777777" w:rsidR="008C1E51" w:rsidRPr="008C1E51" w:rsidRDefault="008C1E51" w:rsidP="008C1E51">
      <w:p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 xml:space="preserve">99,91 ha stanowiły grunty będące własnością Skarbu Państwa, 49,05 ha stanowiły pozostałą własność, zaś 2,39 ha gruntów stanowiły własność prywatną. </w:t>
      </w:r>
    </w:p>
    <w:p w14:paraId="77B0CD40"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II/279-287]</w:t>
      </w:r>
    </w:p>
    <w:p w14:paraId="54BF0D14" w14:textId="77777777" w:rsidR="008C1E51" w:rsidRPr="008C1E51" w:rsidRDefault="008C1E51" w:rsidP="008C1E51">
      <w:pPr>
        <w:tabs>
          <w:tab w:val="num" w:pos="495"/>
        </w:tabs>
        <w:autoSpaceDE w:val="0"/>
        <w:autoSpaceDN w:val="0"/>
        <w:spacing w:before="120" w:after="120" w:line="276" w:lineRule="auto"/>
        <w:rPr>
          <w:rFonts w:cs="Times New Roman"/>
          <w:color w:val="000000" w:themeColor="text1"/>
          <w:szCs w:val="20"/>
          <w:u w:val="single"/>
        </w:rPr>
      </w:pPr>
      <w:r w:rsidRPr="008C1E51">
        <w:rPr>
          <w:rFonts w:cs="Times New Roman"/>
          <w:color w:val="000000" w:themeColor="text1"/>
          <w:szCs w:val="20"/>
          <w:u w:val="single"/>
        </w:rPr>
        <w:t>2.2 Spory dotyczące stanu prawnego nieruchomości gruntowych będących w zasobach Parku.</w:t>
      </w:r>
    </w:p>
    <w:p w14:paraId="4065A9C8" w14:textId="77777777" w:rsidR="008C1E51" w:rsidRPr="008C1E51" w:rsidRDefault="008C1E51" w:rsidP="008C1E51">
      <w:pPr>
        <w:tabs>
          <w:tab w:val="num" w:pos="495"/>
        </w:tabs>
        <w:autoSpaceDE w:val="0"/>
        <w:autoSpaceDN w:val="0"/>
        <w:spacing w:before="120" w:after="120" w:line="276" w:lineRule="auto"/>
        <w:rPr>
          <w:rFonts w:cs="Times New Roman"/>
          <w:color w:val="000000" w:themeColor="text1"/>
          <w:szCs w:val="20"/>
        </w:rPr>
      </w:pPr>
      <w:r w:rsidRPr="008C1E51">
        <w:rPr>
          <w:rFonts w:cs="Times New Roman"/>
          <w:color w:val="000000" w:themeColor="text1"/>
          <w:szCs w:val="20"/>
        </w:rPr>
        <w:t>Bieszczadzki Park Narodowy uzyskał decyzję Wojewody podkarpackiego potwierdzającą prawo nabycia użytkowania wieczystego nieruchomości oddanych w trwały zarząd parków narodowych oraz prawa własności przynależnych do tych nieruchomości budynków</w:t>
      </w:r>
      <w:r w:rsidRPr="008C1E51">
        <w:rPr>
          <w:rFonts w:cs="Times New Roman"/>
          <w:color w:val="000000" w:themeColor="text1"/>
          <w:vertAlign w:val="superscript"/>
        </w:rPr>
        <w:footnoteReference w:id="140"/>
      </w:r>
      <w:r w:rsidRPr="008C1E51">
        <w:rPr>
          <w:rFonts w:cs="Times New Roman"/>
          <w:color w:val="000000" w:themeColor="text1"/>
          <w:szCs w:val="20"/>
        </w:rPr>
        <w:t xml:space="preserve">. Do dnia wszczęcia kontroli – zgodnie z informacją przekazaną przez Dyrektora </w:t>
      </w:r>
      <w:proofErr w:type="spellStart"/>
      <w:r w:rsidRPr="008C1E51">
        <w:rPr>
          <w:rFonts w:cs="Times New Roman"/>
          <w:color w:val="000000" w:themeColor="text1"/>
          <w:szCs w:val="20"/>
        </w:rPr>
        <w:t>BdPN</w:t>
      </w:r>
      <w:proofErr w:type="spellEnd"/>
      <w:r w:rsidRPr="008C1E51">
        <w:rPr>
          <w:rFonts w:cs="Times New Roman"/>
          <w:color w:val="000000" w:themeColor="text1"/>
          <w:vertAlign w:val="superscript"/>
        </w:rPr>
        <w:footnoteReference w:id="141"/>
      </w:r>
      <w:r w:rsidRPr="008C1E51">
        <w:rPr>
          <w:rFonts w:cs="Times New Roman"/>
          <w:color w:val="000000" w:themeColor="text1"/>
          <w:szCs w:val="20"/>
        </w:rPr>
        <w:t xml:space="preserve"> - Parkowi nie udało się pozyskać decyzji Wojewody w odniesieniu do trzech kompleksów (działek położonych pod budynkami mieszkalnymi). Dyrektor Parku wyjaśnił</w:t>
      </w:r>
      <w:r w:rsidRPr="008C1E51">
        <w:rPr>
          <w:rFonts w:cs="Times New Roman"/>
          <w:color w:val="000000" w:themeColor="text1"/>
          <w:vertAlign w:val="superscript"/>
        </w:rPr>
        <w:footnoteReference w:id="142"/>
      </w:r>
      <w:r w:rsidRPr="008C1E51">
        <w:rPr>
          <w:rFonts w:cs="Times New Roman"/>
          <w:color w:val="000000" w:themeColor="text1"/>
          <w:szCs w:val="20"/>
        </w:rPr>
        <w:t>,</w:t>
      </w:r>
      <w:r w:rsidRPr="008C1E51">
        <w:rPr>
          <w:rFonts w:cs="Times New Roman"/>
          <w:color w:val="000000" w:themeColor="text1"/>
          <w:szCs w:val="20"/>
        </w:rPr>
        <w:br/>
        <w:t>że z informacji uzyskanych przez Park w Podkarpackim Urzędzie Wojewódzkim wynika,</w:t>
      </w:r>
      <w:r w:rsidRPr="008C1E51">
        <w:rPr>
          <w:rFonts w:cs="Times New Roman"/>
          <w:color w:val="000000" w:themeColor="text1"/>
          <w:szCs w:val="20"/>
        </w:rPr>
        <w:br/>
        <w:t xml:space="preserve">że przyczyną braku decyzji Wojewody we wskazanym wyżej zakresie są odwołania od Decyzji jakie złożyli mieszkańcy/najemcy lokali należących do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do ministra właściwego ds. środowiska. </w:t>
      </w:r>
    </w:p>
    <w:p w14:paraId="172F3E9E"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II/279-287]</w:t>
      </w:r>
    </w:p>
    <w:p w14:paraId="0A81E887" w14:textId="77777777" w:rsidR="008C1E51" w:rsidRPr="008C1E51" w:rsidRDefault="008C1E51" w:rsidP="008C1E51">
      <w:pPr>
        <w:numPr>
          <w:ilvl w:val="0"/>
          <w:numId w:val="6"/>
        </w:numPr>
        <w:spacing w:before="120" w:after="120" w:line="276" w:lineRule="auto"/>
        <w:ind w:left="426" w:hanging="449"/>
        <w:rPr>
          <w:rFonts w:cs="Times New Roman"/>
          <w:color w:val="000000" w:themeColor="text1"/>
          <w:szCs w:val="20"/>
        </w:rPr>
      </w:pPr>
      <w:r w:rsidRPr="008C1E51">
        <w:rPr>
          <w:rFonts w:cs="Times New Roman"/>
          <w:color w:val="000000" w:themeColor="text1"/>
          <w:szCs w:val="20"/>
          <w:u w:val="single"/>
        </w:rPr>
        <w:t xml:space="preserve">Wykorzystanie nieruchomości gruntowych będących w posiadaniu </w:t>
      </w:r>
      <w:proofErr w:type="spellStart"/>
      <w:r w:rsidRPr="008C1E51">
        <w:rPr>
          <w:rFonts w:cs="Times New Roman"/>
          <w:color w:val="000000" w:themeColor="text1"/>
          <w:szCs w:val="20"/>
          <w:u w:val="single"/>
        </w:rPr>
        <w:t>BdPN</w:t>
      </w:r>
      <w:proofErr w:type="spellEnd"/>
      <w:r w:rsidRPr="008C1E51">
        <w:rPr>
          <w:rFonts w:cs="Times New Roman"/>
          <w:color w:val="000000" w:themeColor="text1"/>
          <w:szCs w:val="20"/>
          <w:u w:val="single"/>
        </w:rPr>
        <w:t xml:space="preserve"> według umów (bez zasobów mieszkaniowych)</w:t>
      </w:r>
      <w:r w:rsidRPr="008C1E51">
        <w:rPr>
          <w:rFonts w:cs="Times New Roman"/>
          <w:color w:val="000000" w:themeColor="text1"/>
          <w:szCs w:val="20"/>
        </w:rPr>
        <w:t xml:space="preserve">. </w:t>
      </w:r>
    </w:p>
    <w:p w14:paraId="34C22E34" w14:textId="77777777" w:rsidR="008C1E51" w:rsidRPr="008C1E51" w:rsidRDefault="008C1E51" w:rsidP="008C1E51">
      <w:pPr>
        <w:spacing w:before="120" w:after="120" w:line="276" w:lineRule="auto"/>
        <w:rPr>
          <w:rFonts w:cs="Times New Roman"/>
          <w:szCs w:val="20"/>
          <w:highlight w:val="red"/>
          <w:lang w:eastAsia="pl-PL"/>
        </w:rPr>
      </w:pPr>
      <w:r w:rsidRPr="008C1E51">
        <w:rPr>
          <w:rFonts w:cs="Times New Roman"/>
          <w:szCs w:val="20"/>
          <w:lang w:eastAsia="pl-PL"/>
        </w:rPr>
        <w:t xml:space="preserve">Według stanu na dzień 31 grudnia 2021 r. </w:t>
      </w:r>
      <w:proofErr w:type="spellStart"/>
      <w:r w:rsidRPr="008C1E51">
        <w:rPr>
          <w:rFonts w:cs="Times New Roman"/>
          <w:szCs w:val="20"/>
          <w:lang w:eastAsia="pl-PL"/>
        </w:rPr>
        <w:t>BdPN</w:t>
      </w:r>
      <w:proofErr w:type="spellEnd"/>
      <w:r w:rsidRPr="008C1E51">
        <w:rPr>
          <w:rFonts w:cs="Times New Roman"/>
          <w:szCs w:val="20"/>
          <w:lang w:eastAsia="pl-PL"/>
        </w:rPr>
        <w:t xml:space="preserve"> zawarł 13 umów dzierżaw nieruchomości gruntowych o łącznej powierzchni 744,94 ha. </w:t>
      </w:r>
    </w:p>
    <w:p w14:paraId="18734C59"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szCs w:val="20"/>
        </w:rPr>
        <w:t>Wyboru dzierżawców dokonywano w drodze publicznych przetargów, które</w:t>
      </w:r>
      <w:r w:rsidRPr="008C1E51">
        <w:rPr>
          <w:rFonts w:cs="Times New Roman"/>
          <w:szCs w:val="20"/>
        </w:rPr>
        <w:br/>
        <w:t xml:space="preserve">przeprowadzano według zasad określonych przepisami </w:t>
      </w:r>
      <w:r w:rsidRPr="008C1E51">
        <w:rPr>
          <w:rFonts w:cs="Times New Roman"/>
          <w:iCs/>
          <w:szCs w:val="20"/>
        </w:rPr>
        <w:t>Rozporządzenia Ministra</w:t>
      </w:r>
      <w:r w:rsidRPr="008C1E51">
        <w:rPr>
          <w:rFonts w:cs="Times New Roman"/>
          <w:iCs/>
          <w:szCs w:val="20"/>
        </w:rPr>
        <w:br/>
        <w:t>Środowiska z dnia 20 lipca 2012 r. w sprawie przetargów oraz rokowań na</w:t>
      </w:r>
      <w:r w:rsidRPr="008C1E51">
        <w:rPr>
          <w:rFonts w:cs="Times New Roman"/>
          <w:iCs/>
          <w:szCs w:val="20"/>
        </w:rPr>
        <w:br/>
        <w:t>rozporządzanie nieruchomościami przez parki narodowe</w:t>
      </w:r>
      <w:r w:rsidRPr="008C1E51">
        <w:rPr>
          <w:rFonts w:cs="Times New Roman"/>
          <w:szCs w:val="20"/>
        </w:rPr>
        <w:t>. Ogłoszenia o przetargach podawane były do publicznej wiadomości m.in. poprzez ich publikację na stronie internetowej Parku, a w postępowaniach przetargowych wybierano najkorzystniejsze oferty. W okresie objętym kontrolą, odbyły się w Parku dwa przetargi na dzierżawę nieruchomości gruntowych</w:t>
      </w:r>
      <w:r w:rsidRPr="008C1E51">
        <w:rPr>
          <w:rFonts w:cs="Times New Roman"/>
          <w:vertAlign w:val="superscript"/>
        </w:rPr>
        <w:footnoteReference w:id="143"/>
      </w:r>
      <w:r w:rsidRPr="008C1E51">
        <w:rPr>
          <w:rFonts w:cs="Times New Roman"/>
          <w:szCs w:val="20"/>
        </w:rPr>
        <w:t>.</w:t>
      </w:r>
    </w:p>
    <w:p w14:paraId="1A44A270"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Do próby wybrano 1</w:t>
      </w:r>
      <w:r w:rsidRPr="008C1E51">
        <w:rPr>
          <w:rFonts w:cs="Times New Roman"/>
          <w:color w:val="000000" w:themeColor="text1"/>
          <w:vertAlign w:val="superscript"/>
        </w:rPr>
        <w:footnoteReference w:id="144"/>
      </w:r>
      <w:r w:rsidRPr="008C1E51">
        <w:rPr>
          <w:rFonts w:cs="Times New Roman"/>
          <w:color w:val="000000" w:themeColor="text1"/>
          <w:szCs w:val="20"/>
        </w:rPr>
        <w:t xml:space="preserve"> z 2 przeprowadzonych w okresie objętym kontrolą przetargów na dzierżawę nieruchomości gruntowych. </w:t>
      </w:r>
    </w:p>
    <w:p w14:paraId="56186DB1"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Zarządzeniem nr 15 z 17 marca 2021 r. Dyrektora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powołano komisję do przeprowadzenia przetargu na dzierżawę gruntów znajdujących się w zarządzie Parku. </w:t>
      </w:r>
    </w:p>
    <w:p w14:paraId="0234F253"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Przedmiotem przetargu była dzierżawa gruntów będących w użytkowaniu wieczystym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zgrupowanych w 7 kompleksach o łącznej powierzchni 378,65 ha. Grunty te zgodnie z treścią Zarządzenia Ministra środowiska </w:t>
      </w:r>
      <w:r w:rsidRPr="008C1E51">
        <w:rPr>
          <w:rFonts w:cs="Times New Roman"/>
        </w:rPr>
        <w:t>w sprawie zadań ochronnych dla Bieszczadzkiego Parku Narodowego na lata 2019 – 2021</w:t>
      </w:r>
      <w:r w:rsidRPr="008C1E51">
        <w:rPr>
          <w:rFonts w:cs="Times New Roman"/>
          <w:vertAlign w:val="superscript"/>
        </w:rPr>
        <w:footnoteReference w:id="145"/>
      </w:r>
      <w:r w:rsidRPr="008C1E51">
        <w:rPr>
          <w:rFonts w:cs="Times New Roman"/>
          <w:color w:val="000000" w:themeColor="text1"/>
          <w:szCs w:val="20"/>
        </w:rPr>
        <w:t xml:space="preserve"> były przeznaczone do ochrony czynnej ekosystemów łąkowo-pastwiskowych, a zadania te znalazły odzwierciedlenie w treści zawieranych umów. </w:t>
      </w:r>
    </w:p>
    <w:p w14:paraId="44411785" w14:textId="30C508C0"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Zgodnie z postanowieniami zawartymi w ogłoszeniu o przetargu – umowy dzierżawy miały </w:t>
      </w:r>
      <w:r w:rsidR="00211832" w:rsidRPr="008C1E51">
        <w:rPr>
          <w:rFonts w:cs="Times New Roman"/>
          <w:color w:val="000000" w:themeColor="text1"/>
          <w:szCs w:val="20"/>
        </w:rPr>
        <w:t>obowiązywać do</w:t>
      </w:r>
      <w:r w:rsidRPr="008C1E51">
        <w:rPr>
          <w:rFonts w:cs="Times New Roman"/>
          <w:color w:val="000000" w:themeColor="text1"/>
          <w:szCs w:val="20"/>
        </w:rPr>
        <w:t xml:space="preserve"> 31 marca 2026 r. (tj. na 5 lat). W ogłoszeniu o przetargu ustalono minimalną kwotę opłaty z tytułu dzierżawy</w:t>
      </w:r>
      <w:r w:rsidRPr="008C1E51">
        <w:rPr>
          <w:rFonts w:cs="Times New Roman"/>
          <w:color w:val="000000" w:themeColor="text1"/>
          <w:vertAlign w:val="superscript"/>
        </w:rPr>
        <w:footnoteReference w:id="146"/>
      </w:r>
      <w:r w:rsidRPr="008C1E51">
        <w:rPr>
          <w:rFonts w:cs="Times New Roman"/>
          <w:color w:val="000000" w:themeColor="text1"/>
          <w:szCs w:val="20"/>
        </w:rPr>
        <w:t xml:space="preserve"> z jednoczesną adnotacją, że dzierżawca – oprócz opłat </w:t>
      </w:r>
      <w:r w:rsidRPr="008C1E51">
        <w:rPr>
          <w:rFonts w:cs="Times New Roman"/>
          <w:color w:val="000000" w:themeColor="text1"/>
          <w:szCs w:val="20"/>
        </w:rPr>
        <w:br/>
        <w:t xml:space="preserve">z tytułu dzierżawy – zobowiązany będzie uiszczać opłaty towarzyszące związane </w:t>
      </w:r>
      <w:r w:rsidRPr="008C1E51">
        <w:rPr>
          <w:rFonts w:cs="Times New Roman"/>
          <w:color w:val="000000" w:themeColor="text1"/>
          <w:szCs w:val="20"/>
        </w:rPr>
        <w:br/>
        <w:t xml:space="preserve">z prowadzeniem działalności rolnej, w tym podatek rolny. </w:t>
      </w:r>
    </w:p>
    <w:p w14:paraId="10301A18"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Określono także zasady aktualizacji opłat, w tym w szczególności wskazano, że w latach kolejnych po roku zawarciu umowy czynsz będzie powiększany o średnioroczny wskaźnik cen towarów i usług konsumpcyjnych opublikowany przez GUS za rok poprzedni. </w:t>
      </w:r>
    </w:p>
    <w:p w14:paraId="2065CDDB"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W ogłoszeniu o przetargu określono:</w:t>
      </w:r>
    </w:p>
    <w:p w14:paraId="7C971ACE" w14:textId="77777777" w:rsidR="008C1E51" w:rsidRPr="008C1E51" w:rsidRDefault="008C1E51" w:rsidP="008C1E51">
      <w:pPr>
        <w:numPr>
          <w:ilvl w:val="0"/>
          <w:numId w:val="8"/>
        </w:numPr>
        <w:suppressAutoHyphens/>
        <w:spacing w:after="0" w:line="276" w:lineRule="auto"/>
        <w:ind w:left="714" w:hanging="357"/>
        <w:rPr>
          <w:rFonts w:cs="Times New Roman"/>
          <w:color w:val="000000" w:themeColor="text1"/>
          <w:szCs w:val="20"/>
        </w:rPr>
      </w:pPr>
      <w:r w:rsidRPr="008C1E51">
        <w:rPr>
          <w:rFonts w:cs="Times New Roman"/>
          <w:color w:val="000000" w:themeColor="text1"/>
          <w:szCs w:val="20"/>
        </w:rPr>
        <w:t>termin wnoszenia opłat,</w:t>
      </w:r>
    </w:p>
    <w:p w14:paraId="4BEC3F48" w14:textId="77777777" w:rsidR="008C1E51" w:rsidRPr="008C1E51" w:rsidRDefault="008C1E51" w:rsidP="008C1E51">
      <w:pPr>
        <w:numPr>
          <w:ilvl w:val="0"/>
          <w:numId w:val="8"/>
        </w:numPr>
        <w:suppressAutoHyphens/>
        <w:spacing w:after="0" w:line="276" w:lineRule="auto"/>
        <w:ind w:left="714" w:hanging="357"/>
        <w:rPr>
          <w:rFonts w:cs="Times New Roman"/>
          <w:color w:val="000000" w:themeColor="text1"/>
          <w:szCs w:val="20"/>
        </w:rPr>
      </w:pPr>
      <w:r w:rsidRPr="008C1E51">
        <w:rPr>
          <w:rFonts w:cs="Times New Roman"/>
          <w:color w:val="000000" w:themeColor="text1"/>
          <w:szCs w:val="20"/>
        </w:rPr>
        <w:t>warunki, zasady i formę wniesienia wadium,</w:t>
      </w:r>
    </w:p>
    <w:p w14:paraId="41447D1B" w14:textId="77777777" w:rsidR="008C1E51" w:rsidRPr="008C1E51" w:rsidRDefault="008C1E51" w:rsidP="008C1E51">
      <w:pPr>
        <w:numPr>
          <w:ilvl w:val="0"/>
          <w:numId w:val="8"/>
        </w:numPr>
        <w:suppressAutoHyphens/>
        <w:spacing w:after="0" w:line="276" w:lineRule="auto"/>
        <w:ind w:left="714" w:hanging="357"/>
        <w:rPr>
          <w:rFonts w:cs="Times New Roman"/>
          <w:color w:val="000000" w:themeColor="text1"/>
          <w:szCs w:val="20"/>
        </w:rPr>
      </w:pPr>
      <w:r w:rsidRPr="008C1E51">
        <w:rPr>
          <w:rFonts w:cs="Times New Roman"/>
          <w:color w:val="000000" w:themeColor="text1"/>
          <w:szCs w:val="20"/>
        </w:rPr>
        <w:t>miejsce i termin składania i otwarcia ofert: do dnia 25 marca 2021 r. do godz. 13:00,</w:t>
      </w:r>
    </w:p>
    <w:p w14:paraId="7B804760" w14:textId="77777777" w:rsidR="008C1E51" w:rsidRPr="008C1E51" w:rsidRDefault="008C1E51" w:rsidP="008C1E51">
      <w:pPr>
        <w:numPr>
          <w:ilvl w:val="0"/>
          <w:numId w:val="8"/>
        </w:numPr>
        <w:suppressAutoHyphens/>
        <w:spacing w:after="0" w:line="276" w:lineRule="auto"/>
        <w:ind w:left="714" w:hanging="357"/>
        <w:rPr>
          <w:rFonts w:cs="Times New Roman"/>
          <w:color w:val="000000" w:themeColor="text1"/>
          <w:szCs w:val="20"/>
        </w:rPr>
      </w:pPr>
      <w:r w:rsidRPr="008C1E51">
        <w:rPr>
          <w:rFonts w:cs="Times New Roman"/>
          <w:color w:val="000000" w:themeColor="text1"/>
          <w:szCs w:val="20"/>
        </w:rPr>
        <w:t>postanowienia dotyczące ofert,</w:t>
      </w:r>
    </w:p>
    <w:p w14:paraId="033F3486" w14:textId="77777777" w:rsidR="008C1E51" w:rsidRPr="008C1E51" w:rsidRDefault="008C1E51" w:rsidP="008C1E51">
      <w:pPr>
        <w:numPr>
          <w:ilvl w:val="0"/>
          <w:numId w:val="8"/>
        </w:numPr>
        <w:suppressAutoHyphens/>
        <w:spacing w:after="0" w:line="276" w:lineRule="auto"/>
        <w:ind w:left="714" w:hanging="357"/>
        <w:rPr>
          <w:rFonts w:cs="Times New Roman"/>
          <w:color w:val="000000" w:themeColor="text1"/>
          <w:szCs w:val="20"/>
        </w:rPr>
      </w:pPr>
      <w:r w:rsidRPr="008C1E51">
        <w:rPr>
          <w:rFonts w:cs="Times New Roman"/>
          <w:color w:val="000000" w:themeColor="text1"/>
          <w:szCs w:val="20"/>
        </w:rPr>
        <w:t xml:space="preserve">kryteria oceny ofert (cena 80pkt, kryterium kwalifikacji i doświadczenia </w:t>
      </w:r>
      <w:r w:rsidRPr="008C1E51">
        <w:rPr>
          <w:rFonts w:cs="Times New Roman"/>
          <w:color w:val="000000" w:themeColor="text1"/>
          <w:szCs w:val="20"/>
        </w:rPr>
        <w:br/>
        <w:t xml:space="preserve">w prowadzeniu gospodarstwa rolnego 10pkt, kryterium zadeklarowania prowadzenia ekstensywnego wypasu zwierząt 10pkt), </w:t>
      </w:r>
    </w:p>
    <w:p w14:paraId="2ACEBBE4" w14:textId="77777777" w:rsidR="008C1E51" w:rsidRPr="008C1E51" w:rsidRDefault="008C1E51" w:rsidP="008C1E51">
      <w:pPr>
        <w:numPr>
          <w:ilvl w:val="0"/>
          <w:numId w:val="8"/>
        </w:numPr>
        <w:suppressAutoHyphens/>
        <w:spacing w:after="120" w:line="276" w:lineRule="auto"/>
        <w:ind w:left="714" w:hanging="357"/>
        <w:rPr>
          <w:rFonts w:cs="Times New Roman"/>
          <w:color w:val="000000" w:themeColor="text1"/>
          <w:szCs w:val="20"/>
        </w:rPr>
      </w:pPr>
      <w:r w:rsidRPr="008C1E51">
        <w:rPr>
          <w:rFonts w:cs="Times New Roman"/>
          <w:color w:val="000000" w:themeColor="text1"/>
          <w:szCs w:val="20"/>
        </w:rPr>
        <w:t>określono środki ochrony prawnej</w:t>
      </w:r>
    </w:p>
    <w:p w14:paraId="580AF10C" w14:textId="6761D21C" w:rsidR="008C1E51" w:rsidRPr="008C1E51" w:rsidRDefault="008C1E51" w:rsidP="008C1E51">
      <w:pPr>
        <w:suppressAutoHyphens/>
        <w:spacing w:before="120" w:after="120" w:line="276" w:lineRule="auto"/>
        <w:rPr>
          <w:rFonts w:cs="Times New Roman"/>
          <w:color w:val="000000" w:themeColor="text1"/>
          <w:szCs w:val="20"/>
        </w:rPr>
      </w:pPr>
      <w:r w:rsidRPr="008C1E51">
        <w:rPr>
          <w:rFonts w:cs="Times New Roman"/>
          <w:color w:val="000000" w:themeColor="text1"/>
          <w:szCs w:val="20"/>
        </w:rPr>
        <w:t>Ustalono, że ogłoszenie o przetargu jak również złożone oferty spełniały wymogi wskazane w treści art. w art. 10e ust. 2 uop. Umowy na dzierżawę gruntów zostały podpisane</w:t>
      </w:r>
      <w:r w:rsidRPr="008C1E51">
        <w:rPr>
          <w:rFonts w:cs="Times New Roman"/>
          <w:color w:val="000000" w:themeColor="text1"/>
          <w:szCs w:val="20"/>
        </w:rPr>
        <w:br/>
        <w:t xml:space="preserve">z </w:t>
      </w:r>
      <w:r w:rsidR="00211832" w:rsidRPr="008C1E51">
        <w:rPr>
          <w:rFonts w:cs="Times New Roman"/>
          <w:color w:val="000000" w:themeColor="text1"/>
          <w:szCs w:val="20"/>
        </w:rPr>
        <w:t>oferentami,</w:t>
      </w:r>
      <w:r w:rsidRPr="008C1E51">
        <w:rPr>
          <w:rFonts w:cs="Times New Roman"/>
          <w:color w:val="000000" w:themeColor="text1"/>
          <w:szCs w:val="20"/>
        </w:rPr>
        <w:t xml:space="preserve"> którzy w ocenie Komisji złożyli najkorzystniejsze oferty. </w:t>
      </w:r>
    </w:p>
    <w:p w14:paraId="36CE3453" w14:textId="77777777" w:rsidR="008C1E51" w:rsidRPr="008C1E51" w:rsidRDefault="008C1E51" w:rsidP="008C1E51">
      <w:pPr>
        <w:suppressAutoHyphens/>
        <w:spacing w:before="120" w:after="120" w:line="276" w:lineRule="auto"/>
        <w:rPr>
          <w:rFonts w:cs="Times New Roman"/>
          <w:color w:val="000000" w:themeColor="text1"/>
          <w:szCs w:val="20"/>
        </w:rPr>
      </w:pPr>
      <w:r w:rsidRPr="008C1E51">
        <w:rPr>
          <w:rFonts w:cs="Times New Roman"/>
          <w:color w:val="000000" w:themeColor="text1"/>
          <w:szCs w:val="20"/>
        </w:rPr>
        <w:t>Nie stwierdzono nieprawidłowości w tym zakresie.</w:t>
      </w:r>
    </w:p>
    <w:p w14:paraId="1FBA1B43" w14:textId="77777777" w:rsidR="008C1E51" w:rsidRPr="008C1E51" w:rsidRDefault="008C1E51" w:rsidP="008C1E51">
      <w:pPr>
        <w:numPr>
          <w:ilvl w:val="0"/>
          <w:numId w:val="6"/>
        </w:numPr>
        <w:suppressAutoHyphens/>
        <w:spacing w:before="120" w:after="120" w:line="276" w:lineRule="auto"/>
        <w:ind w:left="426" w:hanging="426"/>
        <w:rPr>
          <w:rFonts w:cs="Times New Roman"/>
          <w:color w:val="000000" w:themeColor="text1"/>
          <w:szCs w:val="20"/>
        </w:rPr>
      </w:pPr>
      <w:r w:rsidRPr="008C1E51">
        <w:rPr>
          <w:rFonts w:cs="Times New Roman"/>
          <w:color w:val="000000" w:themeColor="text1"/>
          <w:szCs w:val="20"/>
          <w:u w:val="single"/>
        </w:rPr>
        <w:t xml:space="preserve">Plan przychodów z dzierżaw nieruchomości gruntowych i lokalowych i jego realizacja </w:t>
      </w:r>
      <w:r w:rsidRPr="008C1E51">
        <w:rPr>
          <w:rFonts w:cs="Times New Roman"/>
          <w:color w:val="000000" w:themeColor="text1"/>
          <w:szCs w:val="20"/>
          <w:u w:val="single"/>
        </w:rPr>
        <w:br/>
        <w:t xml:space="preserve">w okresie objętym kontrolą. </w:t>
      </w:r>
    </w:p>
    <w:p w14:paraId="41B49B47"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W okresie 1 stycznia 2019 r. – 31 grudnia 2021 r. przychody Parku z tytułu umów dzierżawy gruntów rolnych wyniosły łącznie 1 514 190,51 zł, z czego 451 991,22 zł w roku 2019, 463 524,55 zł w roku 2020 i 598 674,74 zł w 2021 r. </w:t>
      </w:r>
    </w:p>
    <w:p w14:paraId="48B5C6A3" w14:textId="77777777" w:rsidR="008C1E51" w:rsidRPr="008C1E51" w:rsidRDefault="008C1E51" w:rsidP="008C1E51">
      <w:pPr>
        <w:spacing w:before="120" w:after="120" w:line="276" w:lineRule="auto"/>
        <w:rPr>
          <w:rFonts w:cs="Times New Roman"/>
          <w:szCs w:val="20"/>
        </w:rPr>
      </w:pPr>
      <w:r w:rsidRPr="008C1E51">
        <w:rPr>
          <w:rFonts w:cs="Times New Roman"/>
          <w:szCs w:val="20"/>
        </w:rPr>
        <w:t>Łączna kwota przychodów z tytułu najmu nieruchomości lokalowych w latach 2019-2021 wyniosła 122 368,23 zł. Stanowiło to 0,28% łącznych przychodów Parku w tym okresie.</w:t>
      </w:r>
      <w:bookmarkStart w:id="50" w:name="_Hlk96951418"/>
      <w:r w:rsidRPr="008C1E51">
        <w:rPr>
          <w:rFonts w:cs="Times New Roman"/>
          <w:szCs w:val="20"/>
        </w:rPr>
        <w:br/>
        <w:t>Do 30 czerwca 2022 r. przychody z tytułu najmu wyniosły 24 000,63 zł.</w:t>
      </w:r>
    </w:p>
    <w:bookmarkEnd w:id="50"/>
    <w:p w14:paraId="00923EE0" w14:textId="77777777" w:rsidR="008C1E51" w:rsidRPr="008C1E51" w:rsidRDefault="008C1E51" w:rsidP="008C1E51">
      <w:pPr>
        <w:spacing w:before="120" w:after="120" w:line="276" w:lineRule="auto"/>
        <w:rPr>
          <w:rFonts w:cs="Times New Roman"/>
          <w:szCs w:val="20"/>
        </w:rPr>
      </w:pPr>
      <w:r w:rsidRPr="008C1E51">
        <w:rPr>
          <w:rFonts w:cs="Times New Roman"/>
          <w:szCs w:val="20"/>
        </w:rPr>
        <w:t>Plan Przychodów w roku 2019 z tytułu najmu nieruchomości (czynsz) został zrealizowany</w:t>
      </w:r>
      <w:bookmarkStart w:id="51" w:name="_Hlk96952296"/>
      <w:r w:rsidRPr="008C1E51">
        <w:rPr>
          <w:rFonts w:cs="Times New Roman"/>
          <w:szCs w:val="20"/>
        </w:rPr>
        <w:br/>
        <w:t xml:space="preserve">w 96% (planowana kwota przychodu – 36 000,00 zł, wykonanie </w:t>
      </w:r>
      <w:r w:rsidRPr="008C1E51">
        <w:rPr>
          <w:rFonts w:cs="Times New Roman"/>
          <w:szCs w:val="20"/>
        </w:rPr>
        <w:sym w:font="Symbol" w:char="F02D"/>
      </w:r>
      <w:r w:rsidRPr="008C1E51">
        <w:rPr>
          <w:rFonts w:cs="Times New Roman"/>
          <w:szCs w:val="20"/>
        </w:rPr>
        <w:t xml:space="preserve">  34 435,88 zł), w roku 2020 – w 116% (planowana kwota przychodu – 36 000,00 zł, wykonanie – 41 863,47 zł), w roku 2021 – 128% (planowana kwota przychodu – 36 000,00 zł, wykonanie – 46 068,88 zł)</w:t>
      </w:r>
      <w:bookmarkEnd w:id="51"/>
      <w:r w:rsidRPr="008C1E51">
        <w:rPr>
          <w:rFonts w:cs="Times New Roman"/>
          <w:szCs w:val="20"/>
        </w:rPr>
        <w:t>, do 30 czerwca 2022 r. – 51% (planowana kwota przychodu – 47 100,00 zł, wykonanie – 24 000,63 zł).</w:t>
      </w:r>
    </w:p>
    <w:p w14:paraId="0582BAD2"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W okresie objętym kontrolą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nie dokonywał corocznego szacowania przychodów, jakie Park mógł uzyskać z tytułu dzierżaw gruntów rolnych. Takie szacowanie było robione dla nieruchomości lokalowych. </w:t>
      </w:r>
    </w:p>
    <w:p w14:paraId="0345BA8C"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Dyrektor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wyjaśnił</w:t>
      </w:r>
      <w:r w:rsidRPr="008C1E51">
        <w:rPr>
          <w:rFonts w:cs="Times New Roman"/>
          <w:color w:val="000000" w:themeColor="text1"/>
          <w:szCs w:val="20"/>
          <w:vertAlign w:val="superscript"/>
        </w:rPr>
        <w:footnoteReference w:id="147"/>
      </w:r>
      <w:r w:rsidRPr="008C1E51">
        <w:rPr>
          <w:rFonts w:cs="Times New Roman"/>
          <w:color w:val="000000" w:themeColor="text1"/>
          <w:szCs w:val="20"/>
        </w:rPr>
        <w:t xml:space="preserve">, że </w:t>
      </w:r>
      <w:r w:rsidRPr="008C1E51">
        <w:rPr>
          <w:rFonts w:cs="Times New Roman"/>
          <w:iCs/>
          <w:color w:val="000000" w:themeColor="text1"/>
          <w:szCs w:val="20"/>
        </w:rPr>
        <w:t xml:space="preserve">Umowy dzierżaw gruntów w Bieszczadzkim Parku Narodowym zawierane są w wyniku przetargów i są umowami wieloletnimi, nie ma więc potrzeby szacowania przychodów – kwoty przychodów z dzierżaw są kwotami wynikającymi z tych przetargów. Ceny wywoławcze były ustalane na podstawie lokalnego rozeznania rynku. </w:t>
      </w:r>
      <w:r w:rsidRPr="008C1E51">
        <w:rPr>
          <w:rFonts w:cs="Times New Roman"/>
          <w:color w:val="000000" w:themeColor="text1"/>
          <w:szCs w:val="20"/>
        </w:rPr>
        <w:t xml:space="preserve">Nadto, należy zauważyć, że kwota czynszu dzierżawnego nie jest stała w każdym roku obowiązywania umowy. Jak bowiem określono w zapisach umownych - czynsz będzie powiększany o średnioroczny wskaźnik cen towarów i usług konsumpcyjnych opublikowany przez GUS za rok poprzedni. </w:t>
      </w:r>
    </w:p>
    <w:p w14:paraId="25124AEF"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II/279-287]</w:t>
      </w:r>
    </w:p>
    <w:p w14:paraId="49D184A0" w14:textId="77777777" w:rsidR="008C1E51" w:rsidRPr="008C1E51" w:rsidRDefault="008C1E51" w:rsidP="008C1E51">
      <w:pPr>
        <w:numPr>
          <w:ilvl w:val="0"/>
          <w:numId w:val="6"/>
        </w:numPr>
        <w:suppressAutoHyphens/>
        <w:spacing w:before="120" w:after="120" w:line="276" w:lineRule="auto"/>
        <w:ind w:left="426" w:hanging="426"/>
        <w:rPr>
          <w:rFonts w:cs="Times New Roman"/>
          <w:color w:val="000000" w:themeColor="text1"/>
          <w:szCs w:val="20"/>
          <w:u w:val="single"/>
        </w:rPr>
      </w:pPr>
      <w:r w:rsidRPr="008C1E51">
        <w:rPr>
          <w:rFonts w:cs="Times New Roman"/>
          <w:color w:val="000000" w:themeColor="text1"/>
          <w:szCs w:val="20"/>
          <w:u w:val="single"/>
        </w:rPr>
        <w:t>Korzystanie przez Park z płatności bezpośrednich oraz płatności obszarowych w ramach PROW 2014-2020, w tym płatności rolno-środowiskowo-klimatycznych</w:t>
      </w:r>
    </w:p>
    <w:p w14:paraId="05D9C652" w14:textId="77777777" w:rsidR="008C1E51" w:rsidRPr="008C1E51" w:rsidRDefault="008C1E51" w:rsidP="008C1E51">
      <w:p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 xml:space="preserve">W okresie objętym kontrolą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szCs w:val="20"/>
          <w:lang w:eastAsia="pl-PL"/>
        </w:rPr>
        <w:t xml:space="preserve"> uzyskiwał płatności bezpośrednie oraz płatności obszarowe w ramach Programu Rozwoju Obszarów Wiejskich 2014-2020, w tym również płatności rolno-środowiskowo-klimatyczne. Takie płatności uzyskiwali również dzierżawcy łąk. Z tytułu dopłat rolno-środowiskowych Park otrzymał z Agencji Restrukturyzacji </w:t>
      </w:r>
      <w:r w:rsidRPr="008C1E51">
        <w:rPr>
          <w:rFonts w:eastAsia="Times New Roman" w:cs="Times New Roman"/>
          <w:color w:val="000000" w:themeColor="text1"/>
          <w:szCs w:val="20"/>
          <w:lang w:eastAsia="pl-PL"/>
        </w:rPr>
        <w:br/>
        <w:t xml:space="preserve">i Modernizacji Rolnictwa: </w:t>
      </w:r>
    </w:p>
    <w:p w14:paraId="0E99E340" w14:textId="77777777" w:rsidR="008C1E51" w:rsidRPr="008C1E51" w:rsidRDefault="008C1E51" w:rsidP="008C1E51">
      <w:pPr>
        <w:numPr>
          <w:ilvl w:val="0"/>
          <w:numId w:val="18"/>
        </w:num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 2019 r. kwotę 1 379 885,03 zł (co stanowi 9.1% przychodów ogółem i 25,56 przychodów z prowadzonej przez Park działalności),</w:t>
      </w:r>
    </w:p>
    <w:p w14:paraId="40AFCF37" w14:textId="77777777" w:rsidR="008C1E51" w:rsidRPr="008C1E51" w:rsidRDefault="008C1E51" w:rsidP="008C1E51">
      <w:pPr>
        <w:numPr>
          <w:ilvl w:val="0"/>
          <w:numId w:val="18"/>
        </w:num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 2020 r. kwotę 280 265,10 zł (co stanowi 1.6 % przychodów ogółem i 3,6% przychodów z prowadzonej przez Park działalności),</w:t>
      </w:r>
    </w:p>
    <w:p w14:paraId="33AD36F7" w14:textId="77777777" w:rsidR="008C1E51" w:rsidRPr="008C1E51" w:rsidRDefault="008C1E51" w:rsidP="008C1E51">
      <w:pPr>
        <w:numPr>
          <w:ilvl w:val="0"/>
          <w:numId w:val="18"/>
        </w:num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 2021 r. kwotę 1 193 719,14 zł (co stanowi 6,8 przychodów ogółem i 14,3% przychodów z prowadzonej przez Park działalności,</w:t>
      </w:r>
    </w:p>
    <w:p w14:paraId="17226E3C" w14:textId="77777777" w:rsidR="008C1E51" w:rsidRPr="008C1E51" w:rsidRDefault="008C1E51" w:rsidP="008C1E51">
      <w:pPr>
        <w:numPr>
          <w:ilvl w:val="0"/>
          <w:numId w:val="18"/>
        </w:num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 2022 r. (do 29 września) kwotę 694 797,72 zł (co stanowi 3,7% planowanych przychodów ogółem i 12,1% planowanych przychodów z prowadzonej przez Park działalności).</w:t>
      </w:r>
    </w:p>
    <w:p w14:paraId="1EEBB8BC" w14:textId="77777777" w:rsidR="008C1E51" w:rsidRPr="008C1E51" w:rsidRDefault="008C1E51" w:rsidP="008C1E51">
      <w:pPr>
        <w:spacing w:before="120" w:after="120" w:line="276" w:lineRule="auto"/>
        <w:rPr>
          <w:rFonts w:cs="Times New Roman"/>
          <w:color w:val="000000" w:themeColor="text1"/>
          <w:szCs w:val="20"/>
        </w:rPr>
      </w:pPr>
      <w:r w:rsidRPr="008C1E51">
        <w:rPr>
          <w:rFonts w:eastAsia="Times New Roman" w:cs="Times New Roman"/>
          <w:color w:val="000000" w:themeColor="text1"/>
          <w:szCs w:val="20"/>
          <w:lang w:eastAsia="pl-PL"/>
        </w:rPr>
        <w:t>Dyrektor Parku wyjaśnił</w:t>
      </w:r>
      <w:r w:rsidRPr="008C1E51">
        <w:rPr>
          <w:rFonts w:eastAsia="Times New Roman" w:cs="Times New Roman"/>
          <w:color w:val="000000" w:themeColor="text1"/>
          <w:vertAlign w:val="superscript"/>
          <w:lang w:eastAsia="pl-PL"/>
        </w:rPr>
        <w:footnoteReference w:id="148"/>
      </w:r>
      <w:r w:rsidRPr="008C1E51">
        <w:rPr>
          <w:rFonts w:eastAsia="Times New Roman" w:cs="Times New Roman"/>
          <w:color w:val="000000" w:themeColor="text1"/>
          <w:szCs w:val="20"/>
          <w:lang w:eastAsia="pl-PL"/>
        </w:rPr>
        <w:t xml:space="preserve">, że tak znaczne zróżnicowane w kwotach dopłat </w:t>
      </w:r>
      <w:r w:rsidRPr="008C1E51">
        <w:rPr>
          <w:rFonts w:eastAsia="Times New Roman" w:cs="Times New Roman"/>
          <w:color w:val="000000" w:themeColor="text1"/>
          <w:szCs w:val="20"/>
          <w:lang w:eastAsia="pl-PL"/>
        </w:rPr>
        <w:br/>
        <w:t xml:space="preserve">w poszczególnych latach było zależne od finansowych możliwości ARiMR, nadto zdarzały się sytuacje, że Park otrzymywał zaliczkowe wpłaty za rok bieżący – prócz należnych za rok poprzedni. </w:t>
      </w:r>
      <w:r w:rsidRPr="008C1E51">
        <w:rPr>
          <w:rFonts w:eastAsia="Times New Roman" w:cs="Times New Roman"/>
          <w:color w:val="000000" w:themeColor="text1"/>
          <w:szCs w:val="20"/>
          <w:vertAlign w:val="superscript"/>
          <w:lang w:eastAsia="pl-PL"/>
        </w:rPr>
        <w:footnoteReference w:id="149"/>
      </w:r>
      <w:r w:rsidRPr="008C1E51">
        <w:rPr>
          <w:rFonts w:cs="Times New Roman"/>
          <w:color w:val="000000" w:themeColor="text1"/>
          <w:szCs w:val="20"/>
        </w:rPr>
        <w:t xml:space="preserve"> </w:t>
      </w:r>
    </w:p>
    <w:p w14:paraId="541ABBF8"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II/279-287]</w:t>
      </w:r>
    </w:p>
    <w:p w14:paraId="20A9F15D"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 xml:space="preserve">W kontrolowanym okresie nie wystąpiły przypadki wypowiedzenia umów dzierżawy. Nie zidentyfikowano również przypadków rażącego, nienależytego wywiązywania się przez dzierżawców z postanowień umownych. Wszelkie mniejszej wagi uchybienia </w:t>
      </w:r>
      <w:r w:rsidRPr="008C1E51">
        <w:rPr>
          <w:rFonts w:cs="Times New Roman"/>
          <w:color w:val="000000" w:themeColor="text1"/>
          <w:szCs w:val="20"/>
        </w:rPr>
        <w:br/>
        <w:t xml:space="preserve">w wykonywaniu umów dzierżawy były rozstrzygane poprzez ustne lub pisemne upomnienia administracji Parku. W każdym przypadku skutkowały dostosowaniem się dzierżawców do wymogów stawianych przez administrację Parku. </w:t>
      </w:r>
    </w:p>
    <w:p w14:paraId="329D2F37" w14:textId="77777777"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Dyrektor Parku wyjaśnił</w:t>
      </w:r>
      <w:r w:rsidRPr="008C1E51">
        <w:rPr>
          <w:rFonts w:cs="Times New Roman"/>
          <w:color w:val="000000" w:themeColor="text1"/>
          <w:vertAlign w:val="superscript"/>
        </w:rPr>
        <w:footnoteReference w:id="150"/>
      </w:r>
      <w:r w:rsidRPr="008C1E51">
        <w:rPr>
          <w:rFonts w:cs="Times New Roman"/>
          <w:color w:val="000000" w:themeColor="text1"/>
          <w:szCs w:val="20"/>
        </w:rPr>
        <w:t xml:space="preserve">, iż zgodnie z obowiązującym prawem Park naliczał odsetki </w:t>
      </w:r>
      <w:r w:rsidRPr="008C1E51">
        <w:rPr>
          <w:rFonts w:cs="Times New Roman"/>
          <w:color w:val="000000" w:themeColor="text1"/>
          <w:szCs w:val="20"/>
        </w:rPr>
        <w:br/>
        <w:t>i wysyłał wezwania do zapłaty zadłużonym najemcom drogą pocztową co znalazło odzwierciedlenie w ustaleniach kontroli</w:t>
      </w:r>
      <w:r w:rsidRPr="008C1E51">
        <w:rPr>
          <w:rFonts w:cs="Times New Roman"/>
          <w:color w:val="000000" w:themeColor="text1"/>
          <w:vertAlign w:val="superscript"/>
        </w:rPr>
        <w:footnoteReference w:id="151"/>
      </w:r>
      <w:r w:rsidRPr="008C1E51">
        <w:rPr>
          <w:rFonts w:cs="Times New Roman"/>
          <w:color w:val="000000" w:themeColor="text1"/>
          <w:szCs w:val="20"/>
        </w:rPr>
        <w:t>. Ponadto Ustalono, że w okresie objętym kontrolą nie wystąpiły przypadki bezumownych dzierżaw.</w:t>
      </w:r>
    </w:p>
    <w:p w14:paraId="53290DD2"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II/257-260, II/542-549]</w:t>
      </w:r>
    </w:p>
    <w:p w14:paraId="69041E02" w14:textId="77777777" w:rsidR="008C1E51" w:rsidRPr="008C1E51" w:rsidRDefault="008C1E51" w:rsidP="008C1E51">
      <w:pPr>
        <w:numPr>
          <w:ilvl w:val="0"/>
          <w:numId w:val="6"/>
        </w:numPr>
        <w:suppressAutoHyphens/>
        <w:spacing w:before="120" w:after="120" w:line="276" w:lineRule="auto"/>
        <w:ind w:left="426" w:hanging="426"/>
        <w:rPr>
          <w:rFonts w:cs="Times New Roman"/>
          <w:color w:val="000000" w:themeColor="text1"/>
          <w:szCs w:val="20"/>
          <w:u w:val="single"/>
        </w:rPr>
      </w:pPr>
      <w:r w:rsidRPr="008C1E51">
        <w:rPr>
          <w:rFonts w:cs="Times New Roman"/>
          <w:color w:val="000000" w:themeColor="text1"/>
          <w:szCs w:val="20"/>
          <w:u w:val="single"/>
        </w:rPr>
        <w:t xml:space="preserve">Inne rodzaje rozporządzania nieruchomościami w </w:t>
      </w:r>
      <w:proofErr w:type="spellStart"/>
      <w:r w:rsidRPr="008C1E51">
        <w:rPr>
          <w:rFonts w:cs="Times New Roman"/>
          <w:color w:val="000000" w:themeColor="text1"/>
          <w:szCs w:val="20"/>
          <w:u w:val="single"/>
        </w:rPr>
        <w:t>BdPN</w:t>
      </w:r>
      <w:proofErr w:type="spellEnd"/>
      <w:r w:rsidRPr="008C1E51">
        <w:rPr>
          <w:rFonts w:cs="Times New Roman"/>
          <w:color w:val="000000" w:themeColor="text1"/>
          <w:szCs w:val="20"/>
          <w:u w:val="single"/>
        </w:rPr>
        <w:t>:</w:t>
      </w:r>
    </w:p>
    <w:p w14:paraId="5E002212" w14:textId="34D4AB93" w:rsidR="008C1E51" w:rsidRPr="008C1E51" w:rsidRDefault="008C1E51" w:rsidP="008C1E51">
      <w:pPr>
        <w:spacing w:before="120" w:after="120" w:line="276" w:lineRule="auto"/>
        <w:rPr>
          <w:rFonts w:cs="Times New Roman"/>
          <w:color w:val="000000" w:themeColor="text1"/>
          <w:szCs w:val="20"/>
        </w:rPr>
      </w:pPr>
      <w:r w:rsidRPr="008C1E51">
        <w:rPr>
          <w:rFonts w:cs="Times New Roman"/>
          <w:color w:val="000000" w:themeColor="text1"/>
          <w:szCs w:val="20"/>
        </w:rPr>
        <w:t>W okresie objętym kontrolą została z</w:t>
      </w:r>
      <w:r w:rsidR="00821FAA">
        <w:rPr>
          <w:rFonts w:cs="Times New Roman"/>
          <w:color w:val="000000" w:themeColor="text1"/>
          <w:szCs w:val="20"/>
        </w:rPr>
        <w:t>a</w:t>
      </w:r>
      <w:r w:rsidRPr="008C1E51">
        <w:rPr>
          <w:rFonts w:cs="Times New Roman"/>
          <w:color w:val="000000" w:themeColor="text1"/>
          <w:szCs w:val="20"/>
        </w:rPr>
        <w:t xml:space="preserve">warta jedna umowa użyczenia gruntu, </w:t>
      </w:r>
      <w:r w:rsidRPr="008C1E51">
        <w:rPr>
          <w:rFonts w:cs="Times New Roman"/>
          <w:color w:val="000000" w:themeColor="text1"/>
          <w:szCs w:val="20"/>
        </w:rPr>
        <w:br/>
        <w:t>tj. bezprzetargowego udostępnienia.</w:t>
      </w:r>
      <w:r w:rsidRPr="008C1E51">
        <w:rPr>
          <w:rFonts w:cs="Times New Roman"/>
          <w:color w:val="000000" w:themeColor="text1"/>
          <w:vertAlign w:val="superscript"/>
        </w:rPr>
        <w:footnoteReference w:id="152"/>
      </w:r>
      <w:r w:rsidRPr="008C1E51">
        <w:rPr>
          <w:rFonts w:cs="Times New Roman"/>
          <w:color w:val="000000" w:themeColor="text1"/>
          <w:szCs w:val="20"/>
        </w:rPr>
        <w:t xml:space="preserve"> 31 grudnia 2020 r. </w:t>
      </w:r>
      <w:proofErr w:type="spellStart"/>
      <w:r w:rsidRPr="008C1E51">
        <w:rPr>
          <w:rFonts w:cs="Times New Roman"/>
          <w:color w:val="000000" w:themeColor="text1"/>
          <w:szCs w:val="20"/>
        </w:rPr>
        <w:t>BdPN</w:t>
      </w:r>
      <w:proofErr w:type="spellEnd"/>
      <w:r w:rsidRPr="008C1E51">
        <w:rPr>
          <w:rFonts w:cs="Times New Roman"/>
          <w:color w:val="000000" w:themeColor="text1"/>
          <w:szCs w:val="20"/>
        </w:rPr>
        <w:t xml:space="preserve"> zawarł umowę użyczenia gruntu o powierzchni 17,70 ha na podstawie porozumienia z Nadleśnictwem Stuposiany, Umowa użyczenia obowiązuje od 1 stycznia 2021 r. do 31 grudnia 2023 r. Zgodnie </w:t>
      </w:r>
      <w:r w:rsidRPr="008C1E51">
        <w:rPr>
          <w:rFonts w:cs="Times New Roman"/>
          <w:color w:val="000000" w:themeColor="text1"/>
          <w:szCs w:val="20"/>
        </w:rPr>
        <w:br/>
        <w:t>z informacjami przekazanymi przez Park</w:t>
      </w:r>
      <w:r w:rsidRPr="008C1E51">
        <w:rPr>
          <w:rFonts w:cs="Times New Roman"/>
          <w:color w:val="000000" w:themeColor="text1"/>
          <w:vertAlign w:val="superscript"/>
        </w:rPr>
        <w:footnoteReference w:id="153"/>
      </w:r>
      <w:r w:rsidRPr="008C1E51">
        <w:rPr>
          <w:rFonts w:cs="Times New Roman"/>
          <w:color w:val="000000" w:themeColor="text1"/>
          <w:szCs w:val="20"/>
        </w:rPr>
        <w:t xml:space="preserve">, zabiegi koszenia wykonywane przez Nadleśnictwo Stuposiany na podstawie umowy z 31 grudnia 2020 r. mają na celu ochronę sąsiadujących drzewostanów świerkowych Nadleśnictwa przed zagrożeniem pożarowym. Dyrektor wyjaśnił, że </w:t>
      </w:r>
      <w:r w:rsidR="00821FAA">
        <w:rPr>
          <w:rFonts w:cs="Times New Roman"/>
          <w:color w:val="000000" w:themeColor="text1"/>
          <w:szCs w:val="20"/>
        </w:rPr>
        <w:t xml:space="preserve">fakt, że </w:t>
      </w:r>
      <w:r w:rsidRPr="008C1E51">
        <w:rPr>
          <w:rFonts w:cs="Times New Roman"/>
          <w:color w:val="000000" w:themeColor="text1"/>
          <w:szCs w:val="20"/>
        </w:rPr>
        <w:t>Nadleśnictwo Stuposiany kosi łąki wcześniej niż Park ma pozytywny aspekt w kontekście ochrony zwierzyny Parku. Wczesne koszenie łąk powoduje gromadzenie się zwierzyny (żubry, jelenie, sarny) na świeżej potrawie, co ma ten walor, że zdecydowanie mniej osobników przechodzi na stronę ukraińską, gdzie nie mogą być pewne swojego bytu. Ze względu na wymienione wyżej okoliczności nie decydowano się w tym przypadku na ogłaszanie przetargu</w:t>
      </w:r>
      <w:r w:rsidRPr="008C1E51">
        <w:rPr>
          <w:rFonts w:cs="Times New Roman"/>
          <w:color w:val="000000" w:themeColor="text1"/>
          <w:vertAlign w:val="superscript"/>
        </w:rPr>
        <w:footnoteReference w:id="154"/>
      </w:r>
      <w:r w:rsidRPr="008C1E51">
        <w:rPr>
          <w:rFonts w:cs="Times New Roman"/>
          <w:color w:val="000000" w:themeColor="text1"/>
          <w:szCs w:val="20"/>
        </w:rPr>
        <w:t>. Nadleśnictwo Stuposiany użytkowało w ten sam sposób w/w grunty (za zgodą kolejnych dyrektorów Parku) od końca lat dziewięćdziesiątych ubiegłego wieku.</w:t>
      </w:r>
    </w:p>
    <w:p w14:paraId="4627E33B"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II/279-287, II/593]</w:t>
      </w:r>
    </w:p>
    <w:p w14:paraId="03452E59" w14:textId="77777777" w:rsidR="008C1E51" w:rsidRPr="008C1E51" w:rsidRDefault="008C1E51" w:rsidP="008C1E51">
      <w:pPr>
        <w:numPr>
          <w:ilvl w:val="0"/>
          <w:numId w:val="6"/>
        </w:numPr>
        <w:suppressAutoHyphens/>
        <w:spacing w:before="120" w:after="120" w:line="276" w:lineRule="auto"/>
        <w:ind w:left="426" w:hanging="426"/>
        <w:rPr>
          <w:rFonts w:cs="Times New Roman"/>
          <w:color w:val="000000" w:themeColor="text1"/>
          <w:szCs w:val="20"/>
          <w:u w:val="single"/>
        </w:rPr>
      </w:pPr>
      <w:r w:rsidRPr="008C1E51">
        <w:rPr>
          <w:rFonts w:cs="Times New Roman"/>
          <w:color w:val="000000" w:themeColor="text1"/>
          <w:szCs w:val="20"/>
          <w:u w:val="single"/>
        </w:rPr>
        <w:t xml:space="preserve">Linie przesyłowe i służebność </w:t>
      </w:r>
      <w:proofErr w:type="spellStart"/>
      <w:r w:rsidRPr="008C1E51">
        <w:rPr>
          <w:rFonts w:cs="Times New Roman"/>
          <w:color w:val="000000" w:themeColor="text1"/>
          <w:szCs w:val="20"/>
          <w:u w:val="single"/>
        </w:rPr>
        <w:t>przesyłu</w:t>
      </w:r>
      <w:proofErr w:type="spellEnd"/>
    </w:p>
    <w:p w14:paraId="100FACA1" w14:textId="77777777" w:rsidR="008C1E51" w:rsidRPr="008C1E51" w:rsidRDefault="008C1E51" w:rsidP="008C1E51">
      <w:p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Zgodnie z informacją przekazaną przez Dyrektora Parku</w:t>
      </w:r>
      <w:r w:rsidRPr="008C1E51">
        <w:rPr>
          <w:rFonts w:eastAsia="Times New Roman" w:cs="Times New Roman"/>
          <w:color w:val="000000" w:themeColor="text1"/>
          <w:vertAlign w:val="superscript"/>
          <w:lang w:eastAsia="pl-PL"/>
        </w:rPr>
        <w:footnoteReference w:id="155"/>
      </w:r>
      <w:r w:rsidRPr="008C1E51">
        <w:rPr>
          <w:rFonts w:eastAsia="Times New Roman" w:cs="Times New Roman"/>
          <w:color w:val="000000" w:themeColor="text1"/>
          <w:szCs w:val="20"/>
          <w:lang w:eastAsia="pl-PL"/>
        </w:rPr>
        <w:t xml:space="preserve"> – przez teren Parku przebiegały jedynie linie energetyczne przesyłowe, za które Park nie otrzymywał płatności. Z wyjaśnień Dyrektora Parku wynika, że nie są to linie tranzytowe, a w większości przypadków energia była dostarczana do obiektów będących w dyspozycji Parku. Podmioty, które na terenie Parku mają zainstalowane urządzenia przesyłowe płacą na rzecz Parku czynsz, który wynika z zawartych umów dzierżaw. </w:t>
      </w:r>
    </w:p>
    <w:p w14:paraId="445E5AFB" w14:textId="77777777" w:rsidR="008C1E51" w:rsidRPr="008C1E51" w:rsidRDefault="008C1E51" w:rsidP="008C1E51">
      <w:p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 xml:space="preserve">Park pobierał opłaty za urządzenia przesyłowe umiejscowione na nieruchomościach będących własnością Parku w formie czynszów dzierżawnych. </w:t>
      </w:r>
    </w:p>
    <w:p w14:paraId="72D52C64"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II/279-287]</w:t>
      </w:r>
    </w:p>
    <w:p w14:paraId="7714F707" w14:textId="77777777" w:rsidR="008C1E51" w:rsidRPr="008C1E51" w:rsidRDefault="008C1E51" w:rsidP="008C1E51">
      <w:pPr>
        <w:numPr>
          <w:ilvl w:val="1"/>
          <w:numId w:val="26"/>
        </w:numPr>
        <w:tabs>
          <w:tab w:val="left" w:pos="6096"/>
          <w:tab w:val="left" w:pos="7514"/>
        </w:tabs>
        <w:suppressAutoHyphens/>
        <w:spacing w:before="120" w:after="120" w:line="276" w:lineRule="auto"/>
        <w:ind w:left="426" w:hanging="426"/>
        <w:contextualSpacing/>
        <w:rPr>
          <w:rFonts w:cs="Times New Roman"/>
          <w:szCs w:val="20"/>
          <w:u w:val="single"/>
        </w:rPr>
      </w:pPr>
      <w:r w:rsidRPr="008C1E51">
        <w:rPr>
          <w:rFonts w:cs="Times New Roman"/>
          <w:szCs w:val="20"/>
          <w:u w:val="single"/>
        </w:rPr>
        <w:t>Funkcjonowanie Parku w zakresie gospodarowania budynkami mieszkalnymi.</w:t>
      </w:r>
    </w:p>
    <w:p w14:paraId="7A55CDBC" w14:textId="77777777" w:rsidR="008C1E51" w:rsidRPr="008C1E51" w:rsidRDefault="008C1E51" w:rsidP="008C1E51">
      <w:pPr>
        <w:spacing w:before="120" w:after="120" w:line="276" w:lineRule="auto"/>
        <w:rPr>
          <w:rFonts w:cs="Times New Roman"/>
          <w:color w:val="000000" w:themeColor="text1"/>
          <w:szCs w:val="20"/>
          <w:u w:val="single"/>
        </w:rPr>
      </w:pPr>
      <w:r w:rsidRPr="008C1E51">
        <w:rPr>
          <w:rFonts w:cs="Times New Roman"/>
          <w:color w:val="000000" w:themeColor="text1"/>
          <w:szCs w:val="20"/>
          <w:u w:val="single"/>
        </w:rPr>
        <w:t>Regulacje wewnętrzne dotyczące gospodarki mieszkaniowej</w:t>
      </w:r>
    </w:p>
    <w:p w14:paraId="48C2B1CA"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lang w:eastAsia="pl-PL"/>
        </w:rPr>
      </w:pPr>
      <w:r w:rsidRPr="008C1E51">
        <w:rPr>
          <w:rFonts w:cs="Times New Roman"/>
          <w:szCs w:val="20"/>
          <w:lang w:eastAsia="pl-PL"/>
        </w:rPr>
        <w:t xml:space="preserve">W </w:t>
      </w:r>
      <w:proofErr w:type="spellStart"/>
      <w:r w:rsidRPr="008C1E51">
        <w:rPr>
          <w:rFonts w:cs="Times New Roman"/>
          <w:szCs w:val="20"/>
          <w:lang w:eastAsia="pl-PL"/>
        </w:rPr>
        <w:t>BdPN</w:t>
      </w:r>
      <w:proofErr w:type="spellEnd"/>
      <w:r w:rsidRPr="008C1E51">
        <w:rPr>
          <w:rFonts w:cs="Times New Roman"/>
          <w:szCs w:val="20"/>
          <w:lang w:eastAsia="pl-PL"/>
        </w:rPr>
        <w:t xml:space="preserve"> funkcjonowały wewnętrzne regulacje dotyczące zarządzania gospodarką mieszkaniową,</w:t>
      </w:r>
      <w:r w:rsidRPr="008C1E51">
        <w:rPr>
          <w:rFonts w:cs="Times New Roman"/>
          <w:vertAlign w:val="superscript"/>
          <w:lang w:eastAsia="pl-PL"/>
        </w:rPr>
        <w:footnoteReference w:id="156"/>
      </w:r>
      <w:r w:rsidRPr="008C1E51">
        <w:rPr>
          <w:rFonts w:cs="Times New Roman"/>
          <w:szCs w:val="20"/>
          <w:lang w:eastAsia="pl-PL"/>
        </w:rPr>
        <w:t xml:space="preserve"> a </w:t>
      </w:r>
      <w:r w:rsidRPr="008C1E51">
        <w:rPr>
          <w:rFonts w:eastAsia="Times New Roman" w:cs="Times New Roman"/>
          <w:color w:val="000000" w:themeColor="text1"/>
          <w:szCs w:val="20"/>
          <w:lang w:eastAsia="pl-PL"/>
        </w:rPr>
        <w:t>bieżący nadzór w tym zakresie prowadzony był przez pracowników Działu Administracji i Gospodarowania Mieniem</w:t>
      </w:r>
      <w:r w:rsidRPr="008C1E51">
        <w:rPr>
          <w:rFonts w:eastAsia="Times New Roman" w:cs="Times New Roman"/>
          <w:color w:val="000000" w:themeColor="text1"/>
          <w:vertAlign w:val="superscript"/>
          <w:lang w:eastAsia="pl-PL"/>
        </w:rPr>
        <w:footnoteReference w:id="157"/>
      </w:r>
      <w:r w:rsidRPr="008C1E51">
        <w:rPr>
          <w:rFonts w:eastAsia="Times New Roman" w:cs="Times New Roman"/>
          <w:color w:val="000000" w:themeColor="text1"/>
          <w:szCs w:val="20"/>
          <w:lang w:eastAsia="pl-PL"/>
        </w:rPr>
        <w:t>.</w:t>
      </w:r>
    </w:p>
    <w:p w14:paraId="702B5C09"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II/550-557, I/246-291]</w:t>
      </w:r>
    </w:p>
    <w:p w14:paraId="4A76B450"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u w:val="single"/>
          <w:lang w:eastAsia="pl-PL"/>
        </w:rPr>
      </w:pPr>
      <w:r w:rsidRPr="008C1E51">
        <w:rPr>
          <w:rFonts w:eastAsia="Times New Roman" w:cs="Times New Roman"/>
          <w:color w:val="000000" w:themeColor="text1"/>
          <w:szCs w:val="20"/>
          <w:u w:val="single"/>
          <w:lang w:eastAsia="pl-PL"/>
        </w:rPr>
        <w:t xml:space="preserve">Zasoby mieszkaniowe Bieszczadzkiego Parku Narodowego. </w:t>
      </w:r>
    </w:p>
    <w:p w14:paraId="46F04265" w14:textId="77777777" w:rsidR="008C1E51" w:rsidRPr="008C1E51" w:rsidRDefault="008C1E51" w:rsidP="008C1E51">
      <w:pPr>
        <w:autoSpaceDE w:val="0"/>
        <w:autoSpaceDN w:val="0"/>
        <w:adjustRightInd w:val="0"/>
        <w:spacing w:before="120" w:after="120" w:line="276" w:lineRule="auto"/>
        <w:rPr>
          <w:rFonts w:eastAsia="Times New Roman" w:cs="Times New Roman"/>
          <w:szCs w:val="20"/>
          <w:lang w:eastAsia="pl-PL"/>
        </w:rPr>
      </w:pPr>
      <w:r w:rsidRPr="008C1E51">
        <w:rPr>
          <w:rFonts w:eastAsia="Times New Roman" w:cs="Times New Roman"/>
          <w:szCs w:val="20"/>
          <w:lang w:eastAsia="pl-PL"/>
        </w:rPr>
        <w:t xml:space="preserve">Na dzień 31 grudnia 2021 roku Park dysponował 46 budynkami mieszkalnymi </w:t>
      </w:r>
      <w:r w:rsidRPr="008C1E51">
        <w:rPr>
          <w:rFonts w:eastAsia="Times New Roman" w:cs="Times New Roman"/>
          <w:szCs w:val="20"/>
          <w:lang w:eastAsia="pl-PL"/>
        </w:rPr>
        <w:br/>
        <w:t xml:space="preserve">w których były 63 mieszkania oraz jeden lokal </w:t>
      </w:r>
      <w:proofErr w:type="spellStart"/>
      <w:r w:rsidRPr="008C1E51">
        <w:rPr>
          <w:rFonts w:eastAsia="Times New Roman" w:cs="Times New Roman"/>
          <w:szCs w:val="20"/>
          <w:lang w:eastAsia="pl-PL"/>
        </w:rPr>
        <w:t>socjalno</w:t>
      </w:r>
      <w:proofErr w:type="spellEnd"/>
      <w:r w:rsidRPr="008C1E51">
        <w:rPr>
          <w:rFonts w:eastAsia="Times New Roman" w:cs="Times New Roman"/>
          <w:szCs w:val="20"/>
          <w:lang w:eastAsia="pl-PL"/>
        </w:rPr>
        <w:t xml:space="preserve"> – mieszkalny z czego 60 lokali było przekazanych na podstawie stosownych umów w najem, z czego:</w:t>
      </w:r>
    </w:p>
    <w:p w14:paraId="0A2FF4A9" w14:textId="77777777" w:rsidR="008C1E51" w:rsidRPr="008C1E51" w:rsidRDefault="008C1E51" w:rsidP="008C1E51">
      <w:pPr>
        <w:numPr>
          <w:ilvl w:val="0"/>
          <w:numId w:val="31"/>
        </w:numPr>
        <w:autoSpaceDE w:val="0"/>
        <w:autoSpaceDN w:val="0"/>
        <w:adjustRightInd w:val="0"/>
        <w:spacing w:before="120" w:after="120" w:line="276" w:lineRule="auto"/>
        <w:contextualSpacing/>
        <w:rPr>
          <w:rFonts w:eastAsia="Times New Roman" w:cs="Times New Roman"/>
          <w:color w:val="000000"/>
          <w:szCs w:val="20"/>
          <w:lang w:eastAsia="pl-PL"/>
        </w:rPr>
      </w:pPr>
      <w:r w:rsidRPr="008C1E51">
        <w:rPr>
          <w:rFonts w:eastAsia="Times New Roman" w:cs="Times New Roman"/>
          <w:color w:val="000000"/>
          <w:szCs w:val="20"/>
          <w:lang w:eastAsia="pl-PL"/>
        </w:rPr>
        <w:t xml:space="preserve">17 umów dotyczyło bezpłatnego korzystania z mieszkania zgodnie z art. 104 uop (2 pracowników uprawnionych płaciło czynsz, 3 uprawnionych pracowników mieszkających z rodzicami – gdzie rodzice jako najemcy płacą czynsz oraz małżeństwo), </w:t>
      </w:r>
    </w:p>
    <w:p w14:paraId="6CC9B44F" w14:textId="77777777" w:rsidR="008C1E51" w:rsidRPr="008C1E51" w:rsidRDefault="008C1E51" w:rsidP="008C1E51">
      <w:pPr>
        <w:numPr>
          <w:ilvl w:val="0"/>
          <w:numId w:val="31"/>
        </w:numPr>
        <w:autoSpaceDE w:val="0"/>
        <w:autoSpaceDN w:val="0"/>
        <w:adjustRightInd w:val="0"/>
        <w:spacing w:before="120" w:after="120" w:line="276" w:lineRule="auto"/>
        <w:contextualSpacing/>
        <w:rPr>
          <w:rFonts w:eastAsia="Times New Roman" w:cs="Times New Roman"/>
          <w:color w:val="000000"/>
          <w:szCs w:val="20"/>
          <w:lang w:eastAsia="pl-PL"/>
        </w:rPr>
      </w:pPr>
      <w:r w:rsidRPr="008C1E51">
        <w:rPr>
          <w:rFonts w:eastAsia="Times New Roman" w:cs="Times New Roman"/>
          <w:color w:val="000000"/>
          <w:szCs w:val="20"/>
          <w:lang w:eastAsia="pl-PL"/>
        </w:rPr>
        <w:t>27 umów najmu odpłatnego (13 pracowników, 5 emerytów, 6 byłych pracowników, 2 umowy po uprawnionych małżonkach do bezpłatnego mieszkania, 1 umowa dla opiekuna nieletniego dziecka sieroty po uprawnionym ojcu,</w:t>
      </w:r>
    </w:p>
    <w:p w14:paraId="11172E64" w14:textId="77777777" w:rsidR="008C1E51" w:rsidRPr="008C1E51" w:rsidRDefault="008C1E51" w:rsidP="008C1E51">
      <w:pPr>
        <w:numPr>
          <w:ilvl w:val="0"/>
          <w:numId w:val="31"/>
        </w:numPr>
        <w:autoSpaceDE w:val="0"/>
        <w:autoSpaceDN w:val="0"/>
        <w:adjustRightInd w:val="0"/>
        <w:spacing w:before="120" w:after="120" w:line="276" w:lineRule="auto"/>
        <w:contextualSpacing/>
        <w:rPr>
          <w:rFonts w:eastAsia="Times New Roman" w:cs="Times New Roman"/>
          <w:color w:val="000000"/>
          <w:szCs w:val="20"/>
          <w:lang w:eastAsia="pl-PL"/>
        </w:rPr>
      </w:pPr>
      <w:r w:rsidRPr="008C1E51">
        <w:rPr>
          <w:rFonts w:eastAsia="Times New Roman" w:cs="Times New Roman"/>
          <w:color w:val="000000"/>
          <w:szCs w:val="20"/>
          <w:lang w:eastAsia="pl-PL"/>
        </w:rPr>
        <w:t xml:space="preserve">16 najemców wynajmowało budynki mieszkalne odpłatnie jako osoby obce.  </w:t>
      </w:r>
    </w:p>
    <w:p w14:paraId="415B7730"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szCs w:val="20"/>
          <w:lang w:eastAsia="pl-PL"/>
        </w:rPr>
      </w:pPr>
      <w:r w:rsidRPr="008C1E51">
        <w:rPr>
          <w:rFonts w:eastAsia="Times New Roman" w:cs="Times New Roman"/>
          <w:szCs w:val="20"/>
          <w:lang w:eastAsia="pl-PL"/>
        </w:rPr>
        <w:t xml:space="preserve">W 4 przypadkach władze Parku prowadziły postępowania mające na celu ewentualne ustalenie czy z osobami zamieszkującym te lokale możliwe jest kontynuowanie umowy. </w:t>
      </w:r>
      <w:r w:rsidRPr="008C1E51">
        <w:rPr>
          <w:rFonts w:eastAsia="Times New Roman" w:cs="Times New Roman"/>
          <w:color w:val="000000"/>
          <w:szCs w:val="20"/>
          <w:lang w:eastAsia="pl-PL"/>
        </w:rPr>
        <w:t xml:space="preserve">Dyrektor </w:t>
      </w:r>
      <w:proofErr w:type="spellStart"/>
      <w:r w:rsidRPr="008C1E51">
        <w:rPr>
          <w:rFonts w:eastAsia="Times New Roman" w:cs="Times New Roman"/>
          <w:color w:val="000000"/>
          <w:szCs w:val="20"/>
          <w:lang w:eastAsia="pl-PL"/>
        </w:rPr>
        <w:t>BdPN</w:t>
      </w:r>
      <w:proofErr w:type="spellEnd"/>
      <w:r w:rsidRPr="008C1E51">
        <w:rPr>
          <w:rFonts w:eastAsia="Times New Roman" w:cs="Times New Roman"/>
          <w:color w:val="000000"/>
          <w:szCs w:val="20"/>
          <w:lang w:eastAsia="pl-PL"/>
        </w:rPr>
        <w:t xml:space="preserve"> wyjaśnił</w:t>
      </w:r>
      <w:r w:rsidRPr="008C1E51">
        <w:rPr>
          <w:rFonts w:eastAsia="Times New Roman" w:cs="Times New Roman"/>
          <w:color w:val="000000"/>
          <w:vertAlign w:val="superscript"/>
          <w:lang w:eastAsia="pl-PL"/>
        </w:rPr>
        <w:footnoteReference w:id="158"/>
      </w:r>
      <w:r w:rsidRPr="008C1E51">
        <w:rPr>
          <w:rFonts w:eastAsia="Times New Roman" w:cs="Times New Roman"/>
          <w:color w:val="000000"/>
          <w:szCs w:val="20"/>
          <w:lang w:eastAsia="pl-PL"/>
        </w:rPr>
        <w:t>, że Park podjął w tej sprawie następujące działania: ustalono osoby uprawnione do zawarcia umowy najmu, dokonano aktualizacji zameldowań dotyczących danego adresu, potwierdzono fakt stałego zamieszkiwania w lokalu poprzez kontrolę Straży Parku, uzyskano opinię prawną odnośnie do możliwości zawarcia umowy najmu dotyczącej bezpłatnego mieszkania przysługującego zmarłemu Najemcy. W okresie prowadzenia działań wyjaśniających najemcy opłacali czynsz na normalnych zasadach.</w:t>
      </w:r>
    </w:p>
    <w:p w14:paraId="6CF84380" w14:textId="22A12FDE" w:rsidR="008C1E51" w:rsidRPr="008C1E51" w:rsidRDefault="00211832" w:rsidP="008C1E51">
      <w:pPr>
        <w:autoSpaceDE w:val="0"/>
        <w:autoSpaceDN w:val="0"/>
        <w:adjustRightInd w:val="0"/>
        <w:spacing w:before="120" w:after="120" w:line="276" w:lineRule="auto"/>
        <w:rPr>
          <w:rFonts w:eastAsia="Times New Roman" w:cs="Times New Roman"/>
          <w:color w:val="000000"/>
          <w:szCs w:val="20"/>
          <w:lang w:eastAsia="pl-PL"/>
        </w:rPr>
      </w:pPr>
      <w:r w:rsidRPr="008C1E51">
        <w:rPr>
          <w:rFonts w:eastAsia="Times New Roman" w:cs="Times New Roman"/>
          <w:szCs w:val="20"/>
          <w:lang w:eastAsia="pl-PL"/>
        </w:rPr>
        <w:t xml:space="preserve">W </w:t>
      </w:r>
      <w:proofErr w:type="spellStart"/>
      <w:r w:rsidRPr="008C1E51">
        <w:rPr>
          <w:rFonts w:eastAsia="Times New Roman" w:cs="Times New Roman"/>
          <w:szCs w:val="20"/>
          <w:lang w:eastAsia="pl-PL"/>
        </w:rPr>
        <w:t>BdPN</w:t>
      </w:r>
      <w:proofErr w:type="spellEnd"/>
      <w:r w:rsidR="008C1E51" w:rsidRPr="008C1E51">
        <w:rPr>
          <w:rFonts w:eastAsia="Times New Roman" w:cs="Times New Roman"/>
          <w:szCs w:val="20"/>
          <w:lang w:eastAsia="pl-PL"/>
        </w:rPr>
        <w:t xml:space="preserve"> - według stanu na dzień 30 marca 2023 r.- </w:t>
      </w:r>
      <w:r w:rsidR="008C1E51" w:rsidRPr="008C1E51">
        <w:rPr>
          <w:rFonts w:eastAsia="Times New Roman" w:cs="Times New Roman"/>
          <w:color w:val="000000"/>
          <w:szCs w:val="20"/>
          <w:lang w:eastAsia="pl-PL"/>
        </w:rPr>
        <w:t xml:space="preserve">uprawnionych do bezpłatnych służbowych lokali mieszkalnych było 35 osób. Z tej liczby: 23 osobom zapewniono lokale mieszkalne, 3 osoby mieszkały z emerytowanymi rodzicami, którym wcześniej przysługiwał bezpłatny lokal służbowy, natomiast 9 osób pobierało ekwiwalent za brak bezpłatnego mieszkania służbowego z uwagi na fakt, że </w:t>
      </w:r>
      <w:proofErr w:type="spellStart"/>
      <w:r w:rsidR="008C1E51" w:rsidRPr="008C1E51">
        <w:rPr>
          <w:rFonts w:eastAsia="Times New Roman" w:cs="Times New Roman"/>
          <w:color w:val="000000"/>
          <w:szCs w:val="20"/>
          <w:lang w:eastAsia="pl-PL"/>
        </w:rPr>
        <w:t>BdPN</w:t>
      </w:r>
      <w:proofErr w:type="spellEnd"/>
      <w:r w:rsidR="008C1E51" w:rsidRPr="008C1E51">
        <w:rPr>
          <w:rFonts w:eastAsia="Times New Roman" w:cs="Times New Roman"/>
          <w:color w:val="000000"/>
          <w:szCs w:val="20"/>
          <w:lang w:eastAsia="pl-PL"/>
        </w:rPr>
        <w:t xml:space="preserve"> nie posiadał w swoich zasobach wolnych mieszkań i nie miał możliwości przydziału bezpłatnego mieszkania. </w:t>
      </w:r>
    </w:p>
    <w:p w14:paraId="0B428841"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color w:val="000000"/>
          <w:szCs w:val="20"/>
          <w:lang w:eastAsia="pl-PL"/>
        </w:rPr>
        <w:tab/>
      </w:r>
      <w:r w:rsidRPr="008C1E51">
        <w:rPr>
          <w:rFonts w:eastAsia="Times New Roman" w:cs="Times New Roman"/>
          <w:color w:val="000000"/>
          <w:szCs w:val="20"/>
          <w:lang w:eastAsia="pl-PL"/>
        </w:rPr>
        <w:tab/>
      </w:r>
      <w:r w:rsidRPr="008C1E51">
        <w:rPr>
          <w:rFonts w:eastAsia="Times New Roman" w:cs="Times New Roman"/>
          <w:color w:val="000000"/>
          <w:szCs w:val="20"/>
          <w:lang w:eastAsia="pl-PL"/>
        </w:rPr>
        <w:tab/>
      </w:r>
      <w:r w:rsidRPr="008C1E51">
        <w:rPr>
          <w:rFonts w:eastAsia="Times New Roman" w:cs="Times New Roman"/>
          <w:color w:val="000000"/>
          <w:szCs w:val="20"/>
          <w:lang w:eastAsia="pl-PL"/>
        </w:rPr>
        <w:tab/>
      </w:r>
      <w:r w:rsidRPr="008C1E51">
        <w:rPr>
          <w:rFonts w:eastAsia="Times New Roman" w:cs="Times New Roman"/>
          <w:color w:val="000000"/>
          <w:szCs w:val="20"/>
          <w:lang w:eastAsia="pl-PL"/>
        </w:rPr>
        <w:tab/>
      </w:r>
      <w:r w:rsidRPr="008C1E51">
        <w:rPr>
          <w:rFonts w:eastAsia="Times New Roman" w:cs="Times New Roman"/>
          <w:szCs w:val="20"/>
          <w:lang w:eastAsia="pl-PL"/>
        </w:rPr>
        <w:t>[Dowód: akta kontroli str. II/257-260, II/562]</w:t>
      </w:r>
    </w:p>
    <w:p w14:paraId="1271D7BE"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lang w:eastAsia="pl-PL"/>
        </w:rPr>
      </w:pPr>
      <w:r w:rsidRPr="008C1E51">
        <w:rPr>
          <w:rFonts w:eastAsia="Times New Roman" w:cs="Times New Roman"/>
          <w:szCs w:val="20"/>
          <w:lang w:eastAsia="pl-PL"/>
        </w:rPr>
        <w:t xml:space="preserve">Zgodnie z uop wszystkie lokale stanowiły własność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jednakże stan prawny części lokali nie został potwierdzony stosowną decyzją Wojewody Podkarpackiego </w:t>
      </w:r>
      <w:r w:rsidRPr="008C1E51">
        <w:rPr>
          <w:rFonts w:cs="Times New Roman"/>
          <w:color w:val="000000" w:themeColor="text1"/>
          <w:szCs w:val="20"/>
        </w:rPr>
        <w:t>potwierdzającą prawo nabycia użytkowania wieczystego nieruchomości oddanych w trwały zarząd parków narodowych oraz prawa własności przynależnych do tych nieruchomości budynków</w:t>
      </w:r>
      <w:r w:rsidRPr="008C1E51">
        <w:rPr>
          <w:rFonts w:cs="Times New Roman"/>
          <w:color w:val="000000" w:themeColor="text1"/>
          <w:vertAlign w:val="superscript"/>
        </w:rPr>
        <w:footnoteReference w:id="159"/>
      </w:r>
      <w:r w:rsidRPr="008C1E51">
        <w:rPr>
          <w:rFonts w:cs="Times New Roman"/>
          <w:color w:val="000000" w:themeColor="text1"/>
          <w:szCs w:val="20"/>
        </w:rPr>
        <w:t>.</w:t>
      </w:r>
    </w:p>
    <w:p w14:paraId="346E5B5B" w14:textId="77777777" w:rsidR="008C1E51" w:rsidRPr="008C1E51" w:rsidRDefault="008C1E51" w:rsidP="008C1E51">
      <w:pPr>
        <w:spacing w:before="120" w:after="120" w:line="276" w:lineRule="auto"/>
        <w:rPr>
          <w:rFonts w:eastAsia="Times New Roman" w:cs="Times New Roman"/>
          <w:color w:val="000000"/>
          <w:szCs w:val="20"/>
          <w:lang w:eastAsia="pl-PL"/>
        </w:rPr>
      </w:pPr>
      <w:r w:rsidRPr="008C1E51">
        <w:rPr>
          <w:rFonts w:eastAsia="Times New Roman" w:cs="Times New Roman"/>
          <w:color w:val="000000"/>
          <w:szCs w:val="20"/>
          <w:lang w:eastAsia="pl-PL"/>
        </w:rPr>
        <w:t>Zgodnie z przekazaną przez Park</w:t>
      </w:r>
      <w:r w:rsidRPr="008C1E51">
        <w:rPr>
          <w:rFonts w:eastAsia="Times New Roman" w:cs="Times New Roman"/>
          <w:color w:val="000000"/>
          <w:vertAlign w:val="superscript"/>
          <w:lang w:eastAsia="pl-PL"/>
        </w:rPr>
        <w:footnoteReference w:id="160"/>
      </w:r>
      <w:r w:rsidRPr="008C1E51">
        <w:rPr>
          <w:rFonts w:eastAsia="Times New Roman" w:cs="Times New Roman"/>
          <w:color w:val="000000"/>
          <w:szCs w:val="20"/>
          <w:lang w:eastAsia="pl-PL"/>
        </w:rPr>
        <w:t xml:space="preserve"> informacją, łączne koszty związane z utrzymaniem lokali mieszkalnych w okresie objętym kontrolą wyniosły 253 700 zł</w:t>
      </w:r>
      <w:r w:rsidRPr="008C1E51">
        <w:rPr>
          <w:rFonts w:eastAsia="Times New Roman" w:cs="Times New Roman"/>
          <w:color w:val="000000"/>
          <w:vertAlign w:val="superscript"/>
          <w:lang w:eastAsia="pl-PL"/>
        </w:rPr>
        <w:footnoteReference w:id="161"/>
      </w:r>
      <w:r w:rsidRPr="008C1E51">
        <w:rPr>
          <w:rFonts w:eastAsia="Times New Roman" w:cs="Times New Roman"/>
          <w:color w:val="000000"/>
          <w:szCs w:val="20"/>
          <w:lang w:eastAsia="pl-PL"/>
        </w:rPr>
        <w:t>.</w:t>
      </w:r>
    </w:p>
    <w:p w14:paraId="08B388E7"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II/590-591]</w:t>
      </w:r>
    </w:p>
    <w:p w14:paraId="6A97CD66" w14:textId="34A798E0" w:rsidR="008C1E51" w:rsidRPr="008C1E51" w:rsidRDefault="008C1E51" w:rsidP="008C1E51">
      <w:pPr>
        <w:autoSpaceDE w:val="0"/>
        <w:autoSpaceDN w:val="0"/>
        <w:adjustRightInd w:val="0"/>
        <w:spacing w:before="120" w:after="120" w:line="276" w:lineRule="auto"/>
        <w:rPr>
          <w:rFonts w:cs="Times New Roman"/>
          <w:szCs w:val="20"/>
        </w:rPr>
      </w:pPr>
      <w:r w:rsidRPr="008C1E51">
        <w:rPr>
          <w:rFonts w:eastAsia="Times New Roman" w:cs="Times New Roman"/>
          <w:szCs w:val="20"/>
          <w:lang w:eastAsia="pl-PL"/>
        </w:rPr>
        <w:t xml:space="preserve">Spośród lokali mieszkalnych będących w zasobach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część lokali mieszkalnych była </w:t>
      </w:r>
      <w:r w:rsidRPr="008C1E51">
        <w:rPr>
          <w:rFonts w:eastAsia="Times New Roman" w:cs="Times New Roman"/>
          <w:color w:val="000000"/>
          <w:szCs w:val="20"/>
          <w:lang w:eastAsia="pl-PL"/>
        </w:rPr>
        <w:t>wynajmowana osobom niebędącym pracownikami Parku. Zgodnie z informacją przekazaną przez Park</w:t>
      </w:r>
      <w:r w:rsidRPr="008C1E51">
        <w:rPr>
          <w:rFonts w:eastAsia="Times New Roman" w:cs="Times New Roman"/>
          <w:color w:val="000000"/>
          <w:vertAlign w:val="superscript"/>
          <w:lang w:eastAsia="pl-PL"/>
        </w:rPr>
        <w:footnoteReference w:id="162"/>
      </w:r>
      <w:r w:rsidRPr="008C1E51">
        <w:rPr>
          <w:rFonts w:eastAsia="Times New Roman" w:cs="Times New Roman"/>
          <w:color w:val="000000"/>
          <w:szCs w:val="20"/>
          <w:lang w:eastAsia="pl-PL"/>
        </w:rPr>
        <w:t xml:space="preserve"> byli to najemcy, którzy po zmianie granic parku zostali w dotychczas zamieszkiwanych lokalach (są to byli pracownicy nadleśnictw oraz dawnego </w:t>
      </w:r>
      <w:proofErr w:type="spellStart"/>
      <w:r w:rsidRPr="008C1E51">
        <w:rPr>
          <w:rFonts w:eastAsia="Times New Roman" w:cs="Times New Roman"/>
          <w:color w:val="000000"/>
          <w:szCs w:val="20"/>
          <w:lang w:eastAsia="pl-PL"/>
        </w:rPr>
        <w:t>Igloopolu</w:t>
      </w:r>
      <w:proofErr w:type="spellEnd"/>
      <w:r w:rsidRPr="008C1E51">
        <w:rPr>
          <w:rFonts w:eastAsia="Times New Roman" w:cs="Times New Roman"/>
          <w:color w:val="000000"/>
          <w:szCs w:val="20"/>
          <w:lang w:eastAsia="pl-PL"/>
        </w:rPr>
        <w:t xml:space="preserve">). Przekazanie lokali wraz z Najemcami nastąpiło na podstawie protokołów przekazania. </w:t>
      </w:r>
      <w:r w:rsidR="00211832" w:rsidRPr="008C1E51">
        <w:rPr>
          <w:rFonts w:eastAsia="Times New Roman" w:cs="Times New Roman"/>
          <w:color w:val="000000"/>
          <w:szCs w:val="20"/>
          <w:lang w:eastAsia="pl-PL"/>
        </w:rPr>
        <w:t>Czynsz z</w:t>
      </w:r>
      <w:r w:rsidRPr="008C1E51">
        <w:rPr>
          <w:rFonts w:eastAsia="Times New Roman" w:cs="Times New Roman"/>
          <w:color w:val="000000"/>
          <w:szCs w:val="20"/>
          <w:lang w:eastAsia="pl-PL"/>
        </w:rPr>
        <w:t xml:space="preserve"> tytułu najmu jest wyliczany w jednakowy sposób wobec wszystkich najemców lokali mieszkalnych w Parku w oparciu o Zarządzenie Dyrektora </w:t>
      </w:r>
      <w:proofErr w:type="spellStart"/>
      <w:r w:rsidRPr="008C1E51">
        <w:rPr>
          <w:rFonts w:eastAsia="Times New Roman" w:cs="Times New Roman"/>
          <w:color w:val="000000"/>
          <w:szCs w:val="20"/>
          <w:lang w:eastAsia="pl-PL"/>
        </w:rPr>
        <w:t>BdPN</w:t>
      </w:r>
      <w:proofErr w:type="spellEnd"/>
      <w:r w:rsidRPr="008C1E51">
        <w:rPr>
          <w:rFonts w:eastAsia="Times New Roman" w:cs="Times New Roman"/>
          <w:color w:val="000000"/>
          <w:vertAlign w:val="superscript"/>
          <w:lang w:eastAsia="pl-PL"/>
        </w:rPr>
        <w:footnoteReference w:id="163"/>
      </w:r>
      <w:r w:rsidRPr="008C1E51">
        <w:rPr>
          <w:rFonts w:eastAsia="Times New Roman" w:cs="Times New Roman"/>
          <w:color w:val="000000"/>
          <w:szCs w:val="20"/>
          <w:lang w:eastAsia="pl-PL"/>
        </w:rPr>
        <w:t xml:space="preserve"> w sprawie </w:t>
      </w:r>
      <w:r w:rsidRPr="008C1E51">
        <w:rPr>
          <w:rFonts w:cs="Times New Roman"/>
          <w:szCs w:val="20"/>
        </w:rPr>
        <w:t xml:space="preserve">określenia stawek czynszu za lokale mieszkalne i pomieszczenia gospodarcze, pozostające </w:t>
      </w:r>
      <w:r w:rsidRPr="008C1E51">
        <w:rPr>
          <w:rFonts w:cs="Times New Roman"/>
          <w:szCs w:val="20"/>
        </w:rPr>
        <w:br/>
        <w:t xml:space="preserve">w zasobach Bieszczadzkiego Parku Narodowego. </w:t>
      </w:r>
    </w:p>
    <w:p w14:paraId="5CAFA6D5"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Zdaniem Kontrolującego brak aktualizacji (wprowadzonego 9 czerwca 2014 r.) Zarządzenia w sprawie określenia stawek czynszu za lokale mieszkalne i pomieszczenia gospodarcze pozostające w zasobach mieszkaniowych Bieszczadzkiego Parku Narodowego przez 8 lat jego obowiązywania, nie urealniał kwot tam wskazanych do teraźniejszych realiów rynku. Należy zauważyć, że np. w odniesieniu do umów dzierżaw gruntowych Park zawierał – wynikające z poziomu inflacji - klauzule waloryzacyjne. Dyrektor Parku wyjaśnił</w:t>
      </w:r>
      <w:r w:rsidRPr="008C1E51">
        <w:rPr>
          <w:rFonts w:cs="Times New Roman"/>
          <w:vertAlign w:val="superscript"/>
        </w:rPr>
        <w:footnoteReference w:id="164"/>
      </w:r>
      <w:r w:rsidRPr="008C1E51">
        <w:rPr>
          <w:rFonts w:cs="Times New Roman"/>
          <w:szCs w:val="20"/>
        </w:rPr>
        <w:t xml:space="preserve">, że </w:t>
      </w:r>
      <w:r w:rsidRPr="008C1E51">
        <w:rPr>
          <w:rFonts w:cs="Times New Roman"/>
          <w:iCs/>
          <w:szCs w:val="20"/>
        </w:rPr>
        <w:t>najem lokalu mieszkalnego nie miał charakteru prawa rzeczowego z którego Najemca pobierał pożytki. Najemcami byli przede wszystkim pracownicy i byli pracownicy parku, z którymi zawarto umowy (większość umów w latach 90-tych XX wieku.). Wprowadzenie zasad waloryzacji wymagałoby wprowadzenia aneksów do wcześniej zawartych umów, co nie tworzyłoby dobrej atmosfery wobec Parku. Nadto Dyrektor Parku wyjaśnił, że w pobliskich miejscowościach stawki czynszu były stosowane w podobnych wysokościach, bez waloryzacji wskaźnikiem wzrostu cen. Uwzględniały to również nasze (Parku) szacunki dot. wysokości stawki ekwiwalentu jaki wypłacano za brak przysługującego lokalu mieszkalnego. Ponadto w ostatnich latach zawierano jedynie umowy bez opłat czynszowych dla uprawnionych pracowników Służby Parku. Jednocześnie Dyrektor Parku informował, że waloryzacji podlegały stawki opłat za wodę i ścieki.</w:t>
      </w:r>
      <w:r w:rsidRPr="008C1E51">
        <w:rPr>
          <w:rFonts w:cs="Times New Roman"/>
          <w:szCs w:val="20"/>
        </w:rPr>
        <w:t xml:space="preserve"> </w:t>
      </w:r>
    </w:p>
    <w:p w14:paraId="59A01EFB"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II/590-591, II/257-260]</w:t>
      </w:r>
    </w:p>
    <w:p w14:paraId="6ED168B5" w14:textId="77777777" w:rsidR="008C1E51" w:rsidRPr="008C1E51" w:rsidRDefault="008C1E51" w:rsidP="008C1E51">
      <w:pPr>
        <w:spacing w:before="120" w:after="120" w:line="276" w:lineRule="auto"/>
        <w:rPr>
          <w:rFonts w:eastAsia="Times New Roman" w:cs="Times New Roman"/>
          <w:b/>
          <w:color w:val="000000" w:themeColor="text1"/>
          <w:szCs w:val="20"/>
          <w:lang w:eastAsia="pl-PL"/>
        </w:rPr>
      </w:pPr>
      <w:r w:rsidRPr="008C1E51">
        <w:rPr>
          <w:rFonts w:eastAsia="Times New Roman" w:cs="Times New Roman"/>
          <w:color w:val="000000"/>
          <w:szCs w:val="20"/>
          <w:lang w:eastAsia="pl-PL"/>
        </w:rPr>
        <w:t xml:space="preserve">W badanym okresie nie wystąpiły przypadki bezumownego korzystania z lokali mieszkalnych pozostających w zasobach </w:t>
      </w:r>
      <w:proofErr w:type="spellStart"/>
      <w:r w:rsidRPr="008C1E51">
        <w:rPr>
          <w:rFonts w:eastAsia="Times New Roman" w:cs="Times New Roman"/>
          <w:color w:val="000000"/>
          <w:szCs w:val="20"/>
          <w:lang w:eastAsia="pl-PL"/>
        </w:rPr>
        <w:t>BdPN</w:t>
      </w:r>
      <w:proofErr w:type="spellEnd"/>
      <w:r w:rsidRPr="008C1E51">
        <w:rPr>
          <w:rFonts w:eastAsia="Times New Roman" w:cs="Times New Roman"/>
          <w:color w:val="000000"/>
          <w:szCs w:val="20"/>
          <w:lang w:eastAsia="pl-PL"/>
        </w:rPr>
        <w:t xml:space="preserve">. </w:t>
      </w:r>
    </w:p>
    <w:p w14:paraId="72AAECAD" w14:textId="77777777" w:rsidR="008C1E51" w:rsidRPr="008C1E51" w:rsidRDefault="008C1E51" w:rsidP="008C1E51">
      <w:pPr>
        <w:autoSpaceDE w:val="0"/>
        <w:autoSpaceDN w:val="0"/>
        <w:adjustRightInd w:val="0"/>
        <w:spacing w:before="120" w:after="120" w:line="276" w:lineRule="auto"/>
        <w:rPr>
          <w:rFonts w:eastAsia="Times New Roman" w:cs="Times New Roman"/>
          <w:b/>
          <w:color w:val="000000" w:themeColor="text1"/>
          <w:szCs w:val="20"/>
          <w:lang w:eastAsia="pl-PL"/>
        </w:rPr>
      </w:pPr>
      <w:r w:rsidRPr="008C1E51">
        <w:rPr>
          <w:rFonts w:eastAsia="Times New Roman" w:cs="Times New Roman"/>
          <w:szCs w:val="20"/>
          <w:lang w:eastAsia="pl-PL"/>
        </w:rPr>
        <w:t>Zgodnie z przekazanymi przez Park informacjami, w badanym okresie zdarzały się przypadki opóźnień w zapłacie czynszu. W takich przypadkach Park nalicza odsetki, a następnie wzywa niesolidnego najemcę do zapłaty zaległych opłat, co zostało potwierdzone w trakcie kontroli</w:t>
      </w:r>
      <w:r w:rsidRPr="008C1E51">
        <w:rPr>
          <w:rFonts w:eastAsia="Times New Roman" w:cs="Times New Roman"/>
          <w:vertAlign w:val="superscript"/>
          <w:lang w:eastAsia="pl-PL"/>
        </w:rPr>
        <w:footnoteReference w:id="165"/>
      </w:r>
      <w:r w:rsidRPr="008C1E51">
        <w:rPr>
          <w:rFonts w:eastAsia="Times New Roman" w:cs="Times New Roman"/>
          <w:szCs w:val="20"/>
          <w:lang w:eastAsia="pl-PL"/>
        </w:rPr>
        <w:t>.</w:t>
      </w:r>
    </w:p>
    <w:p w14:paraId="22468BAE"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II/542-549]</w:t>
      </w:r>
    </w:p>
    <w:p w14:paraId="07695C2B"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 okresie objętym kontrolą złożono 7 wniosków</w:t>
      </w:r>
      <w:r w:rsidRPr="008C1E51">
        <w:rPr>
          <w:rFonts w:eastAsia="Times New Roman" w:cs="Times New Roman"/>
          <w:color w:val="000000" w:themeColor="text1"/>
          <w:vertAlign w:val="superscript"/>
          <w:lang w:eastAsia="pl-PL"/>
        </w:rPr>
        <w:footnoteReference w:id="166"/>
      </w:r>
      <w:r w:rsidRPr="008C1E51">
        <w:rPr>
          <w:rFonts w:eastAsia="Times New Roman" w:cs="Times New Roman"/>
          <w:color w:val="000000" w:themeColor="text1"/>
          <w:szCs w:val="20"/>
          <w:lang w:eastAsia="pl-PL"/>
        </w:rPr>
        <w:t xml:space="preserve"> w związku z pełnioną funkcją uprawniającą do przyznania bezpłatnego mieszkania oraz 1 wniosek o zmianę na inny lokal. Wszystkie złożone wnioski zostały rozpatrzone. W przypadku braku lokalu mieszkalnego zostały przydzielone – zgodnie z wewnętrznymi regulacjami w tym zakresie</w:t>
      </w:r>
      <w:r w:rsidRPr="008C1E51">
        <w:rPr>
          <w:rFonts w:eastAsia="Times New Roman" w:cs="Times New Roman"/>
          <w:color w:val="000000" w:themeColor="text1"/>
          <w:vertAlign w:val="superscript"/>
          <w:lang w:eastAsia="pl-PL"/>
        </w:rPr>
        <w:footnoteReference w:id="167"/>
      </w:r>
      <w:r w:rsidRPr="008C1E51">
        <w:rPr>
          <w:rFonts w:eastAsia="Times New Roman" w:cs="Times New Roman"/>
          <w:color w:val="000000" w:themeColor="text1"/>
          <w:szCs w:val="20"/>
          <w:lang w:eastAsia="pl-PL"/>
        </w:rPr>
        <w:t xml:space="preserve"> – ekwiwalenty za niezapewnienie mieszkania służbowego.</w:t>
      </w:r>
    </w:p>
    <w:p w14:paraId="70019BCF"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 xml:space="preserve">W 2019 r. złożono 2 wnioski o przydział bezpłatnego mieszkania na podstawie art. 104 ust. 1, 3 i 6 uop. W jednym przypadku Decyzją Dyrektora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szCs w:val="20"/>
          <w:lang w:eastAsia="pl-PL"/>
        </w:rPr>
        <w:t xml:space="preserve"> </w:t>
      </w:r>
      <w:r w:rsidRPr="008C1E51">
        <w:rPr>
          <w:rFonts w:eastAsia="Times New Roman" w:cs="Times New Roman"/>
          <w:color w:val="000000" w:themeColor="text1"/>
          <w:vertAlign w:val="superscript"/>
          <w:lang w:eastAsia="pl-PL"/>
        </w:rPr>
        <w:footnoteReference w:id="168"/>
      </w:r>
      <w:r w:rsidRPr="008C1E51">
        <w:rPr>
          <w:rFonts w:eastAsia="Times New Roman" w:cs="Times New Roman"/>
          <w:color w:val="000000" w:themeColor="text1"/>
          <w:szCs w:val="20"/>
          <w:lang w:eastAsia="pl-PL"/>
        </w:rPr>
        <w:t xml:space="preserve"> przydzielono pracownikowi zatrudnionemu na stanowisku podleśniczego mieszkanie w lokalu zastępczym. W drugim przypadku, Decyzją Dyrektora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vertAlign w:val="superscript"/>
          <w:lang w:eastAsia="pl-PL"/>
        </w:rPr>
        <w:footnoteReference w:id="169"/>
      </w:r>
      <w:r w:rsidRPr="008C1E51">
        <w:rPr>
          <w:rFonts w:eastAsia="Times New Roman" w:cs="Times New Roman"/>
          <w:color w:val="000000" w:themeColor="text1"/>
          <w:szCs w:val="20"/>
          <w:lang w:eastAsia="pl-PL"/>
        </w:rPr>
        <w:t xml:space="preserve">przyznano pracownikowi zatrudnionemu na stanowisku leśniczego ekwiwalent za niewykorzystywanie bezpłatnego mieszkania z uwagi na brak możliwości przydziału bezpłatnego mieszkania z powodu braku wolnych mieszkań </w:t>
      </w:r>
    </w:p>
    <w:p w14:paraId="08C34B44"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 xml:space="preserve">W 2020 r. złożono 1 wniosek o przydział bezpłatnego mieszkania na podstawie art. 104 ust. 1, 3 i 6 uop. Pismem Dyrektora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vertAlign w:val="superscript"/>
          <w:lang w:eastAsia="pl-PL"/>
        </w:rPr>
        <w:footnoteReference w:id="170"/>
      </w:r>
      <w:r w:rsidRPr="008C1E51">
        <w:rPr>
          <w:rFonts w:eastAsia="Times New Roman" w:cs="Times New Roman"/>
          <w:color w:val="000000" w:themeColor="text1"/>
          <w:szCs w:val="20"/>
          <w:lang w:eastAsia="pl-PL"/>
        </w:rPr>
        <w:t xml:space="preserve"> poinformowano wnioskodawcę – zatrudnionego na stanowisku Strażnika Parku – że Park nie dysponuje wolnymi, nadającymi się do zamieszkania lokalami, a wobec faktu, że wnioskodawca mieszka w mieszkaniu będącym w zasobach Parku nie płacąc czynszu – nie przysługuje mu ekwiwalent za niewykorzystywanie bezpłatnego mieszkania w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szCs w:val="20"/>
          <w:lang w:eastAsia="pl-PL"/>
        </w:rPr>
        <w:t>.</w:t>
      </w:r>
    </w:p>
    <w:p w14:paraId="472B14F1"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W 2021 r. złożono 1 wniosek o wyrażenie zgody na zamieszkiwanie w mieszkaniu stanowiącym własność pracownika</w:t>
      </w:r>
      <w:r w:rsidRPr="008C1E51">
        <w:rPr>
          <w:rFonts w:eastAsia="Times New Roman" w:cs="Times New Roman"/>
          <w:color w:val="000000" w:themeColor="text1"/>
          <w:vertAlign w:val="superscript"/>
          <w:lang w:eastAsia="pl-PL"/>
        </w:rPr>
        <w:footnoteReference w:id="171"/>
      </w:r>
      <w:r w:rsidRPr="008C1E51">
        <w:rPr>
          <w:rFonts w:eastAsia="Times New Roman" w:cs="Times New Roman"/>
          <w:color w:val="000000" w:themeColor="text1"/>
          <w:szCs w:val="20"/>
          <w:lang w:eastAsia="pl-PL"/>
        </w:rPr>
        <w:t xml:space="preserve">. Decyzją Dyrektora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vertAlign w:val="superscript"/>
          <w:lang w:eastAsia="pl-PL"/>
        </w:rPr>
        <w:footnoteReference w:id="172"/>
      </w:r>
      <w:r w:rsidRPr="008C1E51">
        <w:rPr>
          <w:rFonts w:eastAsia="Times New Roman" w:cs="Times New Roman"/>
          <w:color w:val="000000" w:themeColor="text1"/>
          <w:szCs w:val="20"/>
          <w:lang w:eastAsia="pl-PL"/>
        </w:rPr>
        <w:t xml:space="preserve"> wyrażono zgodę na zamieszkiwanie wnioskodawcy – zatrudnionego na stanowisku podleśniczego – </w:t>
      </w:r>
      <w:r w:rsidRPr="008C1E51">
        <w:rPr>
          <w:rFonts w:eastAsia="Times New Roman" w:cs="Times New Roman"/>
          <w:color w:val="000000" w:themeColor="text1"/>
          <w:szCs w:val="20"/>
          <w:lang w:eastAsia="pl-PL"/>
        </w:rPr>
        <w:br/>
        <w:t xml:space="preserve">w mieszkaniu stanowiącym jego własność oraz przyznano ekwiwalent niewykorzystywanie bezpłatnego mieszkania. </w:t>
      </w:r>
    </w:p>
    <w:p w14:paraId="5ACF45F4"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 xml:space="preserve">W 2022 r. złożono 3 wnioski o przydział bezpłatnego mieszkania na podstawie art. 104 ust. 1, 3 i 6 uop. W odpowiedzi na każdy z tych wniosków, Decyzjami Dyrektora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vertAlign w:val="superscript"/>
          <w:lang w:eastAsia="pl-PL"/>
        </w:rPr>
        <w:footnoteReference w:id="173"/>
      </w:r>
      <w:r w:rsidRPr="008C1E51">
        <w:rPr>
          <w:rFonts w:eastAsia="Times New Roman" w:cs="Times New Roman"/>
          <w:color w:val="000000" w:themeColor="text1"/>
          <w:szCs w:val="20"/>
          <w:lang w:eastAsia="pl-PL"/>
        </w:rPr>
        <w:t xml:space="preserve"> przyznano wnioskodawcom – zatrudnionym na stanowiskach: Strażnika Straży Parku, Podleśniczego oraz Strażnika Straży Parku - ekwiwalenty za niewykorzystywanie bezpłatnego mieszkania w </w:t>
      </w:r>
      <w:proofErr w:type="spellStart"/>
      <w:r w:rsidRPr="008C1E51">
        <w:rPr>
          <w:rFonts w:eastAsia="Times New Roman" w:cs="Times New Roman"/>
          <w:color w:val="000000" w:themeColor="text1"/>
          <w:szCs w:val="20"/>
          <w:lang w:eastAsia="pl-PL"/>
        </w:rPr>
        <w:t>BdPN</w:t>
      </w:r>
      <w:proofErr w:type="spellEnd"/>
    </w:p>
    <w:p w14:paraId="5CBB8AC3"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II/564-582]</w:t>
      </w:r>
    </w:p>
    <w:p w14:paraId="21C754FA" w14:textId="77777777" w:rsidR="008C1E51" w:rsidRPr="008C1E51" w:rsidRDefault="008C1E51" w:rsidP="008C1E51">
      <w:pPr>
        <w:autoSpaceDE w:val="0"/>
        <w:autoSpaceDN w:val="0"/>
        <w:adjustRightInd w:val="0"/>
        <w:spacing w:before="120" w:after="120" w:line="276" w:lineRule="auto"/>
        <w:rPr>
          <w:rFonts w:eastAsia="Times New Roman" w:cs="Times New Roman"/>
          <w:color w:val="000000" w:themeColor="text1"/>
          <w:szCs w:val="20"/>
          <w:u w:val="single"/>
          <w:lang w:eastAsia="pl-PL"/>
        </w:rPr>
      </w:pPr>
      <w:r w:rsidRPr="008C1E51">
        <w:rPr>
          <w:rFonts w:eastAsia="Times New Roman" w:cs="Times New Roman"/>
          <w:color w:val="000000" w:themeColor="text1"/>
          <w:szCs w:val="20"/>
          <w:u w:val="single"/>
          <w:lang w:eastAsia="pl-PL"/>
        </w:rPr>
        <w:t>Ekwiwalenty za niewykorzystanie bezpłatnego mieszkania.</w:t>
      </w:r>
    </w:p>
    <w:p w14:paraId="7713B124" w14:textId="77777777" w:rsidR="008C1E51" w:rsidRPr="008C1E51" w:rsidRDefault="008C1E51" w:rsidP="008C1E51">
      <w:pPr>
        <w:spacing w:before="120" w:after="120" w:line="276" w:lineRule="auto"/>
        <w:rPr>
          <w:rFonts w:eastAsia="Times New Roman" w:cs="Times New Roman"/>
          <w:szCs w:val="20"/>
          <w:lang w:eastAsia="pl-PL"/>
        </w:rPr>
      </w:pPr>
      <w:r w:rsidRPr="008C1E51">
        <w:rPr>
          <w:rFonts w:eastAsia="Times New Roman" w:cs="Times New Roman"/>
          <w:szCs w:val="20"/>
          <w:lang w:eastAsia="pl-PL"/>
        </w:rPr>
        <w:t xml:space="preserve">W okresie objętym kontrolą, zgodnie </w:t>
      </w:r>
      <w:bookmarkStart w:id="52" w:name="_Hlk97019030"/>
      <w:r w:rsidRPr="008C1E51">
        <w:rPr>
          <w:rFonts w:eastAsia="Times New Roman" w:cs="Times New Roman"/>
          <w:szCs w:val="20"/>
          <w:lang w:eastAsia="pl-PL"/>
        </w:rPr>
        <w:t xml:space="preserve">z art. 104 ust. 12-14 </w:t>
      </w:r>
      <w:bookmarkEnd w:id="52"/>
      <w:r w:rsidRPr="008C1E51">
        <w:rPr>
          <w:rFonts w:eastAsia="Times New Roman" w:cs="Times New Roman"/>
          <w:szCs w:val="20"/>
          <w:lang w:eastAsia="pl-PL"/>
        </w:rPr>
        <w:t xml:space="preserve">uop, wypłacano pracownikom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ekwiwalenty z tytułu niewykorzystania bezpłatnego mieszkania służbowego. </w:t>
      </w:r>
      <w:bookmarkStart w:id="53" w:name="_Hlk99628063"/>
      <w:r w:rsidRPr="008C1E51">
        <w:rPr>
          <w:rFonts w:eastAsia="Times New Roman" w:cs="Times New Roman"/>
          <w:szCs w:val="20"/>
          <w:lang w:eastAsia="pl-PL"/>
        </w:rPr>
        <w:t xml:space="preserve">W roku 2019 wypłacano ekwiwalent 8 pracownikom, w latach 2020 - 2021 wypłacono ekwiwalent 7 pracownikom, zaś do maja 2022 roku 9 pracownikom. </w:t>
      </w:r>
      <w:bookmarkEnd w:id="53"/>
      <w:r w:rsidRPr="008C1E51">
        <w:rPr>
          <w:rFonts w:eastAsia="Times New Roman" w:cs="Times New Roman"/>
          <w:szCs w:val="20"/>
          <w:lang w:eastAsia="pl-PL"/>
        </w:rPr>
        <w:t xml:space="preserve">Łączna kwota, którą od 1 stycznia 2019 r. do 30 czerwca 2022 r. poniósł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na wypłatę ekwiwalentów wyniosła 43 814,40 zł.</w:t>
      </w:r>
    </w:p>
    <w:p w14:paraId="497FA65E" w14:textId="77777777" w:rsidR="008C1E51" w:rsidRPr="008C1E51" w:rsidRDefault="008C1E51" w:rsidP="008C1E51">
      <w:pPr>
        <w:autoSpaceDE w:val="0"/>
        <w:autoSpaceDN w:val="0"/>
        <w:adjustRightInd w:val="0"/>
        <w:spacing w:before="120" w:after="120" w:line="276" w:lineRule="auto"/>
        <w:rPr>
          <w:rFonts w:eastAsia="Times New Roman" w:cs="Times New Roman"/>
          <w:szCs w:val="20"/>
          <w:lang w:eastAsia="pl-PL"/>
        </w:rPr>
      </w:pPr>
      <w:r w:rsidRPr="008C1E51">
        <w:rPr>
          <w:rFonts w:eastAsia="Times New Roman" w:cs="Times New Roman"/>
          <w:szCs w:val="20"/>
          <w:lang w:eastAsia="pl-PL"/>
        </w:rPr>
        <w:t xml:space="preserve">W badanym okresie złożono 3 wnioski o wypłatę ekwiwalentu za niezapewnienie bezpłatnego mieszkania. Każdy z tych wniosków został rozpatrzony pozytywnie. </w:t>
      </w:r>
    </w:p>
    <w:p w14:paraId="411E3A64" w14:textId="77777777" w:rsidR="008C1E51" w:rsidRPr="008C1E51" w:rsidRDefault="008C1E51" w:rsidP="008C1E51">
      <w:pPr>
        <w:suppressAutoHyphens/>
        <w:spacing w:before="120" w:after="120" w:line="276" w:lineRule="auto"/>
        <w:rPr>
          <w:rFonts w:cs="Times New Roman"/>
          <w:bCs/>
          <w:color w:val="000000" w:themeColor="text1"/>
          <w:szCs w:val="20"/>
          <w:u w:val="single"/>
        </w:rPr>
      </w:pPr>
      <w:r w:rsidRPr="008C1E51">
        <w:rPr>
          <w:rFonts w:cs="Times New Roman"/>
          <w:bCs/>
          <w:color w:val="000000" w:themeColor="text1"/>
          <w:szCs w:val="20"/>
          <w:u w:val="single"/>
        </w:rPr>
        <w:t xml:space="preserve">Zbywanie lokali mieszkalnych. </w:t>
      </w:r>
    </w:p>
    <w:p w14:paraId="3FB2EACA" w14:textId="77777777" w:rsidR="008C1E51" w:rsidRPr="008C1E51" w:rsidRDefault="008C1E51" w:rsidP="008C1E51">
      <w:pPr>
        <w:spacing w:before="120" w:after="120" w:line="276" w:lineRule="auto"/>
        <w:rPr>
          <w:rFonts w:eastAsia="Times New Roman" w:cs="Times New Roman"/>
          <w:color w:val="000000" w:themeColor="text1"/>
          <w:szCs w:val="20"/>
          <w:lang w:eastAsia="pl-PL"/>
        </w:rPr>
      </w:pPr>
      <w:r w:rsidRPr="008C1E51">
        <w:rPr>
          <w:rFonts w:eastAsia="Times New Roman" w:cs="Times New Roman"/>
          <w:color w:val="000000" w:themeColor="text1"/>
          <w:szCs w:val="20"/>
          <w:lang w:eastAsia="pl-PL"/>
        </w:rPr>
        <w:t xml:space="preserve">W okresie objętym kontrolą nie wystąpiły przypadki zbycia lub likwidacji żadnego lokalu mieszkalnego będącego w zasobach </w:t>
      </w:r>
      <w:proofErr w:type="spellStart"/>
      <w:r w:rsidRPr="008C1E51">
        <w:rPr>
          <w:rFonts w:eastAsia="Times New Roman" w:cs="Times New Roman"/>
          <w:color w:val="000000" w:themeColor="text1"/>
          <w:szCs w:val="20"/>
          <w:lang w:eastAsia="pl-PL"/>
        </w:rPr>
        <w:t>BdPN</w:t>
      </w:r>
      <w:proofErr w:type="spellEnd"/>
      <w:r w:rsidRPr="008C1E51">
        <w:rPr>
          <w:rFonts w:eastAsia="Times New Roman" w:cs="Times New Roman"/>
          <w:color w:val="000000" w:themeColor="text1"/>
          <w:szCs w:val="20"/>
          <w:lang w:eastAsia="pl-PL"/>
        </w:rPr>
        <w:t xml:space="preserve">. </w:t>
      </w:r>
    </w:p>
    <w:p w14:paraId="4DE626C4" w14:textId="77777777" w:rsidR="008C1E51" w:rsidRPr="008C1E51" w:rsidRDefault="008C1E51" w:rsidP="008C1E51">
      <w:pPr>
        <w:spacing w:before="120" w:after="120" w:line="276" w:lineRule="auto"/>
        <w:rPr>
          <w:rFonts w:eastAsia="Times New Roman" w:cs="Times New Roman"/>
          <w:b/>
          <w:bCs/>
          <w:szCs w:val="20"/>
          <w:lang w:eastAsia="pl-PL"/>
        </w:rPr>
      </w:pPr>
      <w:r w:rsidRPr="008C1E51">
        <w:rPr>
          <w:rFonts w:eastAsia="Times New Roman" w:cs="Times New Roman"/>
          <w:b/>
          <w:bCs/>
          <w:szCs w:val="20"/>
          <w:lang w:eastAsia="pl-PL"/>
        </w:rPr>
        <w:t>Ocena obszaru</w:t>
      </w:r>
    </w:p>
    <w:p w14:paraId="116A0FD0" w14:textId="7708B949" w:rsidR="008C1E51" w:rsidRPr="008C1E51" w:rsidRDefault="008C1E51" w:rsidP="008C1E51">
      <w:pPr>
        <w:suppressAutoHyphens/>
        <w:spacing w:before="120" w:after="120" w:line="276" w:lineRule="auto"/>
        <w:rPr>
          <w:rFonts w:eastAsia="Calibri"/>
          <w:szCs w:val="20"/>
          <w:lang w:eastAsia="ar-SA"/>
        </w:rPr>
      </w:pPr>
      <w:bookmarkStart w:id="54" w:name="_Hlk135149373"/>
      <w:r w:rsidRPr="008C1E51">
        <w:rPr>
          <w:rFonts w:cs="Times New Roman"/>
          <w:szCs w:val="20"/>
          <w:lang w:eastAsia="pl-PL"/>
        </w:rPr>
        <w:t xml:space="preserve">W okresie objętym kontrolą w </w:t>
      </w:r>
      <w:proofErr w:type="spellStart"/>
      <w:r w:rsidRPr="008C1E51">
        <w:rPr>
          <w:rFonts w:cs="Times New Roman"/>
          <w:szCs w:val="20"/>
          <w:lang w:eastAsia="pl-PL"/>
        </w:rPr>
        <w:t>BdPN</w:t>
      </w:r>
      <w:proofErr w:type="spellEnd"/>
      <w:r w:rsidRPr="008C1E51">
        <w:rPr>
          <w:rFonts w:cs="Times New Roman"/>
          <w:szCs w:val="20"/>
          <w:lang w:eastAsia="pl-PL"/>
        </w:rPr>
        <w:t xml:space="preserve"> obowiązywały uregulowania wewnętrzne w zakresie gospodarowania nieruchomościami. </w:t>
      </w:r>
      <w:r w:rsidRPr="008C1E51">
        <w:rPr>
          <w:rFonts w:cs="Times New Roman"/>
          <w:color w:val="000000" w:themeColor="text1"/>
          <w:szCs w:val="20"/>
        </w:rPr>
        <w:t xml:space="preserve">Park prowadził ewidencję budynków, tj. środków trwałych wraz z ich umorzeniem. </w:t>
      </w:r>
      <w:r w:rsidRPr="008C1E51">
        <w:rPr>
          <w:rFonts w:cs="Times New Roman"/>
          <w:szCs w:val="20"/>
          <w:lang w:eastAsia="pl-PL"/>
        </w:rPr>
        <w:t>Sposób korzystania z nieruchomości budowlanych należących Parku uregulowano w regulacjach wewnętrznych</w:t>
      </w:r>
      <w:r w:rsidRPr="008C1E51">
        <w:rPr>
          <w:rFonts w:cs="Times New Roman"/>
          <w:szCs w:val="20"/>
          <w:vertAlign w:val="superscript"/>
          <w:lang w:eastAsia="pl-PL"/>
        </w:rPr>
        <w:footnoteReference w:id="174"/>
      </w:r>
      <w:r w:rsidRPr="008C1E51">
        <w:rPr>
          <w:rFonts w:cs="Times New Roman"/>
          <w:szCs w:val="20"/>
          <w:lang w:eastAsia="pl-PL"/>
        </w:rPr>
        <w:t xml:space="preserve">, których określono m.in. zasady: dzierżawy nieruchomości, zabezpieczenia interesów </w:t>
      </w:r>
      <w:proofErr w:type="spellStart"/>
      <w:r w:rsidRPr="008C1E51">
        <w:rPr>
          <w:rFonts w:cs="Times New Roman"/>
          <w:szCs w:val="20"/>
          <w:lang w:eastAsia="pl-PL"/>
        </w:rPr>
        <w:t>BdPN</w:t>
      </w:r>
      <w:proofErr w:type="spellEnd"/>
      <w:r w:rsidRPr="008C1E51">
        <w:rPr>
          <w:rFonts w:cs="Times New Roman"/>
          <w:szCs w:val="20"/>
          <w:lang w:eastAsia="pl-PL"/>
        </w:rPr>
        <w:t xml:space="preserve"> itp. W okresie objętym kontrolą w Parku brak było bezumownego korzystania z nieruchomości należących do </w:t>
      </w:r>
      <w:proofErr w:type="spellStart"/>
      <w:r w:rsidRPr="008C1E51">
        <w:rPr>
          <w:rFonts w:cs="Times New Roman"/>
          <w:szCs w:val="20"/>
          <w:lang w:eastAsia="pl-PL"/>
        </w:rPr>
        <w:t>BdPN</w:t>
      </w:r>
      <w:proofErr w:type="spellEnd"/>
      <w:r w:rsidR="0027654F">
        <w:rPr>
          <w:rFonts w:cs="Times New Roman"/>
          <w:szCs w:val="20"/>
          <w:lang w:eastAsia="pl-PL"/>
        </w:rPr>
        <w:t>.</w:t>
      </w:r>
      <w:r w:rsidRPr="008C1E51">
        <w:rPr>
          <w:bCs/>
          <w:szCs w:val="20"/>
        </w:rPr>
        <w:t xml:space="preserve"> </w:t>
      </w:r>
      <w:r w:rsidRPr="00CD5042">
        <w:rPr>
          <w:rFonts w:cs="Times New Roman"/>
          <w:color w:val="000000" w:themeColor="text1"/>
          <w:szCs w:val="20"/>
          <w:u w:val="single"/>
        </w:rPr>
        <w:t>Nie stwierdzono nieprawidłowości w zakresie prowadzenia przetargów na rozporządzanie nieruchomościami.</w:t>
      </w:r>
      <w:r w:rsidRPr="008C1E51">
        <w:rPr>
          <w:rFonts w:cs="Times New Roman"/>
          <w:color w:val="000000" w:themeColor="text1"/>
          <w:szCs w:val="20"/>
        </w:rPr>
        <w:t xml:space="preserve"> </w:t>
      </w:r>
      <w:r w:rsidRPr="008C1E51">
        <w:rPr>
          <w:szCs w:val="20"/>
        </w:rPr>
        <w:t xml:space="preserve">Stwierdzono uchybienia polegające na </w:t>
      </w:r>
      <w:r w:rsidRPr="008C1E51">
        <w:rPr>
          <w:rFonts w:eastAsia="Calibri"/>
          <w:szCs w:val="20"/>
          <w:lang w:eastAsia="ar-SA"/>
        </w:rPr>
        <w:t xml:space="preserve">braku </w:t>
      </w:r>
      <w:r w:rsidRPr="008C1E51">
        <w:rPr>
          <w:rFonts w:cs="Times New Roman"/>
          <w:szCs w:val="20"/>
        </w:rPr>
        <w:t xml:space="preserve">opracowania wieloletniego programu gospodarowania budynkami. Trudno bowiem uznać za taki dokument sporządzenie w 2008 r., a następnie zaktualizowanie w 2010 r. dokumentu pn. Syntetyczna strategia gospodarowania lokalami mieszkalnymi w zarządzenie </w:t>
      </w:r>
      <w:proofErr w:type="spellStart"/>
      <w:r w:rsidRPr="008C1E51">
        <w:rPr>
          <w:rFonts w:cs="Times New Roman"/>
          <w:szCs w:val="20"/>
        </w:rPr>
        <w:t>BdPN</w:t>
      </w:r>
      <w:proofErr w:type="spellEnd"/>
      <w:r w:rsidRPr="008C1E51">
        <w:rPr>
          <w:rFonts w:cs="Times New Roman"/>
          <w:szCs w:val="20"/>
        </w:rPr>
        <w:t>.  Stwierdzono także brak ciągłości przeglądów</w:t>
      </w:r>
      <w:r w:rsidRPr="008C1E51">
        <w:rPr>
          <w:rFonts w:cs="Times New Roman"/>
          <w:szCs w:val="20"/>
          <w:lang w:eastAsia="pl-PL"/>
        </w:rPr>
        <w:t xml:space="preserve"> z okresowej rocznej kontroli polegającej na sprawdzeniu instalacji i urządzeń służących ochronie środowiska (dot. przeglądów oczyszczalni ścieków), oraz przeglądów okresowej kontroli przewodów kominowych.</w:t>
      </w:r>
    </w:p>
    <w:bookmarkEnd w:id="54"/>
    <w:p w14:paraId="2CED538A" w14:textId="77777777" w:rsidR="008C1E51" w:rsidRPr="008C1E51" w:rsidRDefault="008C1E51" w:rsidP="00476928">
      <w:pPr>
        <w:numPr>
          <w:ilvl w:val="0"/>
          <w:numId w:val="12"/>
        </w:numPr>
        <w:spacing w:before="120" w:after="120" w:line="276" w:lineRule="auto"/>
        <w:ind w:left="425" w:hanging="425"/>
        <w:rPr>
          <w:rFonts w:eastAsia="Times New Roman" w:cs="Times New Roman"/>
          <w:b/>
          <w:bCs/>
          <w:color w:val="000000" w:themeColor="text1"/>
          <w:szCs w:val="20"/>
          <w:lang w:eastAsia="pl-PL"/>
        </w:rPr>
      </w:pPr>
      <w:r w:rsidRPr="008C1E51">
        <w:rPr>
          <w:rFonts w:eastAsia="Times New Roman" w:cs="Times New Roman"/>
          <w:b/>
          <w:bCs/>
          <w:color w:val="000000" w:themeColor="text1"/>
          <w:szCs w:val="20"/>
          <w:lang w:eastAsia="pl-PL"/>
        </w:rPr>
        <w:t>Gospodarka transportowa Parku</w:t>
      </w:r>
    </w:p>
    <w:p w14:paraId="27AA98B8"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 xml:space="preserve">W okresie objętym kontrolą w </w:t>
      </w:r>
      <w:proofErr w:type="spellStart"/>
      <w:r w:rsidRPr="008C1E51">
        <w:rPr>
          <w:rFonts w:cs="Times New Roman"/>
          <w:color w:val="000000"/>
          <w:szCs w:val="20"/>
        </w:rPr>
        <w:t>BdPN</w:t>
      </w:r>
      <w:proofErr w:type="spellEnd"/>
      <w:r w:rsidRPr="008C1E51">
        <w:rPr>
          <w:rFonts w:cs="Times New Roman"/>
          <w:color w:val="000000"/>
          <w:szCs w:val="20"/>
        </w:rPr>
        <w:t xml:space="preserve"> obowiązywały wewnętrzne zasady dotyczące korzystania z pojazdów służbowych (Regulamin</w:t>
      </w:r>
      <w:r w:rsidRPr="008C1E51">
        <w:rPr>
          <w:color w:val="000000"/>
          <w:szCs w:val="20"/>
        </w:rPr>
        <w:t xml:space="preserve"> </w:t>
      </w:r>
      <w:r w:rsidRPr="008C1E51">
        <w:rPr>
          <w:rFonts w:cs="Times New Roman"/>
          <w:color w:val="000000"/>
          <w:szCs w:val="20"/>
        </w:rPr>
        <w:t>używania pojazdów służbowych)</w:t>
      </w:r>
      <w:r w:rsidRPr="008C1E51">
        <w:rPr>
          <w:rFonts w:cs="Times New Roman"/>
          <w:szCs w:val="20"/>
          <w:vertAlign w:val="superscript"/>
        </w:rPr>
        <w:footnoteReference w:id="175"/>
      </w:r>
      <w:r w:rsidRPr="008C1E51">
        <w:rPr>
          <w:rFonts w:cs="Times New Roman"/>
          <w:color w:val="000000"/>
          <w:szCs w:val="20"/>
        </w:rPr>
        <w:t xml:space="preserve">. Regulamin używania pojazdów służbowych regulował: sposób dokumentowania korzystania ze służbowego samochodu, zasady prowadzenia rozliczeń zużycia paliwa, zasady korzystania. Zapisy ww. Regulaminu określały, że samochód służbowy mógł być wykorzystywany wyłącznie do celów służbowych oraz wprowadzały bezwzględny zakaz używania samochodów służbowych do jakichkolwiek celów prywatnych pracowników. </w:t>
      </w:r>
    </w:p>
    <w:p w14:paraId="56B19E8A"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II/611-614]</w:t>
      </w:r>
    </w:p>
    <w:p w14:paraId="771BE9D9"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 xml:space="preserve">Podmiotowo uprawniony do kierowania samochodem służbowym mógł być: pracownik zatrudniony na etacie kierowcy lub pracownik, który legitymujący się odpowiednią kategorią prawa jazdy którego upoważniono do kierowania samochodem służbowym. Powierzenie </w:t>
      </w:r>
      <w:r w:rsidRPr="008C1E51">
        <w:rPr>
          <w:rFonts w:cs="Times New Roman"/>
          <w:color w:val="000000"/>
          <w:szCs w:val="20"/>
        </w:rPr>
        <w:br/>
        <w:t xml:space="preserve">i zwrot samochodu służbowego następował na podstawie pisemnego protokołu zdawczo-odbiorczego. Powierzony samochód służbowy nie mógł zostać oddany do używania osobom trzecim, z zastrzeżeniem, że na polecenie pracodawcy samochód mógł być użyty przez innego pracownika celem wykonania przez niego określonych czynności służbowych. </w:t>
      </w:r>
    </w:p>
    <w:p w14:paraId="04E7223F"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 xml:space="preserve">Kontrolę nad zasadnością wyjazdów samochodem służbowym w celu wykonywania obowiązków pracowniczych sprawowali bezpośredni przełożeni pracowników. </w:t>
      </w:r>
    </w:p>
    <w:p w14:paraId="32197A78"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Zgodnie z zapisami Regulaminu Organizacyjnego Bieszczadzkiego Parku Narodowego</w:t>
      </w:r>
      <w:r w:rsidRPr="008C1E51">
        <w:rPr>
          <w:rFonts w:cs="Times New Roman"/>
          <w:color w:val="000000"/>
          <w:vertAlign w:val="superscript"/>
        </w:rPr>
        <w:footnoteReference w:id="176"/>
      </w:r>
      <w:r w:rsidRPr="008C1E51">
        <w:rPr>
          <w:rFonts w:cs="Times New Roman"/>
          <w:color w:val="000000"/>
          <w:szCs w:val="20"/>
        </w:rPr>
        <w:t xml:space="preserve"> nadzór nad flotą samochodową pozostawał w gestii Sekcji ds. Transportu, stanowiącej komórkę organizacyjną Działu Administracji i Gospodarowania Mieniem. </w:t>
      </w:r>
    </w:p>
    <w:p w14:paraId="167C0E2F"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 xml:space="preserve">Ustalono, że upoważnienia do kierowania pojazdami służbowymi były wydawane zgodnie </w:t>
      </w:r>
      <w:r w:rsidRPr="008C1E51">
        <w:rPr>
          <w:rFonts w:cs="Times New Roman"/>
          <w:color w:val="000000"/>
          <w:szCs w:val="20"/>
        </w:rPr>
        <w:br/>
        <w:t xml:space="preserve">z bieżącymi potrzebami, przy uwzględnieniu możliwości </w:t>
      </w:r>
      <w:proofErr w:type="spellStart"/>
      <w:r w:rsidRPr="008C1E51">
        <w:rPr>
          <w:rFonts w:cs="Times New Roman"/>
          <w:color w:val="000000"/>
          <w:szCs w:val="20"/>
        </w:rPr>
        <w:t>BdPN</w:t>
      </w:r>
      <w:proofErr w:type="spellEnd"/>
      <w:r w:rsidRPr="008C1E51">
        <w:rPr>
          <w:rFonts w:cs="Times New Roman"/>
          <w:color w:val="000000"/>
          <w:szCs w:val="20"/>
        </w:rPr>
        <w:t xml:space="preserve"> w tym obszarze. W okresie objętym kontrolą, upoważnionych do kierowania samochodami służbowymi było 26 pracowników Parku. </w:t>
      </w:r>
      <w:r w:rsidRPr="008C1E51">
        <w:rPr>
          <w:rFonts w:eastAsia="Times New Roman" w:cs="Times New Roman"/>
          <w:color w:val="000000"/>
          <w:szCs w:val="20"/>
          <w:lang w:eastAsia="pl-PL"/>
        </w:rPr>
        <w:t>Użytkowanie pojazdów służbowych było dokumentowane w ewidencji przebiegu pojazdu w miesięcznym okresie rozliczeniowym. Kontrolą objęto ewidencję 10 samochodów w okresie 2019-2022 (łącznie 40</w:t>
      </w:r>
      <w:r w:rsidRPr="008C1E51">
        <w:rPr>
          <w:rFonts w:eastAsia="Times New Roman" w:cs="Times New Roman"/>
          <w:color w:val="000000"/>
          <w:vertAlign w:val="superscript"/>
          <w:lang w:eastAsia="pl-PL"/>
        </w:rPr>
        <w:footnoteReference w:id="177"/>
      </w:r>
      <w:r w:rsidRPr="008C1E51">
        <w:rPr>
          <w:rFonts w:eastAsia="Times New Roman" w:cs="Times New Roman"/>
          <w:color w:val="000000"/>
          <w:szCs w:val="20"/>
          <w:lang w:eastAsia="pl-PL"/>
        </w:rPr>
        <w:t xml:space="preserve"> miesięcznych ewidencji pojazdów). Ewidencja przebiegu pojazdu była prowadzona odrębnie dla każdego pojazdu. Nie stwierdzono przypadków przekraczania limitów kilometrów przyznanych poszczególnym osobom i komórkom organizacyjnym </w:t>
      </w:r>
      <w:proofErr w:type="spellStart"/>
      <w:r w:rsidRPr="008C1E51">
        <w:rPr>
          <w:rFonts w:eastAsia="Times New Roman" w:cs="Times New Roman"/>
          <w:color w:val="000000"/>
          <w:szCs w:val="20"/>
          <w:lang w:eastAsia="pl-PL"/>
        </w:rPr>
        <w:t>BdPN</w:t>
      </w:r>
      <w:proofErr w:type="spellEnd"/>
      <w:r w:rsidRPr="008C1E51">
        <w:rPr>
          <w:rFonts w:eastAsia="Times New Roman" w:cs="Times New Roman"/>
          <w:color w:val="000000"/>
          <w:szCs w:val="20"/>
          <w:lang w:eastAsia="pl-PL"/>
        </w:rPr>
        <w:t>.</w:t>
      </w:r>
    </w:p>
    <w:p w14:paraId="3038EA95"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II/615-700]</w:t>
      </w:r>
    </w:p>
    <w:p w14:paraId="128C10E0" w14:textId="77777777" w:rsidR="008C1E51" w:rsidRPr="008C1E51" w:rsidRDefault="008C1E51" w:rsidP="008C1E51">
      <w:pPr>
        <w:spacing w:before="120" w:after="120" w:line="276" w:lineRule="auto"/>
        <w:rPr>
          <w:rFonts w:eastAsia="Times New Roman" w:cs="Times New Roman"/>
          <w:iCs/>
          <w:color w:val="000000"/>
          <w:szCs w:val="20"/>
          <w:lang w:eastAsia="pl-PL"/>
        </w:rPr>
      </w:pPr>
      <w:r w:rsidRPr="008C1E51">
        <w:rPr>
          <w:rFonts w:eastAsia="Times New Roman" w:cs="Times New Roman"/>
          <w:color w:val="000000"/>
          <w:szCs w:val="20"/>
          <w:lang w:eastAsia="pl-PL"/>
        </w:rPr>
        <w:t>Ustalono, że w przypadku 4 kart ewidencji przebiegu pojazdów</w:t>
      </w:r>
      <w:r w:rsidRPr="008C1E51">
        <w:rPr>
          <w:rFonts w:eastAsia="Times New Roman" w:cs="Times New Roman"/>
          <w:color w:val="000000"/>
          <w:vertAlign w:val="superscript"/>
          <w:lang w:eastAsia="pl-PL"/>
        </w:rPr>
        <w:footnoteReference w:id="178"/>
      </w:r>
      <w:r w:rsidRPr="008C1E51">
        <w:rPr>
          <w:rFonts w:eastAsia="Times New Roman" w:cs="Times New Roman"/>
          <w:color w:val="000000"/>
          <w:szCs w:val="20"/>
          <w:lang w:eastAsia="pl-PL"/>
        </w:rPr>
        <w:t xml:space="preserve"> wystąpił brak podpisów dysponenta pojazdu. Dyrektor Parku wyjaśnił </w:t>
      </w:r>
      <w:r w:rsidRPr="008C1E51">
        <w:rPr>
          <w:rFonts w:eastAsia="Times New Roman" w:cs="Times New Roman"/>
          <w:color w:val="000000"/>
          <w:vertAlign w:val="superscript"/>
          <w:lang w:eastAsia="pl-PL"/>
        </w:rPr>
        <w:footnoteReference w:id="179"/>
      </w:r>
      <w:r w:rsidRPr="008C1E51">
        <w:rPr>
          <w:rFonts w:eastAsia="Times New Roman" w:cs="Times New Roman"/>
          <w:color w:val="000000"/>
          <w:szCs w:val="20"/>
          <w:lang w:eastAsia="pl-PL"/>
        </w:rPr>
        <w:t xml:space="preserve">, że zgodnie z Zarządzeniem nr 2- Dyrektora </w:t>
      </w:r>
      <w:proofErr w:type="spellStart"/>
      <w:r w:rsidRPr="008C1E51">
        <w:rPr>
          <w:rFonts w:eastAsia="Times New Roman" w:cs="Times New Roman"/>
          <w:color w:val="000000"/>
          <w:szCs w:val="20"/>
          <w:lang w:eastAsia="pl-PL"/>
        </w:rPr>
        <w:t>BdPN</w:t>
      </w:r>
      <w:proofErr w:type="spellEnd"/>
      <w:r w:rsidRPr="008C1E51">
        <w:rPr>
          <w:rFonts w:eastAsia="Times New Roman" w:cs="Times New Roman"/>
          <w:color w:val="000000"/>
          <w:szCs w:val="20"/>
          <w:lang w:eastAsia="pl-PL"/>
        </w:rPr>
        <w:t xml:space="preserve"> z 31 marca 2014 r. podpisy dysponenta pojazdu nie były wymagane. </w:t>
      </w:r>
      <w:r w:rsidRPr="008C1E51">
        <w:rPr>
          <w:rFonts w:eastAsia="Times New Roman" w:cs="Times New Roman"/>
          <w:color w:val="000000"/>
          <w:szCs w:val="20"/>
          <w:lang w:eastAsia="pl-PL"/>
        </w:rPr>
        <w:br/>
        <w:t xml:space="preserve">W zakresie pytania dotyczącego kontroli wpisów do kart przebiegu pojazdów służbowych, Dyrektor Parku wskazał, </w:t>
      </w:r>
      <w:r w:rsidRPr="005A549E">
        <w:rPr>
          <w:rFonts w:eastAsia="Times New Roman" w:cs="Times New Roman"/>
          <w:iCs/>
          <w:color w:val="000000"/>
          <w:szCs w:val="20"/>
          <w:lang w:eastAsia="pl-PL"/>
        </w:rPr>
        <w:t>że</w:t>
      </w:r>
      <w:r w:rsidRPr="008C1E51">
        <w:rPr>
          <w:rFonts w:eastAsia="Times New Roman" w:cs="Times New Roman"/>
          <w:i/>
          <w:color w:val="000000"/>
          <w:szCs w:val="20"/>
          <w:lang w:eastAsia="pl-PL"/>
        </w:rPr>
        <w:t xml:space="preserve"> </w:t>
      </w:r>
      <w:r w:rsidRPr="008C1E51">
        <w:rPr>
          <w:rFonts w:eastAsia="Times New Roman" w:cs="Times New Roman"/>
          <w:iCs/>
          <w:color w:val="000000"/>
          <w:szCs w:val="20"/>
          <w:lang w:eastAsia="pl-PL"/>
        </w:rPr>
        <w:t>Karty ewidencji pojazdów przekazywane były do Kierownika Transportu, na podstawie których dokonywał on rozliczenia zbiorczego przebiegu i zużycia paliwa wszystkich samochodów. Takie zestawienie zbiorcze dla każdego miesiąca było podpisywane przez Kierownika Transportu i przekazywane do dalszej ewidencji finansowo-księgowej. W trakcie kontroli na miejscu, w siedzibie Kontrolowanego</w:t>
      </w:r>
      <w:r w:rsidRPr="008C1E51">
        <w:rPr>
          <w:rFonts w:eastAsia="Times New Roman" w:cs="Times New Roman"/>
          <w:iCs/>
          <w:color w:val="000000"/>
          <w:vertAlign w:val="superscript"/>
          <w:lang w:eastAsia="pl-PL"/>
        </w:rPr>
        <w:footnoteReference w:id="180"/>
      </w:r>
      <w:r w:rsidRPr="008C1E51">
        <w:rPr>
          <w:rFonts w:eastAsia="Times New Roman" w:cs="Times New Roman"/>
          <w:iCs/>
          <w:color w:val="000000"/>
          <w:szCs w:val="20"/>
          <w:lang w:eastAsia="pl-PL"/>
        </w:rPr>
        <w:t xml:space="preserve"> pracownik pełniący obowiązki Kierownika Sekcji ds. Transportu przekazał Kontrolującemu 3 miesięczne zbiorcze karty rozliczenia przebiegu pojazdów</w:t>
      </w:r>
      <w:r w:rsidRPr="008C1E51">
        <w:rPr>
          <w:rFonts w:eastAsia="Times New Roman" w:cs="Times New Roman"/>
          <w:iCs/>
          <w:color w:val="000000"/>
          <w:vertAlign w:val="superscript"/>
          <w:lang w:eastAsia="pl-PL"/>
        </w:rPr>
        <w:footnoteReference w:id="181"/>
      </w:r>
      <w:r w:rsidRPr="008C1E51">
        <w:rPr>
          <w:rFonts w:eastAsia="Times New Roman" w:cs="Times New Roman"/>
          <w:iCs/>
          <w:color w:val="000000"/>
          <w:szCs w:val="20"/>
          <w:lang w:eastAsia="pl-PL"/>
        </w:rPr>
        <w:t xml:space="preserve"> (które obejmowały sporne przypadki). Analiza przekazanych dokumentów nakazuje stwierdzić, że sposób rozliczenia przebiegu pojazdów był prowadzony w sposób rzetelny oraz zgodny z przyjętą w tym zakresie metodyką.</w:t>
      </w:r>
    </w:p>
    <w:p w14:paraId="22702470"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II/762-764]</w:t>
      </w:r>
    </w:p>
    <w:p w14:paraId="4332A5F8" w14:textId="77777777" w:rsidR="008C1E51" w:rsidRPr="008C1E51" w:rsidRDefault="008C1E51" w:rsidP="008C1E51">
      <w:pPr>
        <w:spacing w:before="120" w:after="120" w:line="276" w:lineRule="auto"/>
        <w:rPr>
          <w:rFonts w:cs="Times New Roman"/>
          <w:szCs w:val="20"/>
        </w:rPr>
      </w:pPr>
      <w:bookmarkStart w:id="55" w:name="_Hlk134437653"/>
      <w:r w:rsidRPr="008C1E51">
        <w:rPr>
          <w:rFonts w:cs="Times New Roman"/>
          <w:szCs w:val="20"/>
        </w:rPr>
        <w:t>W trakcie kontroli na miejscu</w:t>
      </w:r>
      <w:r w:rsidRPr="008C1E51">
        <w:rPr>
          <w:rFonts w:cs="Times New Roman"/>
          <w:vertAlign w:val="superscript"/>
        </w:rPr>
        <w:footnoteReference w:id="182"/>
      </w:r>
      <w:r w:rsidRPr="008C1E51">
        <w:rPr>
          <w:rFonts w:cs="Times New Roman"/>
          <w:szCs w:val="20"/>
        </w:rPr>
        <w:t xml:space="preserve">, wybrano losowo 4 pracowników Parku w celu sprawdzenia ważności okresowych badań lekarskich i uprawnień do korzystania z samochodu służbowego, bądź prywatnego do celów służbowych. Nie stwierdzono nieprawidłowości  </w:t>
      </w:r>
      <w:r w:rsidRPr="008C1E51">
        <w:rPr>
          <w:rFonts w:cs="Times New Roman"/>
          <w:szCs w:val="20"/>
        </w:rPr>
        <w:br/>
        <w:t xml:space="preserve">w tym obszarze. </w:t>
      </w:r>
    </w:p>
    <w:p w14:paraId="0915E74D"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Pracownicy używający samochodów prywatnych do celów służbowych posiadali aktualne badania medycyny pracy dotyczące kierowania pojazdami do celów służbowych. </w:t>
      </w:r>
    </w:p>
    <w:bookmarkEnd w:id="55"/>
    <w:p w14:paraId="28571E09" w14:textId="77777777" w:rsidR="008C1E51" w:rsidRPr="008C1E51" w:rsidRDefault="008C1E51" w:rsidP="008C1E51">
      <w:pPr>
        <w:spacing w:before="120" w:after="120" w:line="276" w:lineRule="auto"/>
        <w:rPr>
          <w:rFonts w:cs="Times New Roman"/>
          <w:bCs/>
          <w:color w:val="000000"/>
          <w:szCs w:val="20"/>
        </w:rPr>
      </w:pPr>
      <w:r w:rsidRPr="008C1E51">
        <w:rPr>
          <w:rFonts w:cs="Times New Roman"/>
          <w:bCs/>
          <w:color w:val="000000"/>
          <w:szCs w:val="20"/>
        </w:rPr>
        <w:t>Poniższa tabela przedstawia koszty transportu</w:t>
      </w:r>
    </w:p>
    <w:tbl>
      <w:tblPr>
        <w:tblStyle w:val="Tabela-Siatka"/>
        <w:tblW w:w="0" w:type="auto"/>
        <w:tblLayout w:type="fixed"/>
        <w:tblLook w:val="04A0" w:firstRow="1" w:lastRow="0" w:firstColumn="1" w:lastColumn="0" w:noHBand="0" w:noVBand="1"/>
      </w:tblPr>
      <w:tblGrid>
        <w:gridCol w:w="473"/>
        <w:gridCol w:w="2084"/>
        <w:gridCol w:w="1586"/>
        <w:gridCol w:w="1261"/>
        <w:gridCol w:w="1261"/>
        <w:gridCol w:w="1261"/>
      </w:tblGrid>
      <w:tr w:rsidR="008C1E51" w:rsidRPr="008C1E51" w14:paraId="718F1786" w14:textId="77777777" w:rsidTr="00B17912">
        <w:tc>
          <w:tcPr>
            <w:tcW w:w="473" w:type="dxa"/>
          </w:tcPr>
          <w:p w14:paraId="3128076D"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Lp.</w:t>
            </w:r>
          </w:p>
        </w:tc>
        <w:tc>
          <w:tcPr>
            <w:tcW w:w="2084" w:type="dxa"/>
          </w:tcPr>
          <w:p w14:paraId="67B1B75D"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Wyszczególnienie</w:t>
            </w:r>
          </w:p>
        </w:tc>
        <w:tc>
          <w:tcPr>
            <w:tcW w:w="1586" w:type="dxa"/>
          </w:tcPr>
          <w:p w14:paraId="27D451AA"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2019</w:t>
            </w:r>
          </w:p>
        </w:tc>
        <w:tc>
          <w:tcPr>
            <w:tcW w:w="1261" w:type="dxa"/>
          </w:tcPr>
          <w:p w14:paraId="174DA94C"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2020</w:t>
            </w:r>
          </w:p>
        </w:tc>
        <w:tc>
          <w:tcPr>
            <w:tcW w:w="1261" w:type="dxa"/>
          </w:tcPr>
          <w:p w14:paraId="1964877A"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2021</w:t>
            </w:r>
          </w:p>
        </w:tc>
        <w:tc>
          <w:tcPr>
            <w:tcW w:w="1261" w:type="dxa"/>
          </w:tcPr>
          <w:p w14:paraId="40AE1602"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2022 (do 30 sierpnia 2022 r.)</w:t>
            </w:r>
          </w:p>
        </w:tc>
      </w:tr>
      <w:tr w:rsidR="008C1E51" w:rsidRPr="008C1E51" w14:paraId="53CF63AE" w14:textId="77777777" w:rsidTr="00B17912">
        <w:tc>
          <w:tcPr>
            <w:tcW w:w="473" w:type="dxa"/>
          </w:tcPr>
          <w:p w14:paraId="198676DA"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1.</w:t>
            </w:r>
          </w:p>
        </w:tc>
        <w:tc>
          <w:tcPr>
            <w:tcW w:w="2084" w:type="dxa"/>
          </w:tcPr>
          <w:p w14:paraId="568A56BF"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Koszt zakupu paliwa</w:t>
            </w:r>
          </w:p>
        </w:tc>
        <w:tc>
          <w:tcPr>
            <w:tcW w:w="1586" w:type="dxa"/>
          </w:tcPr>
          <w:p w14:paraId="142EB727"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131 160,51 zł</w:t>
            </w:r>
          </w:p>
        </w:tc>
        <w:tc>
          <w:tcPr>
            <w:tcW w:w="1261" w:type="dxa"/>
          </w:tcPr>
          <w:p w14:paraId="5F351DDF"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131 348,42 zł</w:t>
            </w:r>
          </w:p>
        </w:tc>
        <w:tc>
          <w:tcPr>
            <w:tcW w:w="1261" w:type="dxa"/>
          </w:tcPr>
          <w:p w14:paraId="13C7D186"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138 465,51 zł</w:t>
            </w:r>
          </w:p>
        </w:tc>
        <w:tc>
          <w:tcPr>
            <w:tcW w:w="1261" w:type="dxa"/>
          </w:tcPr>
          <w:p w14:paraId="73BDCF87"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103 392,76 zł</w:t>
            </w:r>
          </w:p>
        </w:tc>
      </w:tr>
      <w:tr w:rsidR="008C1E51" w:rsidRPr="008C1E51" w14:paraId="1200EBBA" w14:textId="77777777" w:rsidTr="00B17912">
        <w:tc>
          <w:tcPr>
            <w:tcW w:w="473" w:type="dxa"/>
          </w:tcPr>
          <w:p w14:paraId="562FEAF1"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2.</w:t>
            </w:r>
          </w:p>
        </w:tc>
        <w:tc>
          <w:tcPr>
            <w:tcW w:w="2084" w:type="dxa"/>
          </w:tcPr>
          <w:p w14:paraId="07550C80"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Koszt zakupu części</w:t>
            </w:r>
          </w:p>
        </w:tc>
        <w:tc>
          <w:tcPr>
            <w:tcW w:w="1586" w:type="dxa"/>
          </w:tcPr>
          <w:p w14:paraId="64CD4205"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16 698,91 zł</w:t>
            </w:r>
          </w:p>
        </w:tc>
        <w:tc>
          <w:tcPr>
            <w:tcW w:w="1261" w:type="dxa"/>
          </w:tcPr>
          <w:p w14:paraId="316AAA83"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23 802,96 zł</w:t>
            </w:r>
          </w:p>
        </w:tc>
        <w:tc>
          <w:tcPr>
            <w:tcW w:w="1261" w:type="dxa"/>
          </w:tcPr>
          <w:p w14:paraId="641C1E42"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44 280,35 zł</w:t>
            </w:r>
          </w:p>
        </w:tc>
        <w:tc>
          <w:tcPr>
            <w:tcW w:w="1261" w:type="dxa"/>
          </w:tcPr>
          <w:p w14:paraId="25C1AC6F"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15 172,39 zł</w:t>
            </w:r>
          </w:p>
        </w:tc>
      </w:tr>
      <w:tr w:rsidR="008C1E51" w:rsidRPr="008C1E51" w14:paraId="436F5D9E" w14:textId="77777777" w:rsidTr="00B17912">
        <w:tc>
          <w:tcPr>
            <w:tcW w:w="473" w:type="dxa"/>
          </w:tcPr>
          <w:p w14:paraId="48600A66"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3.</w:t>
            </w:r>
          </w:p>
        </w:tc>
        <w:tc>
          <w:tcPr>
            <w:tcW w:w="2084" w:type="dxa"/>
          </w:tcPr>
          <w:p w14:paraId="277BBE01" w14:textId="77777777" w:rsidR="008C1E51" w:rsidRPr="008C1E51" w:rsidRDefault="008C1E51" w:rsidP="008C1E51">
            <w:pPr>
              <w:spacing w:before="120" w:after="120" w:line="276" w:lineRule="auto"/>
              <w:jc w:val="left"/>
              <w:rPr>
                <w:rFonts w:cs="Times New Roman"/>
                <w:color w:val="000000"/>
                <w:szCs w:val="20"/>
              </w:rPr>
            </w:pPr>
            <w:r w:rsidRPr="008C1E51">
              <w:rPr>
                <w:rFonts w:cs="Times New Roman"/>
                <w:color w:val="000000"/>
                <w:szCs w:val="20"/>
              </w:rPr>
              <w:t>Koszt usług serwisowych/napraw</w:t>
            </w:r>
          </w:p>
        </w:tc>
        <w:tc>
          <w:tcPr>
            <w:tcW w:w="1586" w:type="dxa"/>
          </w:tcPr>
          <w:p w14:paraId="5134E2C3"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62 980,33 zł</w:t>
            </w:r>
          </w:p>
        </w:tc>
        <w:tc>
          <w:tcPr>
            <w:tcW w:w="1261" w:type="dxa"/>
          </w:tcPr>
          <w:p w14:paraId="74EC27BB"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62 001,43 zł</w:t>
            </w:r>
          </w:p>
        </w:tc>
        <w:tc>
          <w:tcPr>
            <w:tcW w:w="1261" w:type="dxa"/>
          </w:tcPr>
          <w:p w14:paraId="22BD296C"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40 910,22 zł</w:t>
            </w:r>
          </w:p>
        </w:tc>
        <w:tc>
          <w:tcPr>
            <w:tcW w:w="1261" w:type="dxa"/>
          </w:tcPr>
          <w:p w14:paraId="4DEACAB5"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42 819,97 zł</w:t>
            </w:r>
          </w:p>
        </w:tc>
      </w:tr>
      <w:tr w:rsidR="008C1E51" w:rsidRPr="008C1E51" w14:paraId="514A2600" w14:textId="77777777" w:rsidTr="00B17912">
        <w:tc>
          <w:tcPr>
            <w:tcW w:w="473" w:type="dxa"/>
          </w:tcPr>
          <w:p w14:paraId="22674467"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 xml:space="preserve">4. </w:t>
            </w:r>
          </w:p>
        </w:tc>
        <w:tc>
          <w:tcPr>
            <w:tcW w:w="2084" w:type="dxa"/>
          </w:tcPr>
          <w:p w14:paraId="6EB7DA43"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Koszt ubezpieczenia</w:t>
            </w:r>
          </w:p>
        </w:tc>
        <w:tc>
          <w:tcPr>
            <w:tcW w:w="1586" w:type="dxa"/>
          </w:tcPr>
          <w:p w14:paraId="1E3D3B0C"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25 763 zł</w:t>
            </w:r>
          </w:p>
        </w:tc>
        <w:tc>
          <w:tcPr>
            <w:tcW w:w="1261" w:type="dxa"/>
          </w:tcPr>
          <w:p w14:paraId="2E0EF4D5"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33 002,67 zł</w:t>
            </w:r>
          </w:p>
        </w:tc>
        <w:tc>
          <w:tcPr>
            <w:tcW w:w="1261" w:type="dxa"/>
          </w:tcPr>
          <w:p w14:paraId="0ED34F12"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34 343,68 zł</w:t>
            </w:r>
          </w:p>
        </w:tc>
        <w:tc>
          <w:tcPr>
            <w:tcW w:w="1261" w:type="dxa"/>
          </w:tcPr>
          <w:p w14:paraId="5B8D2826" w14:textId="77777777" w:rsidR="008C1E51" w:rsidRPr="008C1E51" w:rsidRDefault="008C1E51" w:rsidP="008C1E51">
            <w:pPr>
              <w:spacing w:before="120" w:after="120" w:line="276" w:lineRule="auto"/>
              <w:rPr>
                <w:rFonts w:cs="Times New Roman"/>
                <w:color w:val="000000"/>
                <w:szCs w:val="20"/>
              </w:rPr>
            </w:pPr>
            <w:r w:rsidRPr="008C1E51">
              <w:rPr>
                <w:rFonts w:cs="Times New Roman"/>
                <w:color w:val="000000"/>
                <w:szCs w:val="20"/>
              </w:rPr>
              <w:t>8103,53 zł</w:t>
            </w:r>
          </w:p>
        </w:tc>
      </w:tr>
      <w:tr w:rsidR="008C1E51" w:rsidRPr="008C1E51" w14:paraId="76943319" w14:textId="77777777" w:rsidTr="00B17912">
        <w:tc>
          <w:tcPr>
            <w:tcW w:w="473" w:type="dxa"/>
          </w:tcPr>
          <w:p w14:paraId="24A0B2EE" w14:textId="77777777" w:rsidR="008C1E51" w:rsidRPr="008C1E51" w:rsidRDefault="008C1E51" w:rsidP="008C1E51">
            <w:pPr>
              <w:spacing w:before="120" w:after="120" w:line="276" w:lineRule="auto"/>
              <w:rPr>
                <w:rFonts w:cs="Times New Roman"/>
                <w:b/>
                <w:color w:val="000000"/>
                <w:szCs w:val="20"/>
              </w:rPr>
            </w:pPr>
          </w:p>
        </w:tc>
        <w:tc>
          <w:tcPr>
            <w:tcW w:w="2084" w:type="dxa"/>
          </w:tcPr>
          <w:p w14:paraId="43FD21A3" w14:textId="77777777" w:rsidR="008C1E51" w:rsidRPr="008C1E51" w:rsidRDefault="008C1E51" w:rsidP="008C1E51">
            <w:pPr>
              <w:spacing w:before="120" w:after="120" w:line="276" w:lineRule="auto"/>
              <w:rPr>
                <w:rFonts w:cs="Times New Roman"/>
                <w:b/>
                <w:color w:val="000000"/>
                <w:szCs w:val="20"/>
              </w:rPr>
            </w:pPr>
            <w:r w:rsidRPr="008C1E51">
              <w:rPr>
                <w:rFonts w:cs="Times New Roman"/>
                <w:b/>
                <w:color w:val="000000"/>
                <w:szCs w:val="20"/>
              </w:rPr>
              <w:t>RAZEM</w:t>
            </w:r>
          </w:p>
        </w:tc>
        <w:tc>
          <w:tcPr>
            <w:tcW w:w="1586" w:type="dxa"/>
          </w:tcPr>
          <w:p w14:paraId="61004780" w14:textId="77777777" w:rsidR="008C1E51" w:rsidRPr="008C1E51" w:rsidRDefault="008C1E51" w:rsidP="008C1E51">
            <w:pPr>
              <w:spacing w:before="120" w:after="120" w:line="276" w:lineRule="auto"/>
              <w:rPr>
                <w:rFonts w:cs="Times New Roman"/>
                <w:b/>
                <w:color w:val="000000"/>
                <w:szCs w:val="20"/>
              </w:rPr>
            </w:pPr>
            <w:r w:rsidRPr="008C1E51">
              <w:rPr>
                <w:rFonts w:cs="Times New Roman"/>
                <w:b/>
                <w:color w:val="000000"/>
                <w:szCs w:val="20"/>
              </w:rPr>
              <w:t>236 602,75 zł</w:t>
            </w:r>
          </w:p>
        </w:tc>
        <w:tc>
          <w:tcPr>
            <w:tcW w:w="1261" w:type="dxa"/>
          </w:tcPr>
          <w:p w14:paraId="62C3D8CF" w14:textId="77777777" w:rsidR="008C1E51" w:rsidRPr="008C1E51" w:rsidRDefault="008C1E51" w:rsidP="008C1E51">
            <w:pPr>
              <w:spacing w:before="120" w:after="120" w:line="276" w:lineRule="auto"/>
              <w:rPr>
                <w:rFonts w:cs="Times New Roman"/>
                <w:b/>
                <w:color w:val="000000"/>
                <w:szCs w:val="20"/>
              </w:rPr>
            </w:pPr>
            <w:r w:rsidRPr="008C1E51">
              <w:rPr>
                <w:rFonts w:cs="Times New Roman"/>
                <w:b/>
                <w:color w:val="000000"/>
                <w:szCs w:val="20"/>
              </w:rPr>
              <w:t>250 155,48 zł</w:t>
            </w:r>
          </w:p>
        </w:tc>
        <w:tc>
          <w:tcPr>
            <w:tcW w:w="1261" w:type="dxa"/>
          </w:tcPr>
          <w:p w14:paraId="0E6158D7" w14:textId="77777777" w:rsidR="008C1E51" w:rsidRPr="008C1E51" w:rsidRDefault="008C1E51" w:rsidP="008C1E51">
            <w:pPr>
              <w:spacing w:before="120" w:after="120" w:line="276" w:lineRule="auto"/>
              <w:rPr>
                <w:rFonts w:cs="Times New Roman"/>
                <w:b/>
                <w:color w:val="000000"/>
                <w:szCs w:val="20"/>
              </w:rPr>
            </w:pPr>
            <w:r w:rsidRPr="008C1E51">
              <w:rPr>
                <w:rFonts w:cs="Times New Roman"/>
                <w:b/>
                <w:color w:val="000000"/>
                <w:szCs w:val="20"/>
              </w:rPr>
              <w:t>257 999,76 zł</w:t>
            </w:r>
          </w:p>
        </w:tc>
        <w:tc>
          <w:tcPr>
            <w:tcW w:w="1261" w:type="dxa"/>
          </w:tcPr>
          <w:p w14:paraId="4799E933" w14:textId="77777777" w:rsidR="008C1E51" w:rsidRPr="008C1E51" w:rsidRDefault="008C1E51" w:rsidP="008C1E51">
            <w:pPr>
              <w:spacing w:before="120" w:after="120" w:line="276" w:lineRule="auto"/>
              <w:rPr>
                <w:rFonts w:cs="Times New Roman"/>
                <w:b/>
                <w:color w:val="000000"/>
                <w:szCs w:val="20"/>
              </w:rPr>
            </w:pPr>
            <w:r w:rsidRPr="008C1E51">
              <w:rPr>
                <w:rFonts w:cs="Times New Roman"/>
                <w:b/>
                <w:color w:val="000000"/>
                <w:szCs w:val="20"/>
              </w:rPr>
              <w:t>169 488,65 zł</w:t>
            </w:r>
          </w:p>
        </w:tc>
      </w:tr>
    </w:tbl>
    <w:p w14:paraId="2E7943AA" w14:textId="77777777" w:rsidR="008C1E51" w:rsidRPr="008C1E51" w:rsidRDefault="008C1E51" w:rsidP="008C1E51">
      <w:pPr>
        <w:autoSpaceDE w:val="0"/>
        <w:autoSpaceDN w:val="0"/>
        <w:adjustRightInd w:val="0"/>
        <w:spacing w:before="120" w:after="120" w:line="276" w:lineRule="auto"/>
        <w:rPr>
          <w:szCs w:val="20"/>
        </w:rPr>
      </w:pPr>
      <w:r w:rsidRPr="008C1E51">
        <w:rPr>
          <w:szCs w:val="20"/>
        </w:rPr>
        <w:t>W badanym okresie nie odnotowano przypadków wykorzystywania pojazdów służbowych do celów prywatnych.</w:t>
      </w:r>
      <w:r w:rsidRPr="008C1E51">
        <w:rPr>
          <w:vertAlign w:val="superscript"/>
        </w:rPr>
        <w:footnoteReference w:id="183"/>
      </w:r>
    </w:p>
    <w:p w14:paraId="7D2594B7"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 xml:space="preserve">Park posiadał 22 pojazdy, w tym 11 samochodów osobowych, 3 samochody ciężarowe, </w:t>
      </w:r>
      <w:r w:rsidRPr="008C1E51">
        <w:rPr>
          <w:rFonts w:cs="Times New Roman"/>
          <w:szCs w:val="20"/>
        </w:rPr>
        <w:br/>
        <w:t xml:space="preserve">1 autobus, 7 ciągników rolniczych, 4 skutery.  </w:t>
      </w:r>
    </w:p>
    <w:p w14:paraId="25C72705" w14:textId="77777777" w:rsidR="008C1E51" w:rsidRPr="008C1E51" w:rsidRDefault="008C1E51" w:rsidP="008C1E51">
      <w:pPr>
        <w:autoSpaceDE w:val="0"/>
        <w:autoSpaceDN w:val="0"/>
        <w:adjustRightInd w:val="0"/>
        <w:spacing w:before="120" w:after="120" w:line="276" w:lineRule="auto"/>
        <w:rPr>
          <w:rFonts w:cs="Times New Roman"/>
          <w:szCs w:val="20"/>
        </w:rPr>
      </w:pPr>
      <w:r w:rsidRPr="008C1E51">
        <w:rPr>
          <w:rFonts w:cs="Times New Roman"/>
          <w:szCs w:val="20"/>
        </w:rPr>
        <w:t xml:space="preserve">W okresie objętym kontrolą wycofano z eksploatacji jeden pojazd przekazany nieodpłatnie przez Tatrzański Park Narodowy. Wycofanie pojazdu odbyło się na skutek znacznego zużycia technicznego, związanego z wiekiem pojazdu. </w:t>
      </w:r>
      <w:r w:rsidRPr="008C1E51">
        <w:rPr>
          <w:rFonts w:cs="Times New Roman"/>
          <w:vertAlign w:val="superscript"/>
        </w:rPr>
        <w:footnoteReference w:id="184"/>
      </w:r>
    </w:p>
    <w:p w14:paraId="6430AC14" w14:textId="77777777" w:rsidR="008C1E51" w:rsidRPr="008C1E51" w:rsidRDefault="008C1E51" w:rsidP="008C1E51">
      <w:pPr>
        <w:spacing w:before="120" w:after="120" w:line="276" w:lineRule="auto"/>
        <w:rPr>
          <w:rFonts w:cs="Times New Roman"/>
          <w:szCs w:val="20"/>
        </w:rPr>
      </w:pPr>
      <w:r w:rsidRPr="008C1E51">
        <w:rPr>
          <w:rFonts w:cs="Times New Roman"/>
          <w:szCs w:val="20"/>
        </w:rPr>
        <w:t>W latach 2019-2022 zakupiono:</w:t>
      </w:r>
    </w:p>
    <w:p w14:paraId="3A465D1F" w14:textId="77777777" w:rsidR="008C1E51" w:rsidRPr="008C1E51" w:rsidRDefault="008C1E51" w:rsidP="008C1E51">
      <w:pPr>
        <w:numPr>
          <w:ilvl w:val="0"/>
          <w:numId w:val="10"/>
        </w:numPr>
        <w:suppressAutoHyphens/>
        <w:spacing w:before="120" w:after="120" w:line="276" w:lineRule="auto"/>
        <w:rPr>
          <w:rFonts w:cs="Times New Roman"/>
          <w:szCs w:val="20"/>
        </w:rPr>
      </w:pPr>
      <w:r w:rsidRPr="008C1E51">
        <w:rPr>
          <w:rFonts w:cs="Times New Roman"/>
          <w:szCs w:val="20"/>
        </w:rPr>
        <w:t xml:space="preserve">pojazd z przeznaczeniem na przewóz uczestników działań edukacyjnych, </w:t>
      </w:r>
      <w:r w:rsidRPr="008C1E51">
        <w:rPr>
          <w:rFonts w:cs="Times New Roman"/>
          <w:szCs w:val="20"/>
        </w:rPr>
        <w:br/>
        <w:t xml:space="preserve">w tym osób niepełnosprawnych, za kwotę (185 607,00 zł brutto),  </w:t>
      </w:r>
    </w:p>
    <w:p w14:paraId="386F50A5" w14:textId="77777777" w:rsidR="008C1E51" w:rsidRPr="008C1E51" w:rsidRDefault="008C1E51" w:rsidP="008C1E51">
      <w:pPr>
        <w:numPr>
          <w:ilvl w:val="0"/>
          <w:numId w:val="10"/>
        </w:numPr>
        <w:suppressAutoHyphens/>
        <w:spacing w:before="120" w:after="120" w:line="276" w:lineRule="auto"/>
        <w:rPr>
          <w:rFonts w:cs="Times New Roman"/>
          <w:szCs w:val="20"/>
        </w:rPr>
      </w:pPr>
      <w:r w:rsidRPr="008C1E51">
        <w:rPr>
          <w:rFonts w:cs="Times New Roman"/>
          <w:szCs w:val="20"/>
        </w:rPr>
        <w:t>pojazd na potrzeby Straży Parku za kwotę 59 000 zł (brutto),</w:t>
      </w:r>
    </w:p>
    <w:p w14:paraId="21759060" w14:textId="77777777" w:rsidR="008C1E51" w:rsidRPr="008C1E51" w:rsidRDefault="008C1E51" w:rsidP="008C1E51">
      <w:pPr>
        <w:numPr>
          <w:ilvl w:val="0"/>
          <w:numId w:val="10"/>
        </w:numPr>
        <w:suppressAutoHyphens/>
        <w:spacing w:before="120" w:after="120" w:line="276" w:lineRule="auto"/>
        <w:rPr>
          <w:rFonts w:cs="Times New Roman"/>
          <w:szCs w:val="20"/>
        </w:rPr>
      </w:pPr>
      <w:r w:rsidRPr="008C1E51">
        <w:rPr>
          <w:rFonts w:cs="Times New Roman"/>
          <w:szCs w:val="20"/>
        </w:rPr>
        <w:t xml:space="preserve"> skuter śnieżny 49 </w:t>
      </w:r>
      <w:proofErr w:type="spellStart"/>
      <w:r w:rsidRPr="008C1E51">
        <w:rPr>
          <w:rFonts w:cs="Times New Roman"/>
          <w:szCs w:val="20"/>
        </w:rPr>
        <w:t>Ranger</w:t>
      </w:r>
      <w:proofErr w:type="spellEnd"/>
      <w:r w:rsidRPr="008C1E51">
        <w:rPr>
          <w:rFonts w:cs="Times New Roman"/>
          <w:szCs w:val="20"/>
        </w:rPr>
        <w:t xml:space="preserve"> ST 900 za kwotę 64 859 zł (brutto)</w:t>
      </w:r>
      <w:r w:rsidRPr="008C1E51">
        <w:rPr>
          <w:rFonts w:cs="Times New Roman"/>
          <w:vertAlign w:val="superscript"/>
        </w:rPr>
        <w:footnoteReference w:id="185"/>
      </w:r>
      <w:r w:rsidRPr="008C1E51">
        <w:rPr>
          <w:rFonts w:cs="Times New Roman"/>
          <w:szCs w:val="20"/>
        </w:rPr>
        <w:t>.</w:t>
      </w:r>
    </w:p>
    <w:p w14:paraId="363082D3"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Ustalono, że w badanym okresie nie wystąpiły przypadki zlecenia usług transportowych podmiotom zewnętrznym. </w:t>
      </w:r>
    </w:p>
    <w:p w14:paraId="7E17AB38"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W ocenie Dyrektora </w:t>
      </w:r>
      <w:proofErr w:type="spellStart"/>
      <w:r w:rsidRPr="008C1E51">
        <w:rPr>
          <w:rFonts w:cs="Times New Roman"/>
          <w:szCs w:val="20"/>
        </w:rPr>
        <w:t>BdPN</w:t>
      </w:r>
      <w:proofErr w:type="spellEnd"/>
      <w:r w:rsidRPr="008C1E51">
        <w:rPr>
          <w:rFonts w:cs="Times New Roman"/>
          <w:szCs w:val="20"/>
        </w:rPr>
        <w:t xml:space="preserve"> liczebność zasobów transportowych Parku była niewystarczająca. </w:t>
      </w:r>
      <w:proofErr w:type="spellStart"/>
      <w:r w:rsidRPr="008C1E51">
        <w:rPr>
          <w:rFonts w:cs="Times New Roman"/>
          <w:szCs w:val="20"/>
        </w:rPr>
        <w:t>BdPN</w:t>
      </w:r>
      <w:proofErr w:type="spellEnd"/>
      <w:r w:rsidRPr="008C1E51">
        <w:rPr>
          <w:rFonts w:cs="Times New Roman"/>
          <w:szCs w:val="20"/>
        </w:rPr>
        <w:t xml:space="preserve"> wskazał na konieczność zakupu nowych środków transportu, głównie z uwagi na przestarzałą flotę transportową, co wiąże się z koniecznością stałych napraw i nakładów konserwacyjnych. Na lata 2022-2023 planowano pozyskanie od NFOŚiGW 3 szt. Pojazdów elektrycznych (wraz ze stacją ładowania). </w:t>
      </w:r>
    </w:p>
    <w:p w14:paraId="6D1089FD"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Z uwagi na niewystarczającą liczbę pojazdów będących w posiadaniu Parku, pracownicy Służby Parku korzystali z samochodów prywatnych do celów służbowych. W okresie objętym kontrolą 28 pracowników </w:t>
      </w:r>
      <w:proofErr w:type="spellStart"/>
      <w:r w:rsidRPr="008C1E51">
        <w:rPr>
          <w:rFonts w:cs="Times New Roman"/>
          <w:szCs w:val="20"/>
        </w:rPr>
        <w:t>BdPN</w:t>
      </w:r>
      <w:proofErr w:type="spellEnd"/>
      <w:r w:rsidRPr="008C1E51">
        <w:rPr>
          <w:rFonts w:cs="Times New Roman"/>
          <w:szCs w:val="20"/>
        </w:rPr>
        <w:t xml:space="preserve"> używało samochodów prywatnych do celów służbowych</w:t>
      </w:r>
      <w:r w:rsidRPr="008C1E51">
        <w:rPr>
          <w:rFonts w:cs="Times New Roman"/>
          <w:vertAlign w:val="superscript"/>
        </w:rPr>
        <w:footnoteReference w:id="186"/>
      </w:r>
      <w:r w:rsidRPr="008C1E51">
        <w:rPr>
          <w:rFonts w:cs="Times New Roman"/>
          <w:szCs w:val="20"/>
        </w:rPr>
        <w:t>.</w:t>
      </w:r>
    </w:p>
    <w:p w14:paraId="2E8A987C"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cs="Times New Roman"/>
          <w:szCs w:val="20"/>
        </w:rPr>
        <w:tab/>
      </w:r>
      <w:r w:rsidRPr="008C1E51">
        <w:rPr>
          <w:rFonts w:cs="Times New Roman"/>
          <w:szCs w:val="20"/>
        </w:rPr>
        <w:tab/>
      </w:r>
      <w:r w:rsidRPr="008C1E51">
        <w:rPr>
          <w:rFonts w:cs="Times New Roman"/>
          <w:szCs w:val="20"/>
        </w:rPr>
        <w:tab/>
      </w:r>
      <w:r w:rsidRPr="008C1E51">
        <w:rPr>
          <w:rFonts w:cs="Times New Roman"/>
          <w:szCs w:val="20"/>
        </w:rPr>
        <w:tab/>
      </w:r>
      <w:r w:rsidRPr="008C1E51">
        <w:rPr>
          <w:rFonts w:cs="Times New Roman"/>
          <w:szCs w:val="20"/>
        </w:rPr>
        <w:tab/>
      </w:r>
      <w:r w:rsidRPr="008C1E51">
        <w:rPr>
          <w:rFonts w:cs="Times New Roman"/>
          <w:szCs w:val="20"/>
        </w:rPr>
        <w:tab/>
      </w:r>
      <w:r w:rsidRPr="008C1E51">
        <w:rPr>
          <w:rFonts w:eastAsia="Times New Roman" w:cs="Times New Roman"/>
          <w:szCs w:val="20"/>
          <w:lang w:eastAsia="pl-PL"/>
        </w:rPr>
        <w:t>[Dowód: akta kontroli str. II/765-773]</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869"/>
        <w:gridCol w:w="1996"/>
        <w:gridCol w:w="1989"/>
      </w:tblGrid>
      <w:tr w:rsidR="008C1E51" w:rsidRPr="008C1E51" w14:paraId="64956888" w14:textId="77777777" w:rsidTr="00B17912">
        <w:tc>
          <w:tcPr>
            <w:tcW w:w="7109" w:type="dxa"/>
            <w:gridSpan w:val="4"/>
          </w:tcPr>
          <w:p w14:paraId="1608A457" w14:textId="77777777" w:rsidR="008C1E51" w:rsidRPr="008C1E51" w:rsidRDefault="008C1E51" w:rsidP="008C1E51">
            <w:pPr>
              <w:spacing w:before="120" w:after="120" w:line="276" w:lineRule="auto"/>
              <w:rPr>
                <w:b/>
                <w:szCs w:val="20"/>
              </w:rPr>
            </w:pPr>
            <w:r w:rsidRPr="008C1E51">
              <w:rPr>
                <w:b/>
                <w:bCs/>
                <w:i/>
                <w:iCs/>
                <w:color w:val="000000"/>
                <w:szCs w:val="20"/>
              </w:rPr>
              <w:t xml:space="preserve">Wykorzystywanie samochodów prywatnych do celów służbowych w </w:t>
            </w:r>
            <w:proofErr w:type="spellStart"/>
            <w:r w:rsidRPr="008C1E51">
              <w:rPr>
                <w:b/>
                <w:bCs/>
                <w:i/>
                <w:iCs/>
                <w:color w:val="000000"/>
                <w:szCs w:val="20"/>
              </w:rPr>
              <w:t>BdPN</w:t>
            </w:r>
            <w:proofErr w:type="spellEnd"/>
          </w:p>
        </w:tc>
      </w:tr>
      <w:tr w:rsidR="008C1E51" w:rsidRPr="008C1E51" w14:paraId="19713F2A" w14:textId="77777777" w:rsidTr="00B17912">
        <w:tc>
          <w:tcPr>
            <w:tcW w:w="1255" w:type="dxa"/>
          </w:tcPr>
          <w:p w14:paraId="52D81BD2" w14:textId="77777777" w:rsidR="008C1E51" w:rsidRPr="008C1E51" w:rsidRDefault="008C1E51" w:rsidP="008C1E51">
            <w:pPr>
              <w:spacing w:before="120" w:after="120" w:line="276" w:lineRule="auto"/>
              <w:rPr>
                <w:b/>
                <w:szCs w:val="20"/>
              </w:rPr>
            </w:pPr>
            <w:r w:rsidRPr="008C1E51">
              <w:rPr>
                <w:b/>
                <w:szCs w:val="20"/>
              </w:rPr>
              <w:t>Rok</w:t>
            </w:r>
          </w:p>
        </w:tc>
        <w:tc>
          <w:tcPr>
            <w:tcW w:w="1869" w:type="dxa"/>
          </w:tcPr>
          <w:p w14:paraId="47B02F24" w14:textId="77777777" w:rsidR="008C1E51" w:rsidRPr="008C1E51" w:rsidRDefault="008C1E51" w:rsidP="008C1E51">
            <w:pPr>
              <w:spacing w:before="120" w:after="120" w:line="276" w:lineRule="auto"/>
              <w:rPr>
                <w:b/>
                <w:szCs w:val="20"/>
              </w:rPr>
            </w:pPr>
            <w:r w:rsidRPr="008C1E51">
              <w:rPr>
                <w:b/>
                <w:szCs w:val="20"/>
              </w:rPr>
              <w:t>Liczba umów</w:t>
            </w:r>
          </w:p>
        </w:tc>
        <w:tc>
          <w:tcPr>
            <w:tcW w:w="1996" w:type="dxa"/>
          </w:tcPr>
          <w:p w14:paraId="4D0D487A" w14:textId="77777777" w:rsidR="008C1E51" w:rsidRPr="008C1E51" w:rsidRDefault="008C1E51" w:rsidP="008C1E51">
            <w:pPr>
              <w:spacing w:before="120" w:after="120" w:line="276" w:lineRule="auto"/>
              <w:rPr>
                <w:b/>
                <w:szCs w:val="20"/>
              </w:rPr>
            </w:pPr>
            <w:r w:rsidRPr="008C1E51">
              <w:rPr>
                <w:b/>
                <w:szCs w:val="20"/>
              </w:rPr>
              <w:t>Liczba kilometrów</w:t>
            </w:r>
          </w:p>
        </w:tc>
        <w:tc>
          <w:tcPr>
            <w:tcW w:w="1989" w:type="dxa"/>
          </w:tcPr>
          <w:p w14:paraId="11A24657" w14:textId="77777777" w:rsidR="008C1E51" w:rsidRPr="008C1E51" w:rsidRDefault="008C1E51" w:rsidP="008C1E51">
            <w:pPr>
              <w:spacing w:before="120" w:after="120" w:line="276" w:lineRule="auto"/>
              <w:rPr>
                <w:b/>
                <w:szCs w:val="20"/>
              </w:rPr>
            </w:pPr>
            <w:r w:rsidRPr="008C1E51">
              <w:rPr>
                <w:b/>
                <w:szCs w:val="20"/>
              </w:rPr>
              <w:t>Poniesione koszty</w:t>
            </w:r>
          </w:p>
        </w:tc>
      </w:tr>
      <w:tr w:rsidR="008C1E51" w:rsidRPr="008C1E51" w14:paraId="6F184E5F" w14:textId="77777777" w:rsidTr="00B17912">
        <w:tc>
          <w:tcPr>
            <w:tcW w:w="1255" w:type="dxa"/>
          </w:tcPr>
          <w:p w14:paraId="2890F3A5" w14:textId="77777777" w:rsidR="008C1E51" w:rsidRPr="008C1E51" w:rsidRDefault="008C1E51" w:rsidP="008C1E51">
            <w:pPr>
              <w:spacing w:before="120" w:after="120" w:line="276" w:lineRule="auto"/>
              <w:rPr>
                <w:szCs w:val="20"/>
              </w:rPr>
            </w:pPr>
            <w:r w:rsidRPr="008C1E51">
              <w:rPr>
                <w:szCs w:val="20"/>
              </w:rPr>
              <w:t>2019</w:t>
            </w:r>
          </w:p>
        </w:tc>
        <w:tc>
          <w:tcPr>
            <w:tcW w:w="1869" w:type="dxa"/>
          </w:tcPr>
          <w:p w14:paraId="5BDFBC0F" w14:textId="77777777" w:rsidR="008C1E51" w:rsidRPr="008C1E51" w:rsidRDefault="008C1E51" w:rsidP="008C1E51">
            <w:pPr>
              <w:spacing w:before="120" w:after="120" w:line="276" w:lineRule="auto"/>
              <w:rPr>
                <w:szCs w:val="20"/>
              </w:rPr>
            </w:pPr>
            <w:r w:rsidRPr="008C1E51">
              <w:rPr>
                <w:szCs w:val="20"/>
              </w:rPr>
              <w:t>24</w:t>
            </w:r>
          </w:p>
        </w:tc>
        <w:tc>
          <w:tcPr>
            <w:tcW w:w="1996" w:type="dxa"/>
          </w:tcPr>
          <w:p w14:paraId="313E715A" w14:textId="77777777" w:rsidR="008C1E51" w:rsidRPr="008C1E51" w:rsidRDefault="008C1E51" w:rsidP="008C1E51">
            <w:pPr>
              <w:spacing w:before="120" w:after="120" w:line="276" w:lineRule="auto"/>
              <w:rPr>
                <w:szCs w:val="20"/>
              </w:rPr>
            </w:pPr>
            <w:r w:rsidRPr="008C1E51">
              <w:rPr>
                <w:szCs w:val="20"/>
              </w:rPr>
              <w:t>168 180</w:t>
            </w:r>
          </w:p>
        </w:tc>
        <w:tc>
          <w:tcPr>
            <w:tcW w:w="1989" w:type="dxa"/>
          </w:tcPr>
          <w:p w14:paraId="438F64BC" w14:textId="77777777" w:rsidR="008C1E51" w:rsidRPr="008C1E51" w:rsidRDefault="008C1E51" w:rsidP="008C1E51">
            <w:pPr>
              <w:spacing w:before="120" w:after="120" w:line="276" w:lineRule="auto"/>
              <w:rPr>
                <w:szCs w:val="20"/>
              </w:rPr>
            </w:pPr>
            <w:r w:rsidRPr="008C1E51">
              <w:rPr>
                <w:szCs w:val="20"/>
              </w:rPr>
              <w:t>121.825,52 zł</w:t>
            </w:r>
          </w:p>
        </w:tc>
      </w:tr>
      <w:tr w:rsidR="008C1E51" w:rsidRPr="008C1E51" w14:paraId="5C78635F" w14:textId="77777777" w:rsidTr="00B17912">
        <w:tc>
          <w:tcPr>
            <w:tcW w:w="1255" w:type="dxa"/>
          </w:tcPr>
          <w:p w14:paraId="128376B2" w14:textId="77777777" w:rsidR="008C1E51" w:rsidRPr="008C1E51" w:rsidRDefault="008C1E51" w:rsidP="008C1E51">
            <w:pPr>
              <w:spacing w:before="120" w:after="120" w:line="276" w:lineRule="auto"/>
              <w:rPr>
                <w:szCs w:val="20"/>
              </w:rPr>
            </w:pPr>
            <w:r w:rsidRPr="008C1E51">
              <w:rPr>
                <w:szCs w:val="20"/>
              </w:rPr>
              <w:t>2020</w:t>
            </w:r>
          </w:p>
        </w:tc>
        <w:tc>
          <w:tcPr>
            <w:tcW w:w="1869" w:type="dxa"/>
          </w:tcPr>
          <w:p w14:paraId="586D3898" w14:textId="77777777" w:rsidR="008C1E51" w:rsidRPr="008C1E51" w:rsidRDefault="008C1E51" w:rsidP="008C1E51">
            <w:pPr>
              <w:spacing w:before="120" w:after="120" w:line="276" w:lineRule="auto"/>
              <w:rPr>
                <w:szCs w:val="20"/>
              </w:rPr>
            </w:pPr>
            <w:r w:rsidRPr="008C1E51">
              <w:rPr>
                <w:szCs w:val="20"/>
              </w:rPr>
              <w:t>23</w:t>
            </w:r>
          </w:p>
        </w:tc>
        <w:tc>
          <w:tcPr>
            <w:tcW w:w="1996" w:type="dxa"/>
          </w:tcPr>
          <w:p w14:paraId="71210651" w14:textId="77777777" w:rsidR="008C1E51" w:rsidRPr="008C1E51" w:rsidRDefault="008C1E51" w:rsidP="008C1E51">
            <w:pPr>
              <w:spacing w:before="120" w:after="120" w:line="276" w:lineRule="auto"/>
              <w:rPr>
                <w:szCs w:val="20"/>
              </w:rPr>
            </w:pPr>
            <w:r w:rsidRPr="008C1E51">
              <w:rPr>
                <w:szCs w:val="20"/>
              </w:rPr>
              <w:t>172 860</w:t>
            </w:r>
          </w:p>
        </w:tc>
        <w:tc>
          <w:tcPr>
            <w:tcW w:w="1989" w:type="dxa"/>
          </w:tcPr>
          <w:p w14:paraId="1AFC4F3C" w14:textId="77777777" w:rsidR="008C1E51" w:rsidRPr="008C1E51" w:rsidRDefault="008C1E51" w:rsidP="008C1E51">
            <w:pPr>
              <w:spacing w:before="120" w:after="120" w:line="276" w:lineRule="auto"/>
              <w:rPr>
                <w:szCs w:val="20"/>
              </w:rPr>
            </w:pPr>
            <w:r w:rsidRPr="008C1E51">
              <w:rPr>
                <w:szCs w:val="20"/>
              </w:rPr>
              <w:t>131 095,45 zł</w:t>
            </w:r>
          </w:p>
        </w:tc>
      </w:tr>
      <w:tr w:rsidR="008C1E51" w:rsidRPr="008C1E51" w14:paraId="6B3D0F01" w14:textId="77777777" w:rsidTr="00B17912">
        <w:tc>
          <w:tcPr>
            <w:tcW w:w="1255" w:type="dxa"/>
          </w:tcPr>
          <w:p w14:paraId="118924A8" w14:textId="77777777" w:rsidR="008C1E51" w:rsidRPr="008C1E51" w:rsidRDefault="008C1E51" w:rsidP="008C1E51">
            <w:pPr>
              <w:spacing w:before="120" w:after="120" w:line="276" w:lineRule="auto"/>
              <w:rPr>
                <w:szCs w:val="20"/>
              </w:rPr>
            </w:pPr>
            <w:r w:rsidRPr="008C1E51">
              <w:rPr>
                <w:szCs w:val="20"/>
              </w:rPr>
              <w:t>2021</w:t>
            </w:r>
          </w:p>
        </w:tc>
        <w:tc>
          <w:tcPr>
            <w:tcW w:w="1869" w:type="dxa"/>
          </w:tcPr>
          <w:p w14:paraId="554FFF25" w14:textId="77777777" w:rsidR="008C1E51" w:rsidRPr="008C1E51" w:rsidRDefault="008C1E51" w:rsidP="008C1E51">
            <w:pPr>
              <w:spacing w:before="120" w:after="120" w:line="276" w:lineRule="auto"/>
              <w:rPr>
                <w:szCs w:val="20"/>
              </w:rPr>
            </w:pPr>
            <w:r w:rsidRPr="008C1E51">
              <w:rPr>
                <w:szCs w:val="20"/>
              </w:rPr>
              <w:t>25</w:t>
            </w:r>
          </w:p>
        </w:tc>
        <w:tc>
          <w:tcPr>
            <w:tcW w:w="1996" w:type="dxa"/>
          </w:tcPr>
          <w:p w14:paraId="78FC1E88" w14:textId="77777777" w:rsidR="008C1E51" w:rsidRPr="008C1E51" w:rsidRDefault="008C1E51" w:rsidP="008C1E51">
            <w:pPr>
              <w:spacing w:before="120" w:after="120" w:line="276" w:lineRule="auto"/>
              <w:rPr>
                <w:szCs w:val="20"/>
              </w:rPr>
            </w:pPr>
            <w:r w:rsidRPr="008C1E51">
              <w:rPr>
                <w:szCs w:val="20"/>
              </w:rPr>
              <w:t>148 930</w:t>
            </w:r>
          </w:p>
        </w:tc>
        <w:tc>
          <w:tcPr>
            <w:tcW w:w="1989" w:type="dxa"/>
          </w:tcPr>
          <w:p w14:paraId="7B2C3D6A" w14:textId="77777777" w:rsidR="008C1E51" w:rsidRPr="008C1E51" w:rsidRDefault="008C1E51" w:rsidP="008C1E51">
            <w:pPr>
              <w:spacing w:before="120" w:after="120" w:line="276" w:lineRule="auto"/>
              <w:rPr>
                <w:szCs w:val="20"/>
              </w:rPr>
            </w:pPr>
            <w:r w:rsidRPr="008C1E51">
              <w:rPr>
                <w:szCs w:val="20"/>
              </w:rPr>
              <w:t>109 116,35 zł</w:t>
            </w:r>
          </w:p>
        </w:tc>
      </w:tr>
      <w:tr w:rsidR="008C1E51" w:rsidRPr="008C1E51" w14:paraId="20AE1BF4" w14:textId="77777777" w:rsidTr="00B17912">
        <w:tc>
          <w:tcPr>
            <w:tcW w:w="1255" w:type="dxa"/>
          </w:tcPr>
          <w:p w14:paraId="2075912D" w14:textId="77777777" w:rsidR="008C1E51" w:rsidRPr="008C1E51" w:rsidRDefault="008C1E51" w:rsidP="008C1E51">
            <w:pPr>
              <w:spacing w:before="120" w:after="120" w:line="276" w:lineRule="auto"/>
              <w:rPr>
                <w:szCs w:val="20"/>
              </w:rPr>
            </w:pPr>
            <w:r w:rsidRPr="008C1E51">
              <w:rPr>
                <w:szCs w:val="20"/>
              </w:rPr>
              <w:t>2022 do 07.31</w:t>
            </w:r>
          </w:p>
        </w:tc>
        <w:tc>
          <w:tcPr>
            <w:tcW w:w="1869" w:type="dxa"/>
          </w:tcPr>
          <w:p w14:paraId="594F2FE8" w14:textId="77777777" w:rsidR="008C1E51" w:rsidRPr="008C1E51" w:rsidRDefault="008C1E51" w:rsidP="008C1E51">
            <w:pPr>
              <w:spacing w:before="120" w:after="120" w:line="276" w:lineRule="auto"/>
              <w:rPr>
                <w:szCs w:val="20"/>
              </w:rPr>
            </w:pPr>
            <w:r w:rsidRPr="008C1E51">
              <w:rPr>
                <w:szCs w:val="20"/>
              </w:rPr>
              <w:t>22</w:t>
            </w:r>
          </w:p>
        </w:tc>
        <w:tc>
          <w:tcPr>
            <w:tcW w:w="1996" w:type="dxa"/>
          </w:tcPr>
          <w:p w14:paraId="4DEDB8D6" w14:textId="77777777" w:rsidR="008C1E51" w:rsidRPr="008C1E51" w:rsidRDefault="008C1E51" w:rsidP="008C1E51">
            <w:pPr>
              <w:spacing w:before="120" w:after="120" w:line="276" w:lineRule="auto"/>
              <w:rPr>
                <w:szCs w:val="20"/>
              </w:rPr>
            </w:pPr>
            <w:r w:rsidRPr="008C1E51">
              <w:rPr>
                <w:szCs w:val="20"/>
              </w:rPr>
              <w:t>84 300</w:t>
            </w:r>
          </w:p>
        </w:tc>
        <w:tc>
          <w:tcPr>
            <w:tcW w:w="1989" w:type="dxa"/>
          </w:tcPr>
          <w:p w14:paraId="33D8D69D" w14:textId="77777777" w:rsidR="008C1E51" w:rsidRPr="008C1E51" w:rsidRDefault="008C1E51" w:rsidP="008C1E51">
            <w:pPr>
              <w:spacing w:before="120" w:after="120" w:line="276" w:lineRule="auto"/>
              <w:rPr>
                <w:szCs w:val="20"/>
              </w:rPr>
            </w:pPr>
            <w:r w:rsidRPr="008C1E51">
              <w:rPr>
                <w:szCs w:val="20"/>
              </w:rPr>
              <w:t>65 735,16 zł</w:t>
            </w:r>
          </w:p>
        </w:tc>
      </w:tr>
    </w:tbl>
    <w:p w14:paraId="52732E17" w14:textId="77777777" w:rsidR="008C1E51" w:rsidRPr="008C1E51" w:rsidRDefault="008C1E51" w:rsidP="008C1E51">
      <w:pPr>
        <w:spacing w:before="120" w:after="120" w:line="276" w:lineRule="auto"/>
        <w:ind w:left="720"/>
        <w:rPr>
          <w:rFonts w:cs="Times New Roman"/>
          <w:szCs w:val="20"/>
        </w:rPr>
      </w:pPr>
    </w:p>
    <w:p w14:paraId="27BC0904" w14:textId="77777777" w:rsidR="008C1E51" w:rsidRPr="008C1E51" w:rsidRDefault="008C1E51" w:rsidP="008C1E51">
      <w:pPr>
        <w:spacing w:before="120" w:after="120" w:line="276" w:lineRule="auto"/>
        <w:rPr>
          <w:rFonts w:cs="Times New Roman"/>
          <w:szCs w:val="20"/>
        </w:rPr>
      </w:pPr>
      <w:r w:rsidRPr="008C1E51">
        <w:rPr>
          <w:rFonts w:cs="Times New Roman"/>
          <w:szCs w:val="20"/>
        </w:rPr>
        <w:t xml:space="preserve">W </w:t>
      </w:r>
      <w:proofErr w:type="spellStart"/>
      <w:r w:rsidRPr="008C1E51">
        <w:rPr>
          <w:rFonts w:cs="Times New Roman"/>
          <w:szCs w:val="20"/>
        </w:rPr>
        <w:t>BdPN</w:t>
      </w:r>
      <w:proofErr w:type="spellEnd"/>
      <w:r w:rsidRPr="008C1E51">
        <w:rPr>
          <w:rFonts w:cs="Times New Roman"/>
          <w:szCs w:val="20"/>
        </w:rPr>
        <w:t xml:space="preserve"> nie wprowadzono regulaminu używania samochodów prywatnych do celów służbowych. Korzystanie z samochodów prywatnych do celów służbowych odbywało się zgodnie </w:t>
      </w:r>
      <w:r w:rsidRPr="005A549E">
        <w:rPr>
          <w:rFonts w:cs="Times New Roman"/>
          <w:szCs w:val="20"/>
        </w:rPr>
        <w:t>z Rozporządzeniem Ministra Infrastruktury w sprawie warunków ustalania oraz sposobu dokonywania zwrotu kosztów używania do celów służbowych samochodów osobowych, motocykli i motorowerów niebędących własnością pracodawcy z dnia 25 marca 2002 r.</w:t>
      </w:r>
      <w:r w:rsidRPr="005A549E">
        <w:rPr>
          <w:rFonts w:cs="Times New Roman"/>
          <w:vertAlign w:val="superscript"/>
        </w:rPr>
        <w:footnoteReference w:id="187"/>
      </w:r>
      <w:r w:rsidRPr="008C1E51">
        <w:rPr>
          <w:rFonts w:cs="Times New Roman"/>
          <w:szCs w:val="20"/>
        </w:rPr>
        <w:t xml:space="preserve"> oraz na podstawie umów zawieranych z uprawnionymi pracownikami.</w:t>
      </w:r>
      <w:r w:rsidRPr="008C1E51" w:rsidDel="00F842D6">
        <w:rPr>
          <w:rFonts w:cs="Times New Roman"/>
          <w:szCs w:val="20"/>
        </w:rPr>
        <w:t xml:space="preserve"> </w:t>
      </w:r>
    </w:p>
    <w:p w14:paraId="73B29E10" w14:textId="76D07CB6" w:rsidR="008C1E51" w:rsidRPr="008C1E51" w:rsidRDefault="008C1E51" w:rsidP="008C1E51">
      <w:pPr>
        <w:spacing w:before="120" w:after="120" w:line="276" w:lineRule="auto"/>
        <w:rPr>
          <w:szCs w:val="20"/>
        </w:rPr>
      </w:pPr>
      <w:r w:rsidRPr="008C1E51">
        <w:rPr>
          <w:rFonts w:eastAsia="Times New Roman" w:cs="Times New Roman"/>
          <w:color w:val="000000"/>
          <w:szCs w:val="20"/>
          <w:lang w:eastAsia="pl-PL"/>
        </w:rPr>
        <w:t xml:space="preserve">Umowy te określały: rodzaj samochodu (marka, numer rejestracyjny pojemność silnika), przyznany ryczałt miesięczny za przejazdy lokalne (od 200 do 800 kilometrów), stawkę za kilometr i warunki rozliczania. W ich treści wskazano, że samochód osobowy do celów służbowych mógł być używany do jazd lokalnych – w granicach administracyjnych Bieszczadzkiego Parku Narodowego. Każdy pracownik korzystający z samochodu prywatnego do celów służbowych był zobowiązany do sporządzania comiesięcznego rejestru przejazdów służbowych, a rejestr taki był przedkładany do zatwierdzenia bezpośredniemu przełożonemu. Ustalono, że stawki opłat </w:t>
      </w:r>
      <w:r w:rsidR="00211832" w:rsidRPr="008C1E51">
        <w:rPr>
          <w:rFonts w:eastAsia="Times New Roman" w:cs="Times New Roman"/>
          <w:color w:val="000000"/>
          <w:szCs w:val="20"/>
          <w:lang w:eastAsia="pl-PL"/>
        </w:rPr>
        <w:t>za kilometr</w:t>
      </w:r>
      <w:r w:rsidRPr="008C1E51">
        <w:rPr>
          <w:rFonts w:eastAsia="Times New Roman" w:cs="Times New Roman"/>
          <w:color w:val="000000"/>
          <w:szCs w:val="20"/>
          <w:lang w:eastAsia="pl-PL"/>
        </w:rPr>
        <w:t xml:space="preserve"> były zgodne z paragrafem 2 ust. 2 Rozporządzenia Ministra Infrastruktury z 25 marca 2002 r. w sprawie warunków ustalania oraz sposobu dokonywania zwrotu kosztów używania do celów służbowych samochodów osobowych, motocykli i motorowerów nie będących własnością pracodawcy</w:t>
      </w:r>
      <w:r w:rsidRPr="008C1E51">
        <w:rPr>
          <w:rFonts w:eastAsia="Times New Roman" w:cs="Times New Roman"/>
          <w:color w:val="000000"/>
          <w:szCs w:val="20"/>
          <w:vertAlign w:val="superscript"/>
          <w:lang w:eastAsia="pl-PL"/>
        </w:rPr>
        <w:footnoteReference w:id="188"/>
      </w:r>
      <w:r w:rsidRPr="008C1E51">
        <w:rPr>
          <w:rFonts w:eastAsia="Times New Roman" w:cs="Times New Roman"/>
          <w:color w:val="000000"/>
          <w:szCs w:val="20"/>
          <w:lang w:eastAsia="pl-PL"/>
        </w:rPr>
        <w:t>. Na podstawie analizy 6 umów</w:t>
      </w:r>
      <w:r w:rsidRPr="008C1E51">
        <w:rPr>
          <w:rFonts w:eastAsia="Times New Roman" w:cs="Times New Roman"/>
          <w:color w:val="000000"/>
          <w:szCs w:val="20"/>
          <w:vertAlign w:val="superscript"/>
          <w:lang w:eastAsia="pl-PL"/>
        </w:rPr>
        <w:footnoteReference w:id="189"/>
      </w:r>
      <w:r w:rsidRPr="008C1E51">
        <w:rPr>
          <w:rFonts w:eastAsia="Times New Roman" w:cs="Times New Roman"/>
          <w:color w:val="000000"/>
          <w:szCs w:val="20"/>
          <w:lang w:eastAsia="pl-PL"/>
        </w:rPr>
        <w:t xml:space="preserve"> (z 28 takich umów, tj. 21.4% populacji) tego rodzaju pochodzących z lat 2019-2022, ustalono, że umowy zawierano </w:t>
      </w:r>
      <w:r w:rsidR="00211832" w:rsidRPr="008C1E51">
        <w:rPr>
          <w:rFonts w:eastAsia="Times New Roman" w:cs="Times New Roman"/>
          <w:color w:val="000000"/>
          <w:szCs w:val="20"/>
          <w:lang w:eastAsia="pl-PL"/>
        </w:rPr>
        <w:t>z pracownikami</w:t>
      </w:r>
      <w:r w:rsidRPr="008C1E51">
        <w:rPr>
          <w:rFonts w:eastAsia="Times New Roman" w:cs="Times New Roman"/>
          <w:color w:val="000000"/>
          <w:szCs w:val="20"/>
          <w:lang w:eastAsia="pl-PL"/>
        </w:rPr>
        <w:t xml:space="preserve"> terenowymi </w:t>
      </w:r>
      <w:proofErr w:type="spellStart"/>
      <w:r w:rsidRPr="008C1E51">
        <w:rPr>
          <w:rFonts w:eastAsia="Times New Roman" w:cs="Times New Roman"/>
          <w:color w:val="000000"/>
          <w:szCs w:val="20"/>
          <w:lang w:eastAsia="pl-PL"/>
        </w:rPr>
        <w:t>BdPN</w:t>
      </w:r>
      <w:proofErr w:type="spellEnd"/>
      <w:r w:rsidRPr="008C1E51">
        <w:rPr>
          <w:rFonts w:eastAsia="Times New Roman" w:cs="Times New Roman"/>
          <w:color w:val="000000"/>
          <w:szCs w:val="20"/>
          <w:lang w:eastAsia="pl-PL"/>
        </w:rPr>
        <w:t xml:space="preserve">. W ocenie Kontrolującego, terenowy charakter pracy, który wiązał się </w:t>
      </w:r>
      <w:r w:rsidRPr="008C1E51">
        <w:rPr>
          <w:rFonts w:eastAsia="Times New Roman" w:cs="Times New Roman"/>
          <w:color w:val="000000"/>
          <w:szCs w:val="20"/>
          <w:lang w:eastAsia="pl-PL"/>
        </w:rPr>
        <w:br/>
        <w:t xml:space="preserve">z koniecznością codziennego przemieszczania się po rozległym obszarze Parku, a także niedostateczna ilość samochodów służbowych pozostających w dyspozycji Parku, uzasadniały konieczność wykorzystywania samochodów prywatnych w pracy tych osób. </w:t>
      </w:r>
    </w:p>
    <w:p w14:paraId="2666D42F" w14:textId="77777777" w:rsidR="008C1E51" w:rsidRPr="008C1E51" w:rsidRDefault="008C1E51" w:rsidP="008C1E51">
      <w:pPr>
        <w:spacing w:before="120" w:after="120" w:line="276" w:lineRule="auto"/>
        <w:rPr>
          <w:szCs w:val="20"/>
        </w:rPr>
      </w:pPr>
      <w:r w:rsidRPr="008C1E51">
        <w:rPr>
          <w:szCs w:val="20"/>
        </w:rPr>
        <w:t xml:space="preserve">Pracownicy używający samochodów prywatnych do celów służbowych posiadali aktualne badania medycyny pracy dotyczące kierowania pojazdami do celów służbowych. </w:t>
      </w:r>
    </w:p>
    <w:p w14:paraId="51E6D907" w14:textId="77777777" w:rsidR="008C1E51" w:rsidRPr="008C1E51" w:rsidRDefault="008C1E51" w:rsidP="008C1E51">
      <w:pPr>
        <w:spacing w:before="120" w:after="120" w:line="276" w:lineRule="auto"/>
        <w:jc w:val="right"/>
        <w:rPr>
          <w:rFonts w:cs="Times New Roman"/>
          <w:color w:val="000000" w:themeColor="text1"/>
          <w:szCs w:val="20"/>
        </w:rPr>
      </w:pPr>
      <w:r w:rsidRPr="008C1E51">
        <w:rPr>
          <w:rFonts w:eastAsia="Times New Roman" w:cs="Times New Roman"/>
          <w:szCs w:val="20"/>
          <w:lang w:eastAsia="pl-PL"/>
        </w:rPr>
        <w:t>[Dowód: akta kontroli str. II/701-759]</w:t>
      </w:r>
    </w:p>
    <w:p w14:paraId="2020C619" w14:textId="77777777" w:rsidR="008C1E51" w:rsidRPr="008C1E51" w:rsidRDefault="008C1E51" w:rsidP="008C1E51">
      <w:pPr>
        <w:spacing w:before="120" w:after="120" w:line="276" w:lineRule="auto"/>
        <w:rPr>
          <w:rFonts w:eastAsia="Times New Roman" w:cs="Times New Roman"/>
          <w:b/>
          <w:bCs/>
          <w:szCs w:val="20"/>
          <w:lang w:eastAsia="pl-PL"/>
        </w:rPr>
      </w:pPr>
      <w:r w:rsidRPr="008C1E51">
        <w:rPr>
          <w:rFonts w:eastAsia="Times New Roman" w:cs="Times New Roman"/>
          <w:b/>
          <w:bCs/>
          <w:szCs w:val="20"/>
          <w:lang w:eastAsia="pl-PL"/>
        </w:rPr>
        <w:t>Ocena obszaru</w:t>
      </w:r>
    </w:p>
    <w:p w14:paraId="245C7DC8" w14:textId="671F5A6A" w:rsidR="008C1E51" w:rsidRPr="008C1E51" w:rsidRDefault="008C1E51" w:rsidP="008C1E51">
      <w:pPr>
        <w:spacing w:before="120" w:after="120" w:line="276" w:lineRule="auto"/>
        <w:rPr>
          <w:rFonts w:eastAsia="Times New Roman" w:cs="Times New Roman"/>
          <w:szCs w:val="20"/>
          <w:lang w:eastAsia="pl-PL"/>
        </w:rPr>
      </w:pP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posiadał i realizował gospodarkę transportową na podstawie wewnętrznej regulacji określającej spójnie wszystkie jej aspekty, w tym m.in. zasady i sposób ewidencji. Nie stwierdzono przypadków używania pojazdów służbowych do celów prywatnych </w:t>
      </w:r>
      <w:r w:rsidRPr="008C1E51">
        <w:rPr>
          <w:rFonts w:eastAsia="Times New Roman" w:cs="Times New Roman"/>
          <w:szCs w:val="20"/>
          <w:lang w:eastAsia="pl-PL"/>
        </w:rPr>
        <w:br/>
        <w:t xml:space="preserve">z uwagi na fakt, że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wprowadził dobrą praktykę zakazu używania samochodów służbowych do celów prywatnych, co wyeliminowało potencjalne ryzyko wystąpienia nieprawidłowości/naruszeń w tym obszarze. Wielkość taboru będącego w dyspozycji </w:t>
      </w:r>
      <w:proofErr w:type="spellStart"/>
      <w:r w:rsidRPr="008C1E51">
        <w:rPr>
          <w:rFonts w:eastAsia="Times New Roman" w:cs="Times New Roman"/>
          <w:szCs w:val="20"/>
          <w:lang w:eastAsia="pl-PL"/>
        </w:rPr>
        <w:t>BdPN</w:t>
      </w:r>
      <w:proofErr w:type="spellEnd"/>
      <w:r w:rsidRPr="008C1E51">
        <w:rPr>
          <w:rFonts w:eastAsia="Times New Roman" w:cs="Times New Roman"/>
          <w:szCs w:val="20"/>
          <w:lang w:eastAsia="pl-PL"/>
        </w:rPr>
        <w:t xml:space="preserve"> i charakter terenowy pracy służb leśnych (leśniczy, podleśniczy) uzasadniają przypadki wykorzystywania samochodów prywatnych do celów służbowych przez pracowników terenowych.</w:t>
      </w:r>
    </w:p>
    <w:p w14:paraId="0B522D30" w14:textId="77777777" w:rsidR="008C1E51" w:rsidRPr="008C1E51" w:rsidRDefault="008C1E51" w:rsidP="008C1E51">
      <w:pPr>
        <w:numPr>
          <w:ilvl w:val="0"/>
          <w:numId w:val="12"/>
        </w:numPr>
        <w:spacing w:before="120" w:after="120" w:line="276" w:lineRule="auto"/>
        <w:ind w:left="426" w:hanging="426"/>
        <w:jc w:val="left"/>
        <w:rPr>
          <w:rFonts w:eastAsia="Calibri" w:cs="Times New Roman"/>
          <w:b/>
          <w:bCs/>
          <w:szCs w:val="20"/>
        </w:rPr>
      </w:pPr>
      <w:r w:rsidRPr="008C1E51">
        <w:rPr>
          <w:rFonts w:eastAsia="Calibri" w:cs="Times New Roman"/>
          <w:b/>
          <w:bCs/>
          <w:szCs w:val="20"/>
        </w:rPr>
        <w:t>Realizacja zadań w zakresie funkcjonowania Straży Parku Narodowego</w:t>
      </w:r>
    </w:p>
    <w:p w14:paraId="6A9C4182" w14:textId="77777777" w:rsidR="008C1E51" w:rsidRPr="008C1E51" w:rsidRDefault="008C1E51" w:rsidP="008C1E51">
      <w:pPr>
        <w:spacing w:before="120" w:after="120" w:line="276" w:lineRule="auto"/>
        <w:rPr>
          <w:rFonts w:eastAsia="Calibri" w:cs="Times New Roman"/>
          <w:szCs w:val="20"/>
          <w:u w:val="single"/>
        </w:rPr>
      </w:pPr>
      <w:bookmarkStart w:id="56" w:name="_Hlk83979962"/>
      <w:r w:rsidRPr="008C1E51">
        <w:rPr>
          <w:rFonts w:eastAsia="Calibri" w:cs="Times New Roman"/>
          <w:szCs w:val="20"/>
          <w:u w:val="single"/>
        </w:rPr>
        <w:t xml:space="preserve">Ramy organizacyjne </w:t>
      </w:r>
    </w:p>
    <w:p w14:paraId="078A057A" w14:textId="61D1F466"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W okresie objętym kontrolą regulamin organizacyjny Bieszczadzkiego Parku Narodowego </w:t>
      </w:r>
      <w:r w:rsidR="00211832" w:rsidRPr="008C1E51">
        <w:rPr>
          <w:rFonts w:eastAsia="Calibri" w:cs="Times New Roman"/>
          <w:szCs w:val="20"/>
        </w:rPr>
        <w:t>określał organizację</w:t>
      </w:r>
      <w:r w:rsidRPr="008C1E51">
        <w:rPr>
          <w:rFonts w:eastAsia="Calibri" w:cs="Times New Roman"/>
          <w:szCs w:val="20"/>
        </w:rPr>
        <w:t xml:space="preserve"> i kompetencje Straży Parku powołanej do realizacji zadań związanych </w:t>
      </w:r>
      <w:r w:rsidRPr="008C1E51">
        <w:rPr>
          <w:rFonts w:eastAsia="Calibri" w:cs="Times New Roman"/>
          <w:szCs w:val="20"/>
        </w:rPr>
        <w:br/>
        <w:t>z ochroną mienia oraz zwalczaniem przestępstw i wykroczeń w zakresie ochrony przyrody na terenie Parku.</w:t>
      </w:r>
    </w:p>
    <w:p w14:paraId="5500C65A" w14:textId="77777777" w:rsidR="008C1E51" w:rsidRPr="008C1E51" w:rsidRDefault="008C1E51" w:rsidP="008C1E51">
      <w:pPr>
        <w:spacing w:before="120" w:after="120" w:line="276" w:lineRule="auto"/>
        <w:rPr>
          <w:rFonts w:eastAsia="Calibri" w:cs="Times New Roman"/>
          <w:bCs/>
          <w:szCs w:val="20"/>
        </w:rPr>
      </w:pPr>
      <w:r w:rsidRPr="008C1E51">
        <w:rPr>
          <w:rFonts w:eastAsia="Calibri" w:cs="Times New Roman"/>
          <w:bCs/>
          <w:szCs w:val="20"/>
        </w:rPr>
        <w:t>W Bieszczadzkim Parku Narodowym w okresie objętym kontrolą Straż Parku funkcjonowała w 7 osobowym składzie, w tym: Komendant Straży Parku, 3 Starszych strażników Straży Parku i 3 Strażników Straży Parku</w:t>
      </w:r>
      <w:r w:rsidRPr="008C1E51">
        <w:rPr>
          <w:rFonts w:eastAsia="Calibri" w:cs="Times New Roman"/>
          <w:bCs/>
          <w:szCs w:val="20"/>
          <w:vertAlign w:val="superscript"/>
        </w:rPr>
        <w:footnoteReference w:id="190"/>
      </w:r>
      <w:r w:rsidRPr="008C1E51">
        <w:rPr>
          <w:rFonts w:eastAsia="Calibri" w:cs="Times New Roman"/>
          <w:bCs/>
          <w:szCs w:val="20"/>
        </w:rPr>
        <w:t>.</w:t>
      </w:r>
      <w:r w:rsidRPr="008C1E51" w:rsidDel="00814F94">
        <w:rPr>
          <w:rFonts w:eastAsia="Calibri" w:cs="Times New Roman"/>
          <w:bCs/>
          <w:szCs w:val="20"/>
          <w:vertAlign w:val="superscript"/>
        </w:rPr>
        <w:t xml:space="preserve"> </w:t>
      </w:r>
      <w:r w:rsidRPr="008C1E51">
        <w:rPr>
          <w:rFonts w:eastAsia="Calibri" w:cs="Times New Roman"/>
          <w:bCs/>
          <w:szCs w:val="20"/>
        </w:rPr>
        <w:t xml:space="preserve"> </w:t>
      </w:r>
    </w:p>
    <w:p w14:paraId="19C64AE8"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bCs/>
          <w:szCs w:val="20"/>
        </w:rPr>
        <w:t>Ustalono, że w</w:t>
      </w:r>
      <w:r w:rsidRPr="008C1E51">
        <w:rPr>
          <w:rFonts w:eastAsia="Calibri" w:cs="Times New Roman"/>
          <w:szCs w:val="20"/>
        </w:rPr>
        <w:t xml:space="preserve"> jednostce obowiązywały wewnętrzne akty prawa regulujące dostęp i zasady posługiwania się bronią palną, upoważnienie do prowadzenia magazynu broni oraz zasady stosowania środków przymusu bezpośredniego</w:t>
      </w:r>
      <w:r w:rsidRPr="008C1E51">
        <w:rPr>
          <w:rFonts w:eastAsia="Calibri" w:cs="Times New Roman"/>
          <w:szCs w:val="20"/>
          <w:vertAlign w:val="superscript"/>
        </w:rPr>
        <w:footnoteReference w:id="191"/>
      </w:r>
      <w:r w:rsidRPr="008C1E51">
        <w:rPr>
          <w:rFonts w:eastAsia="Calibri" w:cs="Times New Roman"/>
          <w:szCs w:val="20"/>
        </w:rPr>
        <w:t xml:space="preserve">. </w:t>
      </w:r>
    </w:p>
    <w:p w14:paraId="67346272"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że wszyscy Strażnicy spełniali wymogi określone w art. 108 ust. 2 i art. 110 ust. </w:t>
      </w:r>
      <w:r w:rsidRPr="008C1E51">
        <w:rPr>
          <w:rFonts w:eastAsia="Calibri" w:cs="Times New Roman"/>
          <w:szCs w:val="20"/>
        </w:rPr>
        <w:br/>
        <w:t>2 uop, co zostało poparte stosownymi dokumentami. W</w:t>
      </w:r>
      <w:r w:rsidRPr="008C1E51">
        <w:rPr>
          <w:rFonts w:eastAsia="Calibri" w:cs="Times New Roman"/>
          <w:bCs/>
          <w:szCs w:val="20"/>
        </w:rPr>
        <w:t xml:space="preserve"> okresie objętym kontrolą funkcjonariusze Straży Parku </w:t>
      </w:r>
      <w:bookmarkStart w:id="57" w:name="_Hlk117591564"/>
      <w:r w:rsidRPr="008C1E51">
        <w:rPr>
          <w:rFonts w:eastAsia="Calibri" w:cs="Times New Roman"/>
          <w:bCs/>
          <w:szCs w:val="20"/>
        </w:rPr>
        <w:t xml:space="preserve">posiadali ważne zaświadczenia lekarskie i psychologiczne, zaświadczenia organów Policji o nienagannej opinii oraz legitymowali się ukończeniem szkolenia i pozytywnym wynikiem egzaminu. Wszyscy spełniali wymogi dotyczące poziomu wykształcenia. </w:t>
      </w:r>
      <w:bookmarkEnd w:id="57"/>
    </w:p>
    <w:p w14:paraId="5FB1AA25"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 III/1-22, III/25-48]</w:t>
      </w:r>
    </w:p>
    <w:p w14:paraId="3DD93B83" w14:textId="77777777" w:rsidR="008C1E51" w:rsidRPr="008C1E51" w:rsidRDefault="008C1E51" w:rsidP="008C1E51">
      <w:pPr>
        <w:spacing w:before="120" w:after="120" w:line="276" w:lineRule="auto"/>
        <w:rPr>
          <w:rFonts w:eastAsia="Calibri" w:cs="Times New Roman"/>
          <w:szCs w:val="20"/>
          <w:u w:val="single"/>
          <w:lang w:bidi="pl-PL"/>
        </w:rPr>
      </w:pPr>
      <w:r w:rsidRPr="008C1E51">
        <w:rPr>
          <w:rFonts w:eastAsia="Calibri" w:cs="Times New Roman"/>
          <w:szCs w:val="20"/>
          <w:u w:val="single"/>
          <w:lang w:bidi="pl-PL"/>
        </w:rPr>
        <w:t>Działania Straży Parku</w:t>
      </w:r>
    </w:p>
    <w:p w14:paraId="51CCE3E9" w14:textId="77777777" w:rsidR="008C1E51" w:rsidRPr="008C1E51" w:rsidRDefault="008C1E51" w:rsidP="008C1E51">
      <w:pPr>
        <w:spacing w:before="120" w:after="120" w:line="276" w:lineRule="auto"/>
        <w:rPr>
          <w:rFonts w:eastAsia="Calibri" w:cs="Times New Roman"/>
          <w:szCs w:val="20"/>
          <w:lang w:bidi="pl-PL"/>
        </w:rPr>
      </w:pPr>
      <w:r w:rsidRPr="008C1E51">
        <w:rPr>
          <w:rFonts w:eastAsia="Calibri" w:cs="Times New Roman"/>
          <w:szCs w:val="20"/>
          <w:lang w:bidi="pl-PL"/>
        </w:rPr>
        <w:t>Zgodnie z § 3 ust. 1 Rozporządzenia Rady Ministrów z 14 kwietnia 1993 r. w sprawie funkcjonowania Straży Parku w parkach narodowych</w:t>
      </w:r>
      <w:r w:rsidRPr="008C1E51">
        <w:rPr>
          <w:rFonts w:eastAsia="Calibri" w:cs="Times New Roman"/>
          <w:szCs w:val="20"/>
          <w:vertAlign w:val="superscript"/>
          <w:lang w:bidi="pl-PL"/>
        </w:rPr>
        <w:footnoteReference w:id="192"/>
      </w:r>
      <w:r w:rsidRPr="008C1E51">
        <w:rPr>
          <w:rFonts w:eastAsia="Calibri" w:cs="Times New Roman"/>
          <w:szCs w:val="20"/>
          <w:lang w:bidi="pl-PL"/>
        </w:rPr>
        <w:t xml:space="preserve">, w </w:t>
      </w:r>
      <w:proofErr w:type="spellStart"/>
      <w:r w:rsidRPr="008C1E51">
        <w:rPr>
          <w:rFonts w:eastAsia="Calibri" w:cs="Times New Roman"/>
          <w:szCs w:val="20"/>
          <w:lang w:bidi="pl-PL"/>
        </w:rPr>
        <w:t>BdPN</w:t>
      </w:r>
      <w:proofErr w:type="spellEnd"/>
      <w:r w:rsidRPr="008C1E51">
        <w:rPr>
          <w:rFonts w:eastAsia="Calibri" w:cs="Times New Roman"/>
          <w:szCs w:val="20"/>
          <w:lang w:bidi="pl-PL"/>
        </w:rPr>
        <w:t xml:space="preserve"> Straż Parku działała na podstawie miesięcznych planów pracy opracowywanych przez Komendanta, zatwierdzanych przez Dyrektora Parku.</w:t>
      </w:r>
    </w:p>
    <w:p w14:paraId="3C503AE2" w14:textId="11369973" w:rsidR="008C1E51" w:rsidRPr="008C1E51" w:rsidRDefault="008C1E51" w:rsidP="008C1E51">
      <w:pPr>
        <w:spacing w:before="120" w:after="120" w:line="276" w:lineRule="auto"/>
        <w:rPr>
          <w:rFonts w:eastAsia="Calibri" w:cs="Times New Roman"/>
          <w:szCs w:val="20"/>
          <w:lang w:bidi="pl-PL"/>
        </w:rPr>
      </w:pPr>
      <w:r w:rsidRPr="008C1E51">
        <w:rPr>
          <w:rFonts w:eastAsia="Calibri" w:cs="Times New Roman"/>
          <w:szCs w:val="20"/>
          <w:lang w:bidi="pl-PL"/>
        </w:rPr>
        <w:t>W jednostce sporządzano miesięczne Plany działania Posterunku Straży Parku.</w:t>
      </w:r>
      <w:r w:rsidRPr="008C1E51">
        <w:rPr>
          <w:rFonts w:eastAsia="Calibri" w:cs="Times New Roman"/>
          <w:i/>
          <w:iCs/>
          <w:szCs w:val="20"/>
          <w:lang w:bidi="pl-PL"/>
        </w:rPr>
        <w:t xml:space="preserve"> </w:t>
      </w:r>
      <w:r w:rsidRPr="008C1E51">
        <w:rPr>
          <w:rFonts w:eastAsia="Calibri" w:cs="Times New Roman"/>
          <w:szCs w:val="20"/>
          <w:lang w:bidi="pl-PL"/>
        </w:rPr>
        <w:t xml:space="preserve">Kontroli </w:t>
      </w:r>
      <w:r w:rsidR="00211832" w:rsidRPr="008C1E51">
        <w:rPr>
          <w:rFonts w:eastAsia="Calibri" w:cs="Times New Roman"/>
          <w:szCs w:val="20"/>
          <w:lang w:bidi="pl-PL"/>
        </w:rPr>
        <w:t>poddano 15</w:t>
      </w:r>
      <w:r w:rsidRPr="008C1E51">
        <w:rPr>
          <w:rFonts w:eastAsia="Calibri" w:cs="Times New Roman"/>
          <w:szCs w:val="20"/>
          <w:lang w:bidi="pl-PL"/>
        </w:rPr>
        <w:t xml:space="preserve"> z 44 miesięcznych planów pracy sporządzonych w okresie styczeń 2019 – sierpień 2022. Ustalono, że zawierają one wykaz zadań, które przyjęto do realizacji w poszczególnych miesiącach. Nie zawierały grafiku służb, osób realizujących zadania, osoby sprawującej nadzór, czasu trwania planowanych działań, miejsc ich realizacji i innych istotnych szczegółów</w:t>
      </w:r>
      <w:r w:rsidRPr="008C1E51">
        <w:rPr>
          <w:rFonts w:eastAsia="Calibri" w:cs="Times New Roman"/>
          <w:szCs w:val="20"/>
          <w:vertAlign w:val="superscript"/>
          <w:lang w:bidi="pl-PL"/>
        </w:rPr>
        <w:footnoteReference w:id="193"/>
      </w:r>
      <w:r w:rsidRPr="008C1E51">
        <w:rPr>
          <w:rFonts w:eastAsia="Calibri" w:cs="Times New Roman"/>
          <w:szCs w:val="20"/>
          <w:lang w:bidi="pl-PL"/>
        </w:rPr>
        <w:t xml:space="preserve"> .</w:t>
      </w:r>
    </w:p>
    <w:p w14:paraId="6CEFD6C0" w14:textId="23FFA9A2" w:rsidR="008C1E51" w:rsidRPr="008C1E51" w:rsidRDefault="008C1E51" w:rsidP="008C1E51">
      <w:pPr>
        <w:spacing w:before="120" w:after="120" w:line="276" w:lineRule="auto"/>
        <w:rPr>
          <w:rFonts w:eastAsia="Calibri" w:cs="Times New Roman"/>
          <w:szCs w:val="20"/>
          <w:lang w:bidi="pl-PL"/>
        </w:rPr>
      </w:pPr>
      <w:r w:rsidRPr="008C1E51">
        <w:rPr>
          <w:rFonts w:eastAsia="Calibri" w:cs="Times New Roman"/>
          <w:szCs w:val="20"/>
          <w:lang w:bidi="pl-PL"/>
        </w:rPr>
        <w:t xml:space="preserve">W ocenie </w:t>
      </w:r>
      <w:r w:rsidR="00211832" w:rsidRPr="008C1E51">
        <w:rPr>
          <w:rFonts w:eastAsia="Calibri" w:cs="Times New Roman"/>
          <w:szCs w:val="20"/>
          <w:lang w:bidi="pl-PL"/>
        </w:rPr>
        <w:t>Kontrolującego plany</w:t>
      </w:r>
      <w:r w:rsidRPr="008C1E51">
        <w:rPr>
          <w:rFonts w:eastAsia="Calibri" w:cs="Times New Roman"/>
          <w:szCs w:val="20"/>
          <w:lang w:bidi="pl-PL"/>
        </w:rPr>
        <w:t xml:space="preserve"> działania posterunku Straży Parku sporządzono w dużym stopniu ogólności. Miesięczne plany określały jedynie kierunki działań funkcjonariuszy </w:t>
      </w:r>
      <w:r w:rsidRPr="008C1E51">
        <w:rPr>
          <w:rFonts w:eastAsia="Calibri" w:cs="Times New Roman"/>
          <w:szCs w:val="20"/>
          <w:lang w:bidi="pl-PL"/>
        </w:rPr>
        <w:br/>
        <w:t xml:space="preserve">w danym okresie. Szczegółowe zadania określone zostały </w:t>
      </w:r>
      <w:r w:rsidR="00211832" w:rsidRPr="008C1E51">
        <w:rPr>
          <w:rFonts w:eastAsia="Calibri" w:cs="Times New Roman"/>
          <w:szCs w:val="20"/>
          <w:lang w:bidi="pl-PL"/>
        </w:rPr>
        <w:t>w harmonogramach</w:t>
      </w:r>
      <w:r w:rsidRPr="008C1E51">
        <w:rPr>
          <w:rFonts w:eastAsia="Calibri" w:cs="Times New Roman"/>
          <w:szCs w:val="20"/>
          <w:lang w:bidi="pl-PL"/>
        </w:rPr>
        <w:t xml:space="preserve"> tygodniowych stanowiących harmonogram/grafik służb dziennych poszczególnych funkcjonariuszy i jednocześnie szczegółowy przydział zadań dla patroli dwuosobowych oraz miejsca,</w:t>
      </w:r>
      <w:r w:rsidR="004D4B63">
        <w:rPr>
          <w:rFonts w:eastAsia="Calibri" w:cs="Times New Roman"/>
          <w:szCs w:val="20"/>
          <w:lang w:bidi="pl-PL"/>
        </w:rPr>
        <w:br/>
      </w:r>
      <w:r w:rsidRPr="008C1E51">
        <w:rPr>
          <w:rFonts w:eastAsia="Calibri" w:cs="Times New Roman"/>
          <w:szCs w:val="20"/>
          <w:lang w:bidi="pl-PL"/>
        </w:rPr>
        <w:t>w których są one każdego dnia zlokalizowane. Kontrolą objęto 8 harmonogramów tygodniowych</w:t>
      </w:r>
      <w:r w:rsidRPr="008C1E51">
        <w:rPr>
          <w:rFonts w:eastAsia="Calibri" w:cs="Times New Roman"/>
          <w:szCs w:val="20"/>
          <w:vertAlign w:val="superscript"/>
          <w:lang w:bidi="pl-PL"/>
        </w:rPr>
        <w:footnoteReference w:id="194"/>
      </w:r>
      <w:r w:rsidRPr="008C1E51">
        <w:rPr>
          <w:rFonts w:eastAsia="Calibri" w:cs="Times New Roman"/>
          <w:szCs w:val="20"/>
          <w:lang w:bidi="pl-PL"/>
        </w:rPr>
        <w:t xml:space="preserve"> z lat 2019-2022. Dokumenty te zawierały ww. elementy na temat organizacji i przebiegu pracy funkcjonariuszy Straży Parku. Ponadto w ramach organizacji pracy i kontroli realizacji zadań, funkcjonariusze prowadzili indywidualne książki służbowe, w których na bieżąco odnotowywane były polecenia Komendanta oraz inne ważne informacje na temat przebiegu służby</w:t>
      </w:r>
      <w:r w:rsidRPr="008C1E51">
        <w:rPr>
          <w:rFonts w:eastAsia="Calibri" w:cs="Times New Roman"/>
          <w:szCs w:val="20"/>
          <w:vertAlign w:val="superscript"/>
          <w:lang w:bidi="pl-PL"/>
        </w:rPr>
        <w:footnoteReference w:id="195"/>
      </w:r>
      <w:r w:rsidRPr="008C1E51">
        <w:rPr>
          <w:rFonts w:eastAsia="Calibri" w:cs="Times New Roman"/>
          <w:szCs w:val="20"/>
          <w:lang w:bidi="pl-PL"/>
        </w:rPr>
        <w:t xml:space="preserve">. Powyższy sposób organizacji służb Straży Parku </w:t>
      </w:r>
      <w:r w:rsidRPr="008C1E51">
        <w:rPr>
          <w:rFonts w:eastAsia="Calibri" w:cs="Times New Roman"/>
          <w:szCs w:val="20"/>
          <w:lang w:bidi="pl-PL"/>
        </w:rPr>
        <w:br/>
        <w:t xml:space="preserve">w </w:t>
      </w:r>
      <w:proofErr w:type="spellStart"/>
      <w:r w:rsidRPr="008C1E51">
        <w:rPr>
          <w:rFonts w:eastAsia="Calibri" w:cs="Times New Roman"/>
          <w:szCs w:val="20"/>
          <w:lang w:bidi="pl-PL"/>
        </w:rPr>
        <w:t>BdPN</w:t>
      </w:r>
      <w:proofErr w:type="spellEnd"/>
      <w:r w:rsidRPr="008C1E51">
        <w:rPr>
          <w:rFonts w:eastAsia="Calibri" w:cs="Times New Roman"/>
          <w:szCs w:val="20"/>
          <w:lang w:bidi="pl-PL"/>
        </w:rPr>
        <w:t xml:space="preserve"> i podział jej zadań były zgodne </w:t>
      </w:r>
      <w:r w:rsidR="00211832" w:rsidRPr="008C1E51">
        <w:rPr>
          <w:rFonts w:eastAsia="Calibri" w:cs="Times New Roman"/>
          <w:szCs w:val="20"/>
          <w:lang w:bidi="pl-PL"/>
        </w:rPr>
        <w:t>z §</w:t>
      </w:r>
      <w:r w:rsidRPr="008C1E51">
        <w:rPr>
          <w:rFonts w:eastAsia="Calibri" w:cs="Times New Roman"/>
          <w:szCs w:val="20"/>
          <w:lang w:bidi="pl-PL"/>
        </w:rPr>
        <w:t> 2 ust. 1 ww. Rozporządzenia Ministra Środowiska.</w:t>
      </w:r>
      <w:r w:rsidRPr="008C1E51" w:rsidDel="00966222">
        <w:rPr>
          <w:rFonts w:eastAsia="Calibri" w:cs="Times New Roman"/>
          <w:szCs w:val="20"/>
          <w:lang w:bidi="pl-PL"/>
        </w:rPr>
        <w:t xml:space="preserve"> </w:t>
      </w:r>
      <w:r w:rsidRPr="008C1E51">
        <w:rPr>
          <w:rFonts w:eastAsia="Calibri" w:cs="Times New Roman"/>
          <w:szCs w:val="20"/>
          <w:lang w:bidi="pl-PL"/>
        </w:rPr>
        <w:t xml:space="preserve">W </w:t>
      </w:r>
      <w:proofErr w:type="spellStart"/>
      <w:r w:rsidRPr="008C1E51">
        <w:rPr>
          <w:rFonts w:eastAsia="Calibri" w:cs="Times New Roman"/>
          <w:szCs w:val="20"/>
          <w:lang w:bidi="pl-PL"/>
        </w:rPr>
        <w:t>BdPN</w:t>
      </w:r>
      <w:proofErr w:type="spellEnd"/>
      <w:r w:rsidRPr="008C1E51">
        <w:rPr>
          <w:rFonts w:eastAsia="Calibri" w:cs="Times New Roman"/>
          <w:szCs w:val="20"/>
          <w:lang w:bidi="pl-PL"/>
        </w:rPr>
        <w:t xml:space="preserve"> nie </w:t>
      </w:r>
      <w:r w:rsidRPr="008C1E51">
        <w:rPr>
          <w:rFonts w:eastAsia="Calibri" w:cs="Times New Roman"/>
          <w:bCs/>
          <w:szCs w:val="20"/>
        </w:rPr>
        <w:t xml:space="preserve">wprowadzono odrębnych uregulowań wewnętrznych </w:t>
      </w:r>
      <w:r w:rsidR="00211832" w:rsidRPr="008C1E51">
        <w:rPr>
          <w:rFonts w:eastAsia="Calibri" w:cs="Times New Roman"/>
          <w:bCs/>
          <w:szCs w:val="20"/>
        </w:rPr>
        <w:t>dotyczących czasu</w:t>
      </w:r>
      <w:r w:rsidRPr="008C1E51">
        <w:rPr>
          <w:rFonts w:eastAsia="Calibri" w:cs="Times New Roman"/>
          <w:bCs/>
          <w:szCs w:val="20"/>
        </w:rPr>
        <w:t xml:space="preserve"> pracy Straży Parku. Sprawy w zakresie rozkładu czasu pracy wszystkich pracowników określono w Regulaminie Pracy </w:t>
      </w:r>
      <w:proofErr w:type="spellStart"/>
      <w:r w:rsidRPr="008C1E51">
        <w:rPr>
          <w:rFonts w:eastAsia="Calibri" w:cs="Times New Roman"/>
          <w:bCs/>
          <w:szCs w:val="20"/>
        </w:rPr>
        <w:t>BdPN</w:t>
      </w:r>
      <w:proofErr w:type="spellEnd"/>
      <w:r w:rsidRPr="008C1E51">
        <w:rPr>
          <w:rFonts w:eastAsia="Calibri" w:cs="Times New Roman"/>
          <w:bCs/>
          <w:szCs w:val="20"/>
        </w:rPr>
        <w:t xml:space="preserve">. Zgodnie </w:t>
      </w:r>
      <w:r w:rsidR="00211832" w:rsidRPr="008C1E51">
        <w:rPr>
          <w:rFonts w:eastAsia="Calibri" w:cs="Times New Roman"/>
          <w:bCs/>
          <w:szCs w:val="20"/>
        </w:rPr>
        <w:t>z ww.</w:t>
      </w:r>
      <w:r w:rsidRPr="008C1E51">
        <w:rPr>
          <w:rFonts w:eastAsia="Calibri" w:cs="Times New Roman"/>
          <w:bCs/>
          <w:szCs w:val="20"/>
        </w:rPr>
        <w:t xml:space="preserve"> dokumentem, funkcjonariusze Straży Parku mogli pracować w niedziele i święta. </w:t>
      </w:r>
    </w:p>
    <w:p w14:paraId="480E7E1C"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 III/47-48, III/79-126]</w:t>
      </w:r>
    </w:p>
    <w:p w14:paraId="6F08C379"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Magazyn broni</w:t>
      </w:r>
    </w:p>
    <w:p w14:paraId="3E3FE7DA" w14:textId="585DBE3E"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Zarządzeniem nr 36/2018 z 3 września 2018 r. Dyrektor Parku upoważnił funkcjonariusza Straży Parku </w:t>
      </w:r>
      <w:r w:rsidR="00211832" w:rsidRPr="008C1E51">
        <w:rPr>
          <w:rFonts w:eastAsia="Calibri" w:cs="Times New Roman"/>
          <w:szCs w:val="20"/>
        </w:rPr>
        <w:t>do prowadzenia</w:t>
      </w:r>
      <w:r w:rsidRPr="008C1E51">
        <w:rPr>
          <w:rFonts w:eastAsia="Calibri" w:cs="Times New Roman"/>
          <w:szCs w:val="20"/>
        </w:rPr>
        <w:t xml:space="preserve"> magazynu broni, </w:t>
      </w:r>
      <w:r w:rsidR="00211832" w:rsidRPr="008C1E51">
        <w:rPr>
          <w:rFonts w:eastAsia="Calibri" w:cs="Times New Roman"/>
          <w:szCs w:val="20"/>
        </w:rPr>
        <w:t>określając jego</w:t>
      </w:r>
      <w:r w:rsidRPr="008C1E51">
        <w:rPr>
          <w:rFonts w:eastAsia="Calibri" w:cs="Times New Roman"/>
          <w:szCs w:val="20"/>
        </w:rPr>
        <w:t xml:space="preserve"> obowiązki oraz system zastępstw. Ustalono, że w zakresie czynności i obowiązków pracownika upoważnionego do prowadzenia magazynu broni, brakowało zapisów, które by ten fakt potwierdzały. </w:t>
      </w:r>
    </w:p>
    <w:p w14:paraId="34AE6971"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Zakres obowiązków pracownika to sformalizowany dokument określający jakie prace powinien wykonywać w przedsiębiorstwie pracownik w ramach umowy o pracę</w:t>
      </w:r>
      <w:r w:rsidRPr="008C1E51">
        <w:rPr>
          <w:rFonts w:eastAsia="Calibri" w:cs="Times New Roman"/>
          <w:szCs w:val="20"/>
          <w:vertAlign w:val="superscript"/>
        </w:rPr>
        <w:footnoteReference w:id="196"/>
      </w:r>
      <w:r w:rsidRPr="008C1E51">
        <w:rPr>
          <w:rFonts w:eastAsia="Calibri" w:cs="Times New Roman"/>
          <w:szCs w:val="20"/>
        </w:rPr>
        <w:t>.  Dokumenty te z uwagi na rangę uzyskanego upoważnienia, powinny odzwierciedlać zakres odpowiedzialności pracownika.  W trakcie kontroli uchybienie to zostało usunięte.</w:t>
      </w:r>
    </w:p>
    <w:p w14:paraId="220FE653" w14:textId="77777777" w:rsidR="008C1E51" w:rsidRPr="008C1E51" w:rsidRDefault="008C1E51" w:rsidP="008C1E51">
      <w:pPr>
        <w:spacing w:before="120" w:after="120" w:line="276" w:lineRule="auto"/>
        <w:jc w:val="right"/>
        <w:rPr>
          <w:szCs w:val="20"/>
        </w:rPr>
      </w:pPr>
      <w:r w:rsidRPr="008C1E51">
        <w:rPr>
          <w:rFonts w:eastAsia="Calibri" w:cs="Times New Roman"/>
          <w:szCs w:val="20"/>
        </w:rPr>
        <w:t>[Dowód: akta kontroli str. III/45-46</w:t>
      </w:r>
      <w:r w:rsidRPr="008C1E51">
        <w:rPr>
          <w:szCs w:val="20"/>
        </w:rPr>
        <w:t>, III/130- 131, III/127]</w:t>
      </w:r>
    </w:p>
    <w:p w14:paraId="68275C92"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Komendant Straży Parku wyjaśnił</w:t>
      </w:r>
      <w:r w:rsidRPr="008C1E51">
        <w:rPr>
          <w:rFonts w:eastAsia="Calibri" w:cs="Times New Roman"/>
          <w:szCs w:val="20"/>
          <w:vertAlign w:val="superscript"/>
        </w:rPr>
        <w:footnoteReference w:id="197"/>
      </w:r>
      <w:r w:rsidRPr="008C1E51">
        <w:rPr>
          <w:rFonts w:eastAsia="Calibri" w:cs="Times New Roman"/>
          <w:szCs w:val="20"/>
        </w:rPr>
        <w:t>, że do magazynu broni były 2 komplety kluczy (fabrycznie nowe w komplecie zamku z odpowiednim atestem), które posiadali, Komendant i Strażnik Parku upoważniony do prowadzenia magazynu broni.</w:t>
      </w:r>
    </w:p>
    <w:p w14:paraId="49174992" w14:textId="3E44D4F2"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Zgodnie z wyjaśnieniem Komendanta Straży Parku</w:t>
      </w:r>
      <w:r w:rsidRPr="008C1E51">
        <w:rPr>
          <w:rFonts w:eastAsia="Calibri" w:cs="Times New Roman"/>
          <w:szCs w:val="20"/>
          <w:vertAlign w:val="superscript"/>
        </w:rPr>
        <w:footnoteReference w:id="198"/>
      </w:r>
      <w:r w:rsidRPr="008C1E51">
        <w:rPr>
          <w:rFonts w:eastAsia="Calibri" w:cs="Times New Roman"/>
          <w:szCs w:val="20"/>
        </w:rPr>
        <w:t xml:space="preserve"> wychodząc z magazynu broni upoważniony funkcjonariusz zamykał drzwi na klucz, zabezpieczał je referentką, a następnie uzbrajał magazyn broni alarmem.  Każda z osób uprawnionych posiadała osobną referentkę. Referentki </w:t>
      </w:r>
      <w:r w:rsidR="00211832" w:rsidRPr="008C1E51">
        <w:rPr>
          <w:rFonts w:eastAsia="Calibri" w:cs="Times New Roman"/>
          <w:szCs w:val="20"/>
        </w:rPr>
        <w:t>były zarejestrowane</w:t>
      </w:r>
      <w:r w:rsidRPr="008C1E51">
        <w:rPr>
          <w:rFonts w:eastAsia="Calibri" w:cs="Times New Roman"/>
          <w:szCs w:val="20"/>
        </w:rPr>
        <w:t xml:space="preserve"> w księdze druków ścisłego zarachowania, która była prowadzona w dziale księgowości </w:t>
      </w:r>
      <w:proofErr w:type="spellStart"/>
      <w:r w:rsidRPr="008C1E51">
        <w:rPr>
          <w:rFonts w:eastAsia="Calibri" w:cs="Times New Roman"/>
          <w:szCs w:val="20"/>
        </w:rPr>
        <w:t>BdPN</w:t>
      </w:r>
      <w:proofErr w:type="spellEnd"/>
      <w:r w:rsidRPr="008C1E51">
        <w:rPr>
          <w:rFonts w:eastAsia="Calibri" w:cs="Times New Roman"/>
          <w:szCs w:val="20"/>
        </w:rPr>
        <w:t>.</w:t>
      </w:r>
    </w:p>
    <w:p w14:paraId="1D6E3B89"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rPr>
        <w:t>[Dowód: akta kontroli str. III/128-129]</w:t>
      </w:r>
    </w:p>
    <w:p w14:paraId="28EEB3EA" w14:textId="07E06499"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Przebywanie w magazynie broni było ewidencjonowane w elektronicznym wykazie. Każda</w:t>
      </w:r>
      <w:r w:rsidR="004D4B63">
        <w:rPr>
          <w:rFonts w:eastAsia="Calibri" w:cs="Times New Roman"/>
          <w:szCs w:val="20"/>
        </w:rPr>
        <w:br/>
      </w:r>
      <w:r w:rsidR="00211832" w:rsidRPr="008C1E51">
        <w:rPr>
          <w:rFonts w:eastAsia="Calibri" w:cs="Times New Roman"/>
          <w:szCs w:val="20"/>
        </w:rPr>
        <w:t>z uprawnionych</w:t>
      </w:r>
      <w:r w:rsidRPr="008C1E51">
        <w:rPr>
          <w:rFonts w:eastAsia="Calibri" w:cs="Times New Roman"/>
          <w:szCs w:val="20"/>
        </w:rPr>
        <w:t xml:space="preserve"> do wejścia do magazynu broni osób miała przypisany oddzielny numer ewidencyjny, nadany przez administratora systemu. Wydruk z systemu umożliwiał odtworzenie historii wejść do magazynu osób upoważnionych.</w:t>
      </w:r>
    </w:p>
    <w:p w14:paraId="6878D3E0" w14:textId="77777777" w:rsidR="008C1E51" w:rsidRPr="008C1E51" w:rsidRDefault="008C1E51" w:rsidP="008C1E51">
      <w:pPr>
        <w:spacing w:before="120" w:after="120" w:line="276" w:lineRule="auto"/>
        <w:ind w:hanging="1"/>
        <w:jc w:val="right"/>
        <w:rPr>
          <w:rFonts w:eastAsia="Calibri" w:cs="Times New Roman"/>
          <w:szCs w:val="20"/>
        </w:rPr>
      </w:pPr>
      <w:bookmarkStart w:id="58" w:name="_Hlk117588685"/>
      <w:r w:rsidRPr="008C1E51">
        <w:rPr>
          <w:rFonts w:eastAsia="Calibri" w:cs="Times New Roman"/>
          <w:szCs w:val="20"/>
        </w:rPr>
        <w:t>[Dowód: akta kontroli str. III/128-129, III/132-137, III/139-148]</w:t>
      </w:r>
    </w:p>
    <w:bookmarkEnd w:id="58"/>
    <w:p w14:paraId="7E65173B"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Pozwolenie na broń dla potrzeb Bieszczadzkiego Parku Narodowego wydał Komendant Wojewódzki Policji w Rzeszowie</w:t>
      </w:r>
      <w:r w:rsidRPr="008C1E51">
        <w:rPr>
          <w:rFonts w:eastAsia="Calibri" w:cs="Times New Roman"/>
          <w:szCs w:val="20"/>
          <w:vertAlign w:val="superscript"/>
        </w:rPr>
        <w:footnoteReference w:id="199"/>
      </w:r>
      <w:r w:rsidRPr="008C1E51">
        <w:rPr>
          <w:rFonts w:eastAsia="Calibri" w:cs="Times New Roman"/>
          <w:szCs w:val="20"/>
        </w:rPr>
        <w:t xml:space="preserve">. Zgodnie z tym dokumentem Park miał prawo do posiadania łącznie do 10 jednostek broni palnej bojowej i do 10 jednostek broni palnej myśliwskiej. </w:t>
      </w:r>
    </w:p>
    <w:p w14:paraId="073930FE"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rPr>
        <w:t>[Dowód: akta kontroli str. III/150]</w:t>
      </w:r>
    </w:p>
    <w:p w14:paraId="38192BCF"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Ustalono, że w okresie objętym kontrolą funkcjonariusze Straży Parku dysponowali 6 sztukami broni palnej bojowej i amunicją. Stany amunicji na wyposażeniu Posterunku Straży Parku w latach 2019-2021 wynosiły 408 sztuk a według stanu na dzień 08 grudnia 2022 r. – 658 szt.</w:t>
      </w:r>
    </w:p>
    <w:p w14:paraId="38B26C22"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rPr>
        <w:t xml:space="preserve">[Dowód: akta kontroli str. </w:t>
      </w:r>
      <w:r w:rsidRPr="008C1E51">
        <w:rPr>
          <w:rFonts w:eastAsia="Calibri" w:cs="Times New Roman"/>
          <w:szCs w:val="20"/>
        </w:rPr>
        <w:t>III/157-160, III/173-174, III/212-215]</w:t>
      </w:r>
    </w:p>
    <w:p w14:paraId="2FEB1637" w14:textId="5FCD9553"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Wszyscy funkcjonariusze Straży Parku spełniali </w:t>
      </w:r>
      <w:r w:rsidR="00211832" w:rsidRPr="008C1E51">
        <w:rPr>
          <w:rFonts w:eastAsia="Calibri" w:cs="Times New Roman"/>
          <w:szCs w:val="20"/>
        </w:rPr>
        <w:t>warunki,</w:t>
      </w:r>
      <w:r w:rsidRPr="008C1E51">
        <w:rPr>
          <w:rFonts w:eastAsia="Calibri" w:cs="Times New Roman"/>
          <w:szCs w:val="20"/>
        </w:rPr>
        <w:t xml:space="preserve"> o których mowa w treści art. 110 uop. </w:t>
      </w:r>
    </w:p>
    <w:p w14:paraId="68C008DB"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rPr>
        <w:t>[Dowód: akta kontroli str. III/223-244]</w:t>
      </w:r>
    </w:p>
    <w:p w14:paraId="20D7299B" w14:textId="5562D73D"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Broń bojowa została zakupiona w 2016 r. W okresie objętym kontrolą Park nie dysponował bronią myśliwską, z uwagi na fakt, że zadania ochronne prowadzone w Parku w tym czasie nie obejmowały potrzeby wykonywania odstrzałów redukcyjnych. Wydanie/zdanie broni i jej użycie wraz z amunicją ewidencjonowane było w książce ewidencji broni. Polecenia wydania broni wydawał Komendant Straży Parku, co każdorazowo było odnotowywane w książkach służbowych Komendanta, funkcjonariusza pobierającego broń </w:t>
      </w:r>
      <w:r w:rsidR="00211832" w:rsidRPr="008C1E51">
        <w:rPr>
          <w:rFonts w:eastAsia="Calibri" w:cs="Times New Roman"/>
          <w:szCs w:val="20"/>
        </w:rPr>
        <w:t>i funkcjonariusza</w:t>
      </w:r>
      <w:r w:rsidRPr="008C1E51">
        <w:rPr>
          <w:rFonts w:eastAsia="Calibri" w:cs="Times New Roman"/>
          <w:szCs w:val="20"/>
        </w:rPr>
        <w:t xml:space="preserve"> prowadzącego magazyn broni.</w:t>
      </w:r>
    </w:p>
    <w:p w14:paraId="7963EF07"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rPr>
        <w:t>[Dowód: akta kontroli str. III/151, III/152-156]</w:t>
      </w:r>
    </w:p>
    <w:p w14:paraId="09D5E9F0"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Powyższy sposób postępowania był zgodny z zasadami wskazanymi w </w:t>
      </w:r>
      <w:r w:rsidRPr="008C1E51">
        <w:rPr>
          <w:rFonts w:eastAsia="Calibri" w:cs="Times New Roman"/>
          <w:bCs/>
          <w:szCs w:val="20"/>
        </w:rPr>
        <w:t>§ 1 Rozporządzenia Ministra Środowiska z dnia 6 lipca 2005 r.</w:t>
      </w:r>
      <w:r w:rsidRPr="008C1E51">
        <w:rPr>
          <w:rFonts w:eastAsia="Calibri" w:cs="Times New Roman"/>
          <w:bCs/>
          <w:szCs w:val="20"/>
          <w:vertAlign w:val="superscript"/>
        </w:rPr>
        <w:footnoteReference w:id="200"/>
      </w:r>
      <w:r w:rsidRPr="008C1E51">
        <w:rPr>
          <w:rFonts w:eastAsia="Calibri" w:cs="Times New Roman"/>
          <w:bCs/>
          <w:szCs w:val="20"/>
        </w:rPr>
        <w:t xml:space="preserve"> </w:t>
      </w:r>
      <w:r w:rsidRPr="008C1E51">
        <w:rPr>
          <w:rFonts w:eastAsia="Calibri" w:cs="Times New Roman"/>
          <w:szCs w:val="20"/>
        </w:rPr>
        <w:t xml:space="preserve">w sprawie sposobu ewidencjonowania i przechowywania broni bojowej oraz broni myśliwskiej, wraz z amunicją, będącej w dyspozycji Straży Parku.  </w:t>
      </w:r>
    </w:p>
    <w:p w14:paraId="6E7C628B"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W Parku nie prowadzono książki kontroli magazynu broni. Kontrolę magazynu może przeprowadzić Dyrektor Parku w każdej chwili oraz upoważniony przez Komendanta Wojewódzkiego Policji w Rzeszowie funkcjonariusz Policji. Tego rodzaju kontrolę funkcjonariusze Komendy Wojewódzkiej Policji w Rzeszowie przeprowadzili w 2018 r. Nie stwierdzono nieprawidłowości. </w:t>
      </w:r>
    </w:p>
    <w:p w14:paraId="34DD5DD7"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w:t>
      </w:r>
      <w:r w:rsidRPr="008C1E51">
        <w:t xml:space="preserve"> </w:t>
      </w:r>
      <w:r w:rsidRPr="008C1E51">
        <w:rPr>
          <w:rFonts w:eastAsia="Calibri" w:cs="Times New Roman"/>
          <w:szCs w:val="20"/>
        </w:rPr>
        <w:t>III/128-129,</w:t>
      </w:r>
      <w:r w:rsidRPr="008C1E51">
        <w:t xml:space="preserve"> </w:t>
      </w:r>
      <w:r w:rsidRPr="008C1E51">
        <w:rPr>
          <w:rFonts w:eastAsia="Calibri" w:cs="Times New Roman"/>
          <w:szCs w:val="20"/>
        </w:rPr>
        <w:t>III/161-168]</w:t>
      </w:r>
    </w:p>
    <w:p w14:paraId="2B65D7F3" w14:textId="424358B1"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Broń przechowywana była w magazynie broni w szafie atestowanej na broń klasy S1. Magazyn wyposażony był w atestowane zamki i drzwi klasy C oraz system alarmowy sygnalizacji włamania </w:t>
      </w:r>
      <w:r w:rsidR="00211832" w:rsidRPr="008C1E51">
        <w:rPr>
          <w:rFonts w:eastAsia="Calibri" w:cs="Times New Roman"/>
          <w:szCs w:val="20"/>
        </w:rPr>
        <w:t>i napadu</w:t>
      </w:r>
      <w:r w:rsidRPr="008C1E51">
        <w:rPr>
          <w:rFonts w:eastAsia="Calibri" w:cs="Times New Roman"/>
          <w:szCs w:val="20"/>
        </w:rPr>
        <w:t xml:space="preserve"> z transmisją sygnału alarmu do uzbrojonego stanowiska interwencyjnego pełniącego całodobowy dyżur. Szafa i zamek do drzwi wejściowych do magazynu </w:t>
      </w:r>
      <w:r w:rsidR="00211832" w:rsidRPr="008C1E51">
        <w:rPr>
          <w:rFonts w:eastAsia="Calibri" w:cs="Times New Roman"/>
          <w:szCs w:val="20"/>
        </w:rPr>
        <w:t>broni posiadały certyfikaty</w:t>
      </w:r>
      <w:r w:rsidRPr="008C1E51">
        <w:rPr>
          <w:rFonts w:eastAsia="Calibri" w:cs="Times New Roman"/>
          <w:szCs w:val="20"/>
        </w:rPr>
        <w:t xml:space="preserve"> zgodności</w:t>
      </w:r>
      <w:r w:rsidRPr="008C1E51">
        <w:rPr>
          <w:rFonts w:eastAsia="Calibri" w:cs="Times New Roman"/>
          <w:szCs w:val="20"/>
          <w:vertAlign w:val="superscript"/>
        </w:rPr>
        <w:footnoteReference w:id="201"/>
      </w:r>
      <w:r w:rsidRPr="008C1E51">
        <w:rPr>
          <w:rFonts w:eastAsia="Calibri" w:cs="Times New Roman"/>
          <w:szCs w:val="20"/>
        </w:rPr>
        <w:t xml:space="preserve"> Instytutu Mechaniki Precyzyjnej.</w:t>
      </w:r>
    </w:p>
    <w:p w14:paraId="7D1A4CC1"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III/169-172]</w:t>
      </w:r>
    </w:p>
    <w:p w14:paraId="74FF9341"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Kontrola ustaliła, że w okresie objętym kontrolą funkcjonariusze Straży Parku </w:t>
      </w:r>
      <w:proofErr w:type="spellStart"/>
      <w:r w:rsidRPr="008C1E51">
        <w:rPr>
          <w:rFonts w:eastAsia="Calibri" w:cs="Times New Roman"/>
          <w:szCs w:val="20"/>
        </w:rPr>
        <w:t>BdPN</w:t>
      </w:r>
      <w:proofErr w:type="spellEnd"/>
      <w:r w:rsidRPr="008C1E51">
        <w:rPr>
          <w:rFonts w:eastAsia="Calibri" w:cs="Times New Roman"/>
          <w:szCs w:val="20"/>
        </w:rPr>
        <w:t xml:space="preserve"> nie podejmowali interwencji z użyciem broni palnej. Broń używana była jedynie dla celów treningowych.</w:t>
      </w:r>
    </w:p>
    <w:p w14:paraId="0BC10A4B"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 III/127,</w:t>
      </w:r>
      <w:r w:rsidRPr="008C1E51">
        <w:t xml:space="preserve"> </w:t>
      </w:r>
      <w:r w:rsidRPr="008C1E51">
        <w:rPr>
          <w:rFonts w:eastAsia="Calibri" w:cs="Times New Roman"/>
          <w:szCs w:val="20"/>
        </w:rPr>
        <w:t>III/216]</w:t>
      </w:r>
    </w:p>
    <w:p w14:paraId="07B4A575" w14:textId="77777777" w:rsidR="008C1E51" w:rsidRPr="008C1E51" w:rsidRDefault="008C1E51" w:rsidP="008C1E51">
      <w:pPr>
        <w:spacing w:before="120" w:after="120" w:line="276" w:lineRule="auto"/>
        <w:rPr>
          <w:rFonts w:eastAsia="Calibri" w:cs="Times New Roman"/>
          <w:bCs/>
          <w:szCs w:val="20"/>
          <w:u w:val="single"/>
        </w:rPr>
      </w:pPr>
      <w:r w:rsidRPr="008C1E51">
        <w:rPr>
          <w:rFonts w:eastAsia="Calibri" w:cs="Times New Roman"/>
          <w:bCs/>
          <w:szCs w:val="20"/>
          <w:u w:val="single"/>
        </w:rPr>
        <w:t>Mandaty i kontrola ruchu drogowego</w:t>
      </w:r>
    </w:p>
    <w:p w14:paraId="383C348C" w14:textId="11B1E9A8" w:rsidR="008C1E51" w:rsidRPr="008C1E51" w:rsidRDefault="008C1E51" w:rsidP="008C1E51">
      <w:pPr>
        <w:spacing w:before="120" w:after="120" w:line="276" w:lineRule="auto"/>
        <w:rPr>
          <w:rFonts w:eastAsia="Calibri" w:cs="Times New Roman"/>
          <w:bCs/>
          <w:szCs w:val="20"/>
        </w:rPr>
      </w:pPr>
      <w:r w:rsidRPr="008C1E51">
        <w:rPr>
          <w:rFonts w:eastAsia="Calibri" w:cs="Times New Roman"/>
          <w:bCs/>
          <w:szCs w:val="20"/>
        </w:rPr>
        <w:t xml:space="preserve">Ustalono, że w okresie objętym kontrolą w </w:t>
      </w:r>
      <w:proofErr w:type="spellStart"/>
      <w:r w:rsidRPr="008C1E51">
        <w:rPr>
          <w:rFonts w:eastAsia="Calibri" w:cs="Times New Roman"/>
          <w:bCs/>
          <w:szCs w:val="20"/>
        </w:rPr>
        <w:t>BdPN</w:t>
      </w:r>
      <w:proofErr w:type="spellEnd"/>
      <w:r w:rsidRPr="008C1E51">
        <w:rPr>
          <w:rFonts w:eastAsia="Calibri" w:cs="Times New Roman"/>
          <w:bCs/>
          <w:szCs w:val="20"/>
        </w:rPr>
        <w:t xml:space="preserve"> wszyscy funkcjonariusze posiadali upoważnienia </w:t>
      </w:r>
      <w:r w:rsidR="00211832" w:rsidRPr="008C1E51">
        <w:rPr>
          <w:rFonts w:eastAsia="Calibri" w:cs="Times New Roman"/>
          <w:bCs/>
          <w:szCs w:val="20"/>
        </w:rPr>
        <w:t>do nakładania</w:t>
      </w:r>
      <w:r w:rsidRPr="008C1E51">
        <w:rPr>
          <w:rFonts w:eastAsia="Calibri" w:cs="Times New Roman"/>
          <w:bCs/>
          <w:szCs w:val="20"/>
        </w:rPr>
        <w:t xml:space="preserve"> mandatów karnych i przeprowadzania kontroli ruchu drogowego. Upoważnienia do wystawiania mandatów ewidencjonowane były w Książce Upoważnień prowadzonej przez Posterunek Straży Parku.</w:t>
      </w:r>
    </w:p>
    <w:p w14:paraId="78B8BDCA"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w:t>
      </w:r>
      <w:r w:rsidRPr="008C1E51">
        <w:t xml:space="preserve"> III/127, </w:t>
      </w:r>
      <w:r w:rsidRPr="008C1E51">
        <w:rPr>
          <w:rFonts w:eastAsia="Calibri" w:cs="Times New Roman"/>
          <w:szCs w:val="20"/>
        </w:rPr>
        <w:t>III/177, III/202-210, III/223-244]</w:t>
      </w:r>
    </w:p>
    <w:p w14:paraId="6255F3E7" w14:textId="77777777" w:rsidR="008C1E51" w:rsidRPr="008C1E51" w:rsidRDefault="008C1E51" w:rsidP="008C1E51">
      <w:pPr>
        <w:spacing w:before="120" w:after="120" w:line="276" w:lineRule="auto"/>
        <w:ind w:left="4254" w:firstLine="709"/>
        <w:rPr>
          <w:rFonts w:eastAsia="Calibri" w:cs="Times New Roman"/>
          <w:szCs w:val="20"/>
        </w:rPr>
      </w:pPr>
    </w:p>
    <w:p w14:paraId="167AD922" w14:textId="5841FBD5" w:rsidR="008C1E51" w:rsidRPr="008C1E51" w:rsidRDefault="008C1E51" w:rsidP="008C1E51">
      <w:pPr>
        <w:spacing w:before="120" w:after="120" w:line="276" w:lineRule="auto"/>
        <w:rPr>
          <w:rFonts w:eastAsia="Calibri" w:cs="Times New Roman"/>
          <w:bCs/>
          <w:szCs w:val="20"/>
        </w:rPr>
      </w:pPr>
      <w:r w:rsidRPr="008C1E51">
        <w:rPr>
          <w:rFonts w:eastAsia="Calibri" w:cs="Times New Roman"/>
          <w:bCs/>
          <w:szCs w:val="20"/>
        </w:rPr>
        <w:t xml:space="preserve">Za gospodarkę mandatową odpowiadał Komendant Straży Parku, który na podstawie upoważnienia </w:t>
      </w:r>
      <w:r w:rsidR="00211832" w:rsidRPr="008C1E51">
        <w:rPr>
          <w:rFonts w:eastAsia="Calibri" w:cs="Times New Roman"/>
          <w:bCs/>
          <w:szCs w:val="20"/>
        </w:rPr>
        <w:t>z 12</w:t>
      </w:r>
      <w:r w:rsidRPr="008C1E51">
        <w:rPr>
          <w:rFonts w:eastAsia="Calibri" w:cs="Times New Roman"/>
          <w:bCs/>
          <w:szCs w:val="20"/>
        </w:rPr>
        <w:t xml:space="preserve"> grudnia 2018 r. uprawniony był do odbioru formularzy mandatów karnych w jednostkach organizacyjnych Krajowej Administracji Skarbowej w Rzeszowie.</w:t>
      </w:r>
    </w:p>
    <w:p w14:paraId="01E8BCA1" w14:textId="77777777" w:rsidR="008C1E51" w:rsidRPr="008C1E51" w:rsidRDefault="008C1E51" w:rsidP="008C1E51">
      <w:pPr>
        <w:spacing w:before="120" w:after="120" w:line="276" w:lineRule="auto"/>
        <w:jc w:val="right"/>
        <w:rPr>
          <w:rFonts w:eastAsia="Calibri" w:cs="Times New Roman"/>
          <w:bCs/>
          <w:szCs w:val="20"/>
        </w:rPr>
      </w:pPr>
      <w:r w:rsidRPr="008C1E51">
        <w:rPr>
          <w:rFonts w:eastAsia="Calibri" w:cs="Times New Roman"/>
          <w:szCs w:val="20"/>
        </w:rPr>
        <w:t>[Dowód: akta kontroli str.</w:t>
      </w:r>
      <w:r w:rsidRPr="008C1E51">
        <w:t xml:space="preserve"> III/176]</w:t>
      </w:r>
    </w:p>
    <w:p w14:paraId="589926B5" w14:textId="2EC5A028" w:rsidR="008C1E51" w:rsidRPr="008C1E51" w:rsidRDefault="008C1E51" w:rsidP="008C1E51">
      <w:pPr>
        <w:spacing w:before="120" w:after="120" w:line="276" w:lineRule="auto"/>
        <w:rPr>
          <w:rFonts w:eastAsia="Calibri" w:cs="Times New Roman"/>
          <w:bCs/>
          <w:szCs w:val="20"/>
        </w:rPr>
      </w:pPr>
      <w:r w:rsidRPr="008C1E51">
        <w:rPr>
          <w:rFonts w:eastAsia="Calibri" w:cs="Times New Roman"/>
          <w:bCs/>
          <w:szCs w:val="20"/>
        </w:rPr>
        <w:t xml:space="preserve">Nałożone mandaty rozliczane były elektronicznie, wykorzystane bloczki mandatowe rozliczane były w jednostkach organizacyjnych Krajowej Administracji Skarbowej </w:t>
      </w:r>
      <w:r w:rsidRPr="008C1E51">
        <w:rPr>
          <w:rFonts w:eastAsia="Calibri" w:cs="Times New Roman"/>
          <w:bCs/>
          <w:szCs w:val="20"/>
        </w:rPr>
        <w:br/>
        <w:t>w Rzeszowie</w:t>
      </w:r>
      <w:r w:rsidRPr="008C1E51">
        <w:rPr>
          <w:rFonts w:eastAsia="Calibri" w:cs="Times New Roman"/>
          <w:bCs/>
          <w:szCs w:val="20"/>
          <w:vertAlign w:val="superscript"/>
        </w:rPr>
        <w:footnoteReference w:id="202"/>
      </w:r>
      <w:r w:rsidRPr="008C1E51">
        <w:rPr>
          <w:rFonts w:eastAsia="Calibri" w:cs="Times New Roman"/>
          <w:bCs/>
          <w:szCs w:val="20"/>
        </w:rPr>
        <w:t xml:space="preserve">. Formularze mandatów karnych </w:t>
      </w:r>
      <w:r w:rsidR="00211832" w:rsidRPr="008C1E51">
        <w:rPr>
          <w:rFonts w:eastAsia="Calibri" w:cs="Times New Roman"/>
          <w:bCs/>
          <w:szCs w:val="20"/>
        </w:rPr>
        <w:t>były ewidencjonowanie</w:t>
      </w:r>
      <w:r w:rsidRPr="008C1E51">
        <w:rPr>
          <w:rFonts w:eastAsia="Calibri" w:cs="Times New Roman"/>
          <w:bCs/>
          <w:szCs w:val="20"/>
        </w:rPr>
        <w:t xml:space="preserve"> w książce ewidencji druków ścisłego zarachowania.</w:t>
      </w:r>
    </w:p>
    <w:p w14:paraId="066ECCC5" w14:textId="77777777" w:rsidR="008C1E51" w:rsidRPr="008C1E51" w:rsidRDefault="008C1E51" w:rsidP="008C1E51">
      <w:pPr>
        <w:spacing w:before="120" w:after="120" w:line="276" w:lineRule="auto"/>
        <w:rPr>
          <w:rFonts w:eastAsia="Calibri" w:cs="Times New Roman"/>
          <w:bCs/>
          <w:szCs w:val="20"/>
        </w:rPr>
      </w:pPr>
      <w:r w:rsidRPr="008C1E51">
        <w:rPr>
          <w:rFonts w:eastAsia="Calibri" w:cs="Times New Roman"/>
          <w:bCs/>
          <w:szCs w:val="20"/>
        </w:rPr>
        <w:t xml:space="preserve">Wszyscy funkcjonariusze Straży Parku w </w:t>
      </w:r>
      <w:proofErr w:type="spellStart"/>
      <w:r w:rsidRPr="008C1E51">
        <w:rPr>
          <w:rFonts w:eastAsia="Calibri" w:cs="Times New Roman"/>
          <w:bCs/>
          <w:szCs w:val="20"/>
        </w:rPr>
        <w:t>BdPN</w:t>
      </w:r>
      <w:proofErr w:type="spellEnd"/>
      <w:r w:rsidRPr="008C1E51">
        <w:rPr>
          <w:rFonts w:eastAsia="Calibri" w:cs="Times New Roman"/>
          <w:bCs/>
          <w:szCs w:val="20"/>
        </w:rPr>
        <w:t xml:space="preserve"> zostali przeszkoleni z zakresu przeprowadzania kontroli drogowej i kierowania ruchem drogowym.  Ustalono, że wszyscy funkcjonariusze Straży Parku posiadali ważne upoważnienia Komendanta Powiatowego Policji w Ustrzykach Dolnych do przeprowadzania kontroli drogowych oraz zaświadczenia Wojewódzkiego Ośrodka Ruchu Drogowego w Tarnobrzegu uprawniające do kierowania ruchem drogowym wyłącznie na obszarze Parku.</w:t>
      </w:r>
    </w:p>
    <w:p w14:paraId="63B251F8" w14:textId="77777777" w:rsidR="008C1E51" w:rsidRPr="008C1E51" w:rsidRDefault="008C1E51" w:rsidP="008C1E51">
      <w:pPr>
        <w:spacing w:before="120" w:after="120" w:line="276" w:lineRule="auto"/>
        <w:jc w:val="right"/>
        <w:rPr>
          <w:rFonts w:eastAsia="Calibri" w:cs="Times New Roman"/>
          <w:bCs/>
          <w:szCs w:val="20"/>
        </w:rPr>
      </w:pPr>
      <w:r w:rsidRPr="008C1E51">
        <w:rPr>
          <w:rFonts w:eastAsia="Calibri" w:cs="Times New Roman"/>
          <w:szCs w:val="20"/>
        </w:rPr>
        <w:t>[Dowód: akta kontroli str.</w:t>
      </w:r>
      <w:r w:rsidRPr="008C1E51">
        <w:t xml:space="preserve"> III/178-180, III/201-210, III/221-244]</w:t>
      </w:r>
    </w:p>
    <w:p w14:paraId="4AFF7DF8" w14:textId="77777777" w:rsidR="008C1E51" w:rsidRPr="008C1E51" w:rsidRDefault="008C1E51" w:rsidP="008C1E51">
      <w:pPr>
        <w:spacing w:before="120" w:after="120" w:line="276" w:lineRule="auto"/>
        <w:rPr>
          <w:rFonts w:eastAsia="Calibri" w:cs="Times New Roman"/>
          <w:bCs/>
          <w:szCs w:val="20"/>
        </w:rPr>
      </w:pPr>
      <w:r w:rsidRPr="008C1E51">
        <w:rPr>
          <w:rFonts w:eastAsia="Calibri" w:cs="Times New Roman"/>
          <w:bCs/>
          <w:szCs w:val="20"/>
        </w:rPr>
        <w:t>W okresie objętym kontrolą Straż Parku wykonała łącznie</w:t>
      </w:r>
      <w:r w:rsidRPr="008C1E51">
        <w:rPr>
          <w:rFonts w:eastAsia="Calibri" w:cs="Times New Roman"/>
          <w:bCs/>
          <w:szCs w:val="20"/>
          <w:vertAlign w:val="superscript"/>
        </w:rPr>
        <w:footnoteReference w:id="203"/>
      </w:r>
      <w:r w:rsidRPr="008C1E51">
        <w:rPr>
          <w:rFonts w:eastAsia="Calibri" w:cs="Times New Roman"/>
          <w:bCs/>
          <w:szCs w:val="20"/>
        </w:rPr>
        <w:t xml:space="preserve"> 239 interwencji (w roku 2019 - 71; w roku 2020 – 102; w roku 2021 47 i do kwietnia 2022 – 19). W ramach tych interwencji nałożono 171 mandatów karnych na kwotę 18 160,00 zł. Najczęstszym rodzajem wykroczeń były: przebywanie poza wyznaczonymi szlakami, wprowadzanie psów na obszary ochrony ścisłej i chronionej, nieuprawniony wjazd pojazdami na teren Parku, palenie ognisk </w:t>
      </w:r>
      <w:r w:rsidRPr="008C1E51">
        <w:rPr>
          <w:rFonts w:eastAsia="Calibri" w:cs="Times New Roman"/>
          <w:bCs/>
          <w:szCs w:val="20"/>
        </w:rPr>
        <w:br/>
        <w:t>i wyrobów tytoniowych, biwakowanie poza miejscami wyznaczonymi, zbiór runa leśnego.</w:t>
      </w:r>
    </w:p>
    <w:p w14:paraId="46907BFE" w14:textId="77777777" w:rsidR="008C1E51" w:rsidRPr="008C1E51" w:rsidRDefault="008C1E51" w:rsidP="008C1E51">
      <w:pPr>
        <w:spacing w:before="120" w:after="120" w:line="276" w:lineRule="auto"/>
        <w:jc w:val="right"/>
        <w:rPr>
          <w:rFonts w:eastAsia="Calibri" w:cs="Times New Roman"/>
          <w:b/>
          <w:szCs w:val="20"/>
        </w:rPr>
      </w:pPr>
      <w:r w:rsidRPr="008C1E51">
        <w:rPr>
          <w:rFonts w:eastAsia="Calibri" w:cs="Times New Roman"/>
          <w:szCs w:val="20"/>
        </w:rPr>
        <w:t>[Dowód: akta kontroli str. III/211-213]</w:t>
      </w:r>
    </w:p>
    <w:p w14:paraId="2FF1A481" w14:textId="77777777" w:rsidR="008C1E51" w:rsidRPr="008C1E51" w:rsidRDefault="008C1E51" w:rsidP="008C1E51">
      <w:pPr>
        <w:spacing w:before="120" w:after="120" w:line="276" w:lineRule="auto"/>
        <w:rPr>
          <w:rFonts w:eastAsia="Calibri" w:cs="Times New Roman"/>
          <w:bCs/>
          <w:szCs w:val="20"/>
        </w:rPr>
      </w:pPr>
      <w:r w:rsidRPr="008C1E51">
        <w:rPr>
          <w:rFonts w:eastAsia="Calibri" w:cs="Times New Roman"/>
          <w:bCs/>
          <w:szCs w:val="20"/>
        </w:rPr>
        <w:t>Straż Parku prowadziła rejestr osób ukaranych mandatem karnym. Rejestr zawierał podstawowe informacje tj. imię i nazwisko osoby ukaranej, kwoty nałożonej grzywny, seria i nr mandatu karnego, data ukarania, podstawa prawna nałożenia grzywny w drodze mandatu karnego.</w:t>
      </w:r>
    </w:p>
    <w:p w14:paraId="6440AB8C" w14:textId="77777777" w:rsidR="008C1E51" w:rsidRPr="008C1E51" w:rsidRDefault="008C1E51" w:rsidP="008C1E51">
      <w:pPr>
        <w:spacing w:before="120" w:after="120" w:line="276" w:lineRule="auto"/>
        <w:jc w:val="right"/>
        <w:rPr>
          <w:rFonts w:eastAsia="Calibri" w:cs="Times New Roman"/>
          <w:bCs/>
          <w:szCs w:val="20"/>
        </w:rPr>
      </w:pPr>
      <w:r w:rsidRPr="008C1E51">
        <w:rPr>
          <w:rFonts w:eastAsia="Calibri" w:cs="Times New Roman"/>
          <w:szCs w:val="20"/>
        </w:rPr>
        <w:t>[Dowód: akta kontroli str.</w:t>
      </w:r>
      <w:r w:rsidRPr="008C1E51">
        <w:t xml:space="preserve"> III/181-189]</w:t>
      </w:r>
    </w:p>
    <w:p w14:paraId="20020D07" w14:textId="77777777" w:rsidR="008C1E51" w:rsidRPr="008C1E51" w:rsidRDefault="008C1E51" w:rsidP="008C1E51">
      <w:pPr>
        <w:spacing w:before="120" w:after="120" w:line="276" w:lineRule="auto"/>
        <w:rPr>
          <w:rFonts w:eastAsia="Calibri" w:cs="Times New Roman"/>
          <w:szCs w:val="20"/>
          <w:lang w:bidi="pl-PL"/>
        </w:rPr>
      </w:pPr>
      <w:r w:rsidRPr="008C1E51">
        <w:rPr>
          <w:rFonts w:eastAsia="Calibri" w:cs="Times New Roman"/>
          <w:bCs/>
          <w:szCs w:val="20"/>
        </w:rPr>
        <w:t>Park nie prowadził rejestru zgłoszeń telefonicznych o podjęcie interwencji przez funkcjonariuszy Straży Parku. 1 lipca 2008 r. Bieszczadzki Park Narodowy zawarł porozumienie z Podkarpackim Komendantem Wojewódzkim Policji w Rzeszowie w sprawie współdziałania w zakresie zwalczania zagrożeń dla środowiska naturalnego. Ww. dokument stanowił, że współdziałanie stron realizowane było i będzie poprzez udzielanie wzajemnej pomocy, prowadzenie wspólnych działań i wymianę informacji.</w:t>
      </w:r>
      <w:bookmarkStart w:id="59" w:name="_Hlk125114274"/>
    </w:p>
    <w:p w14:paraId="09BA7FFE" w14:textId="77777777" w:rsidR="008C1E51" w:rsidRPr="008C1E51" w:rsidRDefault="008C1E51" w:rsidP="008C1E51">
      <w:pPr>
        <w:spacing w:before="120" w:after="120" w:line="276" w:lineRule="auto"/>
        <w:jc w:val="right"/>
        <w:rPr>
          <w:rFonts w:eastAsia="Calibri" w:cs="Times New Roman"/>
          <w:i/>
          <w:iCs/>
          <w:szCs w:val="20"/>
          <w:lang w:bidi="pl-PL"/>
        </w:rPr>
      </w:pPr>
      <w:r w:rsidRPr="008C1E51">
        <w:rPr>
          <w:rFonts w:eastAsia="Calibri" w:cs="Times New Roman"/>
          <w:szCs w:val="20"/>
          <w:lang w:bidi="pl-PL"/>
        </w:rPr>
        <w:t>[Dowód: akta kontroli str.</w:t>
      </w:r>
      <w:r w:rsidRPr="008C1E51">
        <w:rPr>
          <w:rFonts w:eastAsia="Calibri" w:cs="Times New Roman"/>
          <w:szCs w:val="20"/>
        </w:rPr>
        <w:t xml:space="preserve"> III/217-220</w:t>
      </w:r>
      <w:r w:rsidRPr="008C1E51">
        <w:rPr>
          <w:rFonts w:eastAsia="Calibri" w:cs="Times New Roman"/>
          <w:szCs w:val="20"/>
          <w:lang w:bidi="pl-PL"/>
        </w:rPr>
        <w:t>]</w:t>
      </w:r>
    </w:p>
    <w:bookmarkEnd w:id="59"/>
    <w:p w14:paraId="52CCDA76"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Szkolenia funkcjonariuszy Straży Parku</w:t>
      </w:r>
    </w:p>
    <w:p w14:paraId="17E5BAA2"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latach 2019-2022 funkcjonariusze Straży Parku uczestniczyli w 5 szkoleniach dedykowanych:</w:t>
      </w:r>
    </w:p>
    <w:p w14:paraId="6335A38E" w14:textId="77777777" w:rsidR="008C1E51" w:rsidRPr="008C1E51" w:rsidRDefault="008C1E51" w:rsidP="008C1E51">
      <w:pPr>
        <w:numPr>
          <w:ilvl w:val="0"/>
          <w:numId w:val="3"/>
        </w:numPr>
        <w:spacing w:before="120" w:after="120" w:line="276" w:lineRule="auto"/>
        <w:jc w:val="left"/>
        <w:rPr>
          <w:rFonts w:eastAsia="Calibri" w:cs="Times New Roman"/>
          <w:szCs w:val="20"/>
        </w:rPr>
      </w:pPr>
      <w:r w:rsidRPr="008C1E51">
        <w:rPr>
          <w:rFonts w:eastAsia="Calibri" w:cs="Times New Roman"/>
          <w:szCs w:val="20"/>
        </w:rPr>
        <w:t>kierowanie ruchem drogowym (6 osób),</w:t>
      </w:r>
    </w:p>
    <w:p w14:paraId="1BD05C19" w14:textId="77777777" w:rsidR="008C1E51" w:rsidRPr="008C1E51" w:rsidRDefault="008C1E51" w:rsidP="008C1E51">
      <w:pPr>
        <w:numPr>
          <w:ilvl w:val="0"/>
          <w:numId w:val="3"/>
        </w:numPr>
        <w:spacing w:before="120" w:after="120" w:line="276" w:lineRule="auto"/>
        <w:jc w:val="left"/>
        <w:rPr>
          <w:rFonts w:eastAsia="Calibri" w:cs="Times New Roman"/>
          <w:szCs w:val="20"/>
        </w:rPr>
      </w:pPr>
      <w:r w:rsidRPr="008C1E51">
        <w:rPr>
          <w:rFonts w:eastAsia="Calibri" w:cs="Times New Roman"/>
          <w:szCs w:val="20"/>
        </w:rPr>
        <w:t>wykonywanie kontroli ruchu drogowego (szkolenie uzupełniające) (2 osoby),</w:t>
      </w:r>
    </w:p>
    <w:p w14:paraId="2369F8EF" w14:textId="77777777" w:rsidR="008C1E51" w:rsidRPr="008C1E51" w:rsidRDefault="008C1E51" w:rsidP="008C1E51">
      <w:pPr>
        <w:numPr>
          <w:ilvl w:val="0"/>
          <w:numId w:val="3"/>
        </w:numPr>
        <w:spacing w:before="120" w:after="120" w:line="276" w:lineRule="auto"/>
        <w:jc w:val="left"/>
        <w:rPr>
          <w:rFonts w:eastAsia="Calibri" w:cs="Times New Roman"/>
          <w:szCs w:val="20"/>
        </w:rPr>
      </w:pPr>
      <w:r w:rsidRPr="008C1E51">
        <w:rPr>
          <w:rFonts w:eastAsia="Calibri" w:cs="Times New Roman"/>
          <w:szCs w:val="20"/>
        </w:rPr>
        <w:t>szkolenie podstawowe funkcjonariusza Straży Parku (1 osoba),</w:t>
      </w:r>
    </w:p>
    <w:p w14:paraId="337FB819" w14:textId="77777777" w:rsidR="008C1E51" w:rsidRPr="008C1E51" w:rsidRDefault="008C1E51" w:rsidP="008C1E51">
      <w:pPr>
        <w:numPr>
          <w:ilvl w:val="0"/>
          <w:numId w:val="3"/>
        </w:numPr>
        <w:spacing w:before="120" w:after="120" w:line="276" w:lineRule="auto"/>
        <w:jc w:val="left"/>
        <w:rPr>
          <w:rFonts w:eastAsia="Calibri" w:cs="Times New Roman"/>
          <w:szCs w:val="20"/>
        </w:rPr>
      </w:pPr>
      <w:r w:rsidRPr="008C1E51">
        <w:rPr>
          <w:rFonts w:eastAsia="Calibri" w:cs="Times New Roman"/>
          <w:szCs w:val="20"/>
        </w:rPr>
        <w:t>posługiwanie się bronią palną (1 osoba),</w:t>
      </w:r>
    </w:p>
    <w:p w14:paraId="45C677AA" w14:textId="77777777" w:rsidR="008C1E51" w:rsidRPr="008C1E51" w:rsidRDefault="008C1E51" w:rsidP="008C1E51">
      <w:pPr>
        <w:numPr>
          <w:ilvl w:val="0"/>
          <w:numId w:val="3"/>
        </w:numPr>
        <w:spacing w:before="120" w:after="120" w:line="276" w:lineRule="auto"/>
        <w:jc w:val="left"/>
        <w:rPr>
          <w:rFonts w:eastAsia="Calibri" w:cs="Times New Roman"/>
          <w:szCs w:val="20"/>
        </w:rPr>
      </w:pPr>
      <w:r w:rsidRPr="008C1E51">
        <w:rPr>
          <w:rFonts w:eastAsia="Calibri" w:cs="Times New Roman"/>
          <w:szCs w:val="20"/>
        </w:rPr>
        <w:t xml:space="preserve">wykonywanie kontroli ruchu drogowego (1 osoba). </w:t>
      </w:r>
    </w:p>
    <w:p w14:paraId="69E993C4" w14:textId="77777777" w:rsidR="008C1E51" w:rsidRPr="008C1E51" w:rsidRDefault="008C1E51" w:rsidP="008C1E51">
      <w:pPr>
        <w:spacing w:before="120" w:after="120" w:line="276" w:lineRule="auto"/>
        <w:rPr>
          <w:rFonts w:eastAsia="Calibri" w:cs="Times New Roman"/>
          <w:bCs/>
          <w:szCs w:val="20"/>
        </w:rPr>
      </w:pPr>
      <w:r w:rsidRPr="008C1E51">
        <w:rPr>
          <w:rFonts w:eastAsia="Calibri" w:cs="Times New Roman"/>
          <w:szCs w:val="20"/>
        </w:rPr>
        <w:t>Komendant wyjaśnił</w:t>
      </w:r>
      <w:r w:rsidRPr="008C1E51">
        <w:rPr>
          <w:rFonts w:eastAsia="Calibri" w:cs="Times New Roman"/>
          <w:szCs w:val="20"/>
          <w:vertAlign w:val="superscript"/>
        </w:rPr>
        <w:footnoteReference w:id="204"/>
      </w:r>
      <w:r w:rsidRPr="008C1E51">
        <w:rPr>
          <w:rFonts w:eastAsia="Calibri" w:cs="Times New Roman"/>
          <w:szCs w:val="20"/>
        </w:rPr>
        <w:t>, że każdy funkcjonariusz Straży Parku w </w:t>
      </w:r>
      <w:proofErr w:type="spellStart"/>
      <w:r w:rsidRPr="008C1E51">
        <w:rPr>
          <w:rFonts w:eastAsia="Calibri" w:cs="Times New Roman"/>
          <w:szCs w:val="20"/>
        </w:rPr>
        <w:t>BdPN</w:t>
      </w:r>
      <w:proofErr w:type="spellEnd"/>
      <w:r w:rsidRPr="008C1E51">
        <w:rPr>
          <w:rFonts w:eastAsia="Calibri" w:cs="Times New Roman"/>
          <w:szCs w:val="20"/>
        </w:rPr>
        <w:t xml:space="preserve"> był przeszkolony </w:t>
      </w:r>
      <w:r w:rsidRPr="008C1E51">
        <w:rPr>
          <w:rFonts w:eastAsia="Calibri" w:cs="Times New Roman"/>
          <w:szCs w:val="20"/>
        </w:rPr>
        <w:br/>
        <w:t xml:space="preserve">w zakresie użycia lub wykorzystania środków przymusu bezpośredniego. </w:t>
      </w:r>
    </w:p>
    <w:p w14:paraId="40D6AC55" w14:textId="77777777" w:rsidR="008C1E51" w:rsidRPr="008C1E51" w:rsidRDefault="008C1E51" w:rsidP="008C1E51">
      <w:pPr>
        <w:spacing w:before="120" w:after="120" w:line="276" w:lineRule="auto"/>
        <w:rPr>
          <w:rFonts w:eastAsia="Calibri" w:cs="Times New Roman"/>
          <w:bCs/>
          <w:szCs w:val="20"/>
        </w:rPr>
      </w:pPr>
      <w:r w:rsidRPr="008C1E51">
        <w:rPr>
          <w:rFonts w:eastAsia="Calibri" w:cs="Times New Roman"/>
          <w:bCs/>
          <w:szCs w:val="20"/>
        </w:rPr>
        <w:t>W 2018 r. 6 funkcjonariuszy Straży Parku przeszło 5 tygodniowe szkolenie w Centrum Szkolenia Policji w Legionowie, obejmujące m.in. zakres stosowania taktyki i techniki interwencji m.in. z użyciem środków przymusu bezpośredniego. W aktach osobowych funkcjonariuszy przechowywane były certyfikaty potwierdzające ukończenie wymaganych szkoleń.</w:t>
      </w:r>
    </w:p>
    <w:p w14:paraId="069E0276" w14:textId="14BBF559"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Ponadto w czerwcu 2022 r. funkcjonariusze Straży Parku w </w:t>
      </w:r>
      <w:proofErr w:type="spellStart"/>
      <w:r w:rsidRPr="008C1E51">
        <w:rPr>
          <w:rFonts w:eastAsia="Calibri" w:cs="Times New Roman"/>
          <w:szCs w:val="20"/>
        </w:rPr>
        <w:t>BdPN</w:t>
      </w:r>
      <w:proofErr w:type="spellEnd"/>
      <w:r w:rsidRPr="008C1E51">
        <w:rPr>
          <w:rFonts w:eastAsia="Calibri" w:cs="Times New Roman"/>
          <w:szCs w:val="20"/>
        </w:rPr>
        <w:t xml:space="preserve"> uczestniczyli w treningu strzeleckim zorganizowanym wspólnie </w:t>
      </w:r>
      <w:r w:rsidR="00211832" w:rsidRPr="008C1E51">
        <w:rPr>
          <w:rFonts w:eastAsia="Calibri" w:cs="Times New Roman"/>
          <w:szCs w:val="20"/>
        </w:rPr>
        <w:t>ze Strażnikami</w:t>
      </w:r>
      <w:r w:rsidRPr="008C1E51">
        <w:rPr>
          <w:rFonts w:eastAsia="Calibri" w:cs="Times New Roman"/>
          <w:szCs w:val="20"/>
        </w:rPr>
        <w:t xml:space="preserve"> Magurskiego Parku Narodowego. Trening przeprowadził pracownik </w:t>
      </w:r>
      <w:proofErr w:type="spellStart"/>
      <w:r w:rsidR="00211832" w:rsidRPr="008C1E51">
        <w:rPr>
          <w:rFonts w:eastAsia="Calibri" w:cs="Times New Roman"/>
          <w:szCs w:val="20"/>
        </w:rPr>
        <w:t>BdPN</w:t>
      </w:r>
      <w:proofErr w:type="spellEnd"/>
      <w:r w:rsidR="00211832" w:rsidRPr="008C1E51">
        <w:rPr>
          <w:rFonts w:eastAsia="Calibri" w:cs="Times New Roman"/>
          <w:szCs w:val="20"/>
        </w:rPr>
        <w:t xml:space="preserve"> zatrudniony</w:t>
      </w:r>
      <w:r w:rsidRPr="008C1E51">
        <w:rPr>
          <w:rFonts w:eastAsia="Calibri" w:cs="Times New Roman"/>
          <w:szCs w:val="20"/>
        </w:rPr>
        <w:t xml:space="preserve"> na stanowisku podleśniczego (były funkcjonariusz Straży Parku), który posiada uprawnienia do prowadzenia szkoleń ze strzelania</w:t>
      </w:r>
      <w:r w:rsidRPr="008C1E51">
        <w:rPr>
          <w:rFonts w:eastAsia="Calibri" w:cs="Times New Roman"/>
          <w:szCs w:val="20"/>
          <w:vertAlign w:val="superscript"/>
        </w:rPr>
        <w:footnoteReference w:id="205"/>
      </w:r>
      <w:r w:rsidRPr="008C1E51">
        <w:rPr>
          <w:rFonts w:eastAsia="Calibri" w:cs="Times New Roman"/>
          <w:szCs w:val="20"/>
        </w:rPr>
        <w:t xml:space="preserve">. </w:t>
      </w:r>
    </w:p>
    <w:p w14:paraId="76D12A94"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Łącznie, w okresie objętym kontrolą koszty szkoleń dla funkcjonariuszy Straży Parku wyniosły 3 860,00 zł.</w:t>
      </w:r>
    </w:p>
    <w:p w14:paraId="515B5511"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w:t>
      </w:r>
      <w:r w:rsidRPr="008C1E51">
        <w:t xml:space="preserve"> III/221-263]</w:t>
      </w:r>
    </w:p>
    <w:p w14:paraId="37DB5D32" w14:textId="77777777" w:rsidR="008C1E51" w:rsidRPr="008C1E51" w:rsidRDefault="008C1E51" w:rsidP="008C1E51">
      <w:pPr>
        <w:spacing w:before="120" w:after="120" w:line="276" w:lineRule="auto"/>
        <w:rPr>
          <w:rFonts w:eastAsia="Calibri" w:cs="Times New Roman"/>
          <w:b/>
          <w:bCs/>
          <w:szCs w:val="20"/>
        </w:rPr>
      </w:pPr>
      <w:r w:rsidRPr="008C1E51">
        <w:rPr>
          <w:rFonts w:eastAsia="Calibri" w:cs="Times New Roman"/>
          <w:b/>
          <w:bCs/>
          <w:szCs w:val="20"/>
        </w:rPr>
        <w:t>Ocena obszaru</w:t>
      </w:r>
    </w:p>
    <w:p w14:paraId="75930FD7" w14:textId="1CE50551" w:rsidR="008C1E51" w:rsidRPr="008C1E51" w:rsidRDefault="008C1E51" w:rsidP="008C1E51">
      <w:pPr>
        <w:spacing w:before="120" w:after="120" w:line="276" w:lineRule="auto"/>
        <w:rPr>
          <w:rFonts w:eastAsia="Calibri" w:cs="Times New Roman"/>
          <w:bCs/>
          <w:szCs w:val="20"/>
        </w:rPr>
      </w:pPr>
      <w:bookmarkStart w:id="60" w:name="_Hlk135149478"/>
      <w:r w:rsidRPr="008C1E51">
        <w:rPr>
          <w:rFonts w:eastAsia="Calibri" w:cs="Times New Roman"/>
          <w:szCs w:val="20"/>
        </w:rPr>
        <w:t xml:space="preserve">Straż Parku w </w:t>
      </w:r>
      <w:proofErr w:type="spellStart"/>
      <w:r w:rsidRPr="008C1E51">
        <w:rPr>
          <w:rFonts w:eastAsia="Calibri" w:cs="Times New Roman"/>
          <w:szCs w:val="20"/>
        </w:rPr>
        <w:t>BdPN</w:t>
      </w:r>
      <w:proofErr w:type="spellEnd"/>
      <w:r w:rsidRPr="008C1E51">
        <w:rPr>
          <w:rFonts w:eastAsia="Calibri" w:cs="Times New Roman"/>
          <w:szCs w:val="20"/>
        </w:rPr>
        <w:t xml:space="preserve"> funkcjonowała w oparciu o regulacje wewnętrzne określające m.in. zasady przechowywania </w:t>
      </w:r>
      <w:r w:rsidR="00211832" w:rsidRPr="008C1E51">
        <w:rPr>
          <w:rFonts w:eastAsia="Calibri" w:cs="Times New Roman"/>
          <w:szCs w:val="20"/>
        </w:rPr>
        <w:t>i posługiwania</w:t>
      </w:r>
      <w:r w:rsidRPr="008C1E51">
        <w:rPr>
          <w:rFonts w:eastAsia="Calibri" w:cs="Times New Roman"/>
          <w:szCs w:val="20"/>
        </w:rPr>
        <w:t xml:space="preserve"> się bronią. Wszyscy funkcjonariusze Straży Parku posiadali </w:t>
      </w:r>
      <w:r w:rsidRPr="008C1E51">
        <w:rPr>
          <w:rFonts w:eastAsia="Calibri" w:cs="Times New Roman"/>
          <w:bCs/>
          <w:szCs w:val="20"/>
        </w:rPr>
        <w:t xml:space="preserve">ważne zaświadczenia lekarskie i psychologiczne, zaświadczenia wydawane przez Policję o nienagannej opinii oraz legitymowali się ukończeniem szkolenia i pozytywnym wynikiem egzaminu. Nieprawidłowością było to, że </w:t>
      </w:r>
      <w:r w:rsidRPr="008C1E51">
        <w:rPr>
          <w:rFonts w:eastAsia="Calibri" w:cs="Times New Roman"/>
          <w:szCs w:val="20"/>
        </w:rPr>
        <w:t>w zakresie czynności i obowiązków pracownika upoważnionego do prowadzenia magazynu broni, brakowało zapisów potwierdzających ten stan.</w:t>
      </w:r>
    </w:p>
    <w:bookmarkEnd w:id="56"/>
    <w:bookmarkEnd w:id="60"/>
    <w:p w14:paraId="25D3B2A7" w14:textId="77777777" w:rsidR="008C1E51" w:rsidRPr="008C1E51" w:rsidRDefault="008C1E51" w:rsidP="008C1E51">
      <w:pPr>
        <w:numPr>
          <w:ilvl w:val="0"/>
          <w:numId w:val="12"/>
        </w:numPr>
        <w:spacing w:before="120" w:after="120" w:line="276" w:lineRule="auto"/>
        <w:ind w:left="426" w:hanging="426"/>
        <w:contextualSpacing/>
        <w:rPr>
          <w:rFonts w:eastAsia="Calibri" w:cs="Times New Roman"/>
          <w:b/>
          <w:bCs/>
          <w:szCs w:val="20"/>
        </w:rPr>
      </w:pPr>
      <w:r w:rsidRPr="008C1E51">
        <w:rPr>
          <w:rFonts w:eastAsia="Calibri" w:cs="Times New Roman"/>
          <w:b/>
          <w:bCs/>
          <w:szCs w:val="20"/>
        </w:rPr>
        <w:t>Wybrane zagadnienia dotyczące polityki kadrowej i organizacji pracy pracowników Parku</w:t>
      </w:r>
    </w:p>
    <w:p w14:paraId="45797AC6"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 xml:space="preserve">Podstawy prawne i organizacja polityki kadrowej w </w:t>
      </w:r>
      <w:proofErr w:type="spellStart"/>
      <w:r w:rsidRPr="008C1E51">
        <w:rPr>
          <w:rFonts w:eastAsia="Calibri" w:cs="Times New Roman"/>
          <w:szCs w:val="20"/>
          <w:u w:val="single"/>
        </w:rPr>
        <w:t>BdPN</w:t>
      </w:r>
      <w:proofErr w:type="spellEnd"/>
    </w:p>
    <w:p w14:paraId="6067CA0E" w14:textId="7F581F17" w:rsidR="008C1E51" w:rsidRPr="008C1E51" w:rsidRDefault="008C1E51" w:rsidP="002A7688">
      <w:pPr>
        <w:spacing w:line="276" w:lineRule="auto"/>
        <w:rPr>
          <w:rFonts w:eastAsia="Calibri" w:cs="Times New Roman"/>
          <w:szCs w:val="20"/>
        </w:rPr>
      </w:pPr>
      <w:bookmarkStart w:id="61" w:name="_Hlk83979979"/>
      <w:r w:rsidRPr="008C1E51">
        <w:rPr>
          <w:rFonts w:eastAsia="Calibri" w:cs="Times New Roman"/>
          <w:szCs w:val="20"/>
        </w:rPr>
        <w:t xml:space="preserve">W okresie objętym kontrolą Dyrektor </w:t>
      </w:r>
      <w:proofErr w:type="spellStart"/>
      <w:r w:rsidRPr="008C1E51">
        <w:rPr>
          <w:rFonts w:eastAsia="Calibri" w:cs="Times New Roman"/>
          <w:szCs w:val="20"/>
        </w:rPr>
        <w:t>BdPN</w:t>
      </w:r>
      <w:proofErr w:type="spellEnd"/>
      <w:r w:rsidRPr="008C1E51">
        <w:rPr>
          <w:rFonts w:eastAsia="Calibri" w:cs="Times New Roman"/>
          <w:szCs w:val="20"/>
        </w:rPr>
        <w:t xml:space="preserve">, realizował politykę kadrową na podstawie Ponadzakładowego Układu Zbiorowego Pracy dla Pracowników Parków Narodowych </w:t>
      </w:r>
      <w:r w:rsidR="00211832" w:rsidRPr="008C1E51">
        <w:rPr>
          <w:rFonts w:eastAsia="Calibri" w:cs="Times New Roman"/>
          <w:szCs w:val="20"/>
        </w:rPr>
        <w:t>z 13</w:t>
      </w:r>
      <w:r w:rsidRPr="008C1E51">
        <w:rPr>
          <w:rFonts w:eastAsia="Calibri" w:cs="Times New Roman"/>
          <w:szCs w:val="20"/>
        </w:rPr>
        <w:t xml:space="preserve"> lutego 2013 r. oraz funkcjonujących w jednostce uregulowań wewnętrznych ustanowionymi zarządzeniami Dyrektora Parku</w:t>
      </w:r>
      <w:r w:rsidRPr="008C1E51">
        <w:rPr>
          <w:rFonts w:eastAsia="Calibri" w:cs="Times New Roman"/>
          <w:szCs w:val="20"/>
          <w:vertAlign w:val="superscript"/>
        </w:rPr>
        <w:footnoteReference w:id="206"/>
      </w:r>
      <w:r w:rsidRPr="008C1E51">
        <w:rPr>
          <w:rFonts w:eastAsia="Calibri" w:cs="Times New Roman"/>
          <w:szCs w:val="20"/>
        </w:rPr>
        <w:t xml:space="preserve">. W </w:t>
      </w:r>
      <w:proofErr w:type="spellStart"/>
      <w:r w:rsidRPr="008C1E51">
        <w:rPr>
          <w:rFonts w:eastAsia="Calibri" w:cs="Times New Roman"/>
          <w:szCs w:val="20"/>
        </w:rPr>
        <w:t>BdPN</w:t>
      </w:r>
      <w:proofErr w:type="spellEnd"/>
      <w:r w:rsidRPr="008C1E51">
        <w:rPr>
          <w:rFonts w:eastAsia="Calibri" w:cs="Times New Roman"/>
          <w:szCs w:val="20"/>
        </w:rPr>
        <w:t xml:space="preserve"> obowiązywał Regulamin Pracy wprowadzony Zarządzeniem nr 5 Dyrektora Parku </w:t>
      </w:r>
      <w:r w:rsidR="00211832" w:rsidRPr="008C1E51">
        <w:rPr>
          <w:rFonts w:eastAsia="Calibri" w:cs="Times New Roman"/>
          <w:szCs w:val="20"/>
        </w:rPr>
        <w:t>z 18</w:t>
      </w:r>
      <w:r w:rsidRPr="008C1E51">
        <w:rPr>
          <w:rFonts w:eastAsia="Calibri" w:cs="Times New Roman"/>
          <w:szCs w:val="20"/>
        </w:rPr>
        <w:t xml:space="preserve"> marca 2016 r. Dokument ten ustalił organizację </w:t>
      </w:r>
      <w:r w:rsidRPr="008C1E51">
        <w:rPr>
          <w:rFonts w:eastAsia="Calibri" w:cs="Times New Roman"/>
          <w:szCs w:val="20"/>
        </w:rPr>
        <w:br/>
        <w:t xml:space="preserve">i porządek pracy, w tym prawa </w:t>
      </w:r>
      <w:r w:rsidR="00211832" w:rsidRPr="008C1E51">
        <w:rPr>
          <w:rFonts w:eastAsia="Calibri" w:cs="Times New Roman"/>
          <w:szCs w:val="20"/>
        </w:rPr>
        <w:t>i obowiązki</w:t>
      </w:r>
      <w:r w:rsidRPr="008C1E51">
        <w:rPr>
          <w:rFonts w:eastAsia="Calibri" w:cs="Times New Roman"/>
          <w:szCs w:val="20"/>
        </w:rPr>
        <w:t xml:space="preserve"> pracowników. Zarządzeniem  Dyrektora </w:t>
      </w:r>
      <w:proofErr w:type="spellStart"/>
      <w:r w:rsidRPr="008C1E51">
        <w:rPr>
          <w:rFonts w:eastAsia="Calibri" w:cs="Times New Roman"/>
          <w:szCs w:val="20"/>
        </w:rPr>
        <w:t>BdPN</w:t>
      </w:r>
      <w:proofErr w:type="spellEnd"/>
      <w:r w:rsidRPr="008C1E51">
        <w:rPr>
          <w:rFonts w:eastAsia="Calibri" w:cs="Times New Roman"/>
          <w:szCs w:val="20"/>
        </w:rPr>
        <w:t xml:space="preserve"> nr 2 z 19 stycznia 2015 r. wprowadzono procedury przeciwdziałania </w:t>
      </w:r>
      <w:proofErr w:type="spellStart"/>
      <w:r w:rsidRPr="008C1E51">
        <w:rPr>
          <w:rFonts w:eastAsia="Calibri" w:cs="Times New Roman"/>
          <w:szCs w:val="20"/>
        </w:rPr>
        <w:t>mobbingowi</w:t>
      </w:r>
      <w:proofErr w:type="spellEnd"/>
      <w:r w:rsidRPr="008C1E51">
        <w:rPr>
          <w:rFonts w:eastAsia="Calibri" w:cs="Times New Roman"/>
          <w:szCs w:val="20"/>
          <w:vertAlign w:val="superscript"/>
        </w:rPr>
        <w:footnoteReference w:id="207"/>
      </w:r>
      <w:r w:rsidRPr="008C1E51">
        <w:rPr>
          <w:rFonts w:eastAsia="Calibri" w:cs="Times New Roman"/>
          <w:szCs w:val="20"/>
        </w:rPr>
        <w:t xml:space="preserve"> w Parku, w tym m.in. powołano komisję </w:t>
      </w:r>
      <w:proofErr w:type="spellStart"/>
      <w:r w:rsidR="00BE4A67" w:rsidRPr="008C1E51">
        <w:rPr>
          <w:rFonts w:eastAsia="Calibri" w:cs="Times New Roman"/>
          <w:szCs w:val="20"/>
        </w:rPr>
        <w:t>anty</w:t>
      </w:r>
      <w:r w:rsidR="00BE4A67">
        <w:rPr>
          <w:rFonts w:eastAsia="Calibri" w:cs="Times New Roman"/>
          <w:szCs w:val="20"/>
        </w:rPr>
        <w:t>mobbingową</w:t>
      </w:r>
      <w:proofErr w:type="spellEnd"/>
      <w:r w:rsidRPr="008C1E51">
        <w:rPr>
          <w:rFonts w:eastAsia="Calibri" w:cs="Times New Roman"/>
          <w:szCs w:val="20"/>
        </w:rPr>
        <w:t xml:space="preserve">, określono obowiązki i prawa pracodawcy i pracowników oraz określono sposób postępowania w przypadku wystąpienia </w:t>
      </w:r>
      <w:proofErr w:type="spellStart"/>
      <w:r w:rsidRPr="008C1E51">
        <w:rPr>
          <w:rFonts w:eastAsia="Calibri" w:cs="Times New Roman"/>
          <w:szCs w:val="20"/>
        </w:rPr>
        <w:t>mobbingu</w:t>
      </w:r>
      <w:proofErr w:type="spellEnd"/>
      <w:r w:rsidRPr="008C1E51">
        <w:rPr>
          <w:rFonts w:eastAsia="Calibri" w:cs="Times New Roman"/>
          <w:szCs w:val="20"/>
        </w:rPr>
        <w:t xml:space="preserve">. </w:t>
      </w:r>
    </w:p>
    <w:p w14:paraId="08BF69E9" w14:textId="77777777" w:rsidR="008C1E51" w:rsidRPr="008C1E51" w:rsidRDefault="008C1E51" w:rsidP="008C1E51">
      <w:pPr>
        <w:spacing w:before="120" w:after="120" w:line="276" w:lineRule="auto"/>
        <w:ind w:hanging="1"/>
        <w:jc w:val="right"/>
        <w:rPr>
          <w:rFonts w:eastAsia="Calibri" w:cs="Times New Roman"/>
          <w:i/>
          <w:iCs/>
          <w:szCs w:val="20"/>
          <w:lang w:bidi="pl-PL"/>
        </w:rPr>
      </w:pPr>
      <w:r w:rsidRPr="008C1E51">
        <w:rPr>
          <w:rFonts w:eastAsia="Calibri" w:cs="Times New Roman"/>
          <w:szCs w:val="20"/>
          <w:lang w:bidi="pl-PL"/>
        </w:rPr>
        <w:t>[Dowód: akta kontroli str.</w:t>
      </w:r>
      <w:r w:rsidRPr="008C1E51">
        <w:rPr>
          <w:rFonts w:eastAsia="Calibri" w:cs="Times New Roman"/>
          <w:szCs w:val="20"/>
        </w:rPr>
        <w:t xml:space="preserve"> III/264-299</w:t>
      </w:r>
      <w:r w:rsidRPr="008C1E51">
        <w:rPr>
          <w:rFonts w:eastAsia="Calibri" w:cs="Times New Roman"/>
          <w:szCs w:val="20"/>
          <w:lang w:bidi="pl-PL"/>
        </w:rPr>
        <w:t xml:space="preserve">] </w:t>
      </w:r>
      <w:r w:rsidRPr="008C1E51">
        <w:rPr>
          <w:rFonts w:eastAsia="Calibri" w:cs="Times New Roman"/>
          <w:i/>
          <w:iCs/>
          <w:szCs w:val="20"/>
          <w:lang w:bidi="pl-PL"/>
        </w:rPr>
        <w:t xml:space="preserve"> </w:t>
      </w:r>
    </w:p>
    <w:p w14:paraId="324EB58F"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Zatrudnienie i jego zmiany w okresie objętym kontrolą</w:t>
      </w:r>
    </w:p>
    <w:p w14:paraId="10980558"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Bieszczadzkim Parku Narodowym zatrudnienie w 2019 r. wyniosło 94 osoby, w 2020 r. 91 osób, w 2021 r. 92 osoby.</w:t>
      </w:r>
    </w:p>
    <w:p w14:paraId="3311C501"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Zgodnie z zapisami Regulaminu organizacyjnego </w:t>
      </w:r>
      <w:proofErr w:type="spellStart"/>
      <w:r w:rsidRPr="008C1E51">
        <w:rPr>
          <w:rFonts w:eastAsia="Calibri" w:cs="Times New Roman"/>
          <w:szCs w:val="20"/>
        </w:rPr>
        <w:t>BdPN</w:t>
      </w:r>
      <w:proofErr w:type="spellEnd"/>
      <w:r w:rsidRPr="008C1E51">
        <w:rPr>
          <w:rFonts w:eastAsia="Calibri" w:cs="Times New Roman"/>
          <w:szCs w:val="20"/>
        </w:rPr>
        <w:t xml:space="preserve"> zatrudnianie i zwalnianie pracowników należało do kompetencji Dyrektora Parku. W okresie objętym kontrolą ruch kadrowy warunkowany był aktualnymi potrzebami Parku w zakresie realizacji zadań, wynikał z obowiązujących przepisów (przejścia na emeryturę) lub decyzji zatrudnionych pracowników (porozumienia stron).</w:t>
      </w:r>
    </w:p>
    <w:p w14:paraId="4BBF8E81"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lang w:bidi="pl-PL"/>
        </w:rPr>
        <w:t>[Dowód: akta kontroli str. 246-291, III/300-313]</w:t>
      </w:r>
    </w:p>
    <w:p w14:paraId="0ECACE39"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Podnoszenie kwalifikacji zawodowych</w:t>
      </w:r>
    </w:p>
    <w:p w14:paraId="15560EA4"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Park nie posiadał regulaminu podnoszenia kwalifikacji pracowników.</w:t>
      </w:r>
    </w:p>
    <w:p w14:paraId="217C6A52"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lang w:bidi="pl-PL"/>
        </w:rPr>
        <w:t>[Dowód: akta kontroli str. III/325-328]</w:t>
      </w:r>
    </w:p>
    <w:p w14:paraId="3D077CDE"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Kontrolujący zwraca uwagę, że w lutym 2022 r. zostało wystosowane do dyrektorów parków narodowych pismo</w:t>
      </w:r>
      <w:r w:rsidRPr="008C1E51">
        <w:rPr>
          <w:rFonts w:eastAsia="Calibri" w:cs="Times New Roman"/>
          <w:szCs w:val="20"/>
          <w:vertAlign w:val="superscript"/>
        </w:rPr>
        <w:footnoteReference w:id="208"/>
      </w:r>
      <w:r w:rsidRPr="008C1E51">
        <w:rPr>
          <w:rFonts w:eastAsia="Calibri" w:cs="Times New Roman"/>
          <w:szCs w:val="20"/>
        </w:rPr>
        <w:t xml:space="preserve"> Sekretarza Stanu Głównego Konserwatora Przyrody, w którym wskazano słabości/nieprawidłowości zidentyfikowane w funkcjonowaniu Parków w trakcie czynności kontrolnych przez kontrolerów Ministerstwa Klimatu i Środowiska. Wśród tych słabości wskazano m.in. brak regulacji dotyczących podnoszenia kwalifikacji zawodowych. Parki zostały zobowiązane do podjęcia działań w celu wyeliminowania słabości </w:t>
      </w:r>
      <w:r w:rsidRPr="008C1E51">
        <w:rPr>
          <w:rFonts w:eastAsia="Calibri" w:cs="Times New Roman"/>
          <w:szCs w:val="20"/>
        </w:rPr>
        <w:br/>
        <w:t>i nieprawidłowości. Dyrektor Parku w piśmie z 25 marca 2022 r. wskazał, że nie wymagała ona szczegółowego odniesienia i była realizowana prawidłowo. Pomimo polecenia ministra nadzorującego w Parku nie wprowadzono regulaminu podnoszenia kwalifikacji.</w:t>
      </w:r>
    </w:p>
    <w:p w14:paraId="634E2983" w14:textId="6975D95E"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że w okresie objętym kontrolą tylko jeden pracownik złożył podanie o zgodę </w:t>
      </w:r>
      <w:r w:rsidR="00211832" w:rsidRPr="008C1E51">
        <w:rPr>
          <w:rFonts w:eastAsia="Calibri" w:cs="Times New Roman"/>
          <w:szCs w:val="20"/>
        </w:rPr>
        <w:t>na podnoszenie</w:t>
      </w:r>
      <w:r w:rsidRPr="008C1E51">
        <w:rPr>
          <w:rFonts w:eastAsia="Calibri" w:cs="Times New Roman"/>
          <w:szCs w:val="20"/>
        </w:rPr>
        <w:t xml:space="preserve"> kwalifikacji zawodowych w formie studiów podyplomowych, które Dyrektor Parku rozpatrzył pozytywnie</w:t>
      </w:r>
      <w:r w:rsidRPr="008C1E51">
        <w:rPr>
          <w:rFonts w:eastAsia="Calibri" w:cs="Times New Roman"/>
          <w:szCs w:val="20"/>
          <w:vertAlign w:val="superscript"/>
        </w:rPr>
        <w:footnoteReference w:id="209"/>
      </w:r>
      <w:r w:rsidRPr="008C1E51">
        <w:rPr>
          <w:rFonts w:eastAsia="Calibri" w:cs="Times New Roman"/>
          <w:szCs w:val="20"/>
        </w:rPr>
        <w:t>.  Ponadto w okresie objętym kontrolą</w:t>
      </w:r>
      <w:r w:rsidRPr="008C1E51">
        <w:rPr>
          <w:rFonts w:eastAsia="Calibri" w:cs="Times New Roman"/>
          <w:szCs w:val="20"/>
          <w:lang w:bidi="pl-PL"/>
        </w:rPr>
        <w:t xml:space="preserve"> </w:t>
      </w:r>
      <w:r w:rsidRPr="008C1E51">
        <w:rPr>
          <w:rFonts w:eastAsia="Calibri" w:cs="Times New Roman"/>
          <w:szCs w:val="20"/>
        </w:rPr>
        <w:t>dwie osoby korzystały z urlopów szkoleniowych w wymiarze 21 dni.</w:t>
      </w:r>
    </w:p>
    <w:p w14:paraId="489B70C3"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w:t>
      </w:r>
      <w:r w:rsidRPr="008C1E51">
        <w:t xml:space="preserve"> </w:t>
      </w:r>
      <w:r w:rsidRPr="008C1E51">
        <w:rPr>
          <w:rFonts w:eastAsia="Calibri" w:cs="Times New Roman"/>
          <w:szCs w:val="20"/>
        </w:rPr>
        <w:t>III/332-334]</w:t>
      </w:r>
    </w:p>
    <w:p w14:paraId="0E41D171" w14:textId="33D2E2C9"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że w większości szkolenia pracowników Parku dotyczyły bhp, ochrony </w:t>
      </w:r>
      <w:r w:rsidR="00211832" w:rsidRPr="008C1E51">
        <w:rPr>
          <w:rFonts w:eastAsia="Calibri" w:cs="Times New Roman"/>
          <w:szCs w:val="20"/>
        </w:rPr>
        <w:t xml:space="preserve">p. </w:t>
      </w:r>
      <w:proofErr w:type="spellStart"/>
      <w:r w:rsidR="00211832" w:rsidRPr="008C1E51">
        <w:rPr>
          <w:rFonts w:eastAsia="Calibri" w:cs="Times New Roman"/>
          <w:szCs w:val="20"/>
        </w:rPr>
        <w:t>poż</w:t>
      </w:r>
      <w:proofErr w:type="spellEnd"/>
      <w:r w:rsidRPr="008C1E51">
        <w:rPr>
          <w:rFonts w:eastAsia="Calibri" w:cs="Times New Roman"/>
          <w:szCs w:val="20"/>
        </w:rPr>
        <w:t xml:space="preserve">, prawa podatkowego i specjalistycznych zagadnień. W latach 2019-2021 średnie koszty szkoleń przypadające w roku na jednego pracownika wyniosły zaledwie 163,00 zł. Na szkolenia w poszczególnych latach Park wydatkował kwoty między 9 619,50 złotych, </w:t>
      </w:r>
      <w:r w:rsidRPr="008C1E51">
        <w:rPr>
          <w:rFonts w:eastAsia="Calibri" w:cs="Times New Roman"/>
          <w:szCs w:val="20"/>
        </w:rPr>
        <w:br/>
        <w:t>a 18 258,32 zł</w:t>
      </w:r>
      <w:r w:rsidRPr="008C1E51">
        <w:rPr>
          <w:rFonts w:eastAsia="Calibri" w:cs="Times New Roman"/>
          <w:szCs w:val="20"/>
          <w:vertAlign w:val="superscript"/>
        </w:rPr>
        <w:footnoteReference w:id="210"/>
      </w:r>
      <w:r w:rsidRPr="008C1E51">
        <w:rPr>
          <w:rFonts w:eastAsia="Calibri" w:cs="Times New Roman"/>
          <w:szCs w:val="20"/>
        </w:rPr>
        <w:t xml:space="preserve">. </w:t>
      </w:r>
    </w:p>
    <w:p w14:paraId="0E0CA569" w14:textId="77777777" w:rsidR="008C1E51" w:rsidRPr="008C1E51" w:rsidRDefault="008C1E51" w:rsidP="008C1E51">
      <w:pPr>
        <w:spacing w:before="120" w:after="120" w:line="276" w:lineRule="auto"/>
        <w:jc w:val="right"/>
        <w:rPr>
          <w:rFonts w:eastAsia="Calibri" w:cs="Times New Roman"/>
          <w:i/>
          <w:iCs/>
          <w:szCs w:val="20"/>
          <w:lang w:bidi="pl-PL"/>
        </w:rPr>
      </w:pPr>
      <w:r w:rsidRPr="008C1E51">
        <w:rPr>
          <w:rFonts w:eastAsia="Calibri" w:cs="Times New Roman"/>
          <w:szCs w:val="20"/>
          <w:lang w:bidi="pl-PL"/>
        </w:rPr>
        <w:t>[Dowód: akta kontroli str.</w:t>
      </w:r>
      <w:r w:rsidRPr="008C1E51">
        <w:rPr>
          <w:rFonts w:eastAsia="Calibri" w:cs="Times New Roman"/>
          <w:szCs w:val="20"/>
        </w:rPr>
        <w:t xml:space="preserve"> III/325-328</w:t>
      </w:r>
      <w:r w:rsidRPr="008C1E51">
        <w:rPr>
          <w:rFonts w:eastAsia="Calibri" w:cs="Times New Roman"/>
          <w:szCs w:val="20"/>
          <w:lang w:bidi="pl-PL"/>
        </w:rPr>
        <w:t>]</w:t>
      </w:r>
    </w:p>
    <w:p w14:paraId="163259F4"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Dyscyplina pracy</w:t>
      </w:r>
    </w:p>
    <w:p w14:paraId="24B1B0F2"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W 2020 r. jeden pracownik otrzymał karę upomnienia i nagany. Kary te uległy zatarciu po roku nienagannej pracy. W 2021 r. jednego pracownika ukarano karą nagany. Pracownik ten został zwolniony z pracy bez wypowiedzenia z winy pracownika. Ustalono również, że </w:t>
      </w:r>
      <w:proofErr w:type="spellStart"/>
      <w:r w:rsidRPr="008C1E51">
        <w:rPr>
          <w:rFonts w:eastAsia="Calibri" w:cs="Times New Roman"/>
          <w:szCs w:val="20"/>
        </w:rPr>
        <w:t>BdPN</w:t>
      </w:r>
      <w:proofErr w:type="spellEnd"/>
      <w:r w:rsidRPr="008C1E51">
        <w:rPr>
          <w:rFonts w:eastAsia="Calibri" w:cs="Times New Roman"/>
          <w:szCs w:val="20"/>
        </w:rPr>
        <w:t xml:space="preserve"> w okresie objętym kontrolą nie był stroną sporów sądowych </w:t>
      </w:r>
      <w:r w:rsidRPr="008C1E51">
        <w:rPr>
          <w:rFonts w:eastAsia="Calibri" w:cs="Times New Roman"/>
          <w:szCs w:val="20"/>
        </w:rPr>
        <w:br/>
        <w:t xml:space="preserve">w zakresie Prawa Pracy, a Inspekcja Pracy nie przeprowadzała kontroli interwencyjnych. Zgodnie z wyjaśnieniem Kierownika sekcji ds. pracowniczych </w:t>
      </w:r>
      <w:proofErr w:type="spellStart"/>
      <w:r w:rsidRPr="008C1E51">
        <w:rPr>
          <w:rFonts w:eastAsia="Calibri" w:cs="Times New Roman"/>
          <w:szCs w:val="20"/>
        </w:rPr>
        <w:t>BdPN</w:t>
      </w:r>
      <w:proofErr w:type="spellEnd"/>
      <w:r w:rsidRPr="008C1E51">
        <w:rPr>
          <w:rFonts w:eastAsia="Calibri" w:cs="Times New Roman"/>
          <w:szCs w:val="20"/>
          <w:vertAlign w:val="superscript"/>
        </w:rPr>
        <w:footnoteReference w:id="211"/>
      </w:r>
      <w:r w:rsidRPr="008C1E51">
        <w:rPr>
          <w:rFonts w:eastAsia="Calibri" w:cs="Times New Roman"/>
          <w:szCs w:val="20"/>
        </w:rPr>
        <w:t xml:space="preserve"> w Parku nie powołano rzecznika dyscypliny.</w:t>
      </w:r>
    </w:p>
    <w:p w14:paraId="4FDDFC72" w14:textId="77777777" w:rsidR="008C1E51" w:rsidRPr="008C1E51" w:rsidRDefault="008C1E51" w:rsidP="008C1E51">
      <w:pPr>
        <w:spacing w:before="120" w:after="120" w:line="276" w:lineRule="auto"/>
        <w:ind w:left="4963"/>
        <w:rPr>
          <w:rFonts w:eastAsia="Calibri" w:cs="Times New Roman"/>
          <w:szCs w:val="20"/>
        </w:rPr>
      </w:pPr>
      <w:r w:rsidRPr="008C1E51">
        <w:rPr>
          <w:rFonts w:eastAsia="Calibri" w:cs="Times New Roman"/>
          <w:szCs w:val="20"/>
        </w:rPr>
        <w:t>[Dowód: akta kontroli str. III/329]</w:t>
      </w:r>
    </w:p>
    <w:p w14:paraId="122A74AA"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Rekrutacja</w:t>
      </w:r>
    </w:p>
    <w:p w14:paraId="01CA49AB"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że w Parku brak było regulacji dotyczących rekrutacji i zatrudniania pracowników na wolne stanowiska pracy. </w:t>
      </w:r>
    </w:p>
    <w:p w14:paraId="4878E988" w14:textId="3AB0857B"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Dyrektor Parku wyjaśnił</w:t>
      </w:r>
      <w:r w:rsidRPr="008C1E51">
        <w:rPr>
          <w:rFonts w:eastAsia="Calibri" w:cs="Times New Roman"/>
          <w:szCs w:val="20"/>
          <w:vertAlign w:val="superscript"/>
        </w:rPr>
        <w:footnoteReference w:id="212"/>
      </w:r>
      <w:r w:rsidRPr="008C1E51">
        <w:rPr>
          <w:rFonts w:eastAsia="Calibri" w:cs="Times New Roman"/>
          <w:szCs w:val="20"/>
        </w:rPr>
        <w:t xml:space="preserve">, że z uwagi na krytycznie niskie zatrudnienie na rozległym obszarze działania Parku, a tym samym niską populacją osób zawodowo-czynnych występowały problemy z zatrudnianiem osób o wysokich kwalifikacjach. Park nie posiadał wolnych mieszkań służbowych o wysokim standardzie, a poziom oferowanych wynagrodzeń nie był konkurencyjny wobec innych instytucji. Zdarzało się, że potrzeba </w:t>
      </w:r>
      <w:r w:rsidR="00211832" w:rsidRPr="008C1E51">
        <w:rPr>
          <w:rFonts w:eastAsia="Calibri" w:cs="Times New Roman"/>
          <w:szCs w:val="20"/>
        </w:rPr>
        <w:t>zatrudnienia nowych</w:t>
      </w:r>
      <w:r w:rsidRPr="008C1E51">
        <w:rPr>
          <w:rFonts w:eastAsia="Calibri" w:cs="Times New Roman"/>
          <w:szCs w:val="20"/>
        </w:rPr>
        <w:t xml:space="preserve"> pracowników następowała w sposób nagły, co utrudniało przeprowadzenie sformalizowanej procedury naboru. W związku z limitem wynagrodzeń i etatów, nowi pracownicy zatrudniani byli najczęściej w sytuacji pojawienia się wakatu. Czasem zachodziła konieczność utworzenia nowych stanowisk.  W okresie objętym kontrolą braki kadrowe dotyczyły przeważnie stanowisk pomocniczych lub niższych stanowisk ze Służby Parku, dlatego zdaniem Dyrektora Parku organizowanie konkursów na wolne stanowisko, w takim przypadku nie było najlepszym rozwiązaniem. Dlatego przeglądano podania o pracę, które wpłynęły do Parku. Wybierano osoby spełniające wymogi kwalifikacyjne. Zdarzały się przypadki, że kierownik działu szukał odpowiedniej osoby, przeprowadzał z nią rozmowę </w:t>
      </w:r>
      <w:r w:rsidRPr="008C1E51">
        <w:rPr>
          <w:rFonts w:eastAsia="Calibri" w:cs="Times New Roman"/>
          <w:szCs w:val="20"/>
        </w:rPr>
        <w:br/>
        <w:t>i rekomendował ją Dyrektorowi. Następnie Dyrektor Parku i kierownik działu przeprowadzali z tymi osobami rozmowy. Zdaniem Dyrektora Parku takie postępowanie pozwoliło uniknąć zbędnych biurokratycznych oraz czasochłonnych procedur, przy czym prawo pracy było stosowane.</w:t>
      </w:r>
    </w:p>
    <w:p w14:paraId="61A3DA07"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 xml:space="preserve">[Dowód: akta kontroli str. III/325-328, III/335]  </w:t>
      </w:r>
    </w:p>
    <w:p w14:paraId="65F0244B" w14:textId="63FB6B9A"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Park współpracował również z Urzędami Pracy i fundacjami organizującymi staże. W latach 2019 -</w:t>
      </w:r>
      <w:r w:rsidR="00211832" w:rsidRPr="008C1E51">
        <w:rPr>
          <w:rFonts w:eastAsia="Calibri" w:cs="Times New Roman"/>
          <w:szCs w:val="20"/>
        </w:rPr>
        <w:t>2020 Park</w:t>
      </w:r>
      <w:r w:rsidRPr="008C1E51">
        <w:rPr>
          <w:rFonts w:eastAsia="Calibri" w:cs="Times New Roman"/>
          <w:szCs w:val="20"/>
        </w:rPr>
        <w:t xml:space="preserve"> </w:t>
      </w:r>
      <w:r w:rsidR="00211832" w:rsidRPr="008C1E51">
        <w:rPr>
          <w:rFonts w:eastAsia="Calibri" w:cs="Times New Roman"/>
          <w:szCs w:val="20"/>
        </w:rPr>
        <w:t>występował do</w:t>
      </w:r>
      <w:r w:rsidRPr="008C1E51">
        <w:rPr>
          <w:rFonts w:eastAsia="Calibri" w:cs="Times New Roman"/>
          <w:szCs w:val="20"/>
        </w:rPr>
        <w:t xml:space="preserve"> Urzędu Pracy w Ustrzykach Dolnych oraz do Fundacji Nowy Staw </w:t>
      </w:r>
      <w:r w:rsidR="00211832" w:rsidRPr="008C1E51">
        <w:rPr>
          <w:rFonts w:eastAsia="Calibri" w:cs="Times New Roman"/>
          <w:szCs w:val="20"/>
        </w:rPr>
        <w:t>o zorganizowanie</w:t>
      </w:r>
      <w:r w:rsidRPr="008C1E51">
        <w:rPr>
          <w:rFonts w:eastAsia="Calibri" w:cs="Times New Roman"/>
          <w:szCs w:val="20"/>
        </w:rPr>
        <w:t xml:space="preserve"> stażu dla 3 osób, w wyniku czego zawarto umowy stażowe.</w:t>
      </w:r>
    </w:p>
    <w:p w14:paraId="48AD44B6"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 III/336-353]</w:t>
      </w:r>
    </w:p>
    <w:p w14:paraId="3A31D06F"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Nie opracowano regulaminu dla procesu rekrutacji, który zawierałby np. terminy zamieszczania ogłoszeń, treści ogłoszeń, zasady przeprowadzania rozmów kwalifikacyjnych, wykaz dokumentów i kwalifikacji, które będą stanowiły podstawę oceny spełniania warunków itp., co może skutkować podejrzeniami o faworyzm, kumoterstwo lub nepotyzm, które są zjawiskami negatywnymi z perspektywy zasad służby publicznej. Brak przejrzystego systemu rekrutacji nie zapewnił również Parkowi dostępu do najlepszych pracowników na rynku pracy lokalnym i krajowym.</w:t>
      </w:r>
    </w:p>
    <w:p w14:paraId="241615C2"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Praca zdalna</w:t>
      </w:r>
    </w:p>
    <w:p w14:paraId="7E4D685F" w14:textId="338D5BAB"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iż w okresie objętym kontrolą w Parku brak było regulacji związanych z organizacją pracy zdalnej, telepracy itp. W trakcie pandemii COVID-19 w Bieszczadzkim Parku Narodowym występowały sporadyczne przypadki pracy zdalnej. Dyrektor Parku wyrażał zgodę na zdalny tryb pracy na pisemną prośbę </w:t>
      </w:r>
      <w:r w:rsidR="00211832" w:rsidRPr="008C1E51">
        <w:rPr>
          <w:rFonts w:eastAsia="Calibri" w:cs="Times New Roman"/>
          <w:szCs w:val="20"/>
        </w:rPr>
        <w:t>pracowników</w:t>
      </w:r>
      <w:r w:rsidRPr="008C1E51">
        <w:rPr>
          <w:rFonts w:eastAsia="Calibri" w:cs="Times New Roman"/>
          <w:szCs w:val="20"/>
        </w:rPr>
        <w:t xml:space="preserve"> lub sam ją zlecał. </w:t>
      </w:r>
      <w:r w:rsidRPr="008C1E51">
        <w:rPr>
          <w:rFonts w:eastAsia="Calibri" w:cs="Times New Roman"/>
          <w:szCs w:val="20"/>
        </w:rPr>
        <w:br/>
        <w:t xml:space="preserve">W szczególności, pracę zdalną świadczyli pracownicy Muzeum w trakcie remontu tego obiektu. Pracownicy Parku mieli ograniczone możliwość wykonywania pracy zdalnej m.in. ze względów technicznych (brak </w:t>
      </w:r>
      <w:proofErr w:type="spellStart"/>
      <w:r w:rsidRPr="008C1E51">
        <w:rPr>
          <w:rFonts w:eastAsia="Calibri" w:cs="Times New Roman"/>
          <w:szCs w:val="20"/>
        </w:rPr>
        <w:t>internetu</w:t>
      </w:r>
      <w:proofErr w:type="spellEnd"/>
      <w:r w:rsidRPr="008C1E51">
        <w:rPr>
          <w:rFonts w:eastAsia="Calibri" w:cs="Times New Roman"/>
          <w:szCs w:val="20"/>
        </w:rPr>
        <w:t xml:space="preserve">, zasięgu telefonii komórkowej w miejscach zamieszkania).  Powyższe znajduje również potwierdzenie w treści wyjaśnień </w:t>
      </w:r>
      <w:bookmarkStart w:id="62" w:name="_Hlk126135391"/>
      <w:r w:rsidRPr="008C1E51">
        <w:rPr>
          <w:rFonts w:eastAsia="Calibri" w:cs="Times New Roman"/>
          <w:szCs w:val="20"/>
        </w:rPr>
        <w:t xml:space="preserve">Kierownika sekcji ds. pracowniczych </w:t>
      </w:r>
      <w:proofErr w:type="spellStart"/>
      <w:r w:rsidRPr="008C1E51">
        <w:rPr>
          <w:rFonts w:eastAsia="Calibri" w:cs="Times New Roman"/>
          <w:szCs w:val="20"/>
        </w:rPr>
        <w:t>BdPN</w:t>
      </w:r>
      <w:bookmarkEnd w:id="62"/>
      <w:proofErr w:type="spellEnd"/>
      <w:r w:rsidRPr="008C1E51">
        <w:rPr>
          <w:rFonts w:eastAsia="Calibri" w:cs="Times New Roman"/>
          <w:szCs w:val="20"/>
          <w:vertAlign w:val="superscript"/>
        </w:rPr>
        <w:footnoteReference w:id="213"/>
      </w:r>
      <w:r w:rsidRPr="008C1E51">
        <w:rPr>
          <w:rFonts w:eastAsia="Calibri" w:cs="Times New Roman"/>
          <w:szCs w:val="20"/>
        </w:rPr>
        <w:t xml:space="preserve">. Ponadto Kierownik sekcji ds. pracowniczych </w:t>
      </w:r>
      <w:proofErr w:type="spellStart"/>
      <w:r w:rsidRPr="008C1E51">
        <w:rPr>
          <w:rFonts w:eastAsia="Calibri" w:cs="Times New Roman"/>
          <w:szCs w:val="20"/>
        </w:rPr>
        <w:t>BdPN</w:t>
      </w:r>
      <w:proofErr w:type="spellEnd"/>
      <w:r w:rsidRPr="008C1E51">
        <w:rPr>
          <w:rFonts w:eastAsia="Calibri" w:cs="Times New Roman"/>
          <w:szCs w:val="20"/>
        </w:rPr>
        <w:t xml:space="preserve"> wyjaśnił</w:t>
      </w:r>
      <w:r w:rsidRPr="008C1E51">
        <w:rPr>
          <w:rFonts w:eastAsia="Calibri" w:cs="Times New Roman"/>
          <w:szCs w:val="20"/>
          <w:vertAlign w:val="superscript"/>
        </w:rPr>
        <w:footnoteReference w:id="214"/>
      </w:r>
      <w:r w:rsidRPr="008C1E51">
        <w:rPr>
          <w:rFonts w:eastAsia="Calibri" w:cs="Times New Roman"/>
          <w:szCs w:val="20"/>
        </w:rPr>
        <w:t xml:space="preserve">, że większość pracowników Parku wykonywała pracę w terenie, w związku </w:t>
      </w:r>
      <w:r w:rsidRPr="008C1E51">
        <w:rPr>
          <w:rFonts w:eastAsia="Calibri" w:cs="Times New Roman"/>
          <w:szCs w:val="20"/>
        </w:rPr>
        <w:br/>
        <w:t xml:space="preserve">z czym nie było uzasadnienia </w:t>
      </w:r>
      <w:r w:rsidR="00211832" w:rsidRPr="008C1E51">
        <w:rPr>
          <w:rFonts w:eastAsia="Calibri" w:cs="Times New Roman"/>
          <w:szCs w:val="20"/>
        </w:rPr>
        <w:t>dla wprowadzania</w:t>
      </w:r>
      <w:r w:rsidRPr="008C1E51">
        <w:rPr>
          <w:rFonts w:eastAsia="Calibri" w:cs="Times New Roman"/>
          <w:szCs w:val="20"/>
        </w:rPr>
        <w:t xml:space="preserve"> dla nich pracy w trybie zdalnym. Nie było określonych przepisów regulujących sposoby ewidencji pracy zdalnej - ani ministerialnych, ani wewnętrznych. Pracę zdalną mógł zlecić pracownikowi Dyrektor Parku w porozumieniu z   kierownikiem działu. Informacja o pracy zdalnej była przekazywana do kadr. Ewidencja czasu pracy (godzina rozpoczęcia i zakończenia pracy) dla osób wykonujących pracę zdalną była prowadzona w systemie kadrowym, tak jak dla pracy </w:t>
      </w:r>
      <w:r w:rsidR="00211832" w:rsidRPr="008C1E51">
        <w:rPr>
          <w:rFonts w:eastAsia="Calibri" w:cs="Times New Roman"/>
          <w:szCs w:val="20"/>
        </w:rPr>
        <w:t>w normalnym</w:t>
      </w:r>
      <w:r w:rsidRPr="008C1E51">
        <w:rPr>
          <w:rFonts w:eastAsia="Calibri" w:cs="Times New Roman"/>
          <w:szCs w:val="20"/>
        </w:rPr>
        <w:t xml:space="preserve"> trybie stacjonarnym zgodnie z systemem czasu pracy przypisanym danemu pracownikowi. W systemie kadrowym, którym posługiwał się </w:t>
      </w:r>
      <w:proofErr w:type="spellStart"/>
      <w:r w:rsidR="00211832" w:rsidRPr="008C1E51">
        <w:rPr>
          <w:rFonts w:eastAsia="Calibri" w:cs="Times New Roman"/>
          <w:szCs w:val="20"/>
        </w:rPr>
        <w:t>BdPN</w:t>
      </w:r>
      <w:proofErr w:type="spellEnd"/>
      <w:r w:rsidR="00211832" w:rsidRPr="008C1E51">
        <w:rPr>
          <w:rFonts w:eastAsia="Calibri" w:cs="Times New Roman"/>
          <w:szCs w:val="20"/>
        </w:rPr>
        <w:t xml:space="preserve"> nie</w:t>
      </w:r>
      <w:r w:rsidRPr="008C1E51">
        <w:rPr>
          <w:rFonts w:eastAsia="Calibri" w:cs="Times New Roman"/>
          <w:szCs w:val="20"/>
        </w:rPr>
        <w:t xml:space="preserve"> było możliwości prowadzenia ewidencji czasu pracy odrębnie dla pracy zdalnej i stacjonarnej. </w:t>
      </w:r>
    </w:p>
    <w:p w14:paraId="7AAA0DDA" w14:textId="22E51F1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W związku z powyższym, nie było </w:t>
      </w:r>
      <w:r w:rsidR="00211832" w:rsidRPr="008C1E51">
        <w:rPr>
          <w:rFonts w:eastAsia="Calibri" w:cs="Times New Roman"/>
          <w:szCs w:val="20"/>
        </w:rPr>
        <w:t>możliwe podanie</w:t>
      </w:r>
      <w:r w:rsidRPr="008C1E51">
        <w:rPr>
          <w:rFonts w:eastAsia="Calibri" w:cs="Times New Roman"/>
          <w:szCs w:val="20"/>
        </w:rPr>
        <w:t xml:space="preserve"> liczby pracowników i okresów świadczenia przez nich pracy zdalnej. Nie było obowiązku prowadzenia takiego rejestru. Przez kilka miesięcy 2021 r. codziennie były wysyłane przez uprawnione</w:t>
      </w:r>
      <w:r w:rsidRPr="008C1E51">
        <w:rPr>
          <w:rFonts w:eastAsia="Calibri" w:cs="Times New Roman"/>
          <w:szCs w:val="20"/>
        </w:rPr>
        <w:br/>
        <w:t>osoby, raporty do Ministerstwa Klimatu i Środowiska, w których podawano liczbę osób, które zachorowały na COVID 19, liczbę osób przebywających na kwarantannie</w:t>
      </w:r>
      <w:r w:rsidRPr="008C1E51">
        <w:rPr>
          <w:rFonts w:eastAsia="Calibri" w:cs="Times New Roman"/>
          <w:szCs w:val="20"/>
        </w:rPr>
        <w:br/>
        <w:t>i osób świadczących pracę zdalną.</w:t>
      </w:r>
    </w:p>
    <w:p w14:paraId="68E26273"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III/354-355]</w:t>
      </w:r>
    </w:p>
    <w:p w14:paraId="4FE7B22A"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Odzież służbowa</w:t>
      </w:r>
    </w:p>
    <w:p w14:paraId="06AACDAD" w14:textId="152101B8"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Pracownikom Parku przysługiwała odzież służbowa: </w:t>
      </w:r>
      <w:r w:rsidR="00211832" w:rsidRPr="008C1E51">
        <w:rPr>
          <w:rFonts w:eastAsia="Calibri" w:cs="Times New Roman"/>
          <w:szCs w:val="20"/>
        </w:rPr>
        <w:t>mundury</w:t>
      </w:r>
      <w:r w:rsidRPr="008C1E51">
        <w:rPr>
          <w:rFonts w:eastAsia="Calibri" w:cs="Times New Roman"/>
          <w:szCs w:val="20"/>
        </w:rPr>
        <w:t xml:space="preserve"> oraz środki ochrony indywidualnej (odzież robocza). Przyznawanie odzieży służbowej odbywało się na podstawie Zarządzeń Dyrektora Parku</w:t>
      </w:r>
      <w:r w:rsidRPr="008C1E51">
        <w:rPr>
          <w:rFonts w:eastAsia="Calibri" w:cs="Times New Roman"/>
          <w:szCs w:val="20"/>
          <w:vertAlign w:val="superscript"/>
        </w:rPr>
        <w:footnoteReference w:id="215"/>
      </w:r>
      <w:r w:rsidRPr="008C1E51">
        <w:rPr>
          <w:rFonts w:eastAsia="Calibri" w:cs="Times New Roman"/>
          <w:szCs w:val="20"/>
        </w:rPr>
        <w:t xml:space="preserve">. Zarządzenia określały rodzaj odzieży przysługującej pracownikom, zasady i normy przydziału, przewidywany okres używalności, cennik </w:t>
      </w:r>
      <w:proofErr w:type="spellStart"/>
      <w:r w:rsidRPr="008C1E51">
        <w:rPr>
          <w:rFonts w:eastAsia="Calibri" w:cs="Times New Roman"/>
          <w:szCs w:val="20"/>
        </w:rPr>
        <w:t>sortów</w:t>
      </w:r>
      <w:proofErr w:type="spellEnd"/>
      <w:r w:rsidRPr="008C1E51">
        <w:rPr>
          <w:rFonts w:eastAsia="Calibri" w:cs="Times New Roman"/>
          <w:szCs w:val="20"/>
        </w:rPr>
        <w:t xml:space="preserve"> BHP. Przydział odzieży dla poszczególnych pracowników był dokumentowany. Dział Finansowo-Księgowy prowadził kartoteki </w:t>
      </w:r>
      <w:proofErr w:type="spellStart"/>
      <w:r w:rsidRPr="008C1E51">
        <w:rPr>
          <w:rFonts w:eastAsia="Calibri" w:cs="Times New Roman"/>
          <w:szCs w:val="20"/>
        </w:rPr>
        <w:t>sortów</w:t>
      </w:r>
      <w:proofErr w:type="spellEnd"/>
      <w:r w:rsidRPr="008C1E51">
        <w:rPr>
          <w:rFonts w:eastAsia="Calibri" w:cs="Times New Roman"/>
          <w:szCs w:val="20"/>
        </w:rPr>
        <w:t xml:space="preserve"> bhp oraz ewidencję o rozliczenia wydawanego bezpłatnie umundurowania. Weryfikacji poddano 17 kart </w:t>
      </w:r>
      <w:proofErr w:type="spellStart"/>
      <w:r w:rsidRPr="008C1E51">
        <w:rPr>
          <w:rFonts w:eastAsia="Calibri" w:cs="Times New Roman"/>
          <w:szCs w:val="20"/>
        </w:rPr>
        <w:t>sortów</w:t>
      </w:r>
      <w:proofErr w:type="spellEnd"/>
      <w:r w:rsidRPr="008C1E51">
        <w:rPr>
          <w:rFonts w:eastAsia="Calibri" w:cs="Times New Roman"/>
          <w:szCs w:val="20"/>
        </w:rPr>
        <w:t xml:space="preserve"> bhp dla  </w:t>
      </w:r>
      <w:r w:rsidRPr="008C1E51">
        <w:rPr>
          <w:rFonts w:eastAsia="Calibri" w:cs="Times New Roman"/>
          <w:szCs w:val="20"/>
        </w:rPr>
        <w:br/>
        <w:t>2 pracowników. Nie stwierdzono uchybień.</w:t>
      </w:r>
    </w:p>
    <w:p w14:paraId="61A12636"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III/357-404]</w:t>
      </w:r>
    </w:p>
    <w:p w14:paraId="7E43C094"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Przydzielanie, zmiana i odbiór uprawnień do systemów informatycznych</w:t>
      </w:r>
    </w:p>
    <w:p w14:paraId="083FDB3D"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Parku nie ustanowiono procedury opisującej sposobu wnioskowania i nadawania dostępu do systemów informatycznych dla osób upoważnionych. Ustalono, że według stanu na 29 marca 2023 r. dostęp do systemów informatycznych mieli tylko pracownicy Parku. Dostęp do systemów przydzielany był przez informatyka na podstawie ustnego polecenia bezpośredniego przełożonego pracownika.  W ten sam sposób były też odbierane uprawnienia. Należy jednak zauważyć, iż czynności te nie były w żaden sposób dokumentowane. Kontrolujący zwraca uwagę, że proces nadawania i odbierania uprawnień powinien być bardziej sformalizowany i dokumentowany, aby móc wykazać realizację zadań wynikających z Rozporządzenia Rady Ministrów w sprawie krajowych ram interoperacyjności, minimalnych wymagań dla rejestrów publicznych i wymiany informacji</w:t>
      </w:r>
      <w:r w:rsidRPr="008C1E51">
        <w:rPr>
          <w:rFonts w:eastAsia="Calibri" w:cs="Times New Roman"/>
          <w:szCs w:val="20"/>
        </w:rPr>
        <w:br/>
        <w:t>w postaci elektronicznej oraz minimalnych wymagań dla systemów teleinformatycznych</w:t>
      </w:r>
      <w:r w:rsidRPr="008C1E51">
        <w:rPr>
          <w:rFonts w:eastAsia="Calibri" w:cs="Times New Roman"/>
          <w:szCs w:val="20"/>
          <w:vertAlign w:val="superscript"/>
        </w:rPr>
        <w:footnoteReference w:id="216"/>
      </w:r>
      <w:r w:rsidRPr="008C1E51">
        <w:rPr>
          <w:rFonts w:eastAsia="Calibri" w:cs="Times New Roman"/>
          <w:szCs w:val="20"/>
        </w:rPr>
        <w:t>, w szczególności wskazanych w § 20 ust. 2 pkt. 4, 5 i 7. Brak tej procedury powoduje potencjalne ryzyko dostępu osób nieuprawnionych do informacji w przypadku nie odebrania stosownych uprawnień osobie w przypadku zmiany stanowiska pracy lub rozwiązania stosunku pracy.</w:t>
      </w:r>
    </w:p>
    <w:p w14:paraId="14CA752D"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III/405-431]</w:t>
      </w:r>
    </w:p>
    <w:p w14:paraId="35FDF3CC"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Wynagrodzenia</w:t>
      </w:r>
    </w:p>
    <w:p w14:paraId="6A7EB8A4"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że w okresie objętym kontrolą, Park wykorzystywał w 100% środki przeznaczone na wynagrodzenia w ramach uzyskanych dotacji.  </w:t>
      </w:r>
    </w:p>
    <w:p w14:paraId="1A7E5C1F"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W styczniu 2022 r. wszyscy pracownicy Parku otrzymali podwyżki wynagrodzeń. Kwoty podwyżek od 700,00 zł do 2 400,00 zł brutto; średnio 1 100,00 zł brutto.  </w:t>
      </w:r>
    </w:p>
    <w:p w14:paraId="7CA0E45B"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Analiza zestawień wskazuje, że kwoty podwyżek były ustalane proporcjonalne do zajmowanych stanowisk (wyższe otrzymywali pracownicy na stanowiskach kierowniczych), nie odnotowano różnic w przyznanych kwotach na takich samych stanowiskach. </w:t>
      </w:r>
    </w:p>
    <w:p w14:paraId="436561C2" w14:textId="1112A631"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że środki na podwyżki wynagrodzeń pracowników Bieszczadzkiego Parku Narodowego w 2022 r. pochodziły z dotacji budżetowej celowej, która została zwiększona o kwotę 2 955 tys. zł., czyli w roku 2021 dotacja wynosiła 5 267 tys. </w:t>
      </w:r>
      <w:r w:rsidR="00211832" w:rsidRPr="008C1E51">
        <w:rPr>
          <w:rFonts w:eastAsia="Calibri" w:cs="Times New Roman"/>
          <w:szCs w:val="20"/>
        </w:rPr>
        <w:t>zł, a</w:t>
      </w:r>
      <w:r w:rsidRPr="008C1E51">
        <w:rPr>
          <w:rFonts w:eastAsia="Calibri" w:cs="Times New Roman"/>
          <w:szCs w:val="20"/>
        </w:rPr>
        <w:t xml:space="preserve"> w roku 2022 wyniosła 8 222 tys. Zł. Również limit wynagrodzeń osobowych został zwiększony w 2022 r. do kwoty 7 859 tys. zł. (w 2021 r. limit ten wynosił 5 663 tys. zł).</w:t>
      </w:r>
    </w:p>
    <w:p w14:paraId="23641C21"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 III/439-440]</w:t>
      </w:r>
    </w:p>
    <w:p w14:paraId="5297F0DC"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Premie</w:t>
      </w:r>
    </w:p>
    <w:p w14:paraId="29FFFDB7"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kontrolowanej jednostce obowiązywał Regulamin premiowania pracowników wprowadzony Zarządzeniem nr 10 Dyrektora Parku z 10 marca 2014 r. Regulamin ten został uzgodniony ze związkami zawodowymi działającymi w Parku</w:t>
      </w:r>
      <w:r w:rsidRPr="008C1E51">
        <w:rPr>
          <w:rFonts w:eastAsia="Calibri" w:cs="Times New Roman"/>
          <w:szCs w:val="20"/>
          <w:vertAlign w:val="superscript"/>
        </w:rPr>
        <w:footnoteReference w:id="217"/>
      </w:r>
      <w:r w:rsidRPr="008C1E51">
        <w:rPr>
          <w:rFonts w:eastAsia="Calibri" w:cs="Times New Roman"/>
          <w:szCs w:val="20"/>
        </w:rPr>
        <w:t>.</w:t>
      </w:r>
    </w:p>
    <w:p w14:paraId="5CB52E7E"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Zgodnie z ww. regulaminem Dyrektor Parku tworzy fundusz z przeznaczeniem na premie dla pracowników. Minimalna wysokość tego funduszu winna stanowić co najmniej 5% funduszu wynagrodzeń obliczonego od płacy zasadniczej wszystkich pracowników. </w:t>
      </w:r>
    </w:p>
    <w:p w14:paraId="2DC58FE3"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Tworzony był również fundusz premiowy na premie motywacyjne. Fundusz ten mógł być powiększany o kwoty uzyskanych oszczędności z wynagrodzeń.</w:t>
      </w:r>
    </w:p>
    <w:p w14:paraId="0F2DB176" w14:textId="2D413B48"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Pracownicy posiadali prawo do </w:t>
      </w:r>
      <w:r w:rsidR="00211832" w:rsidRPr="008C1E51">
        <w:rPr>
          <w:rFonts w:eastAsia="Calibri" w:cs="Times New Roman"/>
          <w:szCs w:val="20"/>
        </w:rPr>
        <w:t>premii,</w:t>
      </w:r>
      <w:r w:rsidRPr="008C1E51">
        <w:rPr>
          <w:rFonts w:eastAsia="Calibri" w:cs="Times New Roman"/>
          <w:szCs w:val="20"/>
        </w:rPr>
        <w:t xml:space="preserve"> jeżeli efektywnie i nienagannie przepracowali czas pracy i wykonywali terminowo wszystkie zadania wynikające z indywidualnych zakresów obowiązków.</w:t>
      </w:r>
    </w:p>
    <w:p w14:paraId="66FDC5F8"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Premie motywacyjne przyznawane były przez Dyrektora Parku na wniosek kierowników komórek organizacyjnych.</w:t>
      </w:r>
    </w:p>
    <w:p w14:paraId="30A0AD96"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Ustalono, że w okresie objętym kontrolą pracownikom Parku wypłacono premie</w:t>
      </w:r>
      <w:r w:rsidRPr="008C1E51">
        <w:rPr>
          <w:rFonts w:eastAsia="Calibri" w:cs="Times New Roman"/>
          <w:szCs w:val="20"/>
          <w:vertAlign w:val="superscript"/>
        </w:rPr>
        <w:footnoteReference w:id="218"/>
      </w:r>
      <w:r w:rsidRPr="008C1E51">
        <w:rPr>
          <w:rFonts w:eastAsia="Calibri" w:cs="Times New Roman"/>
          <w:szCs w:val="20"/>
        </w:rPr>
        <w:t>.</w:t>
      </w:r>
    </w:p>
    <w:p w14:paraId="1F301BF3"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 III/432-440]</w:t>
      </w:r>
    </w:p>
    <w:p w14:paraId="13AD058F"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Awanse, rozwój zawodowy</w:t>
      </w:r>
    </w:p>
    <w:p w14:paraId="6FBAEEFA" w14:textId="0A2E2815"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Analiza informacji </w:t>
      </w:r>
      <w:proofErr w:type="spellStart"/>
      <w:r w:rsidRPr="008C1E51">
        <w:rPr>
          <w:rFonts w:eastAsia="Calibri" w:cs="Times New Roman"/>
          <w:szCs w:val="20"/>
        </w:rPr>
        <w:t>BdPN</w:t>
      </w:r>
      <w:proofErr w:type="spellEnd"/>
      <w:r w:rsidRPr="008C1E51">
        <w:rPr>
          <w:rFonts w:eastAsia="Calibri" w:cs="Times New Roman"/>
          <w:szCs w:val="20"/>
        </w:rPr>
        <w:t xml:space="preserve"> o zmianach stanowisk pracy w latach 2019-2022 (do dnia rozpoczęcia kontroli) wskazuje, że jednostka nie posiadała sformalizowanych zasad dot. Awansowania pracowników. Zmiany stanowisk - awanse na wyższe stanowiska miały charakter incydentalny (w 2022 r. 2 osoby – 2,4% pracujących; w 2021 r. 5 osób 5,9% pracujących; w 2020 r. 1 osoba – 1,2% pracujących; </w:t>
      </w:r>
      <w:r w:rsidR="00211832" w:rsidRPr="008C1E51">
        <w:rPr>
          <w:rFonts w:eastAsia="Calibri" w:cs="Times New Roman"/>
          <w:szCs w:val="20"/>
        </w:rPr>
        <w:t>w 2019</w:t>
      </w:r>
      <w:r w:rsidRPr="008C1E51">
        <w:rPr>
          <w:rFonts w:eastAsia="Calibri" w:cs="Times New Roman"/>
          <w:szCs w:val="20"/>
        </w:rPr>
        <w:t xml:space="preserve"> r. 4 osoby - 4,7% pracujących). Analiza całej historii zatrudnienia pracowników Parku, wskazuje, </w:t>
      </w:r>
      <w:r w:rsidR="00211832" w:rsidRPr="008C1E51">
        <w:rPr>
          <w:rFonts w:eastAsia="Calibri" w:cs="Times New Roman"/>
          <w:szCs w:val="20"/>
        </w:rPr>
        <w:t>że większość</w:t>
      </w:r>
      <w:r w:rsidRPr="008C1E51">
        <w:rPr>
          <w:rFonts w:eastAsia="Calibri" w:cs="Times New Roman"/>
          <w:szCs w:val="20"/>
        </w:rPr>
        <w:t xml:space="preserve"> z nich w okresie zatrudnienia awansowała na wyższe stanowiska. Przy czym dotyczy to wieloletnich pracowników Parku, a awanse następowały zwykle po kilku latach pracy na niższych stanowiskach.</w:t>
      </w:r>
    </w:p>
    <w:p w14:paraId="716ED737" w14:textId="77777777" w:rsidR="008C1E51" w:rsidRPr="008C1E51" w:rsidRDefault="008C1E51" w:rsidP="008C1E51">
      <w:pPr>
        <w:spacing w:before="120" w:after="120" w:line="276" w:lineRule="auto"/>
        <w:ind w:hanging="1"/>
        <w:jc w:val="right"/>
        <w:rPr>
          <w:rFonts w:eastAsia="Calibri" w:cs="Times New Roman"/>
          <w:szCs w:val="20"/>
        </w:rPr>
      </w:pPr>
      <w:r w:rsidRPr="008C1E51">
        <w:rPr>
          <w:rFonts w:eastAsia="Calibri" w:cs="Times New Roman"/>
          <w:szCs w:val="20"/>
        </w:rPr>
        <w:t>[Dowód: akta kontroli str. III/316-321]</w:t>
      </w:r>
    </w:p>
    <w:p w14:paraId="4443567C" w14:textId="77777777" w:rsidR="008C1E51" w:rsidRPr="008C1E51" w:rsidRDefault="008C1E51" w:rsidP="008C1E51">
      <w:pPr>
        <w:spacing w:before="120" w:after="120" w:line="276" w:lineRule="auto"/>
        <w:rPr>
          <w:rFonts w:eastAsia="Calibri" w:cs="Times New Roman"/>
          <w:szCs w:val="20"/>
          <w:u w:val="single"/>
        </w:rPr>
      </w:pPr>
      <w:r w:rsidRPr="008C1E51">
        <w:rPr>
          <w:rFonts w:eastAsia="Calibri" w:cs="Times New Roman"/>
          <w:szCs w:val="20"/>
          <w:u w:val="single"/>
        </w:rPr>
        <w:t>Umowy zlecenia/o dzieło zawierane z pracownikami Parku</w:t>
      </w:r>
    </w:p>
    <w:p w14:paraId="6659B67A"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Ustalono, że w okresie objętym kontrolą zawarto 63 umowy cywilno-prawne z pracownikami Parku o łącznej wartości 102 534,40 zł, w tym:</w:t>
      </w:r>
    </w:p>
    <w:p w14:paraId="1ABA4196" w14:textId="77777777" w:rsidR="008C1E51" w:rsidRPr="008C1E51" w:rsidRDefault="008C1E51" w:rsidP="008C1E51">
      <w:pPr>
        <w:numPr>
          <w:ilvl w:val="0"/>
          <w:numId w:val="4"/>
        </w:numPr>
        <w:spacing w:after="0" w:line="276" w:lineRule="auto"/>
        <w:ind w:left="714" w:hanging="357"/>
        <w:jc w:val="left"/>
        <w:rPr>
          <w:rFonts w:eastAsia="Calibri" w:cs="Times New Roman"/>
          <w:szCs w:val="20"/>
        </w:rPr>
      </w:pPr>
      <w:r w:rsidRPr="008C1E51">
        <w:rPr>
          <w:rFonts w:eastAsia="Calibri" w:cs="Times New Roman"/>
          <w:szCs w:val="20"/>
        </w:rPr>
        <w:t>w 2019 r. 17 umów na łączną kwotę 19 710,00 zł,</w:t>
      </w:r>
    </w:p>
    <w:p w14:paraId="7672D41B" w14:textId="77777777" w:rsidR="008C1E51" w:rsidRPr="008C1E51" w:rsidRDefault="008C1E51" w:rsidP="008C1E51">
      <w:pPr>
        <w:numPr>
          <w:ilvl w:val="0"/>
          <w:numId w:val="4"/>
        </w:numPr>
        <w:spacing w:after="0" w:line="276" w:lineRule="auto"/>
        <w:ind w:left="714" w:hanging="357"/>
        <w:jc w:val="left"/>
        <w:rPr>
          <w:rFonts w:eastAsia="Calibri" w:cs="Times New Roman"/>
          <w:szCs w:val="20"/>
        </w:rPr>
      </w:pPr>
      <w:r w:rsidRPr="008C1E51">
        <w:rPr>
          <w:rFonts w:eastAsia="Calibri" w:cs="Times New Roman"/>
          <w:szCs w:val="20"/>
        </w:rPr>
        <w:t>w 2020 r. 19 umów na łączną kwotę 38 751,55 zł,</w:t>
      </w:r>
    </w:p>
    <w:p w14:paraId="2E400DFD" w14:textId="77777777" w:rsidR="008C1E51" w:rsidRPr="008C1E51" w:rsidRDefault="008C1E51" w:rsidP="008C1E51">
      <w:pPr>
        <w:numPr>
          <w:ilvl w:val="0"/>
          <w:numId w:val="4"/>
        </w:numPr>
        <w:spacing w:after="0" w:line="276" w:lineRule="auto"/>
        <w:ind w:left="714" w:hanging="357"/>
        <w:jc w:val="left"/>
        <w:rPr>
          <w:rFonts w:eastAsia="Calibri" w:cs="Times New Roman"/>
          <w:szCs w:val="20"/>
        </w:rPr>
      </w:pPr>
      <w:r w:rsidRPr="008C1E51">
        <w:rPr>
          <w:rFonts w:eastAsia="Calibri" w:cs="Times New Roman"/>
          <w:szCs w:val="20"/>
        </w:rPr>
        <w:t>w 2021 r. 18 umów na łączną kwotę 34 784,85 zł,</w:t>
      </w:r>
    </w:p>
    <w:p w14:paraId="6A657840" w14:textId="00361D62" w:rsidR="008C1E51" w:rsidRPr="008C1E51" w:rsidRDefault="008C1E51" w:rsidP="008C1E51">
      <w:pPr>
        <w:numPr>
          <w:ilvl w:val="0"/>
          <w:numId w:val="4"/>
        </w:numPr>
        <w:spacing w:after="120" w:line="276" w:lineRule="auto"/>
        <w:ind w:left="714" w:hanging="357"/>
        <w:jc w:val="left"/>
        <w:rPr>
          <w:rFonts w:eastAsia="Calibri" w:cs="Times New Roman"/>
          <w:szCs w:val="20"/>
        </w:rPr>
      </w:pPr>
      <w:r w:rsidRPr="008C1E51">
        <w:rPr>
          <w:rFonts w:eastAsia="Calibri" w:cs="Times New Roman"/>
          <w:szCs w:val="20"/>
        </w:rPr>
        <w:t>w 2022 r. (</w:t>
      </w:r>
      <w:r w:rsidR="00211832" w:rsidRPr="008C1E51">
        <w:rPr>
          <w:rFonts w:eastAsia="Calibri" w:cs="Times New Roman"/>
          <w:szCs w:val="20"/>
        </w:rPr>
        <w:t>9 m</w:t>
      </w:r>
      <w:r w:rsidRPr="008C1E51">
        <w:rPr>
          <w:rFonts w:eastAsia="Calibri" w:cs="Times New Roman"/>
          <w:szCs w:val="20"/>
        </w:rPr>
        <w:t>-</w:t>
      </w:r>
      <w:proofErr w:type="spellStart"/>
      <w:r w:rsidRPr="008C1E51">
        <w:rPr>
          <w:rFonts w:eastAsia="Calibri" w:cs="Times New Roman"/>
          <w:szCs w:val="20"/>
        </w:rPr>
        <w:t>cy</w:t>
      </w:r>
      <w:proofErr w:type="spellEnd"/>
      <w:r w:rsidRPr="008C1E51">
        <w:rPr>
          <w:rFonts w:eastAsia="Calibri" w:cs="Times New Roman"/>
          <w:szCs w:val="20"/>
        </w:rPr>
        <w:t>) 9 umów na łączną kwotę 9 288, 00 zł.</w:t>
      </w:r>
    </w:p>
    <w:p w14:paraId="51C32B2E"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III/441]</w:t>
      </w:r>
    </w:p>
    <w:p w14:paraId="475C6E2F" w14:textId="49B581BB"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Szczegółowej kontroli poddano 26</w:t>
      </w:r>
      <w:r w:rsidRPr="008C1E51">
        <w:rPr>
          <w:rFonts w:eastAsia="Calibri" w:cs="Times New Roman"/>
          <w:szCs w:val="20"/>
          <w:vertAlign w:val="superscript"/>
        </w:rPr>
        <w:footnoteReference w:id="219"/>
      </w:r>
      <w:r w:rsidRPr="008C1E51">
        <w:rPr>
          <w:rFonts w:eastAsia="Calibri" w:cs="Times New Roman"/>
          <w:szCs w:val="20"/>
        </w:rPr>
        <w:t xml:space="preserve"> z 63 umów. W przypadku 8 umów o łącznej wartości 40 191,55 zł </w:t>
      </w:r>
      <w:r w:rsidR="00211832" w:rsidRPr="008C1E51">
        <w:rPr>
          <w:rFonts w:eastAsia="Calibri" w:cs="Times New Roman"/>
          <w:szCs w:val="20"/>
        </w:rPr>
        <w:t>stwierdzono następujące</w:t>
      </w:r>
      <w:r w:rsidRPr="008C1E51">
        <w:rPr>
          <w:rFonts w:eastAsia="Calibri" w:cs="Times New Roman"/>
          <w:szCs w:val="20"/>
        </w:rPr>
        <w:t xml:space="preserve"> nieprawidłowości:</w:t>
      </w:r>
    </w:p>
    <w:p w14:paraId="3FFBDF2F" w14:textId="4017D78F" w:rsidR="008C1E51" w:rsidRPr="008C1E51" w:rsidRDefault="008C1E51" w:rsidP="008C1E51">
      <w:pPr>
        <w:numPr>
          <w:ilvl w:val="0"/>
          <w:numId w:val="23"/>
        </w:numPr>
        <w:spacing w:before="120" w:after="120" w:line="276" w:lineRule="auto"/>
        <w:rPr>
          <w:rFonts w:eastAsia="Calibri" w:cs="Times New Roman"/>
          <w:szCs w:val="20"/>
        </w:rPr>
      </w:pPr>
      <w:r w:rsidRPr="008C1E51">
        <w:rPr>
          <w:rFonts w:eastAsia="Calibri" w:cs="Times New Roman"/>
          <w:szCs w:val="20"/>
        </w:rPr>
        <w:t xml:space="preserve">Zawarcie 9 lipca 2019 r 1 umowy zlecenie z pracownikiem, którego zakres zadań obejmował zakres umowy, na przeprowadzenie prelekcji wraz z prezentacją multimedialną pt. ”Tajemniczy świat owadów Bieszczadzkiego Parku Narodowego”. Termin wykonania dzieła to </w:t>
      </w:r>
      <w:r w:rsidR="00211832" w:rsidRPr="008C1E51">
        <w:rPr>
          <w:rFonts w:eastAsia="Calibri" w:cs="Times New Roman"/>
          <w:szCs w:val="20"/>
        </w:rPr>
        <w:t>9 lipca</w:t>
      </w:r>
      <w:r w:rsidRPr="008C1E51">
        <w:rPr>
          <w:rFonts w:eastAsia="Calibri" w:cs="Times New Roman"/>
          <w:szCs w:val="20"/>
        </w:rPr>
        <w:t xml:space="preserve"> 2019 r. Ustalono, że</w:t>
      </w:r>
      <w:r w:rsidR="00245D86">
        <w:rPr>
          <w:rFonts w:eastAsia="Calibri" w:cs="Times New Roman"/>
          <w:szCs w:val="20"/>
        </w:rPr>
        <w:t xml:space="preserve"> </w:t>
      </w:r>
      <w:r w:rsidRPr="008C1E51">
        <w:rPr>
          <w:rFonts w:eastAsia="Calibri" w:cs="Times New Roman"/>
          <w:szCs w:val="20"/>
        </w:rPr>
        <w:t xml:space="preserve">w szczegółowym zakresie obowiązków tego pracownika mieściły się m.in. zadania: udział w programach edukacji ekologicznej i popularyzacja wiedzy o przyrodzie </w:t>
      </w:r>
      <w:proofErr w:type="spellStart"/>
      <w:r w:rsidRPr="008C1E51">
        <w:rPr>
          <w:rFonts w:eastAsia="Calibri" w:cs="Times New Roman"/>
          <w:szCs w:val="20"/>
        </w:rPr>
        <w:t>BdPN</w:t>
      </w:r>
      <w:proofErr w:type="spellEnd"/>
      <w:r w:rsidRPr="008C1E51">
        <w:rPr>
          <w:rFonts w:eastAsia="Calibri" w:cs="Times New Roman"/>
          <w:szCs w:val="20"/>
        </w:rPr>
        <w:t xml:space="preserve"> i otuliny w formie wykładów i wydawnictw, tj. zadania zbieżne z przedmiotem umowy zlecenia.</w:t>
      </w:r>
    </w:p>
    <w:p w14:paraId="3CADED4F"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III/442-455]</w:t>
      </w:r>
    </w:p>
    <w:p w14:paraId="7775C45D"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Dyrektor Parku wyjaśnił</w:t>
      </w:r>
      <w:r w:rsidRPr="008C1E51">
        <w:rPr>
          <w:rFonts w:eastAsia="Calibri" w:cs="Times New Roman"/>
          <w:szCs w:val="20"/>
          <w:vertAlign w:val="superscript"/>
        </w:rPr>
        <w:footnoteReference w:id="220"/>
      </w:r>
      <w:r w:rsidRPr="008C1E51">
        <w:rPr>
          <w:rFonts w:eastAsia="Calibri" w:cs="Times New Roman"/>
          <w:szCs w:val="20"/>
        </w:rPr>
        <w:t xml:space="preserve">, że pracownik przeprowadził prezentację multimedialną poza godzinami pracy, tj. w godzinach 17.00-18.00. Bieszczadzki Park Narodowy organizował </w:t>
      </w:r>
      <w:r w:rsidRPr="008C1E51">
        <w:rPr>
          <w:rFonts w:eastAsia="Calibri" w:cs="Times New Roman"/>
          <w:szCs w:val="20"/>
        </w:rPr>
        <w:br/>
        <w:t xml:space="preserve">w okresie wakacyjnym od kilkunastu lat już wykłady w ośrodku Edukacji Ekologicznej </w:t>
      </w:r>
      <w:r w:rsidRPr="008C1E51">
        <w:rPr>
          <w:rFonts w:eastAsia="Calibri" w:cs="Times New Roman"/>
          <w:szCs w:val="20"/>
        </w:rPr>
        <w:br/>
        <w:t>w Ustrzykach Dolnych dla społeczności lokalnej i turystów. Na wykłady zapraszani byli podróżnicy, naukowcy, pracownicy uczelni wyższych związani z kierunkami przyrodniczymi. Bezpłatne prelekcje były atrakcją dla zwiedzających i poprawiały społeczny odbiór Parku. Dyrektor Parku poinformował, że zdarzało się, że pracownicy Parku głosili prelekcje, choć takie sytuacje zdarzały się wyjątkowo. Zdaniem Dyrektora Parku przygotowanie unikalnego wystąpienia z materiałami multimedialnymi wykraczało poza zakres obowiązków pracowników na etacie naukowym.</w:t>
      </w:r>
    </w:p>
    <w:p w14:paraId="7BFB2DBA"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III/750-755]</w:t>
      </w:r>
    </w:p>
    <w:p w14:paraId="6E1621D8"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Kontrolujący nie zgadza się z twierdzeniem Dyrektora Parku, że w zakresie obowiązków pracownika nie było przygotowanie wystąpienia z materiałami multimedialnymi. W zakresie obowiązków tego pracownika jasno wskazano, że do jego zadań należał udział w programach edukacji ekologicznej i popularyzacja wiedzy o przyrodzie </w:t>
      </w:r>
      <w:proofErr w:type="spellStart"/>
      <w:r w:rsidRPr="008C1E51">
        <w:rPr>
          <w:rFonts w:eastAsia="Calibri" w:cs="Times New Roman"/>
          <w:szCs w:val="20"/>
        </w:rPr>
        <w:t>BdPN</w:t>
      </w:r>
      <w:proofErr w:type="spellEnd"/>
      <w:r w:rsidRPr="008C1E51">
        <w:rPr>
          <w:rFonts w:eastAsia="Calibri" w:cs="Times New Roman"/>
          <w:szCs w:val="20"/>
        </w:rPr>
        <w:t xml:space="preserve"> i otuliny w formie wykładów i wydawnictw. Brak wskazania w zakresie obowiązków, że pracownik przygotowuje prezentacje multimedialne nie wyklucza możliwości jej przygotowania w ramach prowadzonego wykładu czy prelekcji.</w:t>
      </w:r>
    </w:p>
    <w:p w14:paraId="621D3D40" w14:textId="2478965D"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Kontrolujący zwraca uwagę, że w związku z faktem, że w zakresie obowiązków pracownika należał udział w programach edukacji ekologicznej i popularyzacja wiedzy o przyrodzie </w:t>
      </w:r>
      <w:proofErr w:type="spellStart"/>
      <w:r w:rsidRPr="008C1E51">
        <w:rPr>
          <w:rFonts w:eastAsia="Calibri" w:cs="Times New Roman"/>
          <w:szCs w:val="20"/>
        </w:rPr>
        <w:t>BdPN</w:t>
      </w:r>
      <w:proofErr w:type="spellEnd"/>
      <w:r w:rsidRPr="008C1E51">
        <w:rPr>
          <w:rFonts w:eastAsia="Calibri" w:cs="Times New Roman"/>
          <w:szCs w:val="20"/>
        </w:rPr>
        <w:t xml:space="preserve"> i otuliny w formie wykładów i wydawnictw, zadania wynikające z </w:t>
      </w:r>
      <w:r w:rsidR="00211832" w:rsidRPr="008C1E51">
        <w:rPr>
          <w:rFonts w:eastAsia="Calibri" w:cs="Times New Roman"/>
          <w:szCs w:val="20"/>
        </w:rPr>
        <w:t>umowy zlecenie</w:t>
      </w:r>
      <w:r w:rsidRPr="008C1E51">
        <w:rPr>
          <w:rFonts w:eastAsia="Calibri" w:cs="Times New Roman"/>
          <w:szCs w:val="20"/>
        </w:rPr>
        <w:t xml:space="preserve"> mogły być wykonane w ramach umowy o pracę. Zgodnie z §35 ust. 2 lit. b Regulaminu pracy w sytuacji szczególnych potrzeb pracodawcy jest dopuszczalna praca w godzinach nadliczbowych. Na wniosek pracownika może być mu udzielony czas wolny za pracę</w:t>
      </w:r>
      <w:r w:rsidRPr="008C1E51">
        <w:rPr>
          <w:rFonts w:eastAsia="Calibri" w:cs="Times New Roman"/>
          <w:szCs w:val="20"/>
        </w:rPr>
        <w:br/>
        <w:t>w godzinach nadliczbowych według zasady „godzina za godzinę”, a w przypadku nieudzielenia czasu wolnego za pracę w godzinach nadliczbowych, oprócz dodatkowego wynagrodzenia pracownikowi przysługuje dodatek w określonej w Regulaminie pracy wysokości.</w:t>
      </w:r>
    </w:p>
    <w:p w14:paraId="16C39BBE" w14:textId="77777777" w:rsidR="008C1E51" w:rsidRPr="008C1E51" w:rsidRDefault="008C1E51" w:rsidP="008C1E51">
      <w:pPr>
        <w:contextualSpacing/>
        <w:rPr>
          <w:szCs w:val="20"/>
        </w:rPr>
      </w:pPr>
      <w:r w:rsidRPr="008C1E51">
        <w:rPr>
          <w:rFonts w:eastAsia="Calibri" w:cs="Times New Roman"/>
          <w:szCs w:val="20"/>
        </w:rPr>
        <w:t xml:space="preserve">W ocenie Kontrolującego zawarcie w umowie zlecenie </w:t>
      </w:r>
      <w:r w:rsidRPr="008C1E51">
        <w:rPr>
          <w:szCs w:val="20"/>
        </w:rPr>
        <w:t>zadań do realizacji, które były tożsame z zadaniami pracowników Parku zatrudnionych na umowę o pracę, było niezgodne z art. 22 §1</w:t>
      </w:r>
      <w:r w:rsidRPr="008C1E51">
        <w:rPr>
          <w:szCs w:val="20"/>
          <w:vertAlign w:val="superscript"/>
        </w:rPr>
        <w:t xml:space="preserve">2 </w:t>
      </w:r>
      <w:r w:rsidRPr="008C1E51">
        <w:rPr>
          <w:szCs w:val="20"/>
        </w:rPr>
        <w:t>ustawy z dnia 26 czerwca 1974 r. Kodeks pracy</w:t>
      </w:r>
      <w:r w:rsidRPr="008C1E51">
        <w:rPr>
          <w:szCs w:val="20"/>
          <w:vertAlign w:val="superscript"/>
        </w:rPr>
        <w:footnoteReference w:id="221"/>
      </w:r>
      <w:r w:rsidRPr="008C1E51">
        <w:rPr>
          <w:szCs w:val="20"/>
        </w:rPr>
        <w:t xml:space="preserve"> wskazującym, że nie jest dopuszczalne zastąpienie umowy o pracę umową cywilnoprawną przy zachowaniu warunków wykonywania pracy, określonych w § 1.</w:t>
      </w:r>
    </w:p>
    <w:p w14:paraId="693A732E"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Kontrolujący zwraca uwagę, że Park zawarł z dwoma innymi pracownikami umowy na wygłoszenie podobnej prelekcji po godzinach pracy, lecz pracownicy ci nie mieli w zakresie obowiązków tego zadania. W tym przypadku Kontrolujący nie zgłasza uwag.</w:t>
      </w:r>
    </w:p>
    <w:p w14:paraId="02619D88" w14:textId="77777777" w:rsidR="008C1E51" w:rsidRPr="008C1E51" w:rsidRDefault="008C1E51" w:rsidP="008C1E51">
      <w:pPr>
        <w:numPr>
          <w:ilvl w:val="0"/>
          <w:numId w:val="23"/>
        </w:numPr>
        <w:spacing w:before="120" w:after="120" w:line="276" w:lineRule="auto"/>
        <w:rPr>
          <w:rFonts w:eastAsia="Calibri" w:cs="Times New Roman"/>
          <w:szCs w:val="20"/>
        </w:rPr>
      </w:pPr>
      <w:r w:rsidRPr="008C1E51">
        <w:rPr>
          <w:rFonts w:eastAsia="Calibri" w:cs="Times New Roman"/>
          <w:szCs w:val="20"/>
        </w:rPr>
        <w:t>W przypadku 4 umów brak wprowadzenia mechanizmów zabezpieczających przed wykonywaniem umów cywilnoprawnych w czasie pracy etatowej</w:t>
      </w:r>
    </w:p>
    <w:p w14:paraId="75E51A82"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Park zawarł 2 umowy na obsługę pieca c.o. w kotłowin obiektu Noclegi-Biały i w hoteliku </w:t>
      </w:r>
      <w:r w:rsidRPr="008C1E51">
        <w:rPr>
          <w:rFonts w:eastAsia="Calibri" w:cs="Times New Roman"/>
          <w:szCs w:val="20"/>
        </w:rPr>
        <w:br/>
        <w:t xml:space="preserve">w </w:t>
      </w:r>
      <w:proofErr w:type="spellStart"/>
      <w:r w:rsidRPr="008C1E51">
        <w:rPr>
          <w:rFonts w:eastAsia="Calibri" w:cs="Times New Roman"/>
          <w:szCs w:val="20"/>
        </w:rPr>
        <w:t>Wołosatem</w:t>
      </w:r>
      <w:proofErr w:type="spellEnd"/>
      <w:r w:rsidRPr="008C1E51">
        <w:rPr>
          <w:rFonts w:eastAsia="Calibri" w:cs="Times New Roman"/>
          <w:szCs w:val="20"/>
        </w:rPr>
        <w:t xml:space="preserve"> nr DA.262.1.2019 z 2 stycznia 2019 r. i DA.262.34.2018 z 1 października 2018 r. Wynagrodzenie było miesięcznym ryczałtem. Umowy nie precyzowały w jakich godzinach powinny być wykonywane.</w:t>
      </w:r>
    </w:p>
    <w:p w14:paraId="7136DE98"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III/456-488]</w:t>
      </w:r>
    </w:p>
    <w:p w14:paraId="6106573E" w14:textId="6C8219C4"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kwestii przyczyn zawarcia ww. umów z pracownikami, Dyrektor Parku wyjaśnił</w:t>
      </w:r>
      <w:r w:rsidRPr="008C1E51">
        <w:rPr>
          <w:rFonts w:eastAsia="Calibri" w:cs="Times New Roman"/>
          <w:szCs w:val="20"/>
          <w:vertAlign w:val="superscript"/>
        </w:rPr>
        <w:footnoteReference w:id="222"/>
      </w:r>
      <w:r w:rsidRPr="008C1E51">
        <w:rPr>
          <w:rFonts w:eastAsia="Calibri" w:cs="Times New Roman"/>
          <w:szCs w:val="20"/>
        </w:rPr>
        <w:t xml:space="preserve">, że przy braku palacza zatrudnionego na etacie, co wiąże się m.in. ze zmianowością pracy, obsługę pieców zlecono osobie, która mieszkała w jednym z lokali i posiadała wiedzę, co do bieżącego zabezpieczenia ciepła w budynku z zachowaniem zasady ekonomii wykorzystania paliwa. Druga z osób w latach wcześniejszych obsługiwała piece w drugim z obiektów i posiadała wiedzę i umiejętności dla zabezpieczenia </w:t>
      </w:r>
      <w:r w:rsidR="00211832" w:rsidRPr="008C1E51">
        <w:rPr>
          <w:rFonts w:eastAsia="Calibri" w:cs="Times New Roman"/>
          <w:szCs w:val="20"/>
        </w:rPr>
        <w:t>obiektu,</w:t>
      </w:r>
      <w:r w:rsidRPr="008C1E51">
        <w:rPr>
          <w:rFonts w:eastAsia="Calibri" w:cs="Times New Roman"/>
          <w:szCs w:val="20"/>
        </w:rPr>
        <w:t xml:space="preserve"> który w okresie zimowym nie był </w:t>
      </w:r>
      <w:r w:rsidRPr="008C1E51">
        <w:rPr>
          <w:rFonts w:eastAsia="Calibri" w:cs="Times New Roman"/>
          <w:szCs w:val="20"/>
        </w:rPr>
        <w:br/>
        <w:t xml:space="preserve">w dzierżawie, Zlecenie w ramach umowy cywilnoprawnej pracownikowi Parku było według Dyrektora Parku, korzystne dla pracodawcy, z uwagi na fakt powierzenia tych obowiązków osobom sprawdzonym, które były nadzorowane i gwarantowały rzetelne wywiązywanie się z powierzonych zadań. </w:t>
      </w:r>
      <w:r w:rsidR="00211832" w:rsidRPr="008C1E51">
        <w:rPr>
          <w:rFonts w:eastAsia="Calibri" w:cs="Times New Roman"/>
          <w:szCs w:val="20"/>
        </w:rPr>
        <w:t>Powodem,</w:t>
      </w:r>
      <w:r w:rsidRPr="008C1E51">
        <w:rPr>
          <w:rFonts w:eastAsia="Calibri" w:cs="Times New Roman"/>
          <w:szCs w:val="20"/>
        </w:rPr>
        <w:t xml:space="preserve"> dla którego nie włączono tego zadania do zakresu obowiązków były oszczędności związane z racjonalizacją zatrudnienia w warunkach nałożonych odgórnie limitów.</w:t>
      </w:r>
    </w:p>
    <w:p w14:paraId="4B4DC043"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III/750-755]</w:t>
      </w:r>
    </w:p>
    <w:p w14:paraId="00D5A2E9"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Kontrolujący zauważa, że w związku z tym, że umowa nie precyzowała w jakich godzinach powinna być wykonywana, istnieje ryzyko jej wykonywania w czasie pracy etatowej. </w:t>
      </w:r>
    </w:p>
    <w:p w14:paraId="1ED76C95"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kwestii wykonywania pracy zleconej poza pracą etatową Dyrektor Parku wyjaśnił</w:t>
      </w:r>
      <w:r w:rsidRPr="008C1E51">
        <w:rPr>
          <w:rFonts w:eastAsia="Calibri" w:cs="Times New Roman"/>
          <w:szCs w:val="20"/>
          <w:vertAlign w:val="superscript"/>
        </w:rPr>
        <w:footnoteReference w:id="223"/>
      </w:r>
      <w:r w:rsidRPr="008C1E51">
        <w:rPr>
          <w:rFonts w:eastAsia="Calibri" w:cs="Times New Roman"/>
          <w:szCs w:val="20"/>
        </w:rPr>
        <w:t>,</w:t>
      </w:r>
      <w:r w:rsidRPr="008C1E51">
        <w:rPr>
          <w:rFonts w:eastAsia="Calibri" w:cs="Times New Roman"/>
          <w:szCs w:val="20"/>
        </w:rPr>
        <w:br/>
        <w:t>że pracownicy wykonywali czynności zlecone poza godzinami pracy etatowej, tj. w godzinach od godziny 5 a potem po godzinie 16. Regulamin pracy nakładał na pracownika obowiązek przestrzegania czasu pracy i jego pełnego wykorzystania na wykonanie obowiązków pracowniczych. Nadzór na wykonywaną pracą sprawował bezpośredni przełożony. Wprowadzono ewidencję liczby wykonanych godzin na umowę zlecenie potwierdzoną przez pracownika nadzorującego pracę, która była załącznikiem do rachunku wystawionego przez Zleceniobiorcę. Zdaniem Dyrektora Parku umowa zlecenie w odróżnieniu od umowy o pracę nie musiała być wykonywana osobiście.</w:t>
      </w:r>
    </w:p>
    <w:p w14:paraId="496D62DA" w14:textId="570CB33A"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Kontrolujący wskazuje, że w rachunkach Zleceniobiorca wskazywał liczbę godzin w </w:t>
      </w:r>
      <w:r w:rsidR="00211832" w:rsidRPr="008C1E51">
        <w:rPr>
          <w:rFonts w:eastAsia="Calibri" w:cs="Times New Roman"/>
          <w:szCs w:val="20"/>
        </w:rPr>
        <w:t>miesiącu,</w:t>
      </w:r>
      <w:r w:rsidRPr="008C1E51">
        <w:rPr>
          <w:rFonts w:eastAsia="Calibri" w:cs="Times New Roman"/>
          <w:szCs w:val="20"/>
        </w:rPr>
        <w:t xml:space="preserve"> kiedy wykonywał zlecenie, a nie godziny w jakich wykonywał zlecenie, w związku czym należałoby wprowadzić w umowie godziny wykonywania zlecenia.</w:t>
      </w:r>
    </w:p>
    <w:p w14:paraId="0476188F"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Park zawarł 2 umowy nr. DA.262.14.2020 z 1 czerwca 2020 r. i DA.262.12.2022 z 16 maja 2022 r. na świadczenie usług wywozu nieczystości płynnych z obiektów </w:t>
      </w:r>
      <w:proofErr w:type="spellStart"/>
      <w:r w:rsidRPr="008C1E51">
        <w:rPr>
          <w:rFonts w:eastAsia="Calibri" w:cs="Times New Roman"/>
          <w:szCs w:val="20"/>
        </w:rPr>
        <w:t>BdPN</w:t>
      </w:r>
      <w:proofErr w:type="spellEnd"/>
      <w:r w:rsidRPr="008C1E51">
        <w:rPr>
          <w:rFonts w:eastAsia="Calibri" w:cs="Times New Roman"/>
          <w:szCs w:val="20"/>
        </w:rPr>
        <w:t xml:space="preserve"> na okresy </w:t>
      </w:r>
      <w:r w:rsidRPr="008C1E51">
        <w:rPr>
          <w:rFonts w:eastAsia="Calibri" w:cs="Times New Roman"/>
          <w:szCs w:val="20"/>
        </w:rPr>
        <w:br/>
        <w:t>5 miesięczne. Zleceniobiorcą był pracownik Parku zatrudniony na stanowisku robotnika gospodarczego.</w:t>
      </w:r>
    </w:p>
    <w:p w14:paraId="4198C92A"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Zakres obowiązków tego pracownika obejmował m.in. obsługę ciągnika, maszyn i urządzeń będących na wyposażeniu pracodawcy. Pracownik odbył instruktaż stanowiskowy obejmujący m.in. obsługę wozu asenizacyjnego. Zleceniobiorca korzystał z wozu asenizacyjnego będącego własnością </w:t>
      </w:r>
      <w:proofErr w:type="spellStart"/>
      <w:r w:rsidRPr="008C1E51">
        <w:rPr>
          <w:rFonts w:eastAsia="Calibri" w:cs="Times New Roman"/>
          <w:szCs w:val="20"/>
        </w:rPr>
        <w:t>BdPN</w:t>
      </w:r>
      <w:proofErr w:type="spellEnd"/>
      <w:r w:rsidRPr="008C1E51">
        <w:rPr>
          <w:rFonts w:eastAsia="Calibri" w:cs="Times New Roman"/>
          <w:szCs w:val="20"/>
        </w:rPr>
        <w:t>.</w:t>
      </w:r>
    </w:p>
    <w:p w14:paraId="1D6A3856"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III/600-644]</w:t>
      </w:r>
    </w:p>
    <w:p w14:paraId="0EFFFA2F" w14:textId="0D0024A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kwestii przyczyn zawarcia umowy z pracownikiem Parku Dyrektor Parku wyjaśnił</w:t>
      </w:r>
      <w:r w:rsidRPr="008C1E51">
        <w:rPr>
          <w:rFonts w:eastAsia="Calibri" w:cs="Times New Roman"/>
          <w:szCs w:val="20"/>
          <w:vertAlign w:val="superscript"/>
        </w:rPr>
        <w:footnoteReference w:id="224"/>
      </w:r>
      <w:r w:rsidRPr="008C1E51">
        <w:rPr>
          <w:rFonts w:eastAsia="Calibri" w:cs="Times New Roman"/>
          <w:szCs w:val="20"/>
        </w:rPr>
        <w:t xml:space="preserve">, że umowę na wywóz nieczystości zawarto z pracownikiem Zachowawczej Hodowli Konia Huculskiego, ponieważ osoba ta posiadała odpowiednie uprawnienia do obsługi wozu asenizacyjnego. Wcześniej pracę tę wykonywał w ramach umowy o pracę pracownik innej komórki w ramach obowiązków służbowych, który przeszedł </w:t>
      </w:r>
      <w:r w:rsidR="00211832" w:rsidRPr="008C1E51">
        <w:rPr>
          <w:rFonts w:eastAsia="Calibri" w:cs="Times New Roman"/>
          <w:szCs w:val="20"/>
        </w:rPr>
        <w:t>na emeryturę</w:t>
      </w:r>
      <w:r w:rsidRPr="008C1E51">
        <w:rPr>
          <w:rFonts w:eastAsia="Calibri" w:cs="Times New Roman"/>
          <w:szCs w:val="20"/>
        </w:rPr>
        <w:t xml:space="preserve">, a nie zatrudniono na tym stanowisku innej osoby. Aby móc zapewnić prawidłowe funkcjonowanie obiektów sanitarnych, Park był zmuszony zawrzeć umowy z pracownikiem innego działu. Dyrektor wyjaśnił, że Pracownik wykonywał zlecenie poza godzinami pracy, we wczesnych godzinach porannych. W obszarze, na którym znajdują się obiekty Parku nie funkcjonowały żadne firmy komunalne świadczące usługi wywozu nieczystości. Siedziba najbliższej firmy świadczącej takie usługi znajduje się 50 km od siedziby dyrekcji. Biorąc pod uwagę koszt częstego wywozu nieczystości dodatkowo zwiększone o znaczny koszt dojazdu do wielu obiektów oraz terminowość wywozu, zaistniała konieczność powierzenia tych zadań pracownikowi parku. Praca miała charakter sezonowy od </w:t>
      </w:r>
      <w:r w:rsidR="00211832" w:rsidRPr="008C1E51">
        <w:rPr>
          <w:rFonts w:eastAsia="Calibri" w:cs="Times New Roman"/>
          <w:szCs w:val="20"/>
        </w:rPr>
        <w:t>mają do</w:t>
      </w:r>
      <w:r w:rsidRPr="008C1E51">
        <w:rPr>
          <w:rFonts w:eastAsia="Calibri" w:cs="Times New Roman"/>
          <w:szCs w:val="20"/>
        </w:rPr>
        <w:t xml:space="preserve"> października, </w:t>
      </w:r>
      <w:r w:rsidRPr="008C1E51">
        <w:rPr>
          <w:rFonts w:eastAsia="Calibri" w:cs="Times New Roman"/>
          <w:szCs w:val="20"/>
        </w:rPr>
        <w:br/>
        <w:t>a powierzenie jej pracownikowi Parku było uzasadnione przede wszystkich względami ekonomicznymi, a także racjonalizacją zatrudnienia.</w:t>
      </w:r>
    </w:p>
    <w:p w14:paraId="0D2DA6BB"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w:t>
      </w:r>
      <w:r w:rsidRPr="008C1E51">
        <w:t xml:space="preserve"> </w:t>
      </w:r>
      <w:r w:rsidRPr="008C1E51">
        <w:rPr>
          <w:rFonts w:eastAsia="Calibri" w:cs="Times New Roman"/>
          <w:szCs w:val="20"/>
        </w:rPr>
        <w:t>III/746-747]</w:t>
      </w:r>
    </w:p>
    <w:p w14:paraId="2B621C9E" w14:textId="7C0AD95D"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W ocenie Kontrolującego dokumenty rozliczeniowe do tej umowy nie pozwalały na właściwe rozliczenie wykonywanych zadań określonych umową. W protokołach odbioru wykonanie zlecenia potwierdzono: „wywóz szamba z obiektów </w:t>
      </w:r>
      <w:proofErr w:type="spellStart"/>
      <w:r w:rsidRPr="008C1E51">
        <w:rPr>
          <w:rFonts w:eastAsia="Calibri" w:cs="Times New Roman"/>
          <w:szCs w:val="20"/>
        </w:rPr>
        <w:t>BdPN</w:t>
      </w:r>
      <w:proofErr w:type="spellEnd"/>
      <w:r w:rsidRPr="008C1E51">
        <w:rPr>
          <w:rFonts w:eastAsia="Calibri" w:cs="Times New Roman"/>
          <w:szCs w:val="20"/>
        </w:rPr>
        <w:t xml:space="preserve"> szt. 1”, </w:t>
      </w:r>
      <w:r w:rsidR="00211832" w:rsidRPr="008C1E51">
        <w:rPr>
          <w:rFonts w:eastAsia="Calibri" w:cs="Times New Roman"/>
          <w:szCs w:val="20"/>
        </w:rPr>
        <w:t>oraz</w:t>
      </w:r>
      <w:r w:rsidRPr="008C1E51">
        <w:rPr>
          <w:rFonts w:eastAsia="Calibri" w:cs="Times New Roman"/>
          <w:szCs w:val="20"/>
        </w:rPr>
        <w:t xml:space="preserve"> że Zleceniobiorca przepracował 25 godzin w miesiącu. Nie wskazano natomiast poszczególnych obiektów,</w:t>
      </w:r>
      <w:r w:rsidRPr="008C1E51">
        <w:rPr>
          <w:rFonts w:eastAsia="Calibri" w:cs="Times New Roman"/>
          <w:szCs w:val="20"/>
        </w:rPr>
        <w:br/>
        <w:t xml:space="preserve">z których wywożono szambo i terminów. Pomimo wynagrodzenia ryczałtowego wykonanie usługi powinno być </w:t>
      </w:r>
      <w:proofErr w:type="spellStart"/>
      <w:r w:rsidRPr="008C1E51">
        <w:rPr>
          <w:rFonts w:eastAsia="Calibri" w:cs="Times New Roman"/>
          <w:szCs w:val="20"/>
        </w:rPr>
        <w:t>rozliczalne</w:t>
      </w:r>
      <w:proofErr w:type="spellEnd"/>
      <w:r w:rsidRPr="008C1E51">
        <w:rPr>
          <w:rFonts w:eastAsia="Calibri" w:cs="Times New Roman"/>
          <w:szCs w:val="20"/>
        </w:rPr>
        <w:t>, a rozliczenia powinny być przejrzyste.</w:t>
      </w:r>
    </w:p>
    <w:p w14:paraId="6DF09437"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umowie nr DA.262.12.2022 przewidziano stawkę godzinową. Zleceniobiorca rozliczał się z przepracowanych godzin. W rozliczeniach Zleceniobiorca wskazał daty i miejsca wykonywania usługi, a także liczbę przepracowanych godzin. Liczba godzin wykonywania zlecenia w 2021 i 2022 r. wskazuje, że mogły być one wykonywane w godzinach pracy etatowej (w zależności od dnia, usługa była wykonywana przez 2, 4, 5, 6 lub 8 godzin również w dni robocze).</w:t>
      </w:r>
    </w:p>
    <w:p w14:paraId="4172F260"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III/621-644]</w:t>
      </w:r>
    </w:p>
    <w:p w14:paraId="71C91208"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Park zawarł umowę zlecenie 2 stycznia 2020 r. na prace porządkowe w 2 budynkach Parku na okres 3 miesięcy. W zakresie obowiązków pracownika nie było zadań będących przedmiotem umowy zlecenia. Pracownik razem z rachunkiem przedstawiał rozliczenie godzinowe wykonywania pracy zleconej zarówno w dni robocze jak i weekendy, bez wskazania, w których godzinach było wykonywane zlecenie. Podobnie w rozliczeniach umów zlecenia z 1 stycznia 2020 r. ma otwieranie i zamykanie obiektu OEE </w:t>
      </w:r>
      <w:proofErr w:type="spellStart"/>
      <w:r w:rsidRPr="008C1E51">
        <w:rPr>
          <w:rFonts w:eastAsia="Calibri" w:cs="Times New Roman"/>
          <w:szCs w:val="20"/>
        </w:rPr>
        <w:t>BdPN</w:t>
      </w:r>
      <w:proofErr w:type="spellEnd"/>
      <w:r w:rsidRPr="008C1E51">
        <w:rPr>
          <w:rFonts w:eastAsia="Calibri" w:cs="Times New Roman"/>
          <w:szCs w:val="20"/>
        </w:rPr>
        <w:t xml:space="preserve"> brakowało wskazania, w których godzinach było wykonywane zlecenie.</w:t>
      </w:r>
    </w:p>
    <w:p w14:paraId="49C5AFD9"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III/645-654]</w:t>
      </w:r>
    </w:p>
    <w:p w14:paraId="3FF7E3E2"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ocenie kontrolującego Park zlecając w formie zawartych umów zlecenia dodatkowe zadania w sposób niewłaściwy sporządzał umowy oraz je rozliczał. Zapisy były zbyt ogólne, nie pozwalały na stwierdzenie w jakim czasie i kiedy poszczególne zadania były wykonane. Powyższe skutkowało tym, iż zadania te mogły być wykonywane w godzinach pracy etatowej.</w:t>
      </w:r>
    </w:p>
    <w:p w14:paraId="23EE3CF4" w14:textId="77777777" w:rsidR="008C1E51" w:rsidRPr="008C1E51" w:rsidRDefault="008C1E51" w:rsidP="008C1E51">
      <w:pPr>
        <w:numPr>
          <w:ilvl w:val="0"/>
          <w:numId w:val="23"/>
        </w:numPr>
        <w:spacing w:before="120" w:after="120" w:line="276" w:lineRule="auto"/>
        <w:rPr>
          <w:rFonts w:eastAsia="Calibri" w:cs="Times New Roman"/>
          <w:szCs w:val="20"/>
        </w:rPr>
      </w:pPr>
      <w:r w:rsidRPr="008C1E51">
        <w:rPr>
          <w:rFonts w:eastAsia="Calibri" w:cs="Times New Roman"/>
          <w:szCs w:val="20"/>
        </w:rPr>
        <w:t>W przypadku 1 umowy wypłata wynagrodzenia niezgodna z zapisami umowy</w:t>
      </w:r>
    </w:p>
    <w:p w14:paraId="05A52D0B"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W umowie DA.262.14.2020 określono wynagrodzenie ryczałtowe za wykonanie umowy </w:t>
      </w:r>
      <w:r w:rsidRPr="008C1E51">
        <w:rPr>
          <w:rFonts w:eastAsia="Calibri" w:cs="Times New Roman"/>
          <w:szCs w:val="20"/>
        </w:rPr>
        <w:br/>
        <w:t>w wysokości 550 zł brutto. Zleceniobiorca przedstawiał miesięczne rachunki na kwotę 550 zł brutto, które były opłacane przez Zleceniodawcę. Działanie to, zdaniem Kontrolującego, było niezgodne z umową, której treść przewidywała jednorazowe wynagrodzenie.</w:t>
      </w:r>
    </w:p>
    <w:p w14:paraId="2CBDAEA7"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III/600-616]</w:t>
      </w:r>
    </w:p>
    <w:p w14:paraId="03E2043A" w14:textId="5EA47A2E" w:rsidR="008C1E51" w:rsidRPr="008C1E51" w:rsidRDefault="00211832" w:rsidP="008C1E51">
      <w:pPr>
        <w:spacing w:before="120" w:after="120" w:line="276" w:lineRule="auto"/>
        <w:rPr>
          <w:rFonts w:eastAsia="Calibri" w:cs="Times New Roman"/>
          <w:szCs w:val="20"/>
        </w:rPr>
      </w:pPr>
      <w:r w:rsidRPr="008C1E51">
        <w:rPr>
          <w:rFonts w:eastAsia="Calibri" w:cs="Times New Roman"/>
          <w:szCs w:val="20"/>
        </w:rPr>
        <w:t>Odnośnie do</w:t>
      </w:r>
      <w:r w:rsidR="008C1E51" w:rsidRPr="008C1E51">
        <w:rPr>
          <w:rFonts w:eastAsia="Calibri" w:cs="Times New Roman"/>
          <w:szCs w:val="20"/>
        </w:rPr>
        <w:t xml:space="preserve"> sposobu rozliczenia umowy Dyrektor Parku wyjaśnił</w:t>
      </w:r>
      <w:r w:rsidR="008C1E51" w:rsidRPr="008C1E51">
        <w:rPr>
          <w:rFonts w:eastAsia="Calibri" w:cs="Times New Roman"/>
          <w:szCs w:val="20"/>
          <w:vertAlign w:val="superscript"/>
        </w:rPr>
        <w:footnoteReference w:id="225"/>
      </w:r>
      <w:r w:rsidR="008C1E51" w:rsidRPr="008C1E51">
        <w:rPr>
          <w:rFonts w:eastAsia="Calibri" w:cs="Times New Roman"/>
          <w:szCs w:val="20"/>
        </w:rPr>
        <w:t xml:space="preserve">, że umówiona </w:t>
      </w:r>
      <w:r w:rsidR="008C1E51" w:rsidRPr="008C1E51">
        <w:rPr>
          <w:rFonts w:eastAsia="Calibri" w:cs="Times New Roman"/>
          <w:szCs w:val="20"/>
        </w:rPr>
        <w:br/>
        <w:t xml:space="preserve">ze Zleceniobiorcą kwota umowy była ryczałtowa i wynosiła 550 zł brutto za każdy miesiąc </w:t>
      </w:r>
      <w:r w:rsidR="008C1E51" w:rsidRPr="008C1E51">
        <w:rPr>
          <w:rFonts w:eastAsia="Calibri" w:cs="Times New Roman"/>
          <w:szCs w:val="20"/>
        </w:rPr>
        <w:br/>
        <w:t xml:space="preserve">w którym wykonano wywozu szamba. Omyłkowo nie wpisano w </w:t>
      </w:r>
      <w:r w:rsidRPr="008C1E51">
        <w:rPr>
          <w:rFonts w:eastAsia="Calibri" w:cs="Times New Roman"/>
          <w:szCs w:val="20"/>
        </w:rPr>
        <w:t>umowie,</w:t>
      </w:r>
      <w:r w:rsidR="008C1E51" w:rsidRPr="008C1E51">
        <w:rPr>
          <w:rFonts w:eastAsia="Calibri" w:cs="Times New Roman"/>
          <w:szCs w:val="20"/>
        </w:rPr>
        <w:t xml:space="preserve"> że wskazana kwota była ryczałtowym wynagrodzeniem miesięcznym, obowiązującym w okresie obowiązywania umowy natomiast zgodnie z umową była prawidłowo wykonywana, </w:t>
      </w:r>
      <w:r w:rsidR="008C1E51" w:rsidRPr="008C1E51">
        <w:rPr>
          <w:rFonts w:eastAsia="Calibri" w:cs="Times New Roman"/>
          <w:szCs w:val="20"/>
        </w:rPr>
        <w:br/>
        <w:t>a należność wypłacana.</w:t>
      </w:r>
    </w:p>
    <w:p w14:paraId="10C8EA75"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III/759-774]</w:t>
      </w:r>
    </w:p>
    <w:p w14:paraId="06D745A0" w14:textId="000EEF2C" w:rsidR="008C1E51" w:rsidRPr="008C1E51" w:rsidRDefault="008C1E51" w:rsidP="008C1E51">
      <w:pPr>
        <w:spacing w:before="120" w:after="120" w:line="276" w:lineRule="auto"/>
      </w:pPr>
      <w:r w:rsidRPr="008C1E51">
        <w:rPr>
          <w:rFonts w:eastAsia="Calibri" w:cs="Times New Roman"/>
          <w:szCs w:val="20"/>
        </w:rPr>
        <w:t xml:space="preserve">Kontrolujący nie podziela stanowiska Dyrektora w kwestii związanej z wypłatą wynagrodzenia. Kontrolujący zwraca uwagę, iż każda umowa rodzi określone stosunki prawne pomiędzy </w:t>
      </w:r>
      <w:r w:rsidR="00211832" w:rsidRPr="008C1E51">
        <w:rPr>
          <w:rFonts w:eastAsia="Calibri" w:cs="Times New Roman"/>
          <w:szCs w:val="20"/>
        </w:rPr>
        <w:t>jej stronami</w:t>
      </w:r>
      <w:r w:rsidRPr="008C1E51">
        <w:rPr>
          <w:rFonts w:eastAsia="Calibri" w:cs="Times New Roman"/>
          <w:szCs w:val="20"/>
        </w:rPr>
        <w:t xml:space="preserve">. W treści umowy </w:t>
      </w:r>
      <w:r w:rsidRPr="008C1E51">
        <w:t xml:space="preserve">przyjmujący zlecenie zobowiązuje się do dokonania określonej czynności prawnej dla dającego zlecenie a zlecający zobowiązuje się do wypłaty wynagrodzenia. W treści umowy zleceniodawca zlecił wywóz szamba z obiektów </w:t>
      </w:r>
      <w:proofErr w:type="spellStart"/>
      <w:r w:rsidRPr="008C1E51">
        <w:t>BdPN</w:t>
      </w:r>
      <w:proofErr w:type="spellEnd"/>
      <w:r w:rsidRPr="008C1E51">
        <w:t xml:space="preserve">. W treści </w:t>
      </w:r>
      <w:r w:rsidRPr="008C1E51">
        <w:rPr>
          <w:rFonts w:ascii="Calibri" w:hAnsi="Calibri" w:cs="Calibri"/>
        </w:rPr>
        <w:t>§</w:t>
      </w:r>
      <w:r w:rsidRPr="008C1E51">
        <w:t xml:space="preserve"> 2 umowy wskazano, że za wykonanie prac określonych w treści umowy Zleceniobiorca otrzyma po ich wykonaniu wynagrodzenie w wysokości 550,00 złotych brutto. W pkt 2 tego </w:t>
      </w:r>
      <w:r w:rsidRPr="008C1E51">
        <w:rPr>
          <w:rFonts w:ascii="Calibri" w:hAnsi="Calibri" w:cs="Calibri"/>
        </w:rPr>
        <w:t>§</w:t>
      </w:r>
      <w:r w:rsidRPr="008C1E51">
        <w:t xml:space="preserve"> wskazano, że wynagrodzenie płatne jest na podstawie rachunku przedstawionego przez Zleceniobiorcę. W treści </w:t>
      </w:r>
      <w:r w:rsidRPr="008C1E51">
        <w:rPr>
          <w:rFonts w:ascii="Calibri" w:hAnsi="Calibri" w:cs="Calibri"/>
        </w:rPr>
        <w:t>§</w:t>
      </w:r>
      <w:r w:rsidRPr="008C1E51">
        <w:t xml:space="preserve"> 4 tejże umowy wskazano, że umowa została zawarta na czas od 01 czerwca 2020 r. do 30 listopada 2020 r. </w:t>
      </w:r>
    </w:p>
    <w:p w14:paraId="0B96CAAB" w14:textId="60765763" w:rsidR="008C1E51" w:rsidRPr="008C1E51" w:rsidRDefault="008C1E51" w:rsidP="008C1E51">
      <w:pPr>
        <w:spacing w:before="120" w:after="120" w:line="276" w:lineRule="auto"/>
      </w:pPr>
      <w:r w:rsidRPr="008C1E51">
        <w:t xml:space="preserve">W punkcie 1 </w:t>
      </w:r>
      <w:r w:rsidRPr="008C1E51">
        <w:rPr>
          <w:rFonts w:ascii="Calibri" w:hAnsi="Calibri" w:cs="Calibri"/>
        </w:rPr>
        <w:t>§</w:t>
      </w:r>
      <w:r w:rsidRPr="008C1E51">
        <w:t xml:space="preserve"> </w:t>
      </w:r>
      <w:r w:rsidR="00211832" w:rsidRPr="008C1E51">
        <w:t>2 wskazano</w:t>
      </w:r>
      <w:r w:rsidRPr="008C1E51">
        <w:t xml:space="preserve">, że za wykonanie prac określonych w </w:t>
      </w:r>
      <w:r w:rsidRPr="008C1E51">
        <w:rPr>
          <w:rFonts w:ascii="Calibri" w:hAnsi="Calibri" w:cs="Calibri"/>
        </w:rPr>
        <w:t>§</w:t>
      </w:r>
      <w:r w:rsidRPr="008C1E51">
        <w:t xml:space="preserve"> 1 Zleceniobiorca otrzyma po ich </w:t>
      </w:r>
      <w:r w:rsidR="00211832" w:rsidRPr="008C1E51">
        <w:t>wykonaniu wynagrodzenie</w:t>
      </w:r>
      <w:r w:rsidRPr="008C1E51">
        <w:t xml:space="preserve"> w wysokości 550,00 złotych brutto. W treści tego zapisu brak jest mowy o tym, że wynagrodzenie ma być wypłacane co miesiąc. Mowa jest tylko </w:t>
      </w:r>
      <w:r w:rsidRPr="008C1E51">
        <w:br/>
        <w:t xml:space="preserve">o jednorazowej wypłacie. Powyższe potwierdza również treść zapisu pkt 2 tego zapisu </w:t>
      </w:r>
      <w:r w:rsidRPr="008C1E51">
        <w:br/>
        <w:t xml:space="preserve">z którego wynika, że płatność nastąpi po przedstawieniu rachunku a nie rachunków. Tym samym mowa jest o jednej płatności w kwocie 550,00 złotych za wykonanie zlecenia. </w:t>
      </w:r>
      <w:r w:rsidRPr="008C1E51">
        <w:br/>
        <w:t xml:space="preserve">W ocenie kontrolującego wypłata przez Park tytułem realizacji tej </w:t>
      </w:r>
      <w:r w:rsidR="00211832" w:rsidRPr="008C1E51">
        <w:t>umowy środków</w:t>
      </w:r>
      <w:r w:rsidRPr="008C1E51">
        <w:t xml:space="preserve"> powyżej kwoty 550,00 złotych była nielegalnym wykonaniem umowy przez Park (2700,00 złotych). </w:t>
      </w:r>
    </w:p>
    <w:p w14:paraId="32E9B6CC" w14:textId="77777777" w:rsidR="008C1E51" w:rsidRPr="008C1E51" w:rsidRDefault="008C1E51" w:rsidP="008C1E51">
      <w:pPr>
        <w:numPr>
          <w:ilvl w:val="0"/>
          <w:numId w:val="23"/>
        </w:numPr>
        <w:spacing w:before="120" w:after="120" w:line="276" w:lineRule="auto"/>
        <w:rPr>
          <w:rFonts w:eastAsia="Calibri" w:cs="Times New Roman"/>
          <w:szCs w:val="20"/>
        </w:rPr>
      </w:pPr>
      <w:r w:rsidRPr="008C1E51">
        <w:rPr>
          <w:rFonts w:eastAsia="Calibri" w:cs="Times New Roman"/>
          <w:szCs w:val="20"/>
        </w:rPr>
        <w:t xml:space="preserve">Zawarcie 2 umów na obsługę punktów kasowych, które były dopełnieniem umów </w:t>
      </w:r>
      <w:r w:rsidRPr="008C1E51">
        <w:rPr>
          <w:rFonts w:eastAsia="Calibri" w:cs="Times New Roman"/>
          <w:szCs w:val="20"/>
        </w:rPr>
        <w:br/>
        <w:t>o pracę oraz rozliczanie umów niezgodnie z ich warunkami, a także nierówne traktowanie pracowników</w:t>
      </w:r>
    </w:p>
    <w:p w14:paraId="4B167E2F"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Park zawarł 2 umowy zlecenia z dwoma pracownikami na obsługę punktów kasowych: 1. Za wstęp na odcinek szlaku Suche Rzeki – wejście w kierunku Połoniny </w:t>
      </w:r>
      <w:proofErr w:type="spellStart"/>
      <w:r w:rsidRPr="008C1E51">
        <w:rPr>
          <w:rFonts w:eastAsia="Calibri" w:cs="Times New Roman"/>
          <w:szCs w:val="20"/>
        </w:rPr>
        <w:t>Wetlińskiej</w:t>
      </w:r>
      <w:proofErr w:type="spellEnd"/>
      <w:r w:rsidRPr="008C1E51">
        <w:rPr>
          <w:rFonts w:eastAsia="Calibri" w:cs="Times New Roman"/>
          <w:szCs w:val="20"/>
        </w:rPr>
        <w:t xml:space="preserve"> i 2. Za wstęp na odcinek szlaku Wetlina – wejście w kierunku </w:t>
      </w:r>
      <w:proofErr w:type="spellStart"/>
      <w:r w:rsidRPr="008C1E51">
        <w:rPr>
          <w:rFonts w:eastAsia="Calibri" w:cs="Times New Roman"/>
          <w:szCs w:val="20"/>
        </w:rPr>
        <w:t>Rabiej</w:t>
      </w:r>
      <w:proofErr w:type="spellEnd"/>
      <w:r w:rsidRPr="008C1E51">
        <w:rPr>
          <w:rFonts w:eastAsia="Calibri" w:cs="Times New Roman"/>
          <w:szCs w:val="20"/>
        </w:rPr>
        <w:t xml:space="preserve"> Skały. Pierwszą z umów zawarto 30 kwietnia 2020 r. na okres od 30 kwietnia 2020 r. do 16 listopada 2020 r. z pracownikiem Parku zatrudnionym na stanowisku referenta ds. obsługi Stacji Terenowej w Suchych Rzekach. Drugą zawarto 29 maja 2020 r. na czas od 30 maja 2020 r. do 16 listopada 2020 r. z pracownikiem zatrudnionym na stanowisku podleśniczego.</w:t>
      </w:r>
    </w:p>
    <w:p w14:paraId="38F3B541" w14:textId="0FCA654F" w:rsidR="008C1E51" w:rsidRPr="008C1E51" w:rsidRDefault="008C1E51" w:rsidP="008C1E51">
      <w:pPr>
        <w:spacing w:before="120" w:after="120" w:line="276" w:lineRule="auto"/>
        <w:rPr>
          <w:rFonts w:eastAsia="Calibri" w:cs="Times New Roman"/>
          <w:szCs w:val="20"/>
        </w:rPr>
      </w:pPr>
      <w:bookmarkStart w:id="63" w:name="_Hlk117687271"/>
      <w:r w:rsidRPr="008C1E51">
        <w:rPr>
          <w:rFonts w:eastAsia="Calibri" w:cs="Times New Roman"/>
          <w:szCs w:val="20"/>
        </w:rPr>
        <w:t xml:space="preserve">Przedmiotem obu zleceń były m.in. sprzedaż oraz kontrola biletów na wstęp na odcinek szlaku, sprzedaż i kontrola biletów za udostępnianie ścieżki przyrodniczej, sprzedaż wydawnictw i pamiątek, codzienna ewidencja sprzedaży towarów dostarczonych </w:t>
      </w:r>
      <w:r w:rsidRPr="008C1E51">
        <w:rPr>
          <w:rFonts w:eastAsia="Calibri" w:cs="Times New Roman"/>
          <w:szCs w:val="20"/>
        </w:rPr>
        <w:br/>
        <w:t xml:space="preserve">i codzienna ewidencja ruchu turystycznego. Zleceniobiorcy zobowiązali się do sprzedaży biletów </w:t>
      </w:r>
      <w:r w:rsidR="00211832" w:rsidRPr="008C1E51">
        <w:rPr>
          <w:rFonts w:eastAsia="Calibri" w:cs="Times New Roman"/>
          <w:szCs w:val="20"/>
        </w:rPr>
        <w:t>w soboty</w:t>
      </w:r>
      <w:r w:rsidRPr="008C1E51">
        <w:rPr>
          <w:rFonts w:eastAsia="Calibri" w:cs="Times New Roman"/>
          <w:szCs w:val="20"/>
        </w:rPr>
        <w:t xml:space="preserve">, niedziele, święta oraz inne dni wolne od pracy. Prowizje ustalono na poziomie 50% za bilety, 25% za kontrolę biletów elektronicznych i 10% za sprzedaż wydawnictw i pamiątek. Umowa nie precyzowała w jakich godzinach powinny być wykonywana. Oprócz zastrzeżenia, że sprzedaż biletów zleceniobiorca miał wykonywać </w:t>
      </w:r>
      <w:r w:rsidRPr="008C1E51">
        <w:rPr>
          <w:rFonts w:eastAsia="Calibri" w:cs="Times New Roman"/>
          <w:szCs w:val="20"/>
        </w:rPr>
        <w:br/>
        <w:t>w soboty, niedziele, święta oraz inne dni wolne od pracy, umowa nie określała dni wykonywania pozostałych zadań, ani godzin wykonania wszystkich zadań. Charakter zadań w ramach zlecenia wskazuje na to, że mogły być one wykonywane w czasie pracy etatowej.</w:t>
      </w:r>
    </w:p>
    <w:p w14:paraId="787D52D4" w14:textId="44756B4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Zakres obowiązków pracownika nie zawierał zadań będących przedmiotem umowy zlecenia, niemniej jeden z pracowników był uprawniony do obsługi kasy fiskalnej, co zostało wskazane w zakresie </w:t>
      </w:r>
      <w:r w:rsidR="00211832" w:rsidRPr="008C1E51">
        <w:rPr>
          <w:rFonts w:eastAsia="Calibri" w:cs="Times New Roman"/>
          <w:szCs w:val="20"/>
        </w:rPr>
        <w:t>jego obowiązków</w:t>
      </w:r>
      <w:r w:rsidRPr="008C1E51">
        <w:rPr>
          <w:rFonts w:eastAsia="Calibri" w:cs="Times New Roman"/>
          <w:szCs w:val="20"/>
        </w:rPr>
        <w:t>.</w:t>
      </w:r>
    </w:p>
    <w:p w14:paraId="7ADF9582"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III/489-</w:t>
      </w:r>
      <w:r w:rsidRPr="008C1E51">
        <w:t xml:space="preserve"> </w:t>
      </w:r>
      <w:r w:rsidRPr="008C1E51">
        <w:rPr>
          <w:rFonts w:eastAsia="Calibri" w:cs="Times New Roman"/>
          <w:szCs w:val="20"/>
        </w:rPr>
        <w:t>III/533-560, III/593-599, III/584-592]</w:t>
      </w:r>
    </w:p>
    <w:bookmarkEnd w:id="63"/>
    <w:p w14:paraId="6E779E3A" w14:textId="2C7DC318"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Dyrektor Parku </w:t>
      </w:r>
      <w:r w:rsidR="00211832" w:rsidRPr="008C1E51">
        <w:rPr>
          <w:rFonts w:eastAsia="Calibri" w:cs="Times New Roman"/>
          <w:szCs w:val="20"/>
        </w:rPr>
        <w:t>odnośnie do</w:t>
      </w:r>
      <w:r w:rsidRPr="008C1E51">
        <w:rPr>
          <w:rFonts w:eastAsia="Calibri" w:cs="Times New Roman"/>
          <w:szCs w:val="20"/>
        </w:rPr>
        <w:t xml:space="preserve"> zawarcia umów na sprzedaż biletów z pracownikami Parku wyjaśnił</w:t>
      </w:r>
      <w:r w:rsidRPr="008C1E51">
        <w:rPr>
          <w:rFonts w:eastAsia="Calibri" w:cs="Times New Roman"/>
          <w:szCs w:val="20"/>
          <w:vertAlign w:val="superscript"/>
        </w:rPr>
        <w:footnoteReference w:id="226"/>
      </w:r>
      <w:r w:rsidRPr="008C1E51">
        <w:rPr>
          <w:rFonts w:eastAsia="Calibri" w:cs="Times New Roman"/>
          <w:szCs w:val="20"/>
        </w:rPr>
        <w:t xml:space="preserve">, że oba punkty były jednymi z najrzadziej odwiedzanych przez turystów. Pomimo tego Park zdecydował na jakąkolwiek obsługę tych lokalizacji, chociażby ze względów bezpieczeństwa turystów i udzielanie w związku z tym informacji turystycznej. Pomimo niskiej dochodowości punktów istotne było, aby zapewnić obsługę sprzedaży biletów przed sezonem wakacyjnym w weekendy i święta, gdy zazwyczaj natężenie ruchu turystycznego wzrastało. Dyrektor Parku poinformował, że w najlepszym interesie Parku było zapewnienie możliwości zakupu biletu, a tym samym zwiększenie wpływów finansowych oraz ograniczenie potencjalnych strat. Punkt </w:t>
      </w:r>
      <w:proofErr w:type="spellStart"/>
      <w:r w:rsidRPr="008C1E51">
        <w:rPr>
          <w:rFonts w:eastAsia="Calibri" w:cs="Times New Roman"/>
          <w:szCs w:val="20"/>
        </w:rPr>
        <w:t>Rabia</w:t>
      </w:r>
      <w:proofErr w:type="spellEnd"/>
      <w:r w:rsidRPr="008C1E51">
        <w:rPr>
          <w:rFonts w:eastAsia="Calibri" w:cs="Times New Roman"/>
          <w:szCs w:val="20"/>
        </w:rPr>
        <w:t xml:space="preserve"> Skała z uwagi na niski stopień atrakcyjności finansowej oraz niedogodną lokalizację sprzedaż wymagała dużych starań przy jego obsadzeniu. Ponadto Dyrektor Parku wskazał</w:t>
      </w:r>
      <w:r w:rsidRPr="008C1E51">
        <w:rPr>
          <w:rFonts w:eastAsia="Calibri" w:cs="Times New Roman"/>
          <w:szCs w:val="20"/>
          <w:vertAlign w:val="superscript"/>
        </w:rPr>
        <w:footnoteReference w:id="227"/>
      </w:r>
      <w:r w:rsidRPr="008C1E51">
        <w:rPr>
          <w:rFonts w:eastAsia="Calibri" w:cs="Times New Roman"/>
          <w:szCs w:val="20"/>
        </w:rPr>
        <w:t xml:space="preserve">, na trudności ze zleceniem obsługi tych punktów kasowych na zewnątrz, ponieważ 3 przetargi na obsługę zostały unieważnione </w:t>
      </w:r>
      <w:r w:rsidRPr="008C1E51">
        <w:rPr>
          <w:rFonts w:eastAsia="Calibri" w:cs="Times New Roman"/>
          <w:szCs w:val="20"/>
        </w:rPr>
        <w:br/>
        <w:t>z powodu braku wpływu ofert. Wyjaśnił</w:t>
      </w:r>
      <w:r w:rsidRPr="008C1E51">
        <w:rPr>
          <w:rFonts w:eastAsia="Calibri" w:cs="Times New Roman"/>
          <w:szCs w:val="20"/>
          <w:vertAlign w:val="superscript"/>
        </w:rPr>
        <w:footnoteReference w:id="228"/>
      </w:r>
      <w:r w:rsidRPr="008C1E51">
        <w:rPr>
          <w:rFonts w:eastAsia="Calibri" w:cs="Times New Roman"/>
          <w:szCs w:val="20"/>
        </w:rPr>
        <w:t xml:space="preserve"> także, że znaczna część punktów informacyjno-kasowych była niedochodowa, </w:t>
      </w:r>
      <w:r w:rsidR="00211832" w:rsidRPr="008C1E51">
        <w:rPr>
          <w:rFonts w:eastAsia="Calibri" w:cs="Times New Roman"/>
          <w:szCs w:val="20"/>
        </w:rPr>
        <w:t>więc</w:t>
      </w:r>
      <w:r w:rsidRPr="008C1E51">
        <w:rPr>
          <w:rFonts w:eastAsia="Calibri" w:cs="Times New Roman"/>
          <w:szCs w:val="20"/>
        </w:rPr>
        <w:t xml:space="preserve"> zatrudnienie osób do obsługi zgodnie z prawem pracy </w:t>
      </w:r>
      <w:r w:rsidRPr="008C1E51">
        <w:rPr>
          <w:rFonts w:eastAsia="Calibri" w:cs="Times New Roman"/>
          <w:szCs w:val="20"/>
        </w:rPr>
        <w:br/>
        <w:t xml:space="preserve">w pełnym wymiarze pracy czasowym spowodowałoby poniesienie kosztów wielokrotnie przekraczających potencjalne przychody. Z tego względu dla Parku korzystne było prowadzenie sprzedaży przygodnej na zasadzie dodatkowej umowy z pracownikiem </w:t>
      </w:r>
      <w:r w:rsidR="00211832" w:rsidRPr="008C1E51">
        <w:rPr>
          <w:rFonts w:eastAsia="Calibri" w:cs="Times New Roman"/>
          <w:szCs w:val="20"/>
        </w:rPr>
        <w:t>Parku,</w:t>
      </w:r>
      <w:r w:rsidRPr="008C1E51">
        <w:rPr>
          <w:rFonts w:eastAsia="Calibri" w:cs="Times New Roman"/>
          <w:szCs w:val="20"/>
        </w:rPr>
        <w:t xml:space="preserve"> jeśli wyniku przeprowadzonego przetargu publicznego nikt nie zgłosił się do obsługi danego punktu, a tak było w przypadku punktów </w:t>
      </w:r>
      <w:proofErr w:type="spellStart"/>
      <w:r w:rsidRPr="008C1E51">
        <w:rPr>
          <w:rFonts w:eastAsia="Calibri" w:cs="Times New Roman"/>
          <w:szCs w:val="20"/>
        </w:rPr>
        <w:t>Rabia</w:t>
      </w:r>
      <w:proofErr w:type="spellEnd"/>
      <w:r w:rsidRPr="008C1E51">
        <w:rPr>
          <w:rFonts w:eastAsia="Calibri" w:cs="Times New Roman"/>
          <w:szCs w:val="20"/>
        </w:rPr>
        <w:t xml:space="preserve"> Skała i Suche Rzeki.</w:t>
      </w:r>
    </w:p>
    <w:p w14:paraId="7DFDF69A" w14:textId="2E0147D3"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Dyrektor Parku poinformował</w:t>
      </w:r>
      <w:r w:rsidRPr="008C1E51">
        <w:rPr>
          <w:rFonts w:eastAsia="Calibri" w:cs="Times New Roman"/>
          <w:szCs w:val="20"/>
          <w:vertAlign w:val="superscript"/>
        </w:rPr>
        <w:footnoteReference w:id="229"/>
      </w:r>
      <w:r w:rsidRPr="008C1E51">
        <w:rPr>
          <w:rFonts w:eastAsia="Calibri" w:cs="Times New Roman"/>
          <w:szCs w:val="20"/>
        </w:rPr>
        <w:t xml:space="preserve">, że sprzedaż biletów w punkcie Suche Rzeki realizowana była przez pracownika </w:t>
      </w:r>
      <w:proofErr w:type="spellStart"/>
      <w:r w:rsidRPr="008C1E51">
        <w:rPr>
          <w:rFonts w:eastAsia="Calibri" w:cs="Times New Roman"/>
          <w:szCs w:val="20"/>
        </w:rPr>
        <w:t>BdPN</w:t>
      </w:r>
      <w:proofErr w:type="spellEnd"/>
      <w:r w:rsidRPr="008C1E51">
        <w:rPr>
          <w:rFonts w:eastAsia="Calibri" w:cs="Times New Roman"/>
          <w:szCs w:val="20"/>
        </w:rPr>
        <w:t xml:space="preserve"> od poniedziałku do piątku w godzinach 7.30-15.30 w ramach zwykłych czynności służbowych, a w weekendy, święta i inne dni wolne bilety były sprzedawanie na podstawie umowy zlecenia. W punkcie </w:t>
      </w:r>
      <w:proofErr w:type="spellStart"/>
      <w:r w:rsidRPr="008C1E51">
        <w:rPr>
          <w:rFonts w:eastAsia="Calibri" w:cs="Times New Roman"/>
          <w:szCs w:val="20"/>
        </w:rPr>
        <w:t>Rabia</w:t>
      </w:r>
      <w:proofErr w:type="spellEnd"/>
      <w:r w:rsidRPr="008C1E51">
        <w:rPr>
          <w:rFonts w:eastAsia="Calibri" w:cs="Times New Roman"/>
          <w:szCs w:val="20"/>
        </w:rPr>
        <w:t xml:space="preserve"> Skała Zleceniobiorca sprzedawał bilety w weekendy, święta i inne dni wolne od pracy, a w dni robocze czynności związane z obsługą punktu Zleceniodawca powierzył osobie trzeciej. Zdaniem Dyrektora Parku umowa zlecenie nie ograniczała możliwości powierzania jej realizacji osobie trzeciej. Osoby sprzedające bilety w ramach umowy zlecenia same dostosowywały godziny pracy do natężenia ruchu turystycznego wrażliwego m.in. na zmienne warunki atmosferyczne. Dyrektor Parku poinformował</w:t>
      </w:r>
      <w:r w:rsidRPr="008C1E51">
        <w:rPr>
          <w:rFonts w:eastAsia="Calibri" w:cs="Times New Roman"/>
          <w:szCs w:val="20"/>
          <w:vertAlign w:val="superscript"/>
        </w:rPr>
        <w:footnoteReference w:id="230"/>
      </w:r>
      <w:r w:rsidRPr="008C1E51">
        <w:rPr>
          <w:rFonts w:eastAsia="Calibri" w:cs="Times New Roman"/>
          <w:szCs w:val="20"/>
        </w:rPr>
        <w:t xml:space="preserve"> także, że zapis umowy, zgodnie z którym sprzedaż biletów mógł się odbywać </w:t>
      </w:r>
      <w:r w:rsidR="00211832" w:rsidRPr="008C1E51">
        <w:rPr>
          <w:rFonts w:eastAsia="Calibri" w:cs="Times New Roman"/>
          <w:szCs w:val="20"/>
        </w:rPr>
        <w:t>w soboty</w:t>
      </w:r>
      <w:r w:rsidRPr="008C1E51">
        <w:rPr>
          <w:rFonts w:eastAsia="Calibri" w:cs="Times New Roman"/>
          <w:szCs w:val="20"/>
        </w:rPr>
        <w:t>, niedziele, święta oraz inne dni wolne od pracy, został omyłkowo sformułowany i nie dotyczył jedynie sprzedaży biletów, a całości przedmiotu umowy. Było to oczywiste dla stron zawierających umowę, co potwierdza sposób w jaki rozliczał się ze sprzedaży Zleceniobiorca w punkcie Suche Rzeki, a w drugim punkcie sprzedaż prowadziła osoba trzecia, co było lepszym rozwiązaniem niż zamykanie punktu w okresie wzmożonego ruchu turystycznego.</w:t>
      </w:r>
    </w:p>
    <w:p w14:paraId="12EA6291"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III/750-755]</w:t>
      </w:r>
    </w:p>
    <w:p w14:paraId="44D40874"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Kontrolujący nie podziela stanowiska Dyrektora Parku, że Zleceniobiorca mógł powierzyć wykonywanie zlecenia osobie trzeciej. Umowa nie przewidywała możliwości powierzenia jej wykonania innej osobie co wskazuje na to, że Zleceniobiorca powinien wykonywać ją sam. Dodatkowo należy mieć na uwadze, że Zleceniobiorcy obsługiwali kasy fiskalne będące własnością i użyczane im przez Park za pokwitowaniem. Na okoliczność przekazania kasy zostały spisane oświadczenia Zleceniobiorców, w których wskazali siebie jako osoby prowadzące ewidencję sprzedaży przy użyciu kasy. Dodatkowo na dokonanie sprzedaży </w:t>
      </w:r>
      <w:r w:rsidRPr="008C1E51">
        <w:rPr>
          <w:rFonts w:eastAsia="Calibri" w:cs="Times New Roman"/>
          <w:szCs w:val="20"/>
        </w:rPr>
        <w:br/>
        <w:t xml:space="preserve">z pominięciem kasy rejestrującej lub niewydanie paragonu fiskalnego, jest zagrożone karą za przestępstwo skarbowe albo wykroczenie skarbowe. Powierzenie zlecenia osobie trzeciej przez Zleceniobiorcę może też wskazywać, że pracownik w trakcie wykonywania zadań </w:t>
      </w:r>
      <w:r w:rsidRPr="008C1E51">
        <w:rPr>
          <w:rFonts w:eastAsia="Calibri" w:cs="Times New Roman"/>
          <w:szCs w:val="20"/>
        </w:rPr>
        <w:br/>
        <w:t>w ramach umowy o pracę w dni robocze nie był w stanie jednocześnie wykonywać umowy zlecenia.</w:t>
      </w:r>
    </w:p>
    <w:p w14:paraId="15551153"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Analiza rozliczeń sprzedaży i rachunków Zleceniobiorców wykazała, że były różne sposoby rozliczenia wynagrodzenia/prowizji przez Zleceniobiorców, które zostały zaakceptowane przez Zleceniobiorcę. W pierwszym przypadku (punkt Suche Rzeki) prowizje wypłacono jedynie za sprzedaż biletów i pamiątek lub wydawnictw w dni wolne od pracy, pomimo faktu, iż Zleceniobiorca sam prowadził sprzedaż przez cały okres rozliczeniowy, w drugim zaś przypadku (punkt </w:t>
      </w:r>
      <w:proofErr w:type="spellStart"/>
      <w:r w:rsidRPr="008C1E51">
        <w:rPr>
          <w:rFonts w:eastAsia="Calibri" w:cs="Times New Roman"/>
          <w:szCs w:val="20"/>
        </w:rPr>
        <w:t>Rabia</w:t>
      </w:r>
      <w:proofErr w:type="spellEnd"/>
      <w:r w:rsidRPr="008C1E51">
        <w:rPr>
          <w:rFonts w:eastAsia="Calibri" w:cs="Times New Roman"/>
          <w:szCs w:val="20"/>
        </w:rPr>
        <w:t xml:space="preserve"> Skała) prowizję wypłacono za całą sprzedaż w danym okresie rozliczeniowym, ponieważ Zleceniobiorca prowadził sprzedaż przez cały okres rozliczeniowy. Wobec ograniczenia sprzedaży biletów do weekendów, świąt oraz innych dni wolnych, rozliczenia sprzedaży za jedynie te dni nie powinny być zaakceptowane przez Zleceniodawcę.</w:t>
      </w:r>
    </w:p>
    <w:p w14:paraId="7B86660E"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III/493-530, III/533-560, III/569-583]</w:t>
      </w:r>
    </w:p>
    <w:p w14:paraId="6E061D2C" w14:textId="495E7E19"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Zawarte umowy zlecenia powinny spełniać określone warunki – przede wszystkim w trakcie czasu pracy etatowej nie mogą być wykonywane czynności wynikające z umowy cywilnoprawnej. W niniejszym przypadku pracownik nie otrzymał prowizji za sprzedaż biletów i wydawnictw w dni robocze, jednocześnie do jego zakresu obowiązków nie należały zadania z umowy zlecenia. W drugim przypadku sprzedaży w dni robocze sprzedaży dokonywała osoba trzecia, co było niezgodne z umową.</w:t>
      </w:r>
    </w:p>
    <w:p w14:paraId="7B9A0503"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Jakkolwiek zawarcie umów z pracownikami Parku na obsługę punktów kasowych było uzasadnione, niemniej zapisy umów i sposób ich rozliczenia były nieprzejrzyste i nie zapewniały równego traktowania zleceniobiorców-pracowników. Dodatkowo niedopuszczalnym jest wykonywanie zlecenia przez osoby trzecie w sytuacji, gdy umowa tego nie przewidywała. W dni robocze obsługa punktów kasowych powinna być włączona </w:t>
      </w:r>
      <w:r w:rsidRPr="008C1E51">
        <w:rPr>
          <w:rFonts w:eastAsia="Calibri" w:cs="Times New Roman"/>
          <w:szCs w:val="20"/>
        </w:rPr>
        <w:br/>
        <w:t>w zakresy obowiązków pracowników, pod warunkiem, że inne zadania służbowe nie kolidowały z obsługą punktów kasowych, natomiast zawarcie umowy na obsługę kas poza dniami roboczymi w stanie faktycznym przedstawionym przez Dyrektora Parku jest uzasadnione.</w:t>
      </w:r>
    </w:p>
    <w:p w14:paraId="5EBF30CF"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W zakresie użytkowania kas fiskalnych ustalono, że pracownicy zajmujący się sprzedażą biletów wstępu i pamiątek posiadali instrukcje obsługi kas. Odbiór kas został pokwitowany przez pracowników, którzy złożyli także oświadczenia potwierdzające, że pracownicy ci zostali zapoznani z zasadami prowadzenia ewidencji sprzedaży przy użyciu kasy rejestrującej i wystawiania paragonu fiskalnego.</w:t>
      </w:r>
    </w:p>
    <w:p w14:paraId="67C0649E"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III/567-568]</w:t>
      </w:r>
    </w:p>
    <w:p w14:paraId="5AE0DF0F" w14:textId="77777777" w:rsidR="008C1E51" w:rsidRPr="008C1E51" w:rsidRDefault="008C1E51" w:rsidP="008C1E51">
      <w:pPr>
        <w:numPr>
          <w:ilvl w:val="0"/>
          <w:numId w:val="23"/>
        </w:numPr>
        <w:spacing w:before="120" w:after="120" w:line="276" w:lineRule="auto"/>
        <w:rPr>
          <w:rFonts w:eastAsia="Calibri" w:cs="Times New Roman"/>
          <w:szCs w:val="20"/>
        </w:rPr>
      </w:pPr>
      <w:r w:rsidRPr="008C1E51">
        <w:rPr>
          <w:rFonts w:eastAsia="Calibri" w:cs="Times New Roman"/>
          <w:szCs w:val="20"/>
        </w:rPr>
        <w:t>Nierzetelne sformułowanie 2 umów.</w:t>
      </w:r>
    </w:p>
    <w:p w14:paraId="7FDA1E3C" w14:textId="55FC0D11"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Park zawarł umowę na naprawę ciągnika 20 lutego 2020 r., natomiast z jej treści wynika, </w:t>
      </w:r>
      <w:r w:rsidR="00211832" w:rsidRPr="008C1E51">
        <w:rPr>
          <w:rFonts w:eastAsia="Calibri" w:cs="Times New Roman"/>
          <w:szCs w:val="20"/>
        </w:rPr>
        <w:t>że</w:t>
      </w:r>
      <w:r w:rsidRPr="008C1E51">
        <w:rPr>
          <w:rFonts w:eastAsia="Calibri" w:cs="Times New Roman"/>
          <w:szCs w:val="20"/>
        </w:rPr>
        <w:t xml:space="preserve"> miała być wykonywana 15 lutego 2020 r. Podobnie umowa w tym samym przedmiocie zawarta 24 lutego 2020 r. miała być wykonana w dniach 17-21 lutego 2020 r.</w:t>
      </w:r>
    </w:p>
    <w:p w14:paraId="6DC6D131"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III/664-671]</w:t>
      </w:r>
    </w:p>
    <w:p w14:paraId="7F542621" w14:textId="77777777" w:rsidR="008C1E51" w:rsidRPr="008C1E51" w:rsidRDefault="008C1E51" w:rsidP="008C1E51">
      <w:pPr>
        <w:numPr>
          <w:ilvl w:val="0"/>
          <w:numId w:val="23"/>
        </w:numPr>
        <w:spacing w:before="120" w:after="120" w:line="276" w:lineRule="auto"/>
        <w:rPr>
          <w:rFonts w:eastAsia="Calibri" w:cs="Times New Roman"/>
          <w:szCs w:val="20"/>
        </w:rPr>
      </w:pPr>
      <w:r w:rsidRPr="008C1E51">
        <w:rPr>
          <w:rFonts w:eastAsia="Calibri" w:cs="Times New Roman"/>
          <w:szCs w:val="20"/>
        </w:rPr>
        <w:t>Brak umieszczenia w 1 umowie zlecenia daty jej zawarcia – umowa na naprawę ciągnika w dniu 13 sierpnia 2020 r.</w:t>
      </w:r>
    </w:p>
    <w:p w14:paraId="5A47BE64" w14:textId="77777777" w:rsidR="008C1E51" w:rsidRPr="008C1E51" w:rsidRDefault="008C1E51" w:rsidP="008C1E51">
      <w:pPr>
        <w:spacing w:before="120" w:after="120" w:line="276" w:lineRule="auto"/>
        <w:ind w:left="360"/>
        <w:jc w:val="right"/>
        <w:rPr>
          <w:rFonts w:eastAsia="Calibri" w:cs="Times New Roman"/>
          <w:szCs w:val="20"/>
        </w:rPr>
      </w:pPr>
      <w:r w:rsidRPr="008C1E51">
        <w:rPr>
          <w:rFonts w:eastAsia="Calibri" w:cs="Times New Roman"/>
          <w:szCs w:val="20"/>
        </w:rPr>
        <w:t>[Dowód: akta kontroli str. III/670-671]</w:t>
      </w:r>
    </w:p>
    <w:p w14:paraId="0D5FECA8" w14:textId="1B1B009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Jednocześnie odnotowano, że pozostałe kontrolowane umowy zlecenia zawarte przez </w:t>
      </w:r>
      <w:proofErr w:type="spellStart"/>
      <w:r w:rsidRPr="008C1E51">
        <w:rPr>
          <w:rFonts w:eastAsia="Calibri" w:cs="Times New Roman"/>
          <w:szCs w:val="20"/>
        </w:rPr>
        <w:t>BdPN</w:t>
      </w:r>
      <w:proofErr w:type="spellEnd"/>
      <w:r w:rsidRPr="008C1E51">
        <w:rPr>
          <w:rFonts w:eastAsia="Calibri" w:cs="Times New Roman"/>
          <w:szCs w:val="20"/>
        </w:rPr>
        <w:t xml:space="preserve"> </w:t>
      </w:r>
      <w:r w:rsidR="00211832" w:rsidRPr="008C1E51">
        <w:rPr>
          <w:rFonts w:eastAsia="Calibri" w:cs="Times New Roman"/>
          <w:szCs w:val="20"/>
        </w:rPr>
        <w:t>z własnymi</w:t>
      </w:r>
      <w:r w:rsidRPr="008C1E51">
        <w:rPr>
          <w:rFonts w:eastAsia="Calibri" w:cs="Times New Roman"/>
          <w:szCs w:val="20"/>
        </w:rPr>
        <w:t xml:space="preserve"> pracownikami miały wady formalno-prawne.  55 pozostałych umów w tym m.in.: umowy </w:t>
      </w:r>
      <w:r w:rsidR="00211832" w:rsidRPr="008C1E51">
        <w:rPr>
          <w:rFonts w:eastAsia="Calibri" w:cs="Times New Roman"/>
          <w:szCs w:val="20"/>
        </w:rPr>
        <w:t>na wykonanie</w:t>
      </w:r>
      <w:r w:rsidRPr="008C1E51">
        <w:rPr>
          <w:rFonts w:eastAsia="Calibri" w:cs="Times New Roman"/>
          <w:szCs w:val="20"/>
        </w:rPr>
        <w:t xml:space="preserve"> fotografii przyrodniczych z przeniesieniem praw autorskich, produkcja filmów, przeprowadzenie treningu strzeleckiego, naprawy ciągnika była zawarta w sposób przejrzysty i oszczędny. </w:t>
      </w:r>
    </w:p>
    <w:p w14:paraId="340692D8"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III/672-745]</w:t>
      </w:r>
    </w:p>
    <w:p w14:paraId="7B3C2994" w14:textId="05D58C10"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Dyrektor </w:t>
      </w:r>
      <w:proofErr w:type="spellStart"/>
      <w:r w:rsidRPr="008C1E51">
        <w:rPr>
          <w:rFonts w:eastAsia="Calibri" w:cs="Times New Roman"/>
          <w:szCs w:val="20"/>
        </w:rPr>
        <w:t>BdPN</w:t>
      </w:r>
      <w:proofErr w:type="spellEnd"/>
      <w:r w:rsidRPr="008C1E51">
        <w:rPr>
          <w:rFonts w:eastAsia="Calibri" w:cs="Times New Roman"/>
          <w:szCs w:val="20"/>
        </w:rPr>
        <w:t xml:space="preserve"> </w:t>
      </w:r>
      <w:r w:rsidR="00211832" w:rsidRPr="008C1E51">
        <w:rPr>
          <w:rFonts w:eastAsia="Calibri" w:cs="Times New Roman"/>
          <w:szCs w:val="20"/>
        </w:rPr>
        <w:t>odnośnie do</w:t>
      </w:r>
      <w:r w:rsidRPr="008C1E51">
        <w:rPr>
          <w:rFonts w:eastAsia="Calibri" w:cs="Times New Roman"/>
          <w:szCs w:val="20"/>
        </w:rPr>
        <w:t xml:space="preserve"> faktu zawierania umów cywilnoprawnych z pracownikami Parku wyjaśnił</w:t>
      </w:r>
      <w:r w:rsidRPr="008C1E51">
        <w:rPr>
          <w:rFonts w:eastAsia="Calibri" w:cs="Times New Roman"/>
          <w:szCs w:val="20"/>
          <w:vertAlign w:val="superscript"/>
        </w:rPr>
        <w:footnoteReference w:id="231"/>
      </w:r>
      <w:r w:rsidRPr="008C1E51">
        <w:rPr>
          <w:rFonts w:eastAsia="Calibri" w:cs="Times New Roman"/>
          <w:szCs w:val="20"/>
        </w:rPr>
        <w:t>, że zlecanie prostych prac w ramach umowy cywilno-prawnej pracownikowi Parku było korzystne dla pracodawcy z uwagi na fakt powierzania obowiązków osobom sprawdzonym. Kolejną korzyścią były oszczędności związane z racjonalizacją zatrudnienia w warunkach nałożonych odgórnie limitów.</w:t>
      </w:r>
    </w:p>
    <w:p w14:paraId="4E140D0C" w14:textId="77777777" w:rsidR="008C1E51" w:rsidRPr="008C1E51" w:rsidRDefault="008C1E51" w:rsidP="008C1E51">
      <w:pPr>
        <w:spacing w:before="120" w:after="120" w:line="276" w:lineRule="auto"/>
        <w:jc w:val="right"/>
        <w:rPr>
          <w:rFonts w:eastAsia="Calibri" w:cs="Times New Roman"/>
          <w:szCs w:val="20"/>
        </w:rPr>
      </w:pPr>
      <w:r w:rsidRPr="008C1E51">
        <w:rPr>
          <w:rFonts w:eastAsia="Calibri" w:cs="Times New Roman"/>
          <w:szCs w:val="20"/>
        </w:rPr>
        <w:t>[Dowód: akta kontroli str. III/746-747]</w:t>
      </w:r>
    </w:p>
    <w:p w14:paraId="72456FFB" w14:textId="77777777" w:rsidR="008C1E51" w:rsidRPr="008C1E51" w:rsidRDefault="008C1E51" w:rsidP="008C1E51">
      <w:pPr>
        <w:spacing w:before="120" w:after="120" w:line="276" w:lineRule="auto"/>
        <w:rPr>
          <w:rFonts w:eastAsia="Calibri" w:cs="Times New Roman"/>
          <w:b/>
          <w:bCs/>
          <w:szCs w:val="20"/>
        </w:rPr>
      </w:pPr>
      <w:r w:rsidRPr="008C1E51">
        <w:rPr>
          <w:rFonts w:eastAsia="Calibri" w:cs="Times New Roman"/>
          <w:b/>
          <w:bCs/>
          <w:szCs w:val="20"/>
        </w:rPr>
        <w:t>Ocena obszaru</w:t>
      </w:r>
    </w:p>
    <w:p w14:paraId="6CE5DC3A" w14:textId="77777777" w:rsidR="008C1E51" w:rsidRPr="008C1E51" w:rsidRDefault="008C1E51" w:rsidP="008C1E51">
      <w:pPr>
        <w:spacing w:before="120" w:after="120" w:line="276" w:lineRule="auto"/>
        <w:rPr>
          <w:rFonts w:eastAsia="Calibri" w:cs="Times New Roman"/>
          <w:szCs w:val="20"/>
        </w:rPr>
      </w:pPr>
      <w:bookmarkStart w:id="64" w:name="_Hlk135149489"/>
      <w:r w:rsidRPr="008C1E51">
        <w:rPr>
          <w:rFonts w:eastAsia="Calibri" w:cs="Times New Roman"/>
          <w:szCs w:val="20"/>
        </w:rPr>
        <w:t>W Parku obowiązywały regulacje dotyczące polityki kadrowej. W okresie kontrolowanym stwierdzono niską fluktuację pracowników. Nie stwierdzono sporów sądowych z zakresu Prawa Pracy. Odzież robocza była przyznawana zgodnie z wewnętrznymi regulacjami.</w:t>
      </w:r>
    </w:p>
    <w:p w14:paraId="493E9A93"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Ustalono, iż w Parku brak było procedur związanych z zatrudnianiem nowych pracowników oraz z awansowaniem. </w:t>
      </w:r>
    </w:p>
    <w:p w14:paraId="01BCDCD6"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Stwierdzono również brak procedur nadawania i odbierania uprawnień do systemów informatycznych, oraz brak dokumentowania nadania i odebrania uprawnień.</w:t>
      </w:r>
    </w:p>
    <w:p w14:paraId="4570B2A4"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Nieprawidłowości stwierdzono w obszarze zawierania niektórych umów cywilnoprawnych z pracownikami Parku. Nie zapewniono funkcjonowania mechanizmów zabezpieczających przed wykonywaniem zleceń w godzinach pracy etatowej. W jednym przypadku wypłacono wynagrodzenie niezgodnie z umową tj. w wysokości większej niż wynikająca z zapisów umowy co było działaniem nielegalnym. Przedmiot jednej umowy był tożsamy z zadaniem wynikającym z zakresu zadań pracownika, z którym zawarto umowę cywilnoprawną. Umowy te rozliczano niezgodnie z ich warunkami, przez co nierówno traktowano pracowników. Kilka umów zostało zawarto po wykonaniu dzieła.</w:t>
      </w:r>
      <w:bookmarkEnd w:id="64"/>
    </w:p>
    <w:bookmarkEnd w:id="61"/>
    <w:p w14:paraId="0F822090" w14:textId="77777777" w:rsidR="008C1E51" w:rsidRPr="008C1E51" w:rsidRDefault="008C1E51" w:rsidP="008C1E51">
      <w:pPr>
        <w:numPr>
          <w:ilvl w:val="0"/>
          <w:numId w:val="12"/>
        </w:numPr>
        <w:spacing w:before="120" w:after="120" w:line="276" w:lineRule="auto"/>
        <w:ind w:left="426" w:hanging="426"/>
        <w:contextualSpacing/>
        <w:rPr>
          <w:rFonts w:eastAsia="Calibri" w:cs="Times New Roman"/>
          <w:szCs w:val="20"/>
        </w:rPr>
      </w:pPr>
      <w:r w:rsidRPr="008C1E51">
        <w:rPr>
          <w:rFonts w:eastAsia="Calibri" w:cs="Times New Roman"/>
          <w:b/>
          <w:bCs/>
          <w:szCs w:val="20"/>
        </w:rPr>
        <w:t>Wybrane zagadnienia w zakresie bezpieczeństwa przeciwpożarowego w Parku</w:t>
      </w:r>
    </w:p>
    <w:p w14:paraId="0E27FCC6" w14:textId="77777777" w:rsidR="008C1E51" w:rsidRPr="008C1E51" w:rsidRDefault="008C1E51" w:rsidP="008C1E51">
      <w:pPr>
        <w:spacing w:before="120" w:after="120" w:line="276" w:lineRule="auto"/>
        <w:rPr>
          <w:rFonts w:eastAsia="Calibri" w:cs="Times New Roman"/>
          <w:szCs w:val="20"/>
        </w:rPr>
      </w:pPr>
      <w:r w:rsidRPr="008C1E51">
        <w:rPr>
          <w:rFonts w:eastAsia="Calibri" w:cs="Times New Roman"/>
          <w:szCs w:val="20"/>
        </w:rPr>
        <w:t xml:space="preserve">Ze względu na przeprowadzenie przez NIK kontroli w zakresie bezpieczeństwa przeciwpożarowego w </w:t>
      </w:r>
      <w:proofErr w:type="spellStart"/>
      <w:r w:rsidRPr="008C1E51">
        <w:rPr>
          <w:rFonts w:eastAsia="Calibri" w:cs="Times New Roman"/>
          <w:szCs w:val="20"/>
        </w:rPr>
        <w:t>BdPN</w:t>
      </w:r>
      <w:proofErr w:type="spellEnd"/>
      <w:r w:rsidRPr="008C1E51">
        <w:rPr>
          <w:rFonts w:eastAsia="Calibri" w:cs="Times New Roman"/>
          <w:szCs w:val="20"/>
        </w:rPr>
        <w:t xml:space="preserve"> odstąpiono od kontroli w tym obszarze</w:t>
      </w:r>
    </w:p>
    <w:p w14:paraId="2F18DDD8" w14:textId="77777777" w:rsidR="008C1E51" w:rsidRPr="008C1E51" w:rsidRDefault="008C1E51" w:rsidP="008C1E51">
      <w:pPr>
        <w:numPr>
          <w:ilvl w:val="0"/>
          <w:numId w:val="12"/>
        </w:numPr>
        <w:spacing w:before="120" w:after="120" w:line="276" w:lineRule="auto"/>
        <w:ind w:left="426" w:hanging="426"/>
        <w:rPr>
          <w:rFonts w:eastAsia="Calibri" w:cs="Times New Roman"/>
          <w:b/>
          <w:bCs/>
          <w:szCs w:val="20"/>
        </w:rPr>
      </w:pPr>
      <w:r w:rsidRPr="008C1E51">
        <w:rPr>
          <w:rFonts w:eastAsia="Calibri" w:cs="Times New Roman"/>
          <w:b/>
          <w:bCs/>
          <w:szCs w:val="20"/>
        </w:rPr>
        <w:t>Realizacja przez Park wybranych zaleceń i wniosków pokontrolnych wydanych po kontrolach podmiotów zewnętrznych</w:t>
      </w:r>
    </w:p>
    <w:p w14:paraId="68037DDC" w14:textId="77777777" w:rsidR="008C1E51" w:rsidRPr="008C1E51" w:rsidRDefault="008C1E51" w:rsidP="008C1E51">
      <w:pPr>
        <w:spacing w:before="120" w:after="120" w:line="276" w:lineRule="auto"/>
        <w:rPr>
          <w:rFonts w:eastAsia="Times New Roman" w:cs="Times New Roman"/>
          <w:lang w:eastAsia="pl-PL"/>
        </w:rPr>
      </w:pPr>
      <w:r w:rsidRPr="008C1E51">
        <w:rPr>
          <w:rFonts w:eastAsia="Times New Roman" w:cs="Times New Roman"/>
          <w:lang w:eastAsia="pl-PL"/>
        </w:rPr>
        <w:t>Realizacja zadań ochronnych w Parku była przedmiotem dwóch kontroli Najwyższej Izby Kontroli. Przedmiotem kontroli było gospodarowanie gruntami rolnymi Skarbu Państwa na obszarach parków narodowych oraz przyznawanie płatności w ramach wspólnej polityki rolnej na obszarach parków narodowych i krajobrazowych”</w:t>
      </w:r>
      <w:r w:rsidRPr="008C1E51">
        <w:rPr>
          <w:rFonts w:eastAsia="Times New Roman" w:cs="Times New Roman"/>
          <w:vertAlign w:val="superscript"/>
          <w:lang w:eastAsia="pl-PL"/>
        </w:rPr>
        <w:footnoteReference w:id="232"/>
      </w:r>
      <w:r w:rsidRPr="008C1E51">
        <w:rPr>
          <w:rFonts w:eastAsia="Times New Roman" w:cs="Times New Roman"/>
          <w:lang w:eastAsia="pl-PL"/>
        </w:rPr>
        <w:t xml:space="preserve"> oraz ochrona przeciwpożarowa w parkach narodowych</w:t>
      </w:r>
      <w:r w:rsidRPr="008C1E51">
        <w:rPr>
          <w:rFonts w:eastAsia="Times New Roman" w:cs="Times New Roman"/>
          <w:vertAlign w:val="superscript"/>
          <w:lang w:eastAsia="pl-PL"/>
        </w:rPr>
        <w:footnoteReference w:id="233"/>
      </w:r>
      <w:r w:rsidRPr="008C1E51">
        <w:rPr>
          <w:rFonts w:eastAsia="Times New Roman" w:cs="Times New Roman"/>
          <w:lang w:eastAsia="pl-PL"/>
        </w:rPr>
        <w:t>. Kontrola w zakresie ochrony przeciwpożarowej zakończyła się wynikiem pozytywnym, NIK nie sformułowała wniosków pokontrolnych. W kontroli w zakresie gospodarowania gruntami rolnymi NIK stwierdziła nieprawidłowości i wydała 7 wniosków pokontrolnych. Jednocześnie NIK stwierdziła,</w:t>
      </w:r>
      <w:r w:rsidRPr="008C1E51">
        <w:rPr>
          <w:rFonts w:eastAsia="Times New Roman" w:cs="Times New Roman"/>
          <w:lang w:eastAsia="pl-PL"/>
        </w:rPr>
        <w:br/>
        <w:t>że w latach 2015-2020 Park na ogół prawidłowo gospodarował gruntami rolnymi Skarbu Państwa będącymi w jego władaniu, zapewnił skuteczny nadzór nad realizacją umów dzierżawy gruntów, lecz część postępowań przetargowych na dzierżawę tych gruntów przeprowadzono z naruszeniem obowiązujących przepisów.</w:t>
      </w:r>
    </w:p>
    <w:p w14:paraId="69004B51" w14:textId="77777777" w:rsidR="008C1E51" w:rsidRPr="008C1E51" w:rsidRDefault="008C1E51" w:rsidP="008C1E51">
      <w:pPr>
        <w:spacing w:before="120" w:after="120" w:line="276" w:lineRule="auto"/>
        <w:rPr>
          <w:rFonts w:eastAsia="Calibri" w:cs="Times New Roman"/>
          <w:iCs/>
          <w:szCs w:val="20"/>
        </w:rPr>
      </w:pPr>
      <w:r w:rsidRPr="008C1E51">
        <w:rPr>
          <w:rFonts w:eastAsia="Calibri" w:cs="Times New Roman"/>
          <w:iCs/>
          <w:szCs w:val="20"/>
        </w:rPr>
        <w:t xml:space="preserve">Kontroli poddano wdrożenie wniosków z kontroli NIK z 2020 r. w zakresie gospodarowania gruntami rolnymi Skarbu Państwa na obszarach parków narodowych. Stwierdzono, że 5 z 7 wniosków zostało zrealizowanych. Nie został zrealizowany wniosek dotyczący sporządzania rzetelnych protokołów odbioru prac w ramach umów dzierżaw. Wniosek dotyczący podjęcia działań w celu dostosowania rodzaju zadań ochronnych lub ich rozmiaru określonych przez ministra właściwego do spraw środowiska do rzeczywistych możliwości Parku nie był zrealizowany w okresie obowiązywania zarządzenia </w:t>
      </w:r>
      <w:proofErr w:type="spellStart"/>
      <w:r w:rsidRPr="008C1E51">
        <w:rPr>
          <w:rFonts w:eastAsia="Calibri" w:cs="Times New Roman"/>
          <w:iCs/>
          <w:szCs w:val="20"/>
        </w:rPr>
        <w:t>ws</w:t>
      </w:r>
      <w:proofErr w:type="spellEnd"/>
      <w:r w:rsidRPr="008C1E51">
        <w:rPr>
          <w:rFonts w:eastAsia="Calibri" w:cs="Times New Roman"/>
          <w:iCs/>
          <w:szCs w:val="20"/>
        </w:rPr>
        <w:t>. zadań ochronnych na lata 2019-2021, a kolejne zarządzenie dot. Zadań ochronnych na lata 2022-2024 zostało uchylone ze względu na ustanowienie planu ochrony Parku, który nie był przedmiotem kontroli.</w:t>
      </w:r>
    </w:p>
    <w:p w14:paraId="7C51194D" w14:textId="77777777" w:rsidR="00031C0A" w:rsidRPr="009276B2" w:rsidRDefault="00031C0A" w:rsidP="009276B2">
      <w:pPr>
        <w:spacing w:after="0" w:line="240" w:lineRule="auto"/>
      </w:pPr>
    </w:p>
    <w:p w14:paraId="4262F35E" w14:textId="2691097B" w:rsidR="00F53297" w:rsidRDefault="00A65C15" w:rsidP="00F53297">
      <w:pPr>
        <w:spacing w:after="120" w:line="240" w:lineRule="auto"/>
      </w:pPr>
      <w:r w:rsidRPr="00A65C15">
        <w:t>Mając na uwadze powyższe, wnoszę o:</w:t>
      </w:r>
    </w:p>
    <w:p w14:paraId="4CF0BE27" w14:textId="2FFD59A7" w:rsidR="00F53297" w:rsidRDefault="000434FE" w:rsidP="00F53297">
      <w:pPr>
        <w:pStyle w:val="Akapitzlist"/>
        <w:numPr>
          <w:ilvl w:val="0"/>
          <w:numId w:val="32"/>
        </w:numPr>
        <w:spacing w:after="120" w:line="240" w:lineRule="auto"/>
      </w:pPr>
      <w:r>
        <w:t>Opracowanie</w:t>
      </w:r>
      <w:r w:rsidR="00F53297">
        <w:t xml:space="preserve"> Regulaminu organizacyjnego Parku</w:t>
      </w:r>
      <w:r>
        <w:t xml:space="preserve"> zgodnego ze </w:t>
      </w:r>
      <w:r w:rsidR="00F53297">
        <w:t xml:space="preserve"> </w:t>
      </w:r>
      <w:r>
        <w:t>Statutem</w:t>
      </w:r>
      <w:r w:rsidR="00F53297">
        <w:t>.</w:t>
      </w:r>
    </w:p>
    <w:p w14:paraId="492D1C6C" w14:textId="4692FC1E" w:rsidR="00F53297" w:rsidRDefault="004E3697" w:rsidP="00F53297">
      <w:pPr>
        <w:pStyle w:val="Akapitzlist"/>
        <w:numPr>
          <w:ilvl w:val="0"/>
          <w:numId w:val="32"/>
        </w:numPr>
        <w:spacing w:after="120" w:line="240" w:lineRule="auto"/>
      </w:pPr>
      <w:r>
        <w:t>Przekazywanie programów naukowo-badawczych do zaopiniowania Radzie Naukowej</w:t>
      </w:r>
      <w:r w:rsidR="005439E1">
        <w:t xml:space="preserve"> w związku </w:t>
      </w:r>
      <w:bookmarkStart w:id="65" w:name="_Hlk152160387"/>
      <w:r w:rsidR="005439E1">
        <w:t xml:space="preserve">z art. 98 ust. 3 pkt. 4 </w:t>
      </w:r>
      <w:r>
        <w:t>ustaw</w:t>
      </w:r>
      <w:r w:rsidR="005439E1">
        <w:t>y</w:t>
      </w:r>
      <w:r>
        <w:t xml:space="preserve"> </w:t>
      </w:r>
      <w:r w:rsidR="005439E1">
        <w:t>z dnia 16 kwietnia 2004 r.</w:t>
      </w:r>
      <w:r w:rsidR="00B20E71">
        <w:br/>
      </w:r>
      <w:r>
        <w:t>o ochronie przyrody</w:t>
      </w:r>
      <w:r w:rsidR="005439E1">
        <w:t xml:space="preserve"> (Dz. U. z 2023 r. poz. 1336)</w:t>
      </w:r>
      <w:bookmarkEnd w:id="65"/>
      <w:r>
        <w:t>.</w:t>
      </w:r>
    </w:p>
    <w:p w14:paraId="10B466A3" w14:textId="16DB1123" w:rsidR="004E3697" w:rsidRDefault="004E3697" w:rsidP="00F53297">
      <w:pPr>
        <w:pStyle w:val="Akapitzlist"/>
        <w:numPr>
          <w:ilvl w:val="0"/>
          <w:numId w:val="32"/>
        </w:numPr>
        <w:spacing w:after="120" w:line="240" w:lineRule="auto"/>
      </w:pPr>
      <w:r>
        <w:t xml:space="preserve">Doprowadzenie do zgodności </w:t>
      </w:r>
      <w:r w:rsidR="005439E1">
        <w:t>z art. 98 ust. 3 pkt. 4 ustawy z dnia 16 kwietnia 2004 r. o ochronie przyrody (Dz. U. z 2023 r. poz. 1336)</w:t>
      </w:r>
      <w:r>
        <w:t xml:space="preserve"> Z</w:t>
      </w:r>
      <w:r w:rsidRPr="004E3697">
        <w:t>arządzeni</w:t>
      </w:r>
      <w:r>
        <w:t>a</w:t>
      </w:r>
      <w:r w:rsidRPr="004E3697">
        <w:t xml:space="preserve"> nr 3</w:t>
      </w:r>
      <w:r>
        <w:t>4</w:t>
      </w:r>
      <w:r w:rsidRPr="004E3697">
        <w:t xml:space="preserve"> Dyrektora Bieszczadzkiego Par</w:t>
      </w:r>
      <w:r>
        <w:t>ku</w:t>
      </w:r>
      <w:r w:rsidRPr="004E3697">
        <w:t xml:space="preserve"> Narodowego z dnia 10 stycznia 2013 roku w sprawie udostępnienia obszaru Bieszczadzkiego Parku Narodowego do badań naukowych</w:t>
      </w:r>
      <w:r>
        <w:t>.</w:t>
      </w:r>
    </w:p>
    <w:p w14:paraId="4CDDBF8A" w14:textId="026CB4DD" w:rsidR="004E3697" w:rsidRDefault="004E3697" w:rsidP="00F53297">
      <w:pPr>
        <w:pStyle w:val="Akapitzlist"/>
        <w:numPr>
          <w:ilvl w:val="0"/>
          <w:numId w:val="32"/>
        </w:numPr>
        <w:spacing w:after="120" w:line="240" w:lineRule="auto"/>
      </w:pPr>
      <w:r>
        <w:t>Zapewnienie przestrzegania zasad sprzedaż drewna, w szczególności w zakresie zakazu wydawania drewna przed uiszczeniem przedpłaty przez kupujących.</w:t>
      </w:r>
    </w:p>
    <w:p w14:paraId="2C2C19E9" w14:textId="319049A6" w:rsidR="004E3697" w:rsidRDefault="004E3697" w:rsidP="00F53297">
      <w:pPr>
        <w:pStyle w:val="Akapitzlist"/>
        <w:numPr>
          <w:ilvl w:val="0"/>
          <w:numId w:val="32"/>
        </w:numPr>
        <w:spacing w:after="120" w:line="240" w:lineRule="auto"/>
      </w:pPr>
      <w:r>
        <w:t>Rzetelne sporządzanie sprawozdań Rb-N.</w:t>
      </w:r>
    </w:p>
    <w:p w14:paraId="794E1C3D" w14:textId="320E40C1" w:rsidR="004E3697" w:rsidRDefault="004E3697" w:rsidP="004E3697">
      <w:pPr>
        <w:pStyle w:val="Akapitzlist"/>
        <w:numPr>
          <w:ilvl w:val="0"/>
          <w:numId w:val="32"/>
        </w:numPr>
        <w:spacing w:after="120" w:line="240" w:lineRule="auto"/>
      </w:pPr>
      <w:r>
        <w:t xml:space="preserve">Przechowywanie </w:t>
      </w:r>
      <w:r w:rsidR="00995E91" w:rsidRPr="00995E91">
        <w:t>dowod</w:t>
      </w:r>
      <w:r w:rsidR="00B20E71">
        <w:t>ów</w:t>
      </w:r>
      <w:r w:rsidR="00995E91" w:rsidRPr="00995E91">
        <w:t xml:space="preserve"> księgow</w:t>
      </w:r>
      <w:r w:rsidR="00B20E71">
        <w:t>ych</w:t>
      </w:r>
      <w:r w:rsidR="00995E91" w:rsidRPr="00995E91">
        <w:t xml:space="preserve"> dotycząc</w:t>
      </w:r>
      <w:r w:rsidR="00B20E71">
        <w:t>ych</w:t>
      </w:r>
      <w:r w:rsidR="00995E91" w:rsidRPr="00995E91">
        <w:t xml:space="preserve"> roszczeń dochodzonych</w:t>
      </w:r>
      <w:r w:rsidR="00B20E71">
        <w:br/>
      </w:r>
      <w:r w:rsidR="00995E91" w:rsidRPr="00995E91">
        <w:t xml:space="preserve">w postępowaniu cywilnym lub objętych postępowaniem karnym </w:t>
      </w:r>
      <w:r>
        <w:t xml:space="preserve">przez okres wynikający z </w:t>
      </w:r>
      <w:r w:rsidR="00995E91" w:rsidRPr="00995E91">
        <w:t>art. 74 ust. 2 pkt. 4 ustawy z dnia 29 września 1994 r. o rachunkowości</w:t>
      </w:r>
      <w:r w:rsidR="00B20E71">
        <w:t xml:space="preserve"> (Dz. U. z 2022 r. poz. 120)</w:t>
      </w:r>
      <w:r w:rsidR="00995E91">
        <w:t xml:space="preserve">, tj. </w:t>
      </w:r>
      <w:r w:rsidR="00476928" w:rsidRPr="00476928">
        <w:t>przez 5 lat od początku roku następującego po roku obrotowym, w którym operacje, transakcje i postępowanie zostały ostatecznie zakończone, spłacone, rozliczone lub przedawnione</w:t>
      </w:r>
      <w:r>
        <w:t>.</w:t>
      </w:r>
    </w:p>
    <w:p w14:paraId="230B74A6" w14:textId="7B8D78EE" w:rsidR="00396497" w:rsidRDefault="00396497" w:rsidP="004E3697">
      <w:pPr>
        <w:pStyle w:val="Akapitzlist"/>
        <w:numPr>
          <w:ilvl w:val="0"/>
          <w:numId w:val="32"/>
        </w:numPr>
        <w:spacing w:after="120" w:line="240" w:lineRule="auto"/>
      </w:pPr>
      <w:r>
        <w:t>Rzetelne dochodzenie należności Parku</w:t>
      </w:r>
      <w:r w:rsidR="00CD4804">
        <w:t xml:space="preserve">, w tym sprawowanie </w:t>
      </w:r>
      <w:r w:rsidR="00CD4804" w:rsidRPr="00CD4804">
        <w:t>nadzoru nad procesem dochodzenia należności</w:t>
      </w:r>
      <w:r>
        <w:t>.</w:t>
      </w:r>
    </w:p>
    <w:p w14:paraId="648119E9" w14:textId="6C5396B3" w:rsidR="004E3697" w:rsidRDefault="004E3697" w:rsidP="004E3697">
      <w:pPr>
        <w:pStyle w:val="Akapitzlist"/>
        <w:numPr>
          <w:ilvl w:val="0"/>
          <w:numId w:val="32"/>
        </w:numPr>
        <w:spacing w:after="120" w:line="240" w:lineRule="auto"/>
      </w:pPr>
      <w:r>
        <w:t>Rzetelne i terminowe naliczanie odsetek z tytuły braku zapłaty.</w:t>
      </w:r>
    </w:p>
    <w:p w14:paraId="3064764D" w14:textId="50720319" w:rsidR="004E3697" w:rsidRDefault="004E3697" w:rsidP="00476928">
      <w:pPr>
        <w:pStyle w:val="Akapitzlist"/>
        <w:numPr>
          <w:ilvl w:val="0"/>
          <w:numId w:val="32"/>
        </w:numPr>
        <w:spacing w:after="120" w:line="240" w:lineRule="auto"/>
      </w:pPr>
      <w:r>
        <w:t>Zapewnienie właściwego, skutecznego i terminowego obiegu dokumentów finansowych w Parku pomiędzy komórkami organizacyjnymi</w:t>
      </w:r>
      <w:r w:rsidR="003F0A44">
        <w:t xml:space="preserve">, w tym </w:t>
      </w:r>
      <w:r w:rsidR="00476928">
        <w:t>d</w:t>
      </w:r>
      <w:r>
        <w:t xml:space="preserve">okonanie przeglądu wewnętrznych procedur </w:t>
      </w:r>
      <w:r w:rsidR="00476928">
        <w:t>w tym zakresie</w:t>
      </w:r>
      <w:r w:rsidR="00B20E71">
        <w:t xml:space="preserve"> i dokonanie ich aktualizacji</w:t>
      </w:r>
      <w:r w:rsidR="00A822E7">
        <w:t xml:space="preserve"> w razie potrzeby</w:t>
      </w:r>
      <w:r>
        <w:t>.</w:t>
      </w:r>
    </w:p>
    <w:p w14:paraId="3FF6CB6A" w14:textId="08B91DCE" w:rsidR="004E3697" w:rsidRDefault="004E3697" w:rsidP="004E3697">
      <w:pPr>
        <w:pStyle w:val="Akapitzlist"/>
        <w:numPr>
          <w:ilvl w:val="0"/>
          <w:numId w:val="32"/>
        </w:numPr>
        <w:spacing w:after="120" w:line="240" w:lineRule="auto"/>
      </w:pPr>
      <w:r>
        <w:t>Doprowadzenie do zgodności procedury windykacji należności i instrukcji kancelaryjnej.</w:t>
      </w:r>
    </w:p>
    <w:p w14:paraId="6B3BB5B2" w14:textId="71F58828" w:rsidR="004E3697" w:rsidRDefault="004E3697" w:rsidP="004E3697">
      <w:pPr>
        <w:pStyle w:val="Akapitzlist"/>
        <w:numPr>
          <w:ilvl w:val="0"/>
          <w:numId w:val="32"/>
        </w:numPr>
        <w:spacing w:after="120" w:line="240" w:lineRule="auto"/>
      </w:pPr>
      <w:r>
        <w:t>Wprowadzenie wewnętrznych wytycznych dotyczących określania terminów płatności przy wystawianiu faktur oraz zapewnienie stosowania jej przez wszystkich pracowników Parku.</w:t>
      </w:r>
    </w:p>
    <w:p w14:paraId="62CEB104" w14:textId="59E81FA4" w:rsidR="004E3697" w:rsidRDefault="00396497" w:rsidP="004E3697">
      <w:pPr>
        <w:pStyle w:val="Akapitzlist"/>
        <w:numPr>
          <w:ilvl w:val="0"/>
          <w:numId w:val="32"/>
        </w:numPr>
        <w:spacing w:after="120" w:line="240" w:lineRule="auto"/>
      </w:pPr>
      <w:r>
        <w:t>Rzetelne sporządzanie umów sprzedaży drewna.</w:t>
      </w:r>
    </w:p>
    <w:p w14:paraId="2B4F1BE4" w14:textId="57099F37" w:rsidR="00396497" w:rsidRDefault="00396497" w:rsidP="004E3697">
      <w:pPr>
        <w:pStyle w:val="Akapitzlist"/>
        <w:numPr>
          <w:ilvl w:val="0"/>
          <w:numId w:val="32"/>
        </w:numPr>
        <w:spacing w:after="120" w:line="240" w:lineRule="auto"/>
      </w:pPr>
      <w:r>
        <w:t>Rzetelne i terminowe wystawianie faktur za sprzedaż drewna.</w:t>
      </w:r>
    </w:p>
    <w:p w14:paraId="32786FDD" w14:textId="3DB5B2F3" w:rsidR="00396497" w:rsidRDefault="00396497" w:rsidP="004E3697">
      <w:pPr>
        <w:pStyle w:val="Akapitzlist"/>
        <w:numPr>
          <w:ilvl w:val="0"/>
          <w:numId w:val="32"/>
        </w:numPr>
        <w:spacing w:after="120" w:line="240" w:lineRule="auto"/>
      </w:pPr>
      <w:r>
        <w:t>Bieżącą aktualizację planu zamówień publicznych.</w:t>
      </w:r>
    </w:p>
    <w:p w14:paraId="2819110F" w14:textId="1FF815E7" w:rsidR="00396497" w:rsidRDefault="00396497" w:rsidP="004E3697">
      <w:pPr>
        <w:pStyle w:val="Akapitzlist"/>
        <w:numPr>
          <w:ilvl w:val="0"/>
          <w:numId w:val="32"/>
        </w:numPr>
        <w:spacing w:after="120" w:line="240" w:lineRule="auto"/>
      </w:pPr>
      <w:r>
        <w:t xml:space="preserve">Wprowadzenie obowiązku składania oświadczeń o braku powiązań z wykonawcami przez pracowników wykonujących zadania z zakresu udzielania zamówień nie objętych stosowaniem ustawy </w:t>
      </w:r>
      <w:proofErr w:type="spellStart"/>
      <w:r>
        <w:t>Pzp</w:t>
      </w:r>
      <w:proofErr w:type="spellEnd"/>
      <w:r>
        <w:t>.</w:t>
      </w:r>
    </w:p>
    <w:p w14:paraId="526153EA" w14:textId="5ADDCC06" w:rsidR="00396497" w:rsidRDefault="00396497" w:rsidP="00396497">
      <w:pPr>
        <w:pStyle w:val="Akapitzlist"/>
        <w:numPr>
          <w:ilvl w:val="0"/>
          <w:numId w:val="32"/>
        </w:numPr>
        <w:spacing w:after="120" w:line="240" w:lineRule="auto"/>
      </w:pPr>
      <w:r>
        <w:t>Opracowanie wieloletniego programu gospodarowania nieruchomościami</w:t>
      </w:r>
      <w:r w:rsidR="00B20E71">
        <w:t>.</w:t>
      </w:r>
    </w:p>
    <w:p w14:paraId="606A71DF" w14:textId="6C74717A" w:rsidR="00A65C15" w:rsidRDefault="00396497" w:rsidP="00396497">
      <w:pPr>
        <w:pStyle w:val="Akapitzlist"/>
        <w:numPr>
          <w:ilvl w:val="0"/>
          <w:numId w:val="32"/>
        </w:numPr>
        <w:spacing w:after="0" w:line="240" w:lineRule="auto"/>
      </w:pPr>
      <w:r>
        <w:t>Przestrzeganie terminowości przeprowadzania kontroli okresowych budynków zgodnie z prawem budowlanym.</w:t>
      </w:r>
    </w:p>
    <w:p w14:paraId="5E4BF27B" w14:textId="5F29E782" w:rsidR="00741D48" w:rsidRDefault="00741D48" w:rsidP="00396497">
      <w:pPr>
        <w:pStyle w:val="Akapitzlist"/>
        <w:numPr>
          <w:ilvl w:val="0"/>
          <w:numId w:val="32"/>
        </w:numPr>
        <w:spacing w:after="0" w:line="240" w:lineRule="auto"/>
      </w:pPr>
      <w:r>
        <w:t>Opracowanie i wdrożenie regulacji wewnętrznych dotyczących rekrutacji pracowników Parku.</w:t>
      </w:r>
    </w:p>
    <w:p w14:paraId="11C13C66" w14:textId="4971601C" w:rsidR="00741D48" w:rsidRDefault="00741D48" w:rsidP="00396497">
      <w:pPr>
        <w:pStyle w:val="Akapitzlist"/>
        <w:numPr>
          <w:ilvl w:val="0"/>
          <w:numId w:val="32"/>
        </w:numPr>
        <w:spacing w:after="0" w:line="240" w:lineRule="auto"/>
      </w:pPr>
      <w:r>
        <w:t>Opracowanie procedury nadawania uprawnień do systemów informatycznych Parku z uwzględnieniem sposobu, terminu i osób odpowiedzialnych za wnioskowanie o nadawanie i odbieranie uprawnień oraz osób przyznających</w:t>
      </w:r>
      <w:r>
        <w:br/>
        <w:t>i odbierających uprawnienia, tak aby było zapewnione bezpieczeństwo informacji.</w:t>
      </w:r>
    </w:p>
    <w:p w14:paraId="0F12A506" w14:textId="2FE5816C" w:rsidR="00741D48" w:rsidRDefault="00CD4804" w:rsidP="00396497">
      <w:pPr>
        <w:pStyle w:val="Akapitzlist"/>
        <w:numPr>
          <w:ilvl w:val="0"/>
          <w:numId w:val="32"/>
        </w:numPr>
        <w:spacing w:after="0" w:line="240" w:lineRule="auto"/>
      </w:pPr>
      <w:r>
        <w:t>Rzetelne sporządzanie umów cywilnoprawnych</w:t>
      </w:r>
      <w:r w:rsidR="0027654F">
        <w:t>.</w:t>
      </w:r>
      <w:r>
        <w:t xml:space="preserve"> </w:t>
      </w:r>
    </w:p>
    <w:p w14:paraId="6D72D124" w14:textId="5F7FEB4D" w:rsidR="00741D48" w:rsidRDefault="00350FEE" w:rsidP="0027654F">
      <w:pPr>
        <w:pStyle w:val="Akapitzlist"/>
        <w:numPr>
          <w:ilvl w:val="0"/>
          <w:numId w:val="32"/>
        </w:numPr>
        <w:spacing w:after="0" w:line="240" w:lineRule="auto"/>
      </w:pPr>
      <w:r>
        <w:t>Opracowanie mechanizmów bieżącego monitorowania wykonywania umów</w:t>
      </w:r>
      <w:r w:rsidR="0027654F">
        <w:t xml:space="preserve"> cywilnoprawnych </w:t>
      </w:r>
      <w:r>
        <w:t xml:space="preserve">przez </w:t>
      </w:r>
      <w:r w:rsidR="0027654F">
        <w:t>pracowników Parku</w:t>
      </w:r>
      <w:r w:rsidR="003F0A44">
        <w:t>, w szczególn</w:t>
      </w:r>
      <w:r w:rsidR="0027654F">
        <w:t>ości</w:t>
      </w:r>
      <w:r w:rsidR="003F0A44">
        <w:t xml:space="preserve"> z uwzględnieniem </w:t>
      </w:r>
      <w:r w:rsidR="0027654F">
        <w:t xml:space="preserve">zapewnienia aby prace wynikające z umów zlecenia nie były wykonywane w czasie pracy etatowej pracowników. </w:t>
      </w:r>
      <w:r>
        <w:t xml:space="preserve"> </w:t>
      </w:r>
    </w:p>
    <w:p w14:paraId="5BF3999F" w14:textId="3576A6C8" w:rsidR="00741D48" w:rsidRDefault="00741D48" w:rsidP="00396497">
      <w:pPr>
        <w:pStyle w:val="Akapitzlist"/>
        <w:numPr>
          <w:ilvl w:val="0"/>
          <w:numId w:val="32"/>
        </w:numPr>
        <w:spacing w:after="0" w:line="240" w:lineRule="auto"/>
      </w:pPr>
      <w:r>
        <w:t xml:space="preserve">Wyeliminowanie przypadków zawierania umów </w:t>
      </w:r>
      <w:r w:rsidR="009F2B9C">
        <w:t xml:space="preserve">cywilnoprawnych </w:t>
      </w:r>
      <w:r>
        <w:t>z pracownikami Parku w zakresie zadań, które mieszczą się w ich zakresach obowiązków.</w:t>
      </w:r>
    </w:p>
    <w:p w14:paraId="367F16FE" w14:textId="77777777" w:rsidR="00031C0A" w:rsidRPr="009276B2" w:rsidRDefault="00031C0A" w:rsidP="009276B2">
      <w:pPr>
        <w:spacing w:after="0" w:line="240" w:lineRule="auto"/>
      </w:pPr>
    </w:p>
    <w:p w14:paraId="12F08B19" w14:textId="29244AAE" w:rsidR="00031C0A" w:rsidRDefault="00A65C15" w:rsidP="00A65C15">
      <w:pPr>
        <w:spacing w:after="200" w:line="240" w:lineRule="auto"/>
      </w:pPr>
      <w:r>
        <w:t xml:space="preserve">Jednocześnie, zobowiązuję </w:t>
      </w:r>
      <w:r w:rsidR="00A00296">
        <w:t>Pana Dyrektora</w:t>
      </w:r>
      <w:r>
        <w:t xml:space="preserve"> do przekazania, w terminie 30 dni od daty otrzymania niniejszego wystąpienia pokontrolnego, pisemnej informacji o sposobie realizacji zaleceń i wniosków pokontrolnych. W przypadku realizacji zaleceń pokontrolnych, których efektem będzie zmiana wewnętrznych regulacji lub innych dokumentów – proszę</w:t>
      </w:r>
      <w:r w:rsidR="00041F37">
        <w:br/>
      </w:r>
      <w:r>
        <w:t>o przesłanie ich kopii wraz z powyższą informacją.</w:t>
      </w:r>
    </w:p>
    <w:p w14:paraId="3114F4A2" w14:textId="77777777" w:rsidR="00031C0A" w:rsidRDefault="00031C0A" w:rsidP="008D769F">
      <w:pPr>
        <w:spacing w:after="200" w:line="240" w:lineRule="auto"/>
      </w:pPr>
    </w:p>
    <w:p w14:paraId="0BF9A752" w14:textId="77777777" w:rsidR="00031C0A" w:rsidRDefault="00031C0A" w:rsidP="008D769F">
      <w:pPr>
        <w:spacing w:after="200" w:line="240" w:lineRule="auto"/>
      </w:pPr>
    </w:p>
    <w:p w14:paraId="0394BEAC" w14:textId="77777777" w:rsidR="00031C0A" w:rsidRDefault="00646052" w:rsidP="008D769F">
      <w:pPr>
        <w:spacing w:after="200" w:line="240" w:lineRule="auto"/>
        <w:rPr>
          <w:sz w:val="16"/>
          <w:szCs w:val="16"/>
        </w:rPr>
      </w:pPr>
      <w:r w:rsidRPr="00D05E25">
        <w:t>Z wyrazami szacunku</w:t>
      </w:r>
      <w:r>
        <w:t xml:space="preserve"> </w:t>
      </w:r>
    </w:p>
    <w:p w14:paraId="10C08B93" w14:textId="78F417D1" w:rsidR="00031C0A" w:rsidRDefault="003C1429" w:rsidP="007E5A29">
      <w:pPr>
        <w:spacing w:after="120" w:line="240" w:lineRule="auto"/>
      </w:pPr>
      <w:r>
        <w:t>Z upoważnienia</w:t>
      </w:r>
    </w:p>
    <w:p w14:paraId="45B7518E" w14:textId="77777777" w:rsidR="00031C0A" w:rsidRPr="004215B7" w:rsidRDefault="00646052" w:rsidP="00B83610">
      <w:pPr>
        <w:spacing w:after="0" w:line="240" w:lineRule="auto"/>
        <w:jc w:val="left"/>
      </w:pPr>
      <w:bookmarkStart w:id="66" w:name="ezdPracownikPodpisNazwa"/>
      <w:r w:rsidRPr="004215B7">
        <w:t>$IMIE_NAZWISKO_PODPISUJACEGO</w:t>
      </w:r>
      <w:bookmarkEnd w:id="66"/>
    </w:p>
    <w:p w14:paraId="24C0958C" w14:textId="77777777" w:rsidR="00031C0A" w:rsidRPr="004215B7" w:rsidRDefault="00646052" w:rsidP="00B83610">
      <w:pPr>
        <w:spacing w:after="0" w:line="240" w:lineRule="auto"/>
        <w:jc w:val="left"/>
      </w:pPr>
      <w:bookmarkStart w:id="67" w:name="ezdPracownikPodpisStanowisko"/>
      <w:r w:rsidRPr="004215B7">
        <w:t>$STANOWISKO_PODPISUJACEGO</w:t>
      </w:r>
      <w:bookmarkEnd w:id="67"/>
    </w:p>
    <w:p w14:paraId="0B35D0FD" w14:textId="77777777" w:rsidR="00031C0A" w:rsidRDefault="00646052" w:rsidP="00B83610">
      <w:pPr>
        <w:spacing w:after="120" w:line="240" w:lineRule="auto"/>
        <w:jc w:val="left"/>
      </w:pPr>
      <w:r w:rsidRPr="004215B7">
        <w:t>Ministerstwo Klimatu i Środowiska</w:t>
      </w:r>
      <w:r w:rsidRPr="004215B7">
        <w:br/>
        <w:t>/ – podpisany cyfrowo/</w:t>
      </w:r>
    </w:p>
    <w:p w14:paraId="2A9F2512" w14:textId="77777777" w:rsidR="00031C0A" w:rsidRPr="009276B2" w:rsidRDefault="00031C0A" w:rsidP="007E5A29">
      <w:pPr>
        <w:spacing w:after="120" w:line="240" w:lineRule="auto"/>
      </w:pPr>
    </w:p>
    <w:sectPr w:rsidR="00031C0A" w:rsidRPr="009276B2" w:rsidSect="0027433B">
      <w:headerReference w:type="default" r:id="rId9"/>
      <w:footerReference w:type="default" r:id="rId10"/>
      <w:headerReference w:type="first" r:id="rId11"/>
      <w:footerReference w:type="first" r:id="rId12"/>
      <w:pgSz w:w="11906" w:h="16838"/>
      <w:pgMar w:top="2113"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2B6D" w14:textId="77777777" w:rsidR="008E0048" w:rsidRDefault="008E0048">
      <w:pPr>
        <w:spacing w:after="0" w:line="240" w:lineRule="auto"/>
      </w:pPr>
      <w:r>
        <w:separator/>
      </w:r>
    </w:p>
  </w:endnote>
  <w:endnote w:type="continuationSeparator" w:id="0">
    <w:p w14:paraId="601A038E" w14:textId="77777777" w:rsidR="008E0048" w:rsidRDefault="008E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embedRegular r:id="rId1" w:fontKey="{435B45F3-E9D0-4055-8461-69308E084C34}"/>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embedRegular r:id="rId2" w:subsetted="1" w:fontKey="{FA69B440-0E9C-4CD1-9797-22E780A186DC}"/>
  </w:font>
  <w:font w:name="Lato">
    <w:panose1 w:val="020F0502020204030203"/>
    <w:charset w:val="EE"/>
    <w:family w:val="swiss"/>
    <w:pitch w:val="variable"/>
    <w:sig w:usb0="800000AF" w:usb1="4000604A" w:usb2="00000000" w:usb3="00000000" w:csb0="00000093" w:csb1="00000000"/>
    <w:embedRegular r:id="rId3" w:fontKey="{743F82A3-7578-4E4B-9608-65AE9BB114F3}"/>
    <w:embedBold r:id="rId4" w:fontKey="{1D627E47-8A55-4C12-A3DA-3DBDCFCCC094}"/>
    <w:embedItalic r:id="rId5" w:fontKey="{9ACC41AA-0F2E-424D-8BC0-66DDF9CF7179}"/>
    <w:embedBoldItalic r:id="rId6" w:fontKey="{96768600-2535-49BC-8097-5A803FF2BFAD}"/>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620011"/>
      <w:docPartObj>
        <w:docPartGallery w:val="Page Numbers (Bottom of Page)"/>
        <w:docPartUnique/>
      </w:docPartObj>
    </w:sdtPr>
    <w:sdtEndPr/>
    <w:sdtContent>
      <w:p w14:paraId="730B25F2" w14:textId="3211A5A7" w:rsidR="00062669" w:rsidRDefault="00062669">
        <w:pPr>
          <w:pStyle w:val="Stopka"/>
          <w:jc w:val="right"/>
        </w:pPr>
        <w:r>
          <w:fldChar w:fldCharType="begin"/>
        </w:r>
        <w:r>
          <w:instrText>PAGE   \* MERGEFORMAT</w:instrText>
        </w:r>
        <w:r>
          <w:fldChar w:fldCharType="separate"/>
        </w:r>
        <w:r>
          <w:t>2</w:t>
        </w:r>
        <w:r>
          <w:fldChar w:fldCharType="end"/>
        </w:r>
      </w:p>
    </w:sdtContent>
  </w:sdt>
  <w:p w14:paraId="122A1242" w14:textId="77777777" w:rsidR="00062669" w:rsidRDefault="000626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75403"/>
      <w:docPartObj>
        <w:docPartGallery w:val="Page Numbers (Bottom of Page)"/>
        <w:docPartUnique/>
      </w:docPartObj>
    </w:sdtPr>
    <w:sdtEndPr/>
    <w:sdtContent>
      <w:p w14:paraId="72B2DF57" w14:textId="18CEB1BB" w:rsidR="00A65C15" w:rsidRDefault="00A65C15">
        <w:pPr>
          <w:pStyle w:val="Stopka"/>
          <w:jc w:val="right"/>
        </w:pPr>
        <w:r>
          <w:fldChar w:fldCharType="begin"/>
        </w:r>
        <w:r>
          <w:instrText>PAGE   \* MERGEFORMAT</w:instrText>
        </w:r>
        <w:r>
          <w:fldChar w:fldCharType="separate"/>
        </w:r>
        <w:r>
          <w:t>2</w:t>
        </w:r>
        <w:r>
          <w:fldChar w:fldCharType="end"/>
        </w:r>
      </w:p>
    </w:sdtContent>
  </w:sdt>
  <w:p w14:paraId="3ED01B33" w14:textId="77777777" w:rsidR="00031C0A" w:rsidRDefault="00031C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3D66" w14:textId="77777777" w:rsidR="008E0048" w:rsidRDefault="008E0048">
      <w:pPr>
        <w:spacing w:after="0" w:line="240" w:lineRule="auto"/>
      </w:pPr>
      <w:r>
        <w:separator/>
      </w:r>
    </w:p>
  </w:footnote>
  <w:footnote w:type="continuationSeparator" w:id="0">
    <w:p w14:paraId="5C5B47F4" w14:textId="77777777" w:rsidR="008E0048" w:rsidRDefault="008E0048">
      <w:pPr>
        <w:spacing w:after="0" w:line="240" w:lineRule="auto"/>
      </w:pPr>
      <w:r>
        <w:continuationSeparator/>
      </w:r>
    </w:p>
  </w:footnote>
  <w:footnote w:id="1">
    <w:p w14:paraId="4B565FEE" w14:textId="77777777" w:rsidR="008C1E51" w:rsidRPr="002577FE" w:rsidRDefault="008C1E51" w:rsidP="008C1E51">
      <w:pPr>
        <w:pStyle w:val="Tekstprzypisudolnego"/>
        <w:rPr>
          <w:sz w:val="16"/>
          <w:szCs w:val="16"/>
        </w:rPr>
      </w:pPr>
      <w:r w:rsidRPr="002577FE">
        <w:rPr>
          <w:rStyle w:val="Odwoanieprzypisudolnego"/>
          <w:sz w:val="16"/>
          <w:szCs w:val="16"/>
        </w:rPr>
        <w:footnoteRef/>
      </w:r>
      <w:r w:rsidRPr="002577FE">
        <w:rPr>
          <w:sz w:val="16"/>
          <w:szCs w:val="16"/>
        </w:rPr>
        <w:t xml:space="preserve"> Dz.U. z 2020 r. poz. 224.</w:t>
      </w:r>
    </w:p>
  </w:footnote>
  <w:footnote w:id="2">
    <w:p w14:paraId="4BAB10D1" w14:textId="77777777" w:rsidR="008C1E51" w:rsidRPr="00BF6DC0" w:rsidRDefault="008C1E51" w:rsidP="008C1E51">
      <w:pPr>
        <w:pStyle w:val="Tekstprzypisudolnego"/>
        <w:rPr>
          <w:sz w:val="16"/>
          <w:szCs w:val="16"/>
        </w:rPr>
      </w:pPr>
      <w:r w:rsidRPr="002577FE">
        <w:rPr>
          <w:rStyle w:val="Odwoanieprzypisudolnego"/>
          <w:rFonts w:cs="Times New Roman"/>
          <w:sz w:val="16"/>
          <w:szCs w:val="16"/>
        </w:rPr>
        <w:footnoteRef/>
      </w:r>
      <w:r w:rsidRPr="002577FE">
        <w:rPr>
          <w:sz w:val="16"/>
          <w:szCs w:val="16"/>
        </w:rPr>
        <w:t xml:space="preserve"> Dz.U. z 2020 r. poz. 55.</w:t>
      </w:r>
    </w:p>
  </w:footnote>
  <w:footnote w:id="3">
    <w:p w14:paraId="7CB0F637" w14:textId="77777777" w:rsidR="008C1E51" w:rsidRPr="002577FE" w:rsidRDefault="008C1E51" w:rsidP="008C1E51">
      <w:pPr>
        <w:pStyle w:val="Tekstprzypisudolnego"/>
        <w:rPr>
          <w:sz w:val="16"/>
          <w:szCs w:val="16"/>
        </w:rPr>
      </w:pPr>
      <w:r w:rsidRPr="002577FE">
        <w:rPr>
          <w:rStyle w:val="Odwoanieprzypisudolnego"/>
          <w:rFonts w:cs="Times New Roman"/>
          <w:sz w:val="16"/>
          <w:szCs w:val="16"/>
        </w:rPr>
        <w:footnoteRef/>
      </w:r>
      <w:r w:rsidRPr="002577FE">
        <w:rPr>
          <w:sz w:val="16"/>
          <w:szCs w:val="16"/>
        </w:rPr>
        <w:t xml:space="preserve"> M.P. z 2021 r. poz. 374.</w:t>
      </w:r>
    </w:p>
  </w:footnote>
  <w:footnote w:id="4">
    <w:p w14:paraId="2BE2A972" w14:textId="77777777" w:rsidR="008C1E51" w:rsidRPr="00BF6DC0" w:rsidRDefault="008C1E51" w:rsidP="008C1E51">
      <w:pPr>
        <w:pStyle w:val="Tekstprzypisudolnego"/>
        <w:rPr>
          <w:sz w:val="16"/>
          <w:szCs w:val="16"/>
        </w:rPr>
      </w:pPr>
      <w:r w:rsidRPr="00BF6DC0">
        <w:rPr>
          <w:rStyle w:val="Odwoanieprzypisudolnego"/>
          <w:sz w:val="16"/>
          <w:szCs w:val="16"/>
        </w:rPr>
        <w:footnoteRef/>
      </w:r>
      <w:r w:rsidRPr="00BF6DC0">
        <w:rPr>
          <w:sz w:val="16"/>
          <w:szCs w:val="16"/>
        </w:rPr>
        <w:t xml:space="preserve"> W niniejszej kontroli zastosowano ocenę opisową. </w:t>
      </w:r>
      <w:proofErr w:type="spellStart"/>
      <w:r w:rsidRPr="00BF6DC0">
        <w:rPr>
          <w:sz w:val="16"/>
          <w:szCs w:val="16"/>
        </w:rPr>
        <w:t>MKiŚ</w:t>
      </w:r>
      <w:proofErr w:type="spellEnd"/>
      <w:r w:rsidRPr="00BF6DC0">
        <w:rPr>
          <w:sz w:val="16"/>
          <w:szCs w:val="16"/>
        </w:rPr>
        <w:t xml:space="preserve"> stosuje oceny: pozytywna, pozytywna z zastrzeżeniami, negatywna, opisowa</w:t>
      </w:r>
    </w:p>
  </w:footnote>
  <w:footnote w:id="5">
    <w:p w14:paraId="318B51DB" w14:textId="77777777" w:rsidR="008C1E51" w:rsidRPr="00BE3F92" w:rsidRDefault="008C1E51" w:rsidP="008C1E51">
      <w:pPr>
        <w:pStyle w:val="Tekstprzypisudolnego"/>
        <w:rPr>
          <w:sz w:val="16"/>
          <w:szCs w:val="16"/>
        </w:rPr>
      </w:pPr>
      <w:r w:rsidRPr="002577FE">
        <w:rPr>
          <w:rStyle w:val="Odwoanieprzypisudolnego"/>
          <w:rFonts w:eastAsia="Calibri"/>
          <w:sz w:val="16"/>
          <w:szCs w:val="16"/>
        </w:rPr>
        <w:footnoteRef/>
      </w:r>
      <w:r w:rsidRPr="002577FE">
        <w:rPr>
          <w:sz w:val="16"/>
          <w:szCs w:val="16"/>
        </w:rPr>
        <w:t xml:space="preserve"> Dz.U. Ministra Środowiska z 2018 r. poz. 69.</w:t>
      </w:r>
    </w:p>
  </w:footnote>
  <w:footnote w:id="6">
    <w:p w14:paraId="48D0176C" w14:textId="77777777" w:rsidR="008C1E51" w:rsidRPr="00516317" w:rsidRDefault="008C1E51" w:rsidP="008C1E51">
      <w:pPr>
        <w:pStyle w:val="Tekstprzypisudolnego"/>
        <w:rPr>
          <w:sz w:val="16"/>
          <w:szCs w:val="16"/>
        </w:rPr>
      </w:pPr>
      <w:r w:rsidRPr="00516317">
        <w:rPr>
          <w:rStyle w:val="Odwoanieprzypisudolnego"/>
          <w:sz w:val="16"/>
          <w:szCs w:val="16"/>
        </w:rPr>
        <w:footnoteRef/>
      </w:r>
      <w:r w:rsidRPr="00516317">
        <w:rPr>
          <w:sz w:val="16"/>
          <w:szCs w:val="16"/>
        </w:rPr>
        <w:t xml:space="preserve"> Dz. U. z 2014 r. poz. 1773</w:t>
      </w:r>
    </w:p>
  </w:footnote>
  <w:footnote w:id="7">
    <w:p w14:paraId="721F7468" w14:textId="77777777" w:rsidR="008C1E51" w:rsidRPr="00516317" w:rsidRDefault="008C1E51" w:rsidP="008C1E51">
      <w:pPr>
        <w:pStyle w:val="Tekstprzypisudolnego"/>
        <w:rPr>
          <w:sz w:val="16"/>
          <w:szCs w:val="16"/>
        </w:rPr>
      </w:pPr>
      <w:r w:rsidRPr="00516317">
        <w:rPr>
          <w:rStyle w:val="Odwoanieprzypisudolnego"/>
          <w:sz w:val="16"/>
          <w:szCs w:val="16"/>
        </w:rPr>
        <w:footnoteRef/>
      </w:r>
      <w:r w:rsidRPr="00516317">
        <w:rPr>
          <w:sz w:val="16"/>
          <w:szCs w:val="16"/>
        </w:rPr>
        <w:t xml:space="preserve"> Dz. U. z 2023 r. poz. 652</w:t>
      </w:r>
    </w:p>
  </w:footnote>
  <w:footnote w:id="8">
    <w:p w14:paraId="3BC1A262" w14:textId="77777777" w:rsidR="008C1E51" w:rsidRPr="00BF6DC0" w:rsidRDefault="008C1E51" w:rsidP="008C1E51">
      <w:pPr>
        <w:pStyle w:val="Tekstprzypisudolnego"/>
        <w:rPr>
          <w:sz w:val="18"/>
          <w:szCs w:val="18"/>
        </w:rPr>
      </w:pPr>
      <w:r w:rsidRPr="00BF6DC0">
        <w:rPr>
          <w:rStyle w:val="Odwoanieprzypisudolnego"/>
          <w:sz w:val="16"/>
          <w:szCs w:val="16"/>
        </w:rPr>
        <w:footnoteRef/>
      </w:r>
      <w:r>
        <w:rPr>
          <w:sz w:val="16"/>
          <w:szCs w:val="16"/>
        </w:rPr>
        <w:t xml:space="preserve"> </w:t>
      </w:r>
      <w:r w:rsidRPr="00BF6DC0">
        <w:rPr>
          <w:sz w:val="16"/>
          <w:szCs w:val="16"/>
        </w:rPr>
        <w:t xml:space="preserve">Polityka rachunkowości wprowadzona </w:t>
      </w:r>
      <w:r w:rsidRPr="00516317">
        <w:rPr>
          <w:sz w:val="16"/>
          <w:szCs w:val="16"/>
        </w:rPr>
        <w:t xml:space="preserve">Zarządzeniem nr 30 Dyrektora Bieszczadzkiego Parku Narodowego z dnia 8 maja 2012 r. oraz </w:t>
      </w:r>
      <w:r w:rsidRPr="00BF6DC0">
        <w:rPr>
          <w:rFonts w:cs="Times New Roman"/>
          <w:color w:val="000000" w:themeColor="text1"/>
          <w:sz w:val="16"/>
          <w:szCs w:val="16"/>
        </w:rPr>
        <w:t xml:space="preserve">procedury windykacji cywilnoprawnych obowiązujące od 1 stycznia 2022 r. wprowadzone </w:t>
      </w:r>
      <w:r w:rsidRPr="00516317">
        <w:rPr>
          <w:sz w:val="16"/>
          <w:szCs w:val="16"/>
        </w:rPr>
        <w:t>Zarządzenie Dyrektora Bieszczadzkiego Parku Narodowego z dnia 25 października 2022 r.</w:t>
      </w:r>
    </w:p>
  </w:footnote>
  <w:footnote w:id="9">
    <w:p w14:paraId="0E7F52F6" w14:textId="77777777" w:rsidR="008C1E51" w:rsidRPr="0096528A" w:rsidRDefault="008C1E51" w:rsidP="008C1E51">
      <w:pPr>
        <w:pStyle w:val="Tekstprzypisudolnego"/>
        <w:rPr>
          <w:sz w:val="16"/>
          <w:szCs w:val="16"/>
        </w:rPr>
      </w:pPr>
      <w:r w:rsidRPr="0096528A">
        <w:rPr>
          <w:rStyle w:val="Odwoanieprzypisudolnego"/>
          <w:sz w:val="16"/>
          <w:szCs w:val="16"/>
        </w:rPr>
        <w:footnoteRef/>
      </w:r>
      <w:r w:rsidRPr="0096528A">
        <w:rPr>
          <w:sz w:val="16"/>
          <w:szCs w:val="16"/>
        </w:rPr>
        <w:t xml:space="preserve"> Dz. U. z 2019 r. poz. 2019 z </w:t>
      </w:r>
      <w:proofErr w:type="spellStart"/>
      <w:r w:rsidRPr="0096528A">
        <w:rPr>
          <w:sz w:val="16"/>
          <w:szCs w:val="16"/>
        </w:rPr>
        <w:t>poźn</w:t>
      </w:r>
      <w:proofErr w:type="spellEnd"/>
      <w:r w:rsidRPr="0096528A">
        <w:rPr>
          <w:sz w:val="16"/>
          <w:szCs w:val="16"/>
        </w:rPr>
        <w:t>. zm.</w:t>
      </w:r>
    </w:p>
  </w:footnote>
  <w:footnote w:id="10">
    <w:p w14:paraId="459E542D" w14:textId="77777777" w:rsidR="008C1E51" w:rsidRPr="00BF6DC0" w:rsidRDefault="008C1E51" w:rsidP="008C1E51">
      <w:pPr>
        <w:pStyle w:val="Tekstprzypisudolnego"/>
        <w:rPr>
          <w:sz w:val="16"/>
          <w:szCs w:val="16"/>
        </w:rPr>
      </w:pPr>
      <w:r w:rsidRPr="0096528A">
        <w:rPr>
          <w:rStyle w:val="Odwoanieprzypisudolnego"/>
          <w:sz w:val="16"/>
          <w:szCs w:val="16"/>
        </w:rPr>
        <w:footnoteRef/>
      </w:r>
      <w:r w:rsidRPr="0096528A">
        <w:rPr>
          <w:sz w:val="16"/>
          <w:szCs w:val="16"/>
        </w:rPr>
        <w:t xml:space="preserve"> Regulamin używania pojazdów samochodowych wykorzystywanych wyłącznie na potrzeby działalności statutowej Bieszczadzkiego Parku Narodowego</w:t>
      </w:r>
    </w:p>
  </w:footnote>
  <w:footnote w:id="11">
    <w:p w14:paraId="66100DA6" w14:textId="77777777" w:rsidR="008C1E51" w:rsidRPr="006C7D2B" w:rsidRDefault="008C1E51" w:rsidP="008C1E51">
      <w:pPr>
        <w:pStyle w:val="Tekstprzypisudolnego"/>
        <w:rPr>
          <w:sz w:val="16"/>
          <w:szCs w:val="16"/>
        </w:rPr>
      </w:pPr>
      <w:r w:rsidRPr="0096528A">
        <w:rPr>
          <w:rStyle w:val="Odwoanieprzypisudolnego"/>
          <w:sz w:val="16"/>
          <w:szCs w:val="16"/>
        </w:rPr>
        <w:footnoteRef/>
      </w:r>
      <w:r w:rsidRPr="0096528A">
        <w:rPr>
          <w:sz w:val="16"/>
          <w:szCs w:val="16"/>
        </w:rPr>
        <w:t xml:space="preserve"> Dz. U. z 2022 poz. 1510</w:t>
      </w:r>
    </w:p>
  </w:footnote>
  <w:footnote w:id="12">
    <w:p w14:paraId="10E88834"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Rozporządzenie Ministra Środowiska z dnia 18 lutego 2013 r. w sprawie nadania statutu Bieszczadzkiemu Parkowi Narodowemu z siedzibą w Ustrzykach Górnych (Dz.U. poz. 302)</w:t>
      </w:r>
    </w:p>
  </w:footnote>
  <w:footnote w:id="13">
    <w:p w14:paraId="43BDDFC6"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Rozporządzenie Ministra Środowiska z dnia 28 października 2015 r. zmieniające rozporządzenie w sprawie nadania statutu Bieszczadzkiemu Parkowi Narodowemu z siedzibą w Ustrzykach Górnych; rozporządzenie weszło w życie 21 grudnia 2015 r. (Dz. U. poz. 2051)</w:t>
      </w:r>
    </w:p>
  </w:footnote>
  <w:footnote w:id="14">
    <w:p w14:paraId="663E8133" w14:textId="77777777" w:rsidR="008C1E51" w:rsidRPr="00D237EA" w:rsidRDefault="008C1E51" w:rsidP="008C1E51">
      <w:pPr>
        <w:pStyle w:val="Tekstprzypisudolnego"/>
      </w:pPr>
      <w:r w:rsidRPr="00BE3F92">
        <w:rPr>
          <w:rStyle w:val="Odwoanieprzypisudolnego"/>
          <w:sz w:val="16"/>
          <w:szCs w:val="16"/>
        </w:rPr>
        <w:footnoteRef/>
      </w:r>
      <w:r w:rsidRPr="00BE3F92">
        <w:rPr>
          <w:sz w:val="16"/>
          <w:szCs w:val="16"/>
        </w:rPr>
        <w:t xml:space="preserve"> Zarządzenie nr 127 Dyrektora Bieszczadzkiego Parku Narodowego z dnia 31 grudnia 2012 r. w sprawie ustanowienia „Regulaminu organizacyjnego Bieszczadzkiego Parku Narodowego”, Zarządzenie nr 52 z dnia 31 grudnia 2020 r. Dyrektora Bieszczadzkiego Parku Narodowego w sprawie Regulaminu Organizacyjnego</w:t>
      </w:r>
    </w:p>
  </w:footnote>
  <w:footnote w:id="15">
    <w:p w14:paraId="06EF6C4E"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11 stycznia 2023 r.</w:t>
      </w:r>
    </w:p>
  </w:footnote>
  <w:footnote w:id="16">
    <w:p w14:paraId="2A1A9998"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w:t>
      </w:r>
      <w:r w:rsidRPr="00BE3F92">
        <w:rPr>
          <w:sz w:val="16"/>
          <w:szCs w:val="16"/>
          <w:lang w:eastAsia="pl-PL"/>
        </w:rPr>
        <w:t>Dz. U z 2022 r. poz. 1919</w:t>
      </w:r>
    </w:p>
  </w:footnote>
  <w:footnote w:id="17">
    <w:p w14:paraId="59832AF8" w14:textId="77777777" w:rsidR="008C1E51" w:rsidRPr="00BE3F92" w:rsidRDefault="008C1E51" w:rsidP="008C1E51">
      <w:pPr>
        <w:pStyle w:val="Tekstprzypisudolnego"/>
        <w:rPr>
          <w:sz w:val="16"/>
          <w:szCs w:val="16"/>
        </w:rPr>
      </w:pPr>
      <w:r w:rsidRPr="00BE3F92">
        <w:rPr>
          <w:rStyle w:val="Odwoanieprzypisudolnego"/>
          <w:rFonts w:eastAsia="Calibri"/>
          <w:sz w:val="16"/>
          <w:szCs w:val="16"/>
        </w:rPr>
        <w:footnoteRef/>
      </w:r>
      <w:r w:rsidRPr="00BE3F92">
        <w:rPr>
          <w:sz w:val="16"/>
          <w:szCs w:val="16"/>
        </w:rPr>
        <w:t xml:space="preserve"> Dz.U. Ministra Środowiska z 2018 r. poz. 69</w:t>
      </w:r>
    </w:p>
  </w:footnote>
  <w:footnote w:id="18">
    <w:p w14:paraId="18144244" w14:textId="77777777" w:rsidR="008C1E51" w:rsidRDefault="008C1E51" w:rsidP="008C1E51">
      <w:pPr>
        <w:pStyle w:val="Tekstprzypisudolnego"/>
      </w:pPr>
      <w:r w:rsidRPr="00BE3F92">
        <w:rPr>
          <w:rStyle w:val="Odwoanieprzypisudolnego"/>
          <w:sz w:val="16"/>
          <w:szCs w:val="16"/>
        </w:rPr>
        <w:footnoteRef/>
      </w:r>
      <w:r w:rsidRPr="00BE3F92">
        <w:rPr>
          <w:sz w:val="16"/>
          <w:szCs w:val="16"/>
        </w:rPr>
        <w:t xml:space="preserve"> Dz. U. Ministra Klimatu i Środowiska z 2021 r. poz. 97</w:t>
      </w:r>
    </w:p>
  </w:footnote>
  <w:footnote w:id="19">
    <w:p w14:paraId="5C3ED9D5"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7 października 2022 r.</w:t>
      </w:r>
    </w:p>
  </w:footnote>
  <w:footnote w:id="20">
    <w:p w14:paraId="7237A3E2" w14:textId="77777777" w:rsidR="008C1E51" w:rsidRPr="00AB6125"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7 października 2022 r.</w:t>
      </w:r>
    </w:p>
  </w:footnote>
  <w:footnote w:id="21">
    <w:p w14:paraId="5B96F755" w14:textId="77777777" w:rsidR="008C1E51" w:rsidRPr="00AE2818" w:rsidRDefault="008C1E51" w:rsidP="008C1E51">
      <w:pPr>
        <w:pStyle w:val="Tekstprzypisudolnego"/>
        <w:rPr>
          <w:sz w:val="16"/>
          <w:szCs w:val="16"/>
        </w:rPr>
      </w:pPr>
      <w:r w:rsidRPr="00AE2818">
        <w:rPr>
          <w:rStyle w:val="Odwoanieprzypisudolnego"/>
          <w:sz w:val="16"/>
          <w:szCs w:val="16"/>
        </w:rPr>
        <w:footnoteRef/>
      </w:r>
      <w:r w:rsidRPr="00AE2818">
        <w:rPr>
          <w:sz w:val="16"/>
          <w:szCs w:val="16"/>
        </w:rPr>
        <w:t xml:space="preserve"> Dz. U z 2023 r. poz. 1270</w:t>
      </w:r>
    </w:p>
  </w:footnote>
  <w:footnote w:id="22">
    <w:p w14:paraId="499B56D0"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5 kwietnia 2023 r.</w:t>
      </w:r>
    </w:p>
  </w:footnote>
  <w:footnote w:id="23">
    <w:p w14:paraId="675E48B8" w14:textId="77777777" w:rsidR="008C1E51" w:rsidRPr="0024127E" w:rsidRDefault="008C1E51" w:rsidP="008C1E51">
      <w:pPr>
        <w:spacing w:after="0" w:line="240" w:lineRule="auto"/>
        <w:rPr>
          <w:sz w:val="16"/>
          <w:szCs w:val="16"/>
        </w:rPr>
      </w:pPr>
      <w:r w:rsidRPr="0024127E">
        <w:rPr>
          <w:rStyle w:val="Odwoanieprzypisudolnego"/>
          <w:sz w:val="16"/>
          <w:szCs w:val="16"/>
        </w:rPr>
        <w:footnoteRef/>
      </w:r>
      <w:r w:rsidRPr="0024127E">
        <w:rPr>
          <w:sz w:val="16"/>
          <w:szCs w:val="16"/>
        </w:rPr>
        <w:t xml:space="preserve"> </w:t>
      </w:r>
      <w:bookmarkStart w:id="10" w:name="_Hlk129600195"/>
      <w:r w:rsidRPr="0024127E">
        <w:rPr>
          <w:rFonts w:eastAsia="Times New Roman" w:cs="Times New Roman"/>
          <w:sz w:val="16"/>
          <w:szCs w:val="16"/>
          <w:lang w:eastAsia="pl-PL"/>
        </w:rPr>
        <w:t>Regulacja składu gatunkowego i zagęszczenia drzew w drzewostanie (cięcia przebudowy składu gatunkowego oraz przemiany budowy i struktury wiekowej) – ekosystem leśny; Wykładanie drzew pułapkowych oraz ich korowanie (pułapki klasyczne) w celu spowalniania procesu rozpadu drzewostanów świerkowych sztucznego pochodzenia i monitorowania liczebności kornika drukarza (</w:t>
      </w:r>
      <w:proofErr w:type="spellStart"/>
      <w:r w:rsidRPr="0024127E">
        <w:rPr>
          <w:rFonts w:eastAsia="Times New Roman" w:cs="Times New Roman"/>
          <w:sz w:val="16"/>
          <w:szCs w:val="16"/>
          <w:lang w:eastAsia="pl-PL"/>
        </w:rPr>
        <w:t>Ips</w:t>
      </w:r>
      <w:proofErr w:type="spellEnd"/>
      <w:r w:rsidRPr="0024127E">
        <w:rPr>
          <w:rFonts w:eastAsia="Times New Roman" w:cs="Times New Roman"/>
          <w:sz w:val="16"/>
          <w:szCs w:val="16"/>
          <w:lang w:eastAsia="pl-PL"/>
        </w:rPr>
        <w:t xml:space="preserve"> </w:t>
      </w:r>
      <w:proofErr w:type="spellStart"/>
      <w:r w:rsidRPr="0024127E">
        <w:rPr>
          <w:rFonts w:eastAsia="Times New Roman" w:cs="Times New Roman"/>
          <w:sz w:val="16"/>
          <w:szCs w:val="16"/>
          <w:lang w:eastAsia="pl-PL"/>
        </w:rPr>
        <w:t>typographus</w:t>
      </w:r>
      <w:proofErr w:type="spellEnd"/>
      <w:r w:rsidRPr="0024127E">
        <w:rPr>
          <w:rFonts w:eastAsia="Times New Roman" w:cs="Times New Roman"/>
          <w:sz w:val="16"/>
          <w:szCs w:val="16"/>
          <w:lang w:eastAsia="pl-PL"/>
        </w:rPr>
        <w:t>) – ekosystem leśny;</w:t>
      </w:r>
      <w:bookmarkStart w:id="11" w:name="_Hlk129613750"/>
      <w:bookmarkEnd w:id="10"/>
      <w:r w:rsidRPr="0024127E">
        <w:rPr>
          <w:rFonts w:eastAsia="Times New Roman" w:cs="Times New Roman"/>
          <w:sz w:val="16"/>
          <w:szCs w:val="16"/>
          <w:lang w:eastAsia="pl-PL"/>
        </w:rPr>
        <w:t xml:space="preserve"> Mechaniczne koszenie łąk z uprzątnięciem biomasy, wypas lub wypas z koszeniem, obejmujące siedliska: łąk świeżych i górskich łąk </w:t>
      </w:r>
      <w:proofErr w:type="spellStart"/>
      <w:r w:rsidRPr="0024127E">
        <w:rPr>
          <w:rFonts w:eastAsia="Times New Roman" w:cs="Times New Roman"/>
          <w:sz w:val="16"/>
          <w:szCs w:val="16"/>
          <w:lang w:eastAsia="pl-PL"/>
        </w:rPr>
        <w:t>konietlicowych</w:t>
      </w:r>
      <w:proofErr w:type="spellEnd"/>
      <w:r w:rsidRPr="0024127E">
        <w:rPr>
          <w:rFonts w:eastAsia="Times New Roman" w:cs="Times New Roman"/>
          <w:sz w:val="16"/>
          <w:szCs w:val="16"/>
          <w:lang w:eastAsia="pl-PL"/>
        </w:rPr>
        <w:t xml:space="preserve"> użytkowanych ekstensywnie, muraw </w:t>
      </w:r>
      <w:proofErr w:type="spellStart"/>
      <w:r w:rsidRPr="0024127E">
        <w:rPr>
          <w:rFonts w:eastAsia="Times New Roman" w:cs="Times New Roman"/>
          <w:sz w:val="16"/>
          <w:szCs w:val="16"/>
          <w:lang w:eastAsia="pl-PL"/>
        </w:rPr>
        <w:t>bliźniczkowych</w:t>
      </w:r>
      <w:proofErr w:type="spellEnd"/>
      <w:r w:rsidRPr="0024127E">
        <w:rPr>
          <w:rFonts w:eastAsia="Times New Roman" w:cs="Times New Roman"/>
          <w:sz w:val="16"/>
          <w:szCs w:val="16"/>
          <w:lang w:eastAsia="pl-PL"/>
        </w:rPr>
        <w:t xml:space="preserve"> (</w:t>
      </w:r>
      <w:proofErr w:type="spellStart"/>
      <w:r w:rsidRPr="0024127E">
        <w:rPr>
          <w:rFonts w:eastAsia="Times New Roman" w:cs="Times New Roman"/>
          <w:sz w:val="16"/>
          <w:szCs w:val="16"/>
          <w:lang w:eastAsia="pl-PL"/>
        </w:rPr>
        <w:t>Nardion</w:t>
      </w:r>
      <w:proofErr w:type="spellEnd"/>
      <w:r w:rsidRPr="0024127E">
        <w:rPr>
          <w:rFonts w:eastAsia="Times New Roman" w:cs="Times New Roman"/>
          <w:sz w:val="16"/>
          <w:szCs w:val="16"/>
          <w:lang w:eastAsia="pl-PL"/>
        </w:rPr>
        <w:t>), górskich torfowisk zasadowych o charakterze młak stanowiska dzwonka piłkowanego (</w:t>
      </w:r>
      <w:proofErr w:type="spellStart"/>
      <w:r w:rsidRPr="0024127E">
        <w:rPr>
          <w:rFonts w:eastAsia="Times New Roman" w:cs="Times New Roman"/>
          <w:sz w:val="16"/>
          <w:szCs w:val="16"/>
          <w:lang w:eastAsia="pl-PL"/>
        </w:rPr>
        <w:t>Campanula</w:t>
      </w:r>
      <w:proofErr w:type="spellEnd"/>
      <w:r w:rsidRPr="0024127E">
        <w:rPr>
          <w:rFonts w:eastAsia="Times New Roman" w:cs="Times New Roman"/>
          <w:sz w:val="16"/>
          <w:szCs w:val="16"/>
          <w:lang w:eastAsia="pl-PL"/>
        </w:rPr>
        <w:t xml:space="preserve"> </w:t>
      </w:r>
      <w:proofErr w:type="spellStart"/>
      <w:r w:rsidRPr="0024127E">
        <w:rPr>
          <w:rFonts w:eastAsia="Times New Roman" w:cs="Times New Roman"/>
          <w:sz w:val="16"/>
          <w:szCs w:val="16"/>
          <w:lang w:eastAsia="pl-PL"/>
        </w:rPr>
        <w:t>serrata</w:t>
      </w:r>
      <w:proofErr w:type="spellEnd"/>
      <w:r w:rsidRPr="0024127E">
        <w:rPr>
          <w:rFonts w:eastAsia="Times New Roman" w:cs="Times New Roman"/>
          <w:sz w:val="16"/>
          <w:szCs w:val="16"/>
          <w:lang w:eastAsia="pl-PL"/>
        </w:rPr>
        <w:t>) i derkacza (</w:t>
      </w:r>
      <w:proofErr w:type="spellStart"/>
      <w:r w:rsidRPr="0024127E">
        <w:rPr>
          <w:rFonts w:eastAsia="Times New Roman" w:cs="Times New Roman"/>
          <w:sz w:val="16"/>
          <w:szCs w:val="16"/>
          <w:lang w:eastAsia="pl-PL"/>
        </w:rPr>
        <w:t>Crex</w:t>
      </w:r>
      <w:proofErr w:type="spellEnd"/>
      <w:r w:rsidRPr="0024127E">
        <w:rPr>
          <w:rFonts w:eastAsia="Times New Roman" w:cs="Times New Roman"/>
          <w:sz w:val="16"/>
          <w:szCs w:val="16"/>
          <w:lang w:eastAsia="pl-PL"/>
        </w:rPr>
        <w:t xml:space="preserve"> </w:t>
      </w:r>
      <w:proofErr w:type="spellStart"/>
      <w:r w:rsidRPr="0024127E">
        <w:rPr>
          <w:rFonts w:eastAsia="Times New Roman" w:cs="Times New Roman"/>
          <w:sz w:val="16"/>
          <w:szCs w:val="16"/>
          <w:lang w:eastAsia="pl-PL"/>
        </w:rPr>
        <w:t>crex</w:t>
      </w:r>
      <w:proofErr w:type="spellEnd"/>
      <w:r w:rsidRPr="0024127E">
        <w:rPr>
          <w:rFonts w:eastAsia="Times New Roman" w:cs="Times New Roman"/>
          <w:sz w:val="16"/>
          <w:szCs w:val="16"/>
          <w:lang w:eastAsia="pl-PL"/>
        </w:rPr>
        <w:t xml:space="preserve">) oraz żerowiska: trzmielojada, orlik krzykliwego, orła przedniego i gąsiorka – ekosystem nieleśny lądowy; Czynna ochrona siedlisk nieleśnych w szczytowej partii Połoniny </w:t>
      </w:r>
      <w:proofErr w:type="spellStart"/>
      <w:r w:rsidRPr="0024127E">
        <w:rPr>
          <w:rFonts w:eastAsia="Times New Roman" w:cs="Times New Roman"/>
          <w:sz w:val="16"/>
          <w:szCs w:val="16"/>
          <w:lang w:eastAsia="pl-PL"/>
        </w:rPr>
        <w:t>Wetlińskiej</w:t>
      </w:r>
      <w:proofErr w:type="spellEnd"/>
      <w:r w:rsidRPr="0024127E">
        <w:rPr>
          <w:rFonts w:eastAsia="Times New Roman" w:cs="Times New Roman"/>
          <w:sz w:val="16"/>
          <w:szCs w:val="16"/>
          <w:lang w:eastAsia="pl-PL"/>
        </w:rPr>
        <w:t xml:space="preserve">: wypas i koszenie wybranych płatów zbiorowisk </w:t>
      </w:r>
      <w:proofErr w:type="spellStart"/>
      <w:r w:rsidRPr="0024127E">
        <w:rPr>
          <w:rFonts w:eastAsia="Times New Roman" w:cs="Times New Roman"/>
          <w:sz w:val="16"/>
          <w:szCs w:val="16"/>
          <w:lang w:eastAsia="pl-PL"/>
        </w:rPr>
        <w:t>połoninowych</w:t>
      </w:r>
      <w:proofErr w:type="spellEnd"/>
      <w:r w:rsidRPr="0024127E">
        <w:rPr>
          <w:rFonts w:eastAsia="Times New Roman" w:cs="Times New Roman"/>
          <w:sz w:val="16"/>
          <w:szCs w:val="16"/>
          <w:lang w:eastAsia="pl-PL"/>
        </w:rPr>
        <w:t xml:space="preserve"> obejmujących siedliska ziołorośli górskich (</w:t>
      </w:r>
      <w:proofErr w:type="spellStart"/>
      <w:r w:rsidRPr="0024127E">
        <w:rPr>
          <w:rFonts w:eastAsia="Times New Roman" w:cs="Times New Roman"/>
          <w:sz w:val="16"/>
          <w:szCs w:val="16"/>
          <w:lang w:eastAsia="pl-PL"/>
        </w:rPr>
        <w:t>Adenostylion</w:t>
      </w:r>
      <w:proofErr w:type="spellEnd"/>
      <w:r w:rsidRPr="0024127E">
        <w:rPr>
          <w:rFonts w:eastAsia="Times New Roman" w:cs="Times New Roman"/>
          <w:sz w:val="16"/>
          <w:szCs w:val="16"/>
          <w:lang w:eastAsia="pl-PL"/>
        </w:rPr>
        <w:t xml:space="preserve"> </w:t>
      </w:r>
      <w:proofErr w:type="spellStart"/>
      <w:r w:rsidRPr="0024127E">
        <w:rPr>
          <w:rFonts w:eastAsia="Times New Roman" w:cs="Times New Roman"/>
          <w:sz w:val="16"/>
          <w:szCs w:val="16"/>
          <w:lang w:eastAsia="pl-PL"/>
        </w:rPr>
        <w:t>alliariae</w:t>
      </w:r>
      <w:proofErr w:type="spellEnd"/>
      <w:r w:rsidRPr="0024127E">
        <w:rPr>
          <w:rFonts w:eastAsia="Times New Roman" w:cs="Times New Roman"/>
          <w:sz w:val="16"/>
          <w:szCs w:val="16"/>
          <w:lang w:eastAsia="pl-PL"/>
        </w:rPr>
        <w:t xml:space="preserve">) – ekosystem nieleśny lądowy; Czynna ochrona siedlisk nieleśnych w szczytowej partii Połoniny </w:t>
      </w:r>
      <w:proofErr w:type="spellStart"/>
      <w:r w:rsidRPr="0024127E">
        <w:rPr>
          <w:rFonts w:eastAsia="Times New Roman" w:cs="Times New Roman"/>
          <w:sz w:val="16"/>
          <w:szCs w:val="16"/>
          <w:lang w:eastAsia="pl-PL"/>
        </w:rPr>
        <w:t>Wetlińskiej</w:t>
      </w:r>
      <w:proofErr w:type="spellEnd"/>
      <w:r w:rsidRPr="0024127E">
        <w:rPr>
          <w:rFonts w:eastAsia="Times New Roman" w:cs="Times New Roman"/>
          <w:sz w:val="16"/>
          <w:szCs w:val="16"/>
          <w:lang w:eastAsia="pl-PL"/>
        </w:rPr>
        <w:t>: urządzanie infrastruktury pasterskiej - bacówka, poidła, koszary, fladry i ogrodzenia elektryczne– ekosystem nieleśny lądowy; Usuwanie niepożądanych gatunków drzew i krzewów z obrębu kopuł i okrajków torfowisk wysokich (siedliska torfowisk wysokich i przejściowych) – ekosystem nieleśny lądowy;</w:t>
      </w:r>
      <w:bookmarkEnd w:id="11"/>
      <w:r w:rsidRPr="0024127E">
        <w:rPr>
          <w:rFonts w:eastAsia="Times New Roman" w:cs="Times New Roman"/>
          <w:sz w:val="16"/>
          <w:szCs w:val="16"/>
          <w:lang w:eastAsia="pl-PL"/>
        </w:rPr>
        <w:t xml:space="preserve"> Zabezpieczenie przejazdu przez potok Roztoki - wykonanie brodu w sposób zapewniający drożność koryta – ekosystem wodny. Monitoring ważek </w:t>
      </w:r>
      <w:proofErr w:type="spellStart"/>
      <w:r w:rsidRPr="0024127E">
        <w:rPr>
          <w:rFonts w:eastAsia="Times New Roman" w:cs="Times New Roman"/>
          <w:sz w:val="16"/>
          <w:szCs w:val="16"/>
          <w:lang w:eastAsia="pl-PL"/>
        </w:rPr>
        <w:t>Odonata</w:t>
      </w:r>
      <w:proofErr w:type="spellEnd"/>
      <w:r w:rsidRPr="0024127E">
        <w:rPr>
          <w:rFonts w:eastAsia="Times New Roman" w:cs="Times New Roman"/>
          <w:sz w:val="16"/>
          <w:szCs w:val="16"/>
          <w:lang w:eastAsia="pl-PL"/>
        </w:rPr>
        <w:t xml:space="preserve"> w pobliżu oczek wodnych w celu aktualizacji listy gatunków występujących w Parku – ochrona przyrody nieożywionej i gleb.  Przebudowa </w:t>
      </w:r>
      <w:r>
        <w:rPr>
          <w:rFonts w:eastAsia="Times New Roman" w:cs="Times New Roman"/>
          <w:sz w:val="16"/>
          <w:szCs w:val="16"/>
          <w:lang w:eastAsia="pl-PL"/>
        </w:rPr>
        <w:br/>
      </w:r>
      <w:r w:rsidRPr="0024127E">
        <w:rPr>
          <w:rFonts w:eastAsia="Times New Roman" w:cs="Times New Roman"/>
          <w:sz w:val="16"/>
          <w:szCs w:val="16"/>
          <w:lang w:eastAsia="pl-PL"/>
        </w:rPr>
        <w:t xml:space="preserve">i zagospodarowanie terenu wokół obiektów Zachowawczej Hodowli Konia Huculskiego w </w:t>
      </w:r>
      <w:proofErr w:type="spellStart"/>
      <w:r w:rsidRPr="0024127E">
        <w:rPr>
          <w:rFonts w:eastAsia="Times New Roman" w:cs="Times New Roman"/>
          <w:sz w:val="16"/>
          <w:szCs w:val="16"/>
          <w:lang w:eastAsia="pl-PL"/>
        </w:rPr>
        <w:t>Wołosatem</w:t>
      </w:r>
      <w:proofErr w:type="spellEnd"/>
      <w:r w:rsidRPr="0024127E">
        <w:rPr>
          <w:rFonts w:eastAsia="Times New Roman" w:cs="Times New Roman"/>
          <w:sz w:val="16"/>
          <w:szCs w:val="16"/>
          <w:lang w:eastAsia="pl-PL"/>
        </w:rPr>
        <w:t xml:space="preserve"> i w Tarnawie Niżnej - ochrona przyrody nieożywionej i gleb.</w:t>
      </w:r>
    </w:p>
  </w:footnote>
  <w:footnote w:id="24">
    <w:p w14:paraId="2718AEE9" w14:textId="77777777" w:rsidR="008C1E51" w:rsidRPr="00F53297" w:rsidRDefault="008C1E51" w:rsidP="008C1E51">
      <w:pPr>
        <w:pStyle w:val="Tekstprzypisudolnego"/>
        <w:rPr>
          <w:sz w:val="16"/>
          <w:szCs w:val="16"/>
        </w:rPr>
      </w:pPr>
      <w:r w:rsidRPr="00BF6DC0">
        <w:rPr>
          <w:rStyle w:val="Odwoanieprzypisudolnego"/>
          <w:sz w:val="16"/>
          <w:szCs w:val="16"/>
        </w:rPr>
        <w:footnoteRef/>
      </w:r>
      <w:r w:rsidRPr="00BF6DC0">
        <w:rPr>
          <w:sz w:val="16"/>
          <w:szCs w:val="16"/>
        </w:rPr>
        <w:t xml:space="preserve"> W związku z tym, że Park nie przesyłał do zatwierdzenie ministrowi właściwemu do spraw środowiska rocznych zadań rzeczowych nie było możliwe poddanie kontroli ich planowania i wykonania. Kontrolą objęto realizację zadań </w:t>
      </w:r>
      <w:r w:rsidRPr="00F53297">
        <w:rPr>
          <w:sz w:val="16"/>
          <w:szCs w:val="16"/>
        </w:rPr>
        <w:t>ochronnych wynikających z Zarządzenia Ministra</w:t>
      </w:r>
      <w:r w:rsidRPr="00F53297">
        <w:rPr>
          <w:rFonts w:cs="Times New Roman"/>
          <w:sz w:val="16"/>
          <w:szCs w:val="16"/>
        </w:rPr>
        <w:t xml:space="preserve"> Środowiska z dnia 20 grudnia 2018 r w sprawie zadań ochronnych dla Bieszczadzkiego Parku Narodowego na lata 2019 – 2021</w:t>
      </w:r>
      <w:r w:rsidRPr="00F53297">
        <w:rPr>
          <w:sz w:val="16"/>
          <w:szCs w:val="16"/>
        </w:rPr>
        <w:t>.</w:t>
      </w:r>
    </w:p>
  </w:footnote>
  <w:footnote w:id="25">
    <w:p w14:paraId="78FAE1FB" w14:textId="77777777" w:rsidR="008C1E51" w:rsidRPr="00BE3F92" w:rsidRDefault="008C1E51" w:rsidP="008C1E51">
      <w:pPr>
        <w:pStyle w:val="Tekstprzypisudolnego"/>
        <w:rPr>
          <w:sz w:val="16"/>
          <w:szCs w:val="16"/>
        </w:rPr>
      </w:pPr>
      <w:r w:rsidRPr="00BF6DC0">
        <w:rPr>
          <w:rStyle w:val="Odwoanieprzypisudolnego"/>
          <w:sz w:val="16"/>
          <w:szCs w:val="16"/>
        </w:rPr>
        <w:footnoteRef/>
      </w:r>
      <w:r w:rsidRPr="00BF6DC0">
        <w:rPr>
          <w:sz w:val="16"/>
          <w:szCs w:val="16"/>
        </w:rPr>
        <w:t xml:space="preserve"> Pismo Dyrektora Parku z 20 października 2022 r.</w:t>
      </w:r>
    </w:p>
  </w:footnote>
  <w:footnote w:id="26">
    <w:p w14:paraId="4BBC4302"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regulacja składu gatunkowego i zagęszczenia drzew w drzewostanie – 3 powierzchnie kontrolne.</w:t>
      </w:r>
    </w:p>
  </w:footnote>
  <w:footnote w:id="27">
    <w:p w14:paraId="10638211" w14:textId="77777777" w:rsidR="008C1E51" w:rsidRDefault="008C1E51" w:rsidP="008C1E51">
      <w:pPr>
        <w:pStyle w:val="Tekstprzypisudolnego"/>
      </w:pPr>
      <w:r w:rsidRPr="00BE3F92">
        <w:rPr>
          <w:rStyle w:val="Odwoanieprzypisudolnego"/>
          <w:sz w:val="16"/>
          <w:szCs w:val="16"/>
        </w:rPr>
        <w:footnoteRef/>
      </w:r>
      <w:r w:rsidRPr="00BE3F92">
        <w:rPr>
          <w:sz w:val="16"/>
          <w:szCs w:val="16"/>
        </w:rPr>
        <w:t xml:space="preserve"> Pismo Dyrektora Parku z 20 października 2022 r.</w:t>
      </w:r>
    </w:p>
  </w:footnote>
  <w:footnote w:id="28">
    <w:p w14:paraId="54816D96"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w:t>
      </w:r>
      <w:r>
        <w:rPr>
          <w:sz w:val="16"/>
          <w:szCs w:val="16"/>
        </w:rPr>
        <w:t>M</w:t>
      </w:r>
      <w:r w:rsidRPr="00BE3F92">
        <w:rPr>
          <w:sz w:val="16"/>
          <w:szCs w:val="16"/>
        </w:rPr>
        <w:t>echaniczne koszenie łąk z uprzątnięciem biomasy – 4 powierzchnie kontrolne.</w:t>
      </w:r>
    </w:p>
  </w:footnote>
  <w:footnote w:id="29">
    <w:p w14:paraId="0456022A"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wypas i koszenie wybranych zbiorowisk </w:t>
      </w:r>
      <w:proofErr w:type="spellStart"/>
      <w:r w:rsidRPr="00BE3F92">
        <w:rPr>
          <w:sz w:val="16"/>
          <w:szCs w:val="16"/>
        </w:rPr>
        <w:t>połoninowych</w:t>
      </w:r>
      <w:proofErr w:type="spellEnd"/>
      <w:r w:rsidRPr="00BE3F92">
        <w:rPr>
          <w:sz w:val="16"/>
          <w:szCs w:val="16"/>
        </w:rPr>
        <w:t>, urządzenie infrastruktury pasterskiej - 1 powierzchnia kontrolna</w:t>
      </w:r>
      <w:r>
        <w:rPr>
          <w:sz w:val="16"/>
          <w:szCs w:val="16"/>
        </w:rPr>
        <w:t>.</w:t>
      </w:r>
    </w:p>
  </w:footnote>
  <w:footnote w:id="30">
    <w:p w14:paraId="729DC398" w14:textId="77777777" w:rsidR="008C1E51" w:rsidRDefault="008C1E51" w:rsidP="008C1E51">
      <w:pPr>
        <w:pStyle w:val="Tekstprzypisudolnego"/>
      </w:pPr>
      <w:r w:rsidRPr="00BE3F92">
        <w:rPr>
          <w:rStyle w:val="Odwoanieprzypisudolnego"/>
          <w:sz w:val="16"/>
          <w:szCs w:val="16"/>
        </w:rPr>
        <w:footnoteRef/>
      </w:r>
      <w:r w:rsidRPr="00BE3F92">
        <w:rPr>
          <w:sz w:val="16"/>
          <w:szCs w:val="16"/>
        </w:rPr>
        <w:t xml:space="preserve"> P</w:t>
      </w:r>
      <w:r w:rsidRPr="00BE3F92">
        <w:rPr>
          <w:rFonts w:cs="Times New Roman"/>
          <w:sz w:val="16"/>
          <w:szCs w:val="16"/>
        </w:rPr>
        <w:t>ismo Dyrektora Parku z 20 października 2022 r.</w:t>
      </w:r>
    </w:p>
  </w:footnote>
  <w:footnote w:id="31">
    <w:p w14:paraId="2965A338" w14:textId="77777777" w:rsidR="008C1E51" w:rsidRPr="00BE3F92" w:rsidRDefault="008C1E51" w:rsidP="008C1E51">
      <w:pPr>
        <w:spacing w:after="0"/>
        <w:rPr>
          <w:rFonts w:cs="Times New Roman"/>
          <w:sz w:val="16"/>
          <w:szCs w:val="16"/>
        </w:rPr>
      </w:pPr>
      <w:r w:rsidRPr="00BE3F92">
        <w:rPr>
          <w:rFonts w:cs="Times New Roman"/>
          <w:sz w:val="16"/>
          <w:szCs w:val="16"/>
          <w:vertAlign w:val="superscript"/>
        </w:rPr>
        <w:footnoteRef/>
      </w:r>
      <w:r w:rsidRPr="00BE3F92">
        <w:rPr>
          <w:rFonts w:cs="Times New Roman"/>
          <w:sz w:val="16"/>
          <w:szCs w:val="16"/>
        </w:rPr>
        <w:t xml:space="preserve"> Nr 18/DA/2014 z 19 maja 2014 r., 19/DA/2014 z 19 maja 2014 r., OP-3/D/2016 z 25maja 2016 r.,</w:t>
      </w:r>
      <w:r w:rsidRPr="00BE3F92">
        <w:rPr>
          <w:sz w:val="16"/>
          <w:szCs w:val="16"/>
        </w:rPr>
        <w:t xml:space="preserve"> </w:t>
      </w:r>
      <w:r w:rsidRPr="00BE3F92">
        <w:rPr>
          <w:rFonts w:cs="Times New Roman"/>
          <w:sz w:val="16"/>
          <w:szCs w:val="16"/>
        </w:rPr>
        <w:t>DOP-1/D/2017 z 19 września 2017 r</w:t>
      </w:r>
      <w:r w:rsidRPr="00BE3F92">
        <w:rPr>
          <w:sz w:val="16"/>
          <w:szCs w:val="16"/>
        </w:rPr>
        <w:t xml:space="preserve">, </w:t>
      </w:r>
      <w:r w:rsidRPr="00BE3F92">
        <w:rPr>
          <w:rFonts w:cs="Times New Roman"/>
          <w:sz w:val="16"/>
          <w:szCs w:val="16"/>
        </w:rPr>
        <w:t>DA.262.12.2018 z 11 czerwca 2018 r</w:t>
      </w:r>
      <w:r w:rsidRPr="00BE3F92">
        <w:rPr>
          <w:sz w:val="16"/>
          <w:szCs w:val="16"/>
        </w:rPr>
        <w:t xml:space="preserve">, </w:t>
      </w:r>
      <w:r w:rsidRPr="00BE3F92">
        <w:rPr>
          <w:rFonts w:cs="Times New Roman"/>
          <w:sz w:val="16"/>
          <w:szCs w:val="16"/>
        </w:rPr>
        <w:t>DA.262.14.2018 z 13 czerwca 2018 r;</w:t>
      </w:r>
      <w:r w:rsidRPr="00BE3F92">
        <w:rPr>
          <w:sz w:val="16"/>
          <w:szCs w:val="16"/>
        </w:rPr>
        <w:t xml:space="preserve"> </w:t>
      </w:r>
      <w:r w:rsidRPr="00BE3F92">
        <w:rPr>
          <w:rFonts w:cs="Times New Roman"/>
          <w:sz w:val="16"/>
          <w:szCs w:val="16"/>
        </w:rPr>
        <w:t>DA.262.17.2018 z 13 lipca 2018 r;</w:t>
      </w:r>
      <w:r w:rsidRPr="00BE3F92">
        <w:rPr>
          <w:sz w:val="16"/>
          <w:szCs w:val="16"/>
        </w:rPr>
        <w:t xml:space="preserve"> </w:t>
      </w:r>
      <w:r w:rsidRPr="00BE3F92">
        <w:rPr>
          <w:rFonts w:cs="Times New Roman"/>
          <w:sz w:val="16"/>
          <w:szCs w:val="16"/>
        </w:rPr>
        <w:t xml:space="preserve">DA.262.19.2018 z 18 lipca 2018 r; DA.262.22.2018 z 3 sierpnia 2018 r; KDO.221.1.2021 z 14 czerwca 2021 r.; KDO.221.1.2021 z 14 czerwca 2021 r.; KDO.221.1.2021 z 14 czerwca 2021 r.; KDO.221.1.2021 </w:t>
      </w:r>
      <w:r>
        <w:rPr>
          <w:rFonts w:cs="Times New Roman"/>
          <w:sz w:val="16"/>
          <w:szCs w:val="16"/>
        </w:rPr>
        <w:br/>
      </w:r>
      <w:r w:rsidRPr="00BE3F92">
        <w:rPr>
          <w:rFonts w:cs="Times New Roman"/>
          <w:sz w:val="16"/>
          <w:szCs w:val="16"/>
        </w:rPr>
        <w:t>z 14 czerwca 2021 r.; KDO.221.1.2021 z 14 czerwca 2021 r.; KDO.221.1.2021 z 14 czerwca 2021 r.; KDO.221.1.2021 z 14 czerwca 2021 r.</w:t>
      </w:r>
    </w:p>
  </w:footnote>
  <w:footnote w:id="32">
    <w:p w14:paraId="3B335EB4" w14:textId="287C9441"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2 umowy zawarte w 2014 r., 1 umowa zawarta w 2016 r., 1 umowa zawarta w 2017 r., 5 umów zawartych</w:t>
      </w:r>
      <w:r w:rsidR="00577AC0">
        <w:rPr>
          <w:sz w:val="16"/>
          <w:szCs w:val="16"/>
        </w:rPr>
        <w:br/>
      </w:r>
      <w:r w:rsidR="00211832" w:rsidRPr="00BE3F92">
        <w:rPr>
          <w:sz w:val="16"/>
          <w:szCs w:val="16"/>
        </w:rPr>
        <w:t>w 2018</w:t>
      </w:r>
      <w:r w:rsidR="00577AC0">
        <w:rPr>
          <w:sz w:val="16"/>
          <w:szCs w:val="16"/>
        </w:rPr>
        <w:t xml:space="preserve"> </w:t>
      </w:r>
      <w:r w:rsidRPr="00BE3F92">
        <w:rPr>
          <w:sz w:val="16"/>
          <w:szCs w:val="16"/>
        </w:rPr>
        <w:t>r., 7 umów zawartych w 2021 r.</w:t>
      </w:r>
    </w:p>
  </w:footnote>
  <w:footnote w:id="33">
    <w:p w14:paraId="3CC5048B" w14:textId="77777777" w:rsidR="008C1E51" w:rsidRPr="00BE3F92" w:rsidRDefault="008C1E51" w:rsidP="008C1E51">
      <w:pPr>
        <w:spacing w:after="0"/>
        <w:rPr>
          <w:sz w:val="16"/>
          <w:szCs w:val="16"/>
        </w:rPr>
      </w:pPr>
      <w:r w:rsidRPr="00BE3F92">
        <w:rPr>
          <w:rStyle w:val="Odwoanieprzypisudolnego"/>
          <w:sz w:val="16"/>
          <w:szCs w:val="16"/>
        </w:rPr>
        <w:footnoteRef/>
      </w:r>
      <w:r w:rsidRPr="00BE3F92">
        <w:rPr>
          <w:sz w:val="16"/>
          <w:szCs w:val="16"/>
        </w:rPr>
        <w:t xml:space="preserve"> 1 protokół do umowy DA.262.12.2018 i DOP.-1/D/2017, 2 protokoły odbioru do umowy DA.262.14.2018, </w:t>
      </w:r>
      <w:r>
        <w:rPr>
          <w:sz w:val="16"/>
          <w:szCs w:val="16"/>
        </w:rPr>
        <w:br/>
      </w:r>
      <w:r w:rsidRPr="00BE3F92">
        <w:rPr>
          <w:sz w:val="16"/>
          <w:szCs w:val="16"/>
        </w:rPr>
        <w:t>1 protokół do umów DA.262.22.2018, DA.262.19.2018, 1 protokół do umowy 18/DA/2014.</w:t>
      </w:r>
    </w:p>
  </w:footnote>
  <w:footnote w:id="34">
    <w:p w14:paraId="6D4C2A93" w14:textId="77777777" w:rsidR="008C1E51" w:rsidRDefault="008C1E51" w:rsidP="008C1E51">
      <w:pPr>
        <w:pStyle w:val="Tekstprzypisudolnego"/>
      </w:pPr>
      <w:r w:rsidRPr="00BE3F92">
        <w:rPr>
          <w:rStyle w:val="Odwoanieprzypisudolnego"/>
          <w:sz w:val="16"/>
          <w:szCs w:val="16"/>
        </w:rPr>
        <w:footnoteRef/>
      </w:r>
      <w:r w:rsidRPr="00BE3F92">
        <w:rPr>
          <w:sz w:val="16"/>
          <w:szCs w:val="16"/>
        </w:rPr>
        <w:t xml:space="preserve"> 2 protokoły dla umowy DA.262.14.2018, 1 protokół do umowy DA.262.14.2018, </w:t>
      </w:r>
      <w:bookmarkStart w:id="32" w:name="_Hlk131593529"/>
      <w:r w:rsidRPr="00BE3F92">
        <w:rPr>
          <w:sz w:val="16"/>
          <w:szCs w:val="16"/>
        </w:rPr>
        <w:t xml:space="preserve">1 protokół do umowy </w:t>
      </w:r>
      <w:bookmarkEnd w:id="32"/>
      <w:r w:rsidRPr="00BE3F92">
        <w:rPr>
          <w:sz w:val="16"/>
          <w:szCs w:val="16"/>
        </w:rPr>
        <w:t>18/DA/2014, 1 protokół do umów DA.262.19.2018 DA.262.22.2018, 1 protokół do umowy DA.262.14.2018, 1 protokół do umów DOP.-1/D/2017, DA.262.12.2018, DA.262.14.2018, 2 protokoły dla umów Paweł C., - 1 protokół do umowy DA.262.12.2018, 4 protokoły do umów z 14 czerwca 2021 r. i z 13 lipca 2021 r.</w:t>
      </w:r>
    </w:p>
  </w:footnote>
  <w:footnote w:id="35">
    <w:p w14:paraId="1E0A40B1" w14:textId="77777777" w:rsidR="008C1E51" w:rsidRPr="00BE3F92" w:rsidRDefault="008C1E51" w:rsidP="008C1E51">
      <w:pPr>
        <w:spacing w:after="0"/>
        <w:rPr>
          <w:rFonts w:cs="Times New Roman"/>
          <w:sz w:val="16"/>
          <w:szCs w:val="16"/>
        </w:rPr>
      </w:pPr>
      <w:r w:rsidRPr="00BE3F92">
        <w:rPr>
          <w:rStyle w:val="Odwoanieprzypisudolnego"/>
          <w:sz w:val="16"/>
          <w:szCs w:val="16"/>
        </w:rPr>
        <w:footnoteRef/>
      </w:r>
      <w:r w:rsidRPr="00BE3F92">
        <w:rPr>
          <w:sz w:val="16"/>
          <w:szCs w:val="16"/>
        </w:rPr>
        <w:t xml:space="preserve"> </w:t>
      </w:r>
      <w:r w:rsidRPr="00BE3F92">
        <w:rPr>
          <w:rFonts w:cs="Times New Roman"/>
          <w:sz w:val="16"/>
          <w:szCs w:val="16"/>
        </w:rPr>
        <w:t>OP-N-23.07.2019/1 z 23 lipca 2019 r.; OP-N-21.08.2019/1 z 21 sierpnia 2019 r., OP-30/K/2020 z 10 lipca 2020 r., OP-31/K/2020 z 10 lipca 2020 r.; OP-1/K/2021 z 11 lipca 2021 r., OP-5/K/2021 z 11 lipca 2021</w:t>
      </w:r>
      <w:r>
        <w:rPr>
          <w:rFonts w:cs="Times New Roman"/>
          <w:sz w:val="16"/>
          <w:szCs w:val="16"/>
        </w:rPr>
        <w:t> </w:t>
      </w:r>
      <w:r w:rsidRPr="00BE3F92">
        <w:rPr>
          <w:rFonts w:cs="Times New Roman"/>
          <w:sz w:val="16"/>
          <w:szCs w:val="16"/>
        </w:rPr>
        <w:t>r.</w:t>
      </w:r>
    </w:p>
  </w:footnote>
  <w:footnote w:id="36">
    <w:p w14:paraId="0A608060" w14:textId="7161E5BC"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Obie umowy o numerze </w:t>
      </w:r>
      <w:r w:rsidRPr="00BE3F92">
        <w:rPr>
          <w:rFonts w:cs="Times New Roman"/>
          <w:sz w:val="16"/>
          <w:szCs w:val="16"/>
        </w:rPr>
        <w:t>OP-1/K/2021 z 11 czerwca 2021 r</w:t>
      </w:r>
      <w:r w:rsidR="001129EF">
        <w:rPr>
          <w:rFonts w:cs="Times New Roman"/>
          <w:sz w:val="16"/>
          <w:szCs w:val="16"/>
        </w:rPr>
        <w:t>.</w:t>
      </w:r>
    </w:p>
  </w:footnote>
  <w:footnote w:id="37">
    <w:p w14:paraId="33298D96" w14:textId="77777777" w:rsidR="008C1E51" w:rsidRDefault="008C1E51" w:rsidP="008C1E51">
      <w:pPr>
        <w:pStyle w:val="Tekstprzypisudolnego"/>
      </w:pPr>
      <w:r w:rsidRPr="00BE3F92">
        <w:rPr>
          <w:rStyle w:val="Odwoanieprzypisudolnego"/>
          <w:sz w:val="16"/>
          <w:szCs w:val="16"/>
        </w:rPr>
        <w:footnoteRef/>
      </w:r>
      <w:r w:rsidRPr="00BE3F92">
        <w:rPr>
          <w:sz w:val="16"/>
          <w:szCs w:val="16"/>
        </w:rPr>
        <w:t xml:space="preserve"> P</w:t>
      </w:r>
      <w:r w:rsidRPr="00BE3F92">
        <w:rPr>
          <w:rFonts w:cs="Times New Roman"/>
          <w:sz w:val="16"/>
          <w:szCs w:val="16"/>
        </w:rPr>
        <w:t>ismo Dyrektora Parku z 20 października 2022 r.</w:t>
      </w:r>
    </w:p>
  </w:footnote>
  <w:footnote w:id="38">
    <w:p w14:paraId="5C297B7F"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DA.262.14.2021 z 12 kwietnia 2021 r.</w:t>
      </w:r>
    </w:p>
  </w:footnote>
  <w:footnote w:id="39">
    <w:p w14:paraId="3E73A655"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w:t>
      </w:r>
      <w:r>
        <w:rPr>
          <w:rFonts w:eastAsia="Calibri"/>
          <w:sz w:val="16"/>
          <w:szCs w:val="16"/>
          <w:lang w:eastAsia="ar-SA"/>
        </w:rPr>
        <w:t xml:space="preserve">Pismo z </w:t>
      </w:r>
      <w:r w:rsidRPr="00BE3F92">
        <w:rPr>
          <w:rFonts w:eastAsia="Calibri"/>
          <w:sz w:val="16"/>
          <w:szCs w:val="16"/>
          <w:lang w:eastAsia="ar-SA"/>
        </w:rPr>
        <w:t>7 października 2022 r.</w:t>
      </w:r>
    </w:p>
  </w:footnote>
  <w:footnote w:id="40">
    <w:p w14:paraId="75C0D3A2" w14:textId="77777777" w:rsidR="008C1E51" w:rsidRPr="00A8350A" w:rsidRDefault="008C1E51" w:rsidP="004344A3">
      <w:pPr>
        <w:spacing w:after="0" w:line="276" w:lineRule="auto"/>
        <w:rPr>
          <w:rFonts w:eastAsia="Times New Roman" w:cs="Arial"/>
          <w:szCs w:val="20"/>
          <w:lang w:eastAsia="pl-PL"/>
        </w:rPr>
      </w:pPr>
      <w:r w:rsidRPr="00463221">
        <w:rPr>
          <w:rStyle w:val="Odwoanieprzypisudolnego"/>
          <w:sz w:val="16"/>
          <w:szCs w:val="16"/>
        </w:rPr>
        <w:footnoteRef/>
      </w:r>
      <w:r w:rsidRPr="00463221">
        <w:rPr>
          <w:sz w:val="16"/>
          <w:szCs w:val="16"/>
        </w:rPr>
        <w:t xml:space="preserve"> </w:t>
      </w:r>
      <w:r w:rsidRPr="00463221">
        <w:rPr>
          <w:rFonts w:eastAsia="Times New Roman" w:cs="Arial"/>
          <w:sz w:val="16"/>
          <w:szCs w:val="16"/>
          <w:lang w:eastAsia="pl-PL"/>
        </w:rPr>
        <w:t xml:space="preserve">Posiedzenia Rady Naukowej dotyczyły: </w:t>
      </w:r>
      <w:r w:rsidRPr="00463221">
        <w:rPr>
          <w:sz w:val="16"/>
          <w:szCs w:val="16"/>
          <w:lang w:eastAsia="pl-PL"/>
        </w:rPr>
        <w:t xml:space="preserve">w grudniu 2019 r. – zaopiniowania przez Radę dwóch projektów stacji bazowej telefonii komórkowej na Przełęczy Wyżnej i pomnika „Ludziom Wolności w Bieszczadach” na Przełęczy </w:t>
      </w:r>
      <w:proofErr w:type="spellStart"/>
      <w:r w:rsidRPr="00463221">
        <w:rPr>
          <w:sz w:val="16"/>
          <w:szCs w:val="16"/>
          <w:lang w:eastAsia="pl-PL"/>
        </w:rPr>
        <w:t>Wyżniańskiej</w:t>
      </w:r>
      <w:proofErr w:type="spellEnd"/>
      <w:r w:rsidRPr="00463221">
        <w:rPr>
          <w:sz w:val="16"/>
          <w:szCs w:val="16"/>
          <w:lang w:eastAsia="pl-PL"/>
        </w:rPr>
        <w:t xml:space="preserve">, przedstawienia Radzie informacji o bieżącej działalności Parku w tym realizacji zadań ochronnych i prowadzonej przez </w:t>
      </w:r>
      <w:proofErr w:type="spellStart"/>
      <w:r w:rsidRPr="00463221">
        <w:rPr>
          <w:sz w:val="16"/>
          <w:szCs w:val="16"/>
          <w:lang w:eastAsia="pl-PL"/>
        </w:rPr>
        <w:t>BdPN</w:t>
      </w:r>
      <w:proofErr w:type="spellEnd"/>
      <w:r w:rsidRPr="00463221">
        <w:rPr>
          <w:sz w:val="16"/>
          <w:szCs w:val="16"/>
          <w:lang w:eastAsia="pl-PL"/>
        </w:rPr>
        <w:t xml:space="preserve"> edukacji ekologicznej; w październiku 2020 r. – w związku z ukonstytuowaniem Rady w nowym składzie osobowym przyjęto regulamin działania Rady i wybrano jej Przewodniczącego, Dyrektor Parku przedstawił informację o bieżącą o działalności Parku i prowadzonych przez </w:t>
      </w:r>
      <w:proofErr w:type="spellStart"/>
      <w:r w:rsidRPr="00463221">
        <w:rPr>
          <w:sz w:val="16"/>
          <w:szCs w:val="16"/>
          <w:lang w:eastAsia="pl-PL"/>
        </w:rPr>
        <w:t>BdPN</w:t>
      </w:r>
      <w:proofErr w:type="spellEnd"/>
      <w:r w:rsidRPr="00463221">
        <w:rPr>
          <w:sz w:val="16"/>
          <w:szCs w:val="16"/>
          <w:lang w:eastAsia="pl-PL"/>
        </w:rPr>
        <w:t xml:space="preserve"> projektach obejmujących realizację zadań ochronnych; w październiku 2021 r. na posiedzeniu Dyrektor złożył sprawozdanie z bieżącej działalności Parku, omówiono zadania ochronne realizowane w poprzednich latach, Rada przyjęła własne poprawki do projektu zadań ochronnych Bieszczadzkiego Parku Narodowego na lata 2022-2024 oraz pozytywnie zaopiniowała ten dokument, Rada także wyraziła wniosek i opinię co do potrzeby kontynuacji prac monitoringowych na wybranych, unikalnych fragmentach Parku w szczególności ekosystemów leśnych na powierzchniach kołowych; w kwietniu 2022 r. na posiedzeniu Rada zapoznała się z informacjami inwestora na temat planowanego projektu rozbudowy drogi wojewódzkiej nr 897 – Etap III Wetlina – Ustrzyki Górne i odbyła dyskusję</w:t>
      </w:r>
      <w:r w:rsidRPr="00A8350A">
        <w:rPr>
          <w:sz w:val="16"/>
          <w:szCs w:val="16"/>
          <w:lang w:eastAsia="pl-PL"/>
        </w:rPr>
        <w:t xml:space="preserve"> w swoim gronie oraz z inwestorem na temat wpływu inwestycji na zasoby przyrodnicze Parku; w grudniu 2022 r. Rada otrzymała informację na temat bieżącej działalności Parku, w tym o prowadzonych inwestycjach, w szczególności o przebudowie, rozbudowie i nadbudowie schronu na Połoninie </w:t>
      </w:r>
      <w:proofErr w:type="spellStart"/>
      <w:r w:rsidRPr="00A8350A">
        <w:rPr>
          <w:sz w:val="16"/>
          <w:szCs w:val="16"/>
          <w:lang w:eastAsia="pl-PL"/>
        </w:rPr>
        <w:t>Wetlińskiej</w:t>
      </w:r>
      <w:proofErr w:type="spellEnd"/>
      <w:r w:rsidRPr="00A8350A">
        <w:rPr>
          <w:sz w:val="16"/>
          <w:szCs w:val="16"/>
          <w:lang w:eastAsia="pl-PL"/>
        </w:rPr>
        <w:t xml:space="preserve">; o wejściu w życie Planu Ochrony </w:t>
      </w:r>
      <w:proofErr w:type="spellStart"/>
      <w:r w:rsidRPr="00A8350A">
        <w:rPr>
          <w:sz w:val="16"/>
          <w:szCs w:val="16"/>
          <w:lang w:eastAsia="pl-PL"/>
        </w:rPr>
        <w:t>BdPN</w:t>
      </w:r>
      <w:proofErr w:type="spellEnd"/>
      <w:r w:rsidRPr="00A8350A">
        <w:rPr>
          <w:sz w:val="16"/>
          <w:szCs w:val="16"/>
          <w:lang w:eastAsia="pl-PL"/>
        </w:rPr>
        <w:t xml:space="preserve"> na okres 20 lat, zmodernizowanego obiektu Muzeum Przyrodniczego, planowanych obchodów 50-lecia Parku.</w:t>
      </w:r>
    </w:p>
  </w:footnote>
  <w:footnote w:id="41">
    <w:p w14:paraId="0183D602"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5 kwietnia 2023 r.</w:t>
      </w:r>
    </w:p>
  </w:footnote>
  <w:footnote w:id="42">
    <w:p w14:paraId="39B5AA6C" w14:textId="77777777" w:rsidR="008C1E51" w:rsidRPr="00BE3F92" w:rsidRDefault="008C1E51" w:rsidP="008C1E51">
      <w:pPr>
        <w:pStyle w:val="Tekstprzypisudolnego"/>
        <w:rPr>
          <w:rFonts w:cs="Times New Roman"/>
          <w:sz w:val="16"/>
          <w:szCs w:val="16"/>
        </w:rPr>
      </w:pPr>
      <w:r w:rsidRPr="00C810B2">
        <w:rPr>
          <w:rStyle w:val="Odwoanieprzypisudolnego"/>
          <w:rFonts w:cs="Times New Roman"/>
          <w:sz w:val="16"/>
          <w:szCs w:val="16"/>
        </w:rPr>
        <w:footnoteRef/>
      </w:r>
      <w:r w:rsidRPr="00C810B2">
        <w:rPr>
          <w:rFonts w:cs="Times New Roman"/>
          <w:sz w:val="16"/>
          <w:szCs w:val="16"/>
        </w:rPr>
        <w:t xml:space="preserve"> Zarządzenie nr 9 Dyrektora </w:t>
      </w:r>
      <w:proofErr w:type="spellStart"/>
      <w:r w:rsidRPr="00C810B2">
        <w:rPr>
          <w:rFonts w:cs="Times New Roman"/>
          <w:sz w:val="16"/>
          <w:szCs w:val="16"/>
        </w:rPr>
        <w:t>BdPN</w:t>
      </w:r>
      <w:proofErr w:type="spellEnd"/>
      <w:r w:rsidRPr="00C810B2">
        <w:rPr>
          <w:rFonts w:cs="Times New Roman"/>
          <w:sz w:val="16"/>
          <w:szCs w:val="16"/>
        </w:rPr>
        <w:t xml:space="preserve"> z dnia30 stycznia 2019 r. w sprawie zasad sprzedaży drewna w Bieszczadzkim Parku Narodowym oraz Zarządzenie nr 11 Dyrektora </w:t>
      </w:r>
      <w:proofErr w:type="spellStart"/>
      <w:r w:rsidRPr="00C810B2">
        <w:rPr>
          <w:rFonts w:cs="Times New Roman"/>
          <w:sz w:val="16"/>
          <w:szCs w:val="16"/>
        </w:rPr>
        <w:t>BdPN</w:t>
      </w:r>
      <w:proofErr w:type="spellEnd"/>
      <w:r w:rsidRPr="00C810B2">
        <w:rPr>
          <w:rFonts w:cs="Times New Roman"/>
          <w:sz w:val="16"/>
          <w:szCs w:val="16"/>
        </w:rPr>
        <w:t xml:space="preserve"> z dania 3 lutego 2022 r. zmieniające zarządzenie</w:t>
      </w:r>
      <w:r>
        <w:rPr>
          <w:rFonts w:cs="Times New Roman"/>
          <w:sz w:val="16"/>
          <w:szCs w:val="16"/>
        </w:rPr>
        <w:br/>
      </w:r>
      <w:r w:rsidRPr="00C810B2">
        <w:rPr>
          <w:rFonts w:cs="Times New Roman"/>
          <w:sz w:val="16"/>
          <w:szCs w:val="16"/>
        </w:rPr>
        <w:t>w sprawie zasad sprzedaży drewna w Bieszczadzkim Parku Narodowym, Zarządzenie</w:t>
      </w:r>
      <w:r>
        <w:rPr>
          <w:rFonts w:cs="Times New Roman"/>
          <w:sz w:val="16"/>
          <w:szCs w:val="16"/>
        </w:rPr>
        <w:t xml:space="preserve"> nr 19 Dyrektora </w:t>
      </w:r>
      <w:proofErr w:type="spellStart"/>
      <w:r>
        <w:rPr>
          <w:rFonts w:cs="Times New Roman"/>
          <w:sz w:val="16"/>
          <w:szCs w:val="16"/>
        </w:rPr>
        <w:t>BdPN</w:t>
      </w:r>
      <w:proofErr w:type="spellEnd"/>
      <w:r>
        <w:rPr>
          <w:rFonts w:cs="Times New Roman"/>
          <w:sz w:val="16"/>
          <w:szCs w:val="16"/>
        </w:rPr>
        <w:t xml:space="preserve"> z dnia 2 kwietnia 2019 r. w sprawie sprzedaży drewna opałowego w </w:t>
      </w:r>
      <w:proofErr w:type="spellStart"/>
      <w:r>
        <w:rPr>
          <w:rFonts w:cs="Times New Roman"/>
          <w:sz w:val="16"/>
          <w:szCs w:val="16"/>
        </w:rPr>
        <w:t>BdPN</w:t>
      </w:r>
      <w:proofErr w:type="spellEnd"/>
      <w:r>
        <w:rPr>
          <w:rFonts w:cs="Times New Roman"/>
          <w:sz w:val="16"/>
          <w:szCs w:val="16"/>
        </w:rPr>
        <w:t xml:space="preserve"> w roku 2019,</w:t>
      </w:r>
      <w:r w:rsidRPr="00C810B2">
        <w:rPr>
          <w:rFonts w:cs="Times New Roman"/>
          <w:sz w:val="16"/>
          <w:szCs w:val="16"/>
        </w:rPr>
        <w:t xml:space="preserve"> </w:t>
      </w:r>
      <w:r>
        <w:rPr>
          <w:rFonts w:cs="Times New Roman"/>
          <w:sz w:val="16"/>
          <w:szCs w:val="16"/>
        </w:rPr>
        <w:t xml:space="preserve">Zarządzenie nr 13 Dyrektora </w:t>
      </w:r>
      <w:proofErr w:type="spellStart"/>
      <w:r>
        <w:rPr>
          <w:rFonts w:cs="Times New Roman"/>
          <w:sz w:val="16"/>
          <w:szCs w:val="16"/>
        </w:rPr>
        <w:t>BdPN</w:t>
      </w:r>
      <w:proofErr w:type="spellEnd"/>
      <w:r>
        <w:rPr>
          <w:rFonts w:cs="Times New Roman"/>
          <w:sz w:val="16"/>
          <w:szCs w:val="16"/>
        </w:rPr>
        <w:t xml:space="preserve"> z dnia 17 marca 2020 r. w sprawie sprzedaży drewna opałowego w </w:t>
      </w:r>
      <w:proofErr w:type="spellStart"/>
      <w:r>
        <w:rPr>
          <w:rFonts w:cs="Times New Roman"/>
          <w:sz w:val="16"/>
          <w:szCs w:val="16"/>
        </w:rPr>
        <w:t>BdPN</w:t>
      </w:r>
      <w:proofErr w:type="spellEnd"/>
      <w:r>
        <w:rPr>
          <w:rFonts w:cs="Times New Roman"/>
          <w:sz w:val="16"/>
          <w:szCs w:val="16"/>
        </w:rPr>
        <w:t xml:space="preserve"> w roku 2020, Zarządzenie nr 28 Dyrektora </w:t>
      </w:r>
      <w:proofErr w:type="spellStart"/>
      <w:r>
        <w:rPr>
          <w:rFonts w:cs="Times New Roman"/>
          <w:sz w:val="16"/>
          <w:szCs w:val="16"/>
        </w:rPr>
        <w:t>BdPN</w:t>
      </w:r>
      <w:proofErr w:type="spellEnd"/>
      <w:r>
        <w:rPr>
          <w:rFonts w:cs="Times New Roman"/>
          <w:sz w:val="16"/>
          <w:szCs w:val="16"/>
        </w:rPr>
        <w:t xml:space="preserve"> z dnia 31 maja 2021 r. w sprawie sprzedaży drewna opałowego w </w:t>
      </w:r>
      <w:proofErr w:type="spellStart"/>
      <w:r>
        <w:rPr>
          <w:rFonts w:cs="Times New Roman"/>
          <w:sz w:val="16"/>
          <w:szCs w:val="16"/>
        </w:rPr>
        <w:t>BdPN</w:t>
      </w:r>
      <w:proofErr w:type="spellEnd"/>
      <w:r>
        <w:rPr>
          <w:rFonts w:cs="Times New Roman"/>
          <w:sz w:val="16"/>
          <w:szCs w:val="16"/>
        </w:rPr>
        <w:t xml:space="preserve"> w roku 2021, Zarządzenie nr 10 Dyrektora </w:t>
      </w:r>
      <w:proofErr w:type="spellStart"/>
      <w:r>
        <w:rPr>
          <w:rFonts w:cs="Times New Roman"/>
          <w:sz w:val="16"/>
          <w:szCs w:val="16"/>
        </w:rPr>
        <w:t>BdPN</w:t>
      </w:r>
      <w:proofErr w:type="spellEnd"/>
      <w:r>
        <w:rPr>
          <w:rFonts w:cs="Times New Roman"/>
          <w:sz w:val="16"/>
          <w:szCs w:val="16"/>
        </w:rPr>
        <w:t xml:space="preserve"> z dnia 03 marca 2022 r. w sprawie sprzedaży drewna opałowego w </w:t>
      </w:r>
      <w:proofErr w:type="spellStart"/>
      <w:r>
        <w:rPr>
          <w:rFonts w:cs="Times New Roman"/>
          <w:sz w:val="16"/>
          <w:szCs w:val="16"/>
        </w:rPr>
        <w:t>BdPN</w:t>
      </w:r>
      <w:proofErr w:type="spellEnd"/>
      <w:r>
        <w:rPr>
          <w:rFonts w:cs="Times New Roman"/>
          <w:sz w:val="16"/>
          <w:szCs w:val="16"/>
        </w:rPr>
        <w:t xml:space="preserve"> w roku 2022</w:t>
      </w:r>
    </w:p>
  </w:footnote>
  <w:footnote w:id="43">
    <w:p w14:paraId="0957C4B6"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3 przetargi w 2019 r., 2 przetargi w 2020 r., 2 przetargi w 2021 r. i 5 przetargów w 2022 r.</w:t>
      </w:r>
    </w:p>
  </w:footnote>
  <w:footnote w:id="44">
    <w:p w14:paraId="07222009" w14:textId="77777777" w:rsidR="008C1E51" w:rsidRPr="00BE3F92" w:rsidRDefault="008C1E51" w:rsidP="008C1E51">
      <w:pPr>
        <w:pStyle w:val="Tekstprzypisudolnego"/>
        <w:rPr>
          <w:sz w:val="16"/>
          <w:szCs w:val="16"/>
        </w:rPr>
      </w:pPr>
      <w:r w:rsidRPr="00BE3F92">
        <w:rPr>
          <w:rStyle w:val="Odwoanieprzypisudolnego"/>
          <w:rFonts w:eastAsia="Calibri"/>
          <w:sz w:val="16"/>
          <w:szCs w:val="16"/>
        </w:rPr>
        <w:footnoteRef/>
      </w:r>
      <w:r w:rsidRPr="00BE3F92">
        <w:rPr>
          <w:sz w:val="16"/>
          <w:szCs w:val="16"/>
        </w:rPr>
        <w:t xml:space="preserve">  </w:t>
      </w:r>
      <w:r w:rsidRPr="00BE3F92">
        <w:rPr>
          <w:color w:val="000000" w:themeColor="text1"/>
          <w:sz w:val="16"/>
          <w:szCs w:val="16"/>
        </w:rPr>
        <w:t>Księgi zostały przekazane w formie elektronicznej (JPK_KR). Format przekazanych plików był właściwy i zgodny ze strukturą logiczną pliku JPK</w:t>
      </w:r>
      <w:r w:rsidRPr="00BE3F92">
        <w:rPr>
          <w:sz w:val="16"/>
          <w:szCs w:val="16"/>
        </w:rPr>
        <w:t xml:space="preserve">   https://www.gov.pl/web/kas/struktury-jpk/</w:t>
      </w:r>
      <w:r>
        <w:rPr>
          <w:sz w:val="16"/>
          <w:szCs w:val="16"/>
        </w:rPr>
        <w:t>.</w:t>
      </w:r>
    </w:p>
  </w:footnote>
  <w:footnote w:id="45">
    <w:p w14:paraId="4333A94C" w14:textId="34BEB6D2" w:rsidR="008C1E51" w:rsidRPr="00BE3F92" w:rsidRDefault="008C1E51" w:rsidP="008C1E51">
      <w:pPr>
        <w:spacing w:after="0"/>
        <w:rPr>
          <w:rFonts w:cs="Times New Roman"/>
          <w:sz w:val="16"/>
          <w:szCs w:val="16"/>
        </w:rPr>
      </w:pPr>
      <w:r w:rsidRPr="00BE3F92">
        <w:rPr>
          <w:rStyle w:val="Odwoanieprzypisudolnego"/>
          <w:rFonts w:cs="Times New Roman"/>
          <w:sz w:val="16"/>
          <w:szCs w:val="16"/>
        </w:rPr>
        <w:footnoteRef/>
      </w:r>
      <w:r w:rsidRPr="00BE3F92">
        <w:rPr>
          <w:rFonts w:cs="Times New Roman"/>
          <w:sz w:val="16"/>
          <w:szCs w:val="16"/>
        </w:rPr>
        <w:t xml:space="preserve"> Za 2019 – 2020 - Rozporządzenie Ministra Finansów z dnia 4 marca 2010 r. w sprawie sprawozdań jednostek sektora finansów publicznych w zakresie operacji </w:t>
      </w:r>
      <w:r w:rsidR="00211832" w:rsidRPr="00BE3F92">
        <w:rPr>
          <w:rFonts w:cs="Times New Roman"/>
          <w:sz w:val="16"/>
          <w:szCs w:val="16"/>
        </w:rPr>
        <w:t>finansowych</w:t>
      </w:r>
      <w:r w:rsidR="000B5B5B">
        <w:rPr>
          <w:rFonts w:cs="Times New Roman"/>
          <w:sz w:val="16"/>
          <w:szCs w:val="16"/>
        </w:rPr>
        <w:t>.</w:t>
      </w:r>
      <w:r w:rsidR="00211832" w:rsidRPr="00BE3F92">
        <w:rPr>
          <w:rFonts w:cs="Times New Roman"/>
          <w:sz w:val="16"/>
          <w:szCs w:val="16"/>
        </w:rPr>
        <w:t xml:space="preserve"> Dz.U.</w:t>
      </w:r>
      <w:r w:rsidRPr="00BE3F92">
        <w:rPr>
          <w:rFonts w:cs="Times New Roman"/>
          <w:sz w:val="16"/>
          <w:szCs w:val="16"/>
        </w:rPr>
        <w:t xml:space="preserve"> 2010 nr 43 poz. 247; Za 2021 r. - Rozporządzenie Ministra Finansów, Funduszy i Polityki Regionalnej z dnia 17 grudnia 2020 r. w sprawie sprawozdań jednostek sektora finansów publicznych w zakresie operacji finansowych Dz.U. z 2020 r. poz.2399</w:t>
      </w:r>
      <w:r>
        <w:rPr>
          <w:rFonts w:cs="Times New Roman"/>
          <w:sz w:val="16"/>
          <w:szCs w:val="16"/>
        </w:rPr>
        <w:t>.</w:t>
      </w:r>
    </w:p>
  </w:footnote>
  <w:footnote w:id="46">
    <w:p w14:paraId="2FF2B302"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Dz. U. z 2014 r. poz. 1773</w:t>
      </w:r>
      <w:r>
        <w:rPr>
          <w:sz w:val="16"/>
          <w:szCs w:val="16"/>
        </w:rPr>
        <w:t>.</w:t>
      </w:r>
    </w:p>
  </w:footnote>
  <w:footnote w:id="47">
    <w:p w14:paraId="0CCA2ADF"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Dz. U. z 2023 r. poz. 652</w:t>
      </w:r>
      <w:r>
        <w:rPr>
          <w:sz w:val="16"/>
          <w:szCs w:val="16"/>
        </w:rPr>
        <w:t>.</w:t>
      </w:r>
    </w:p>
  </w:footnote>
  <w:footnote w:id="48">
    <w:p w14:paraId="42DB6A01" w14:textId="77777777" w:rsidR="008C1E51" w:rsidRPr="00BF6281"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Mail Głównej Księgowej z 11 listopada 2022 r.</w:t>
      </w:r>
    </w:p>
  </w:footnote>
  <w:footnote w:id="49">
    <w:p w14:paraId="767E7CA8" w14:textId="77777777" w:rsidR="008C1E51" w:rsidRPr="00BE3F92" w:rsidRDefault="008C1E51" w:rsidP="008C1E51">
      <w:pPr>
        <w:spacing w:after="0" w:line="240" w:lineRule="auto"/>
        <w:rPr>
          <w:sz w:val="16"/>
          <w:szCs w:val="16"/>
        </w:rPr>
      </w:pPr>
      <w:r w:rsidRPr="00BE3F92">
        <w:rPr>
          <w:rStyle w:val="Odwoanieprzypisudolnego"/>
          <w:sz w:val="16"/>
          <w:szCs w:val="16"/>
        </w:rPr>
        <w:footnoteRef/>
      </w:r>
      <w:r w:rsidRPr="00BE3F92">
        <w:rPr>
          <w:sz w:val="16"/>
          <w:szCs w:val="16"/>
        </w:rPr>
        <w:t xml:space="preserve"> </w:t>
      </w:r>
      <w:r w:rsidRPr="00BE3F92">
        <w:rPr>
          <w:rFonts w:cs="Times New Roman"/>
          <w:color w:val="000000"/>
          <w:sz w:val="16"/>
          <w:szCs w:val="16"/>
        </w:rPr>
        <w:t xml:space="preserve">Dotacje te były następujące: </w:t>
      </w:r>
      <w:r w:rsidRPr="00BE3F92">
        <w:rPr>
          <w:color w:val="000000"/>
          <w:sz w:val="16"/>
          <w:szCs w:val="16"/>
        </w:rPr>
        <w:t xml:space="preserve">nr 4/DE/2019 w kwocie 5 221 000 zł z Ministerstwa Środowiska w 2019 r., nr 4/DE/2020 w kwocie 2 610 500 zł z Ministerstwa Klimatu w 2020 r. </w:t>
      </w:r>
      <w:r w:rsidRPr="00BE3F92">
        <w:rPr>
          <w:sz w:val="16"/>
          <w:szCs w:val="16"/>
        </w:rPr>
        <w:t xml:space="preserve">nr 5/DB/2021 w kwocie 5 367 000 zł </w:t>
      </w:r>
      <w:r>
        <w:rPr>
          <w:sz w:val="16"/>
          <w:szCs w:val="16"/>
        </w:rPr>
        <w:br/>
      </w:r>
      <w:r w:rsidRPr="00BE3F92">
        <w:rPr>
          <w:color w:val="000000"/>
          <w:sz w:val="16"/>
          <w:szCs w:val="16"/>
        </w:rPr>
        <w:t xml:space="preserve">z Ministerstwa Klimatu i Środowiska w 2021 </w:t>
      </w:r>
      <w:r w:rsidRPr="00BE3F92">
        <w:rPr>
          <w:sz w:val="16"/>
          <w:szCs w:val="16"/>
        </w:rPr>
        <w:t xml:space="preserve">r., 4/DB/2022 w kwocie 9 122 000 zł z Ministerstwem Klimatu </w:t>
      </w:r>
      <w:r>
        <w:rPr>
          <w:sz w:val="16"/>
          <w:szCs w:val="16"/>
        </w:rPr>
        <w:br/>
      </w:r>
      <w:r w:rsidRPr="00BE3F92">
        <w:rPr>
          <w:sz w:val="16"/>
          <w:szCs w:val="16"/>
        </w:rPr>
        <w:t>i Środowiska w 2022 r.</w:t>
      </w:r>
    </w:p>
  </w:footnote>
  <w:footnote w:id="50">
    <w:p w14:paraId="6D812021" w14:textId="68D44CA5" w:rsidR="008C1E51" w:rsidRPr="00BE3F92" w:rsidRDefault="008C1E51" w:rsidP="008C1E51">
      <w:pPr>
        <w:spacing w:after="0" w:line="240" w:lineRule="auto"/>
        <w:rPr>
          <w:sz w:val="16"/>
          <w:szCs w:val="16"/>
        </w:rPr>
      </w:pPr>
      <w:r w:rsidRPr="00BE3F92">
        <w:rPr>
          <w:rStyle w:val="Odwoanieprzypisudolnego"/>
          <w:sz w:val="16"/>
          <w:szCs w:val="16"/>
        </w:rPr>
        <w:footnoteRef/>
      </w:r>
      <w:r w:rsidRPr="00BE3F92">
        <w:rPr>
          <w:sz w:val="16"/>
          <w:szCs w:val="16"/>
        </w:rPr>
        <w:t xml:space="preserve"> </w:t>
      </w:r>
      <w:r w:rsidRPr="00BE3F92">
        <w:rPr>
          <w:rFonts w:cs="Times New Roman"/>
          <w:color w:val="000000"/>
          <w:sz w:val="16"/>
          <w:szCs w:val="16"/>
        </w:rPr>
        <w:t xml:space="preserve">W 2019 r. 85% dotacji przeznaczono przede wszystkim na dofinansowanie wydatków osobowych (m.in. wynagrodzenia, ekwiwalenty, odprawy, ZUS ogólnej kwoty dotacji), a pozostałe 15% przeznaczono na inne zadania. W 2020 r. </w:t>
      </w:r>
      <w:r w:rsidR="00211832" w:rsidRPr="00BE3F92">
        <w:rPr>
          <w:rFonts w:cs="Times New Roman"/>
          <w:color w:val="000000"/>
          <w:sz w:val="16"/>
          <w:szCs w:val="16"/>
        </w:rPr>
        <w:t>z przyznanej</w:t>
      </w:r>
      <w:r w:rsidRPr="00BE3F92">
        <w:rPr>
          <w:rFonts w:cs="Times New Roman"/>
          <w:color w:val="000000"/>
          <w:sz w:val="16"/>
          <w:szCs w:val="16"/>
        </w:rPr>
        <w:t xml:space="preserve"> dotacji dofinansowano przede wszystkim wydatki osobowe (88% ogólnej kwoty dotacji),</w:t>
      </w:r>
      <w:r w:rsidRPr="00BE3F92">
        <w:rPr>
          <w:rFonts w:cs="Times New Roman"/>
          <w:color w:val="000000"/>
          <w:sz w:val="16"/>
          <w:szCs w:val="16"/>
        </w:rPr>
        <w:br/>
        <w:t>a 12% zostało przeznaczone na dofinansowanie innych zadań w tym m.in usługi zewnętrzne, podatki leśny i rolny). W 2021 r. dotację również w znacznej kwocie przeznaczono na dofinansowanie wydatków osobowych (88% kwoty dotacji), a pozostałe 12% przeznaczono na dofinansowanie innych zadań m.in. wydatki bezosobowe, podatki leśny</w:t>
      </w:r>
      <w:r w:rsidRPr="00BE3F92">
        <w:rPr>
          <w:rFonts w:cs="Times New Roman"/>
          <w:color w:val="000000"/>
          <w:sz w:val="16"/>
          <w:szCs w:val="16"/>
        </w:rPr>
        <w:br/>
        <w:t>i rolny. W 2022 r. dotację przeznaczono na wydatki osobowe (84% ogólnej kwoty dotacji), a 16% zostało przeznaczone na dofinansowanie innych zadań w tym m.in roboty budowlane, usługi zewnętrzne, podatki leśny</w:t>
      </w:r>
      <w:r w:rsidRPr="00BE3F92">
        <w:rPr>
          <w:rFonts w:cs="Times New Roman"/>
          <w:color w:val="000000"/>
          <w:sz w:val="16"/>
          <w:szCs w:val="16"/>
        </w:rPr>
        <w:br/>
        <w:t>i rolny.</w:t>
      </w:r>
    </w:p>
  </w:footnote>
  <w:footnote w:id="51">
    <w:p w14:paraId="0DBA8FCC" w14:textId="77777777" w:rsidR="008C1E51" w:rsidRPr="00BE3F92" w:rsidRDefault="008C1E51" w:rsidP="008C1E51">
      <w:pPr>
        <w:spacing w:after="0" w:line="240" w:lineRule="auto"/>
        <w:rPr>
          <w:sz w:val="16"/>
          <w:szCs w:val="16"/>
        </w:rPr>
      </w:pPr>
      <w:r w:rsidRPr="00BE3F92">
        <w:rPr>
          <w:rStyle w:val="Odwoanieprzypisudolnego"/>
          <w:sz w:val="16"/>
          <w:szCs w:val="16"/>
        </w:rPr>
        <w:footnoteRef/>
      </w:r>
      <w:r w:rsidRPr="00BE3F92">
        <w:rPr>
          <w:sz w:val="16"/>
          <w:szCs w:val="16"/>
        </w:rPr>
        <w:t xml:space="preserve"> Nr 26/DE/2019 w kwocie 280 000 zł z Ministerstwa Środowiska w 2019 r., Nr 32/DB/2021 w kwocie 192 000 zł z Ministerstwa Klimatu i Środowiska w 2021 r., Nr 24/DE/2020 w kwocie 343 000 zł z Ministerstwa Klimatu, Nr 41/DB/2022 w kwocie 38 000 zł z Ministerstwa Klimatu i Środowiska w 2022 r.</w:t>
      </w:r>
    </w:p>
  </w:footnote>
  <w:footnote w:id="52">
    <w:p w14:paraId="492B37B0" w14:textId="77777777" w:rsidR="008C1E51" w:rsidRPr="00AB232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w:t>
      </w:r>
      <w:r w:rsidRPr="00BE3F92">
        <w:rPr>
          <w:color w:val="000000"/>
          <w:sz w:val="16"/>
          <w:szCs w:val="16"/>
        </w:rPr>
        <w:t>Dz.U. z 2018 r. poz. 2225</w:t>
      </w:r>
      <w:r w:rsidRPr="0005255C">
        <w:rPr>
          <w:rStyle w:val="Odwoaniedokomentarza"/>
        </w:rPr>
        <w:t xml:space="preserve"> </w:t>
      </w:r>
    </w:p>
  </w:footnote>
  <w:footnote w:id="53">
    <w:p w14:paraId="1A0425B8" w14:textId="77777777" w:rsidR="008C1E51" w:rsidRPr="00BE3F92" w:rsidRDefault="008C1E51" w:rsidP="008C1E51">
      <w:pPr>
        <w:pStyle w:val="Tekstprzypisudolnego"/>
        <w:rPr>
          <w:sz w:val="16"/>
          <w:szCs w:val="16"/>
        </w:rPr>
      </w:pPr>
      <w:r w:rsidRPr="00BE3F92">
        <w:rPr>
          <w:rStyle w:val="Odwoanieprzypisudolnego"/>
          <w:rFonts w:eastAsia="Calibri"/>
          <w:sz w:val="16"/>
          <w:szCs w:val="16"/>
        </w:rPr>
        <w:footnoteRef/>
      </w:r>
      <w:r w:rsidRPr="00BE3F92">
        <w:rPr>
          <w:sz w:val="16"/>
          <w:szCs w:val="16"/>
        </w:rPr>
        <w:t xml:space="preserve"> Zarządzenie nr 30 Dyrektora Bieszczadzkiego Parku Narodowego z dnia 8 maja 2012 r.</w:t>
      </w:r>
    </w:p>
  </w:footnote>
  <w:footnote w:id="54">
    <w:p w14:paraId="2C27C1F6"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Zarządzenie Dyrektora Bieszczadzkiego Parku Narodowego z dnia 25 października 2022 r.</w:t>
      </w:r>
    </w:p>
  </w:footnote>
  <w:footnote w:id="55">
    <w:p w14:paraId="0C48C41A" w14:textId="77777777" w:rsidR="008C1E51" w:rsidRPr="00FC0A78" w:rsidRDefault="008C1E51" w:rsidP="008C1E51">
      <w:pPr>
        <w:pStyle w:val="Tekstprzypisudolnego"/>
        <w:rPr>
          <w:sz w:val="16"/>
          <w:szCs w:val="16"/>
        </w:rPr>
      </w:pPr>
      <w:r w:rsidRPr="00FC0A78">
        <w:rPr>
          <w:rStyle w:val="Odwoanieprzypisudolnego"/>
          <w:sz w:val="16"/>
          <w:szCs w:val="16"/>
        </w:rPr>
        <w:footnoteRef/>
      </w:r>
      <w:r w:rsidRPr="00FC0A78">
        <w:rPr>
          <w:sz w:val="16"/>
          <w:szCs w:val="16"/>
        </w:rPr>
        <w:t xml:space="preserve"> Zarządzenie nr 69 Dyrektora </w:t>
      </w:r>
      <w:proofErr w:type="spellStart"/>
      <w:r w:rsidRPr="00FC0A78">
        <w:rPr>
          <w:sz w:val="16"/>
          <w:szCs w:val="16"/>
        </w:rPr>
        <w:t>BdPN</w:t>
      </w:r>
      <w:proofErr w:type="spellEnd"/>
      <w:r w:rsidRPr="00FC0A78">
        <w:rPr>
          <w:sz w:val="16"/>
          <w:szCs w:val="16"/>
        </w:rPr>
        <w:t xml:space="preserve"> z 27 lipca 2012 w sprawie wprowadzenia w życie instrukcji kontroli wewnętrznej i obiegu dowodów finansowo-księgowych oraz instrukcji kasowej</w:t>
      </w:r>
      <w:r>
        <w:rPr>
          <w:sz w:val="16"/>
          <w:szCs w:val="16"/>
        </w:rPr>
        <w:t xml:space="preserve">; </w:t>
      </w:r>
      <w:r w:rsidRPr="00FC0A78">
        <w:rPr>
          <w:sz w:val="16"/>
          <w:szCs w:val="16"/>
        </w:rPr>
        <w:t xml:space="preserve">Zarządzenie nr 23 Dyrektora </w:t>
      </w:r>
      <w:proofErr w:type="spellStart"/>
      <w:r w:rsidRPr="00FC0A78">
        <w:rPr>
          <w:sz w:val="16"/>
          <w:szCs w:val="16"/>
        </w:rPr>
        <w:t>BdPN</w:t>
      </w:r>
      <w:proofErr w:type="spellEnd"/>
      <w:r w:rsidRPr="00FC0A78">
        <w:rPr>
          <w:sz w:val="16"/>
          <w:szCs w:val="16"/>
        </w:rPr>
        <w:t xml:space="preserve"> z 14</w:t>
      </w:r>
      <w:r>
        <w:rPr>
          <w:sz w:val="16"/>
          <w:szCs w:val="16"/>
        </w:rPr>
        <w:t xml:space="preserve"> maja </w:t>
      </w:r>
      <w:r w:rsidRPr="00FC0A78">
        <w:rPr>
          <w:sz w:val="16"/>
          <w:szCs w:val="16"/>
        </w:rPr>
        <w:t>2020 r. w sprawie wprowadzenia instrukcji dot. Zakresu czynności związanych z kontrolą dokumentów księgowych</w:t>
      </w:r>
    </w:p>
  </w:footnote>
  <w:footnote w:id="56">
    <w:p w14:paraId="5E97C2BB"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ustnych wyjaśnień z 1 marca 2023 r. </w:t>
      </w:r>
    </w:p>
  </w:footnote>
  <w:footnote w:id="57">
    <w:p w14:paraId="7F165CFE"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ustnych wyjaśnień z 1 marca 2023 r</w:t>
      </w:r>
    </w:p>
  </w:footnote>
  <w:footnote w:id="58">
    <w:p w14:paraId="17FA6D0B"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Trzykrotność wartości opłaty pobieranej przez operatora za traktowanie przesyłki listowej jako przesyłki poleconej</w:t>
      </w:r>
    </w:p>
  </w:footnote>
  <w:footnote w:id="59">
    <w:p w14:paraId="7D3600B4"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Zarządzenie nr 3 Dyrektora Bieszczadzkiego Parku Narodowego z siedzibą w Ustrzykach Górnych z dnia 25 stycznia 2017 r. w sprawie instrukcji kancelaryjnej jednolitego rzeczowego wykazu akt oraz instrukcji w sprawie organizacji i zakresu działania archiwum zakładowego</w:t>
      </w:r>
    </w:p>
  </w:footnote>
  <w:footnote w:id="60">
    <w:p w14:paraId="1BC6050F"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Dz. U. z 2019 r. poz. 246 </w:t>
      </w:r>
    </w:p>
  </w:footnote>
  <w:footnote w:id="61">
    <w:p w14:paraId="16BCDA1B"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Zarządzenie nr 8 Dyrektora Bieszczadzkiego Parku Narodowego z dnia 10 marca 2023 r. zmieniające zarządzenie w sprawie Instrukcji kancelaryjnej w Bieszczadzkim Parku Narodowym</w:t>
      </w:r>
    </w:p>
  </w:footnote>
  <w:footnote w:id="62">
    <w:p w14:paraId="6608067D" w14:textId="77777777" w:rsidR="008C1E51" w:rsidRPr="00170878"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ustnych wyjaśnień z 1 marca 2023 r</w:t>
      </w:r>
    </w:p>
  </w:footnote>
  <w:footnote w:id="63">
    <w:p w14:paraId="5CEDCA97"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23 marca 2023 r.</w:t>
      </w:r>
    </w:p>
  </w:footnote>
  <w:footnote w:id="64">
    <w:p w14:paraId="2981F340"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Odpowiedzialni za kontrolę terminowej realizacji należności, sporządzanie i monitorowanie wezwań do zapłaty, naliczanie odsetek ustawowych</w:t>
      </w:r>
    </w:p>
  </w:footnote>
  <w:footnote w:id="65">
    <w:p w14:paraId="795DA368" w14:textId="77777777" w:rsidR="008C1E51" w:rsidRPr="005539EE"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W zakresie występowania do sądu z pozwem o zapłatę przeciwko dłużnikowi w celu doprowadzenia do uzyskania tytułu wykonawczego, zaopatrzenia go w klauzulę wykonalności, sporządzenie wniosku o wszczęcie egzekucji </w:t>
      </w:r>
      <w:r>
        <w:rPr>
          <w:sz w:val="16"/>
          <w:szCs w:val="16"/>
        </w:rPr>
        <w:br/>
      </w:r>
      <w:r w:rsidRPr="00BE3F92">
        <w:rPr>
          <w:sz w:val="16"/>
          <w:szCs w:val="16"/>
        </w:rPr>
        <w:t>i bieżące informowanie Dyrektora i Głównego Księgowego o stanie sprawy.</w:t>
      </w:r>
    </w:p>
  </w:footnote>
  <w:footnote w:id="66">
    <w:p w14:paraId="1852BFB9"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ustnych wyjaśnień z 1 marca 2023 r.</w:t>
      </w:r>
    </w:p>
  </w:footnote>
  <w:footnote w:id="67">
    <w:p w14:paraId="3991E843"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ustnych wyjaśnień z 1 marca 2023 r.</w:t>
      </w:r>
    </w:p>
  </w:footnote>
  <w:footnote w:id="68">
    <w:p w14:paraId="2D8813D4"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ustnych wyjaśnień z 1 marca 2023 r.</w:t>
      </w:r>
    </w:p>
  </w:footnote>
  <w:footnote w:id="69">
    <w:p w14:paraId="586D7C6A" w14:textId="77777777" w:rsidR="008C1E51" w:rsidRDefault="008C1E51" w:rsidP="008C1E51">
      <w:pPr>
        <w:pStyle w:val="Tekstprzypisudolnego"/>
      </w:pPr>
      <w:r w:rsidRPr="00BE3F92">
        <w:rPr>
          <w:rStyle w:val="Odwoanieprzypisudolnego"/>
          <w:sz w:val="16"/>
          <w:szCs w:val="16"/>
        </w:rPr>
        <w:footnoteRef/>
      </w:r>
      <w:r w:rsidRPr="00BE3F92">
        <w:rPr>
          <w:sz w:val="16"/>
          <w:szCs w:val="16"/>
        </w:rPr>
        <w:t xml:space="preserve"> Protokół z ustnych wyjaśnień z 1 marca 2023 r.</w:t>
      </w:r>
    </w:p>
  </w:footnote>
  <w:footnote w:id="70">
    <w:p w14:paraId="7B4AC486"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Dz. U. 2021 poz. 217</w:t>
      </w:r>
    </w:p>
  </w:footnote>
  <w:footnote w:id="71">
    <w:p w14:paraId="7E623699"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ustnych wyjaśnień z 1 marca 2023 r.</w:t>
      </w:r>
    </w:p>
  </w:footnote>
  <w:footnote w:id="72">
    <w:p w14:paraId="18D57768"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ustnych wyjaśnień z 1 marca 2023 r.</w:t>
      </w:r>
    </w:p>
  </w:footnote>
  <w:footnote w:id="73">
    <w:p w14:paraId="505292F1" w14:textId="77777777" w:rsidR="008C1E51" w:rsidRPr="00BF6DC0" w:rsidRDefault="008C1E51" w:rsidP="008C1E51">
      <w:pPr>
        <w:pStyle w:val="Tekstprzypisudolnego"/>
        <w:rPr>
          <w:sz w:val="16"/>
          <w:szCs w:val="16"/>
        </w:rPr>
      </w:pPr>
      <w:r w:rsidRPr="00BF6DC0">
        <w:rPr>
          <w:rStyle w:val="Odwoanieprzypisudolnego"/>
          <w:sz w:val="16"/>
          <w:szCs w:val="16"/>
        </w:rPr>
        <w:footnoteRef/>
      </w:r>
      <w:r w:rsidRPr="00BF6DC0">
        <w:rPr>
          <w:sz w:val="16"/>
          <w:szCs w:val="16"/>
        </w:rPr>
        <w:t xml:space="preserve"> Komunikat nr 23 Ministra Finansów z dnia 16 grudnia 2009 roku w sprawie standardów kontroli zarządczej dla sektora finansów publicznych.</w:t>
      </w:r>
    </w:p>
  </w:footnote>
  <w:footnote w:id="74">
    <w:p w14:paraId="0ADC104E"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14 listopada 2022 r.</w:t>
      </w:r>
    </w:p>
  </w:footnote>
  <w:footnote w:id="75">
    <w:p w14:paraId="376A3144" w14:textId="77777777" w:rsidR="008C1E51" w:rsidRDefault="008C1E51" w:rsidP="008C1E51">
      <w:pPr>
        <w:pStyle w:val="Tekstprzypisudolnego"/>
      </w:pPr>
      <w:r w:rsidRPr="00BE3F92">
        <w:rPr>
          <w:rStyle w:val="Odwoanieprzypisudolnego"/>
          <w:sz w:val="16"/>
          <w:szCs w:val="16"/>
        </w:rPr>
        <w:footnoteRef/>
      </w:r>
      <w:r w:rsidRPr="00BE3F92">
        <w:rPr>
          <w:sz w:val="16"/>
          <w:szCs w:val="16"/>
        </w:rPr>
        <w:t xml:space="preserve"> Pismo Dyrektora Parku z 14 listopada 2022 r.</w:t>
      </w:r>
    </w:p>
  </w:footnote>
  <w:footnote w:id="76">
    <w:p w14:paraId="7FF0C8A1"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Za okres od 13 kwietnia 2022 r. do 5 maja 2022 r.</w:t>
      </w:r>
    </w:p>
  </w:footnote>
  <w:footnote w:id="77">
    <w:p w14:paraId="534DBAE7"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ustnych wyjaśnień z 1 marca 2023 r.</w:t>
      </w:r>
    </w:p>
  </w:footnote>
  <w:footnote w:id="78">
    <w:p w14:paraId="680817D7"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Uwzględniono należność, która została jedynie częściowo odzyskana</w:t>
      </w:r>
      <w:r>
        <w:rPr>
          <w:sz w:val="16"/>
          <w:szCs w:val="16"/>
        </w:rPr>
        <w:t>.</w:t>
      </w:r>
    </w:p>
  </w:footnote>
  <w:footnote w:id="79">
    <w:p w14:paraId="198790D6" w14:textId="77777777" w:rsidR="008C1E51" w:rsidRDefault="008C1E51" w:rsidP="008C1E51">
      <w:pPr>
        <w:pStyle w:val="Tekstprzypisudolnego"/>
      </w:pPr>
      <w:r w:rsidRPr="00BE3F92">
        <w:rPr>
          <w:rStyle w:val="Odwoanieprzypisudolnego"/>
          <w:sz w:val="16"/>
          <w:szCs w:val="16"/>
        </w:rPr>
        <w:footnoteRef/>
      </w:r>
      <w:r w:rsidRPr="00BE3F92">
        <w:rPr>
          <w:sz w:val="16"/>
          <w:szCs w:val="16"/>
        </w:rPr>
        <w:t xml:space="preserve"> Dz. U. z 2022 r. poz. 2587</w:t>
      </w:r>
      <w:r>
        <w:rPr>
          <w:sz w:val="16"/>
          <w:szCs w:val="16"/>
        </w:rPr>
        <w:t>.</w:t>
      </w:r>
    </w:p>
  </w:footnote>
  <w:footnote w:id="80">
    <w:p w14:paraId="00CC33A5"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13 grudnia 2022 r.</w:t>
      </w:r>
    </w:p>
  </w:footnote>
  <w:footnote w:id="81">
    <w:p w14:paraId="34E5E283" w14:textId="77777777" w:rsidR="008C1E51" w:rsidRPr="00A730B5" w:rsidRDefault="008C1E51" w:rsidP="008C1E51">
      <w:pPr>
        <w:pStyle w:val="Tekstprzypisudolnego"/>
        <w:rPr>
          <w:sz w:val="16"/>
          <w:szCs w:val="16"/>
        </w:rPr>
      </w:pPr>
      <w:r w:rsidRPr="00A730B5">
        <w:rPr>
          <w:rStyle w:val="Odwoanieprzypisudolnego"/>
          <w:sz w:val="16"/>
          <w:szCs w:val="16"/>
        </w:rPr>
        <w:footnoteRef/>
      </w:r>
      <w:r w:rsidRPr="00A730B5">
        <w:rPr>
          <w:sz w:val="16"/>
          <w:szCs w:val="16"/>
        </w:rPr>
        <w:t xml:space="preserve"> Dz. U. z 2023 r. poz. 1610</w:t>
      </w:r>
    </w:p>
  </w:footnote>
  <w:footnote w:id="82">
    <w:p w14:paraId="722F7D73" w14:textId="77777777" w:rsidR="008C1E51" w:rsidRPr="00A730B5" w:rsidRDefault="008C1E51" w:rsidP="008C1E51">
      <w:pPr>
        <w:pStyle w:val="Tekstprzypisudolnego"/>
        <w:rPr>
          <w:sz w:val="16"/>
          <w:szCs w:val="16"/>
        </w:rPr>
      </w:pPr>
      <w:r w:rsidRPr="00A730B5">
        <w:rPr>
          <w:rStyle w:val="Odwoanieprzypisudolnego"/>
          <w:sz w:val="16"/>
          <w:szCs w:val="16"/>
        </w:rPr>
        <w:footnoteRef/>
      </w:r>
      <w:r w:rsidRPr="00A730B5">
        <w:rPr>
          <w:sz w:val="16"/>
          <w:szCs w:val="16"/>
        </w:rPr>
        <w:t xml:space="preserve"> Pismo z 13 grudnia 2022 r.</w:t>
      </w:r>
    </w:p>
  </w:footnote>
  <w:footnote w:id="83">
    <w:p w14:paraId="22ECA385" w14:textId="77777777" w:rsidR="008C1E51" w:rsidRPr="001D4C36" w:rsidRDefault="008C1E51" w:rsidP="008C1E51">
      <w:pPr>
        <w:pStyle w:val="Tekstprzypisudolnego"/>
        <w:rPr>
          <w:sz w:val="16"/>
          <w:szCs w:val="16"/>
        </w:rPr>
      </w:pPr>
      <w:r w:rsidRPr="001D4C36">
        <w:rPr>
          <w:rStyle w:val="Odwoanieprzypisudolnego"/>
          <w:sz w:val="16"/>
          <w:szCs w:val="16"/>
        </w:rPr>
        <w:footnoteRef/>
      </w:r>
      <w:r w:rsidRPr="001D4C36">
        <w:rPr>
          <w:sz w:val="16"/>
          <w:szCs w:val="16"/>
        </w:rPr>
        <w:t xml:space="preserve"> Zarządzenie nr 69 Dyrektora </w:t>
      </w:r>
      <w:proofErr w:type="spellStart"/>
      <w:r w:rsidRPr="001D4C36">
        <w:rPr>
          <w:sz w:val="16"/>
          <w:szCs w:val="16"/>
        </w:rPr>
        <w:t>BdPN</w:t>
      </w:r>
      <w:proofErr w:type="spellEnd"/>
      <w:r w:rsidRPr="001D4C36">
        <w:rPr>
          <w:sz w:val="16"/>
          <w:szCs w:val="16"/>
        </w:rPr>
        <w:t xml:space="preserve"> z 27 lipca2012 w sprawie wprowadzenia w życie instrukcji kontroli wewnętrznej i obiegu dowodów finansowo-księgowych oraz instrukcji kasowej</w:t>
      </w:r>
      <w:r>
        <w:rPr>
          <w:sz w:val="16"/>
          <w:szCs w:val="16"/>
        </w:rPr>
        <w:t>.</w:t>
      </w:r>
    </w:p>
  </w:footnote>
  <w:footnote w:id="84">
    <w:p w14:paraId="6B49F56A"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12 stycznia 2023 r.</w:t>
      </w:r>
    </w:p>
  </w:footnote>
  <w:footnote w:id="85">
    <w:p w14:paraId="0F58C405"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12 stycznia 2023 r.</w:t>
      </w:r>
    </w:p>
  </w:footnote>
  <w:footnote w:id="86">
    <w:p w14:paraId="5B64A57E" w14:textId="77777777" w:rsidR="008C1E51" w:rsidRPr="002D56EE"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ustnych wyjaśnień z 1 marca 2023 r.</w:t>
      </w:r>
    </w:p>
  </w:footnote>
  <w:footnote w:id="87">
    <w:p w14:paraId="3F2DBD06"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13 grudnia 2022 r.</w:t>
      </w:r>
    </w:p>
  </w:footnote>
  <w:footnote w:id="88">
    <w:p w14:paraId="58B95862"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12 stycznia 2023 r. i Pismo Głównej Księgowej z 12 stycznia 2023 r.</w:t>
      </w:r>
    </w:p>
  </w:footnote>
  <w:footnote w:id="89">
    <w:p w14:paraId="59809333"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Protokół z przyjęcia ustnych wyjaśnień z 28 lutego 2023 r.</w:t>
      </w:r>
    </w:p>
  </w:footnote>
  <w:footnote w:id="90">
    <w:p w14:paraId="349BDF13" w14:textId="77777777" w:rsidR="008C1E51" w:rsidRPr="003813D3" w:rsidRDefault="008C1E51" w:rsidP="008C1E51">
      <w:pPr>
        <w:pStyle w:val="Tekstprzypisudolnego"/>
        <w:rPr>
          <w:sz w:val="16"/>
          <w:szCs w:val="16"/>
        </w:rPr>
      </w:pPr>
      <w:r w:rsidRPr="003813D3">
        <w:rPr>
          <w:rStyle w:val="Odwoanieprzypisudolnego"/>
          <w:sz w:val="16"/>
          <w:szCs w:val="16"/>
        </w:rPr>
        <w:footnoteRef/>
      </w:r>
      <w:r w:rsidRPr="003813D3">
        <w:rPr>
          <w:sz w:val="16"/>
          <w:szCs w:val="16"/>
        </w:rPr>
        <w:t xml:space="preserve"> Protokół z przyjęcia ustnych wyjaśnień z 28 lutego 2023 r.</w:t>
      </w:r>
    </w:p>
  </w:footnote>
  <w:footnote w:id="91">
    <w:p w14:paraId="5AC9A3AF" w14:textId="77777777" w:rsidR="008C1E51" w:rsidRPr="002D56EE"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Pismo Dyrektora Parku z 13 grudnia 2023 r.</w:t>
      </w:r>
    </w:p>
  </w:footnote>
  <w:footnote w:id="92">
    <w:p w14:paraId="04994ADE" w14:textId="77777777" w:rsidR="008C1E51" w:rsidRPr="00BF6DC0" w:rsidRDefault="008C1E51" w:rsidP="008C1E51">
      <w:pPr>
        <w:pStyle w:val="Tekstprzypisudolnego"/>
        <w:rPr>
          <w:sz w:val="16"/>
          <w:szCs w:val="16"/>
        </w:rPr>
      </w:pPr>
      <w:r w:rsidRPr="00BF6DC0">
        <w:rPr>
          <w:rStyle w:val="Odwoanieprzypisudolnego"/>
          <w:sz w:val="16"/>
          <w:szCs w:val="16"/>
        </w:rPr>
        <w:footnoteRef/>
      </w:r>
      <w:r w:rsidRPr="00BF6DC0">
        <w:rPr>
          <w:sz w:val="16"/>
          <w:szCs w:val="16"/>
        </w:rPr>
        <w:t xml:space="preserve"> Faktura została wystawiona 2 miesiące po wydaniu drewna</w:t>
      </w:r>
      <w:r>
        <w:rPr>
          <w:sz w:val="16"/>
          <w:szCs w:val="16"/>
        </w:rPr>
        <w:t>.</w:t>
      </w:r>
    </w:p>
  </w:footnote>
  <w:footnote w:id="93">
    <w:p w14:paraId="07D9D568" w14:textId="77777777" w:rsidR="008C1E51" w:rsidRPr="00D25925" w:rsidRDefault="008C1E51" w:rsidP="008C1E51">
      <w:pPr>
        <w:pStyle w:val="Tekstprzypisudolnego"/>
        <w:rPr>
          <w:sz w:val="16"/>
          <w:szCs w:val="16"/>
        </w:rPr>
      </w:pPr>
      <w:r w:rsidRPr="00D25925">
        <w:rPr>
          <w:rStyle w:val="Odwoanieprzypisudolnego"/>
          <w:sz w:val="16"/>
          <w:szCs w:val="16"/>
        </w:rPr>
        <w:footnoteRef/>
      </w:r>
      <w:r w:rsidRPr="00D25925">
        <w:rPr>
          <w:sz w:val="16"/>
          <w:szCs w:val="16"/>
        </w:rPr>
        <w:t xml:space="preserve"> Pismo Dyrektora Parku z 12 stycznia 2023 r.</w:t>
      </w:r>
    </w:p>
  </w:footnote>
  <w:footnote w:id="94">
    <w:p w14:paraId="4ADCB772" w14:textId="77777777" w:rsidR="008C1E51" w:rsidRDefault="008C1E51" w:rsidP="008C1E51">
      <w:pPr>
        <w:pStyle w:val="Tekstprzypisudolnego"/>
      </w:pPr>
      <w:r w:rsidRPr="00D25925">
        <w:rPr>
          <w:rStyle w:val="Odwoanieprzypisudolnego"/>
          <w:sz w:val="16"/>
          <w:szCs w:val="16"/>
        </w:rPr>
        <w:footnoteRef/>
      </w:r>
      <w:r w:rsidRPr="00D25925">
        <w:rPr>
          <w:sz w:val="16"/>
          <w:szCs w:val="16"/>
        </w:rPr>
        <w:t xml:space="preserve"> Pismo Głównej Księgowej z 12 stycznia 2023 r.</w:t>
      </w:r>
    </w:p>
  </w:footnote>
  <w:footnote w:id="95">
    <w:p w14:paraId="107660E4" w14:textId="77777777" w:rsidR="008C1E51" w:rsidRPr="0056146F" w:rsidRDefault="008C1E51" w:rsidP="008C1E51">
      <w:pPr>
        <w:pStyle w:val="Tekstprzypisudolnego"/>
        <w:rPr>
          <w:sz w:val="16"/>
          <w:szCs w:val="16"/>
        </w:rPr>
      </w:pPr>
      <w:r w:rsidRPr="0056146F">
        <w:rPr>
          <w:rStyle w:val="Odwoanieprzypisudolnego"/>
          <w:sz w:val="16"/>
          <w:szCs w:val="16"/>
        </w:rPr>
        <w:footnoteRef/>
      </w:r>
      <w:r w:rsidRPr="0056146F">
        <w:rPr>
          <w:sz w:val="16"/>
          <w:szCs w:val="16"/>
        </w:rPr>
        <w:t xml:space="preserve"> </w:t>
      </w:r>
      <w:r w:rsidRPr="0056146F">
        <w:rPr>
          <w:rFonts w:eastAsia="Times New Roman" w:cs="Times New Roman"/>
          <w:sz w:val="16"/>
          <w:szCs w:val="16"/>
          <w:lang w:eastAsia="pl-PL"/>
        </w:rPr>
        <w:t xml:space="preserve">Zarządzenie nr 60 Dyrektora </w:t>
      </w:r>
      <w:proofErr w:type="spellStart"/>
      <w:r w:rsidRPr="0056146F">
        <w:rPr>
          <w:rFonts w:eastAsia="Times New Roman" w:cs="Times New Roman"/>
          <w:sz w:val="16"/>
          <w:szCs w:val="16"/>
          <w:lang w:eastAsia="pl-PL"/>
        </w:rPr>
        <w:t>BdPN</w:t>
      </w:r>
      <w:proofErr w:type="spellEnd"/>
      <w:r w:rsidRPr="0056146F">
        <w:rPr>
          <w:rFonts w:eastAsia="Times New Roman" w:cs="Times New Roman"/>
          <w:sz w:val="16"/>
          <w:szCs w:val="16"/>
          <w:lang w:eastAsia="pl-PL"/>
        </w:rPr>
        <w:t xml:space="preserve"> z 2 grudnia 2014 r. </w:t>
      </w:r>
      <w:r w:rsidRPr="0056146F">
        <w:rPr>
          <w:rFonts w:eastAsia="Times New Roman" w:cs="Times New Roman"/>
          <w:bCs/>
          <w:sz w:val="16"/>
          <w:szCs w:val="16"/>
          <w:lang w:eastAsia="pl-PL"/>
        </w:rPr>
        <w:t>w sprawie ustalania zasad i kontroli wydatkowania środków publicznych do 30 000 euro</w:t>
      </w:r>
      <w:r w:rsidRPr="0056146F">
        <w:rPr>
          <w:bCs/>
          <w:sz w:val="16"/>
          <w:szCs w:val="16"/>
        </w:rPr>
        <w:t xml:space="preserve"> zmienione Zarządzeniem Dyrektora </w:t>
      </w:r>
      <w:proofErr w:type="spellStart"/>
      <w:r w:rsidRPr="0056146F">
        <w:rPr>
          <w:bCs/>
          <w:sz w:val="16"/>
          <w:szCs w:val="16"/>
        </w:rPr>
        <w:t>BdPN</w:t>
      </w:r>
      <w:proofErr w:type="spellEnd"/>
      <w:r w:rsidRPr="0056146F">
        <w:rPr>
          <w:bCs/>
          <w:sz w:val="16"/>
          <w:szCs w:val="16"/>
        </w:rPr>
        <w:t xml:space="preserve"> </w:t>
      </w:r>
      <w:r w:rsidRPr="0056146F">
        <w:rPr>
          <w:sz w:val="16"/>
          <w:szCs w:val="16"/>
        </w:rPr>
        <w:t xml:space="preserve">Nr 61 z 4 grudnia 2014 r., </w:t>
      </w:r>
      <w:r w:rsidRPr="0056146F">
        <w:rPr>
          <w:bCs/>
          <w:sz w:val="16"/>
          <w:szCs w:val="16"/>
        </w:rPr>
        <w:t xml:space="preserve">zmienionym Zarządzeniem Dyrektora </w:t>
      </w:r>
      <w:proofErr w:type="spellStart"/>
      <w:r w:rsidRPr="0056146F">
        <w:rPr>
          <w:bCs/>
          <w:sz w:val="16"/>
          <w:szCs w:val="16"/>
        </w:rPr>
        <w:t>BdPN</w:t>
      </w:r>
      <w:proofErr w:type="spellEnd"/>
      <w:r w:rsidRPr="0056146F">
        <w:rPr>
          <w:sz w:val="16"/>
          <w:szCs w:val="16"/>
        </w:rPr>
        <w:t xml:space="preserve"> Nr 48 z 3 grudnia 2018 r., </w:t>
      </w:r>
      <w:r w:rsidRPr="0056146F">
        <w:rPr>
          <w:bCs/>
          <w:sz w:val="16"/>
          <w:szCs w:val="16"/>
        </w:rPr>
        <w:t xml:space="preserve">zmienionym Zarządzeniem Dyrektora </w:t>
      </w:r>
      <w:proofErr w:type="spellStart"/>
      <w:r w:rsidRPr="0056146F">
        <w:rPr>
          <w:bCs/>
          <w:sz w:val="16"/>
          <w:szCs w:val="16"/>
        </w:rPr>
        <w:t>BdPN</w:t>
      </w:r>
      <w:proofErr w:type="spellEnd"/>
      <w:r w:rsidRPr="0056146F">
        <w:rPr>
          <w:bCs/>
          <w:sz w:val="16"/>
          <w:szCs w:val="16"/>
        </w:rPr>
        <w:t xml:space="preserve"> </w:t>
      </w:r>
      <w:r w:rsidRPr="0056146F">
        <w:rPr>
          <w:sz w:val="16"/>
          <w:szCs w:val="16"/>
        </w:rPr>
        <w:t xml:space="preserve">Nr 3 z 8 stycznia 2019 r. Zarządzenie Nr 27 Dyrektora </w:t>
      </w:r>
      <w:proofErr w:type="spellStart"/>
      <w:r w:rsidRPr="0056146F">
        <w:rPr>
          <w:sz w:val="16"/>
          <w:szCs w:val="16"/>
        </w:rPr>
        <w:t>BdPN</w:t>
      </w:r>
      <w:proofErr w:type="spellEnd"/>
      <w:r w:rsidRPr="0056146F">
        <w:rPr>
          <w:sz w:val="16"/>
          <w:szCs w:val="16"/>
        </w:rPr>
        <w:t xml:space="preserve"> z 18 maja 2021 r. w sprawie ustalenia zasad i kontroli wydatkowania środków publicznych do kwoty 130 000 zł, zmienionym Zarządzeniem Dyrektora </w:t>
      </w:r>
      <w:proofErr w:type="spellStart"/>
      <w:r w:rsidRPr="0056146F">
        <w:rPr>
          <w:sz w:val="16"/>
          <w:szCs w:val="16"/>
        </w:rPr>
        <w:t>BdPN</w:t>
      </w:r>
      <w:proofErr w:type="spellEnd"/>
      <w:r w:rsidRPr="0056146F">
        <w:rPr>
          <w:sz w:val="16"/>
          <w:szCs w:val="16"/>
        </w:rPr>
        <w:t xml:space="preserve"> Nr 4 z 5 stycznia 2022 r.</w:t>
      </w:r>
    </w:p>
  </w:footnote>
  <w:footnote w:id="96">
    <w:p w14:paraId="286FC174" w14:textId="03A18C0B" w:rsidR="008C1E51" w:rsidRPr="0056146F" w:rsidRDefault="008C1E51" w:rsidP="008C1E51">
      <w:pPr>
        <w:pStyle w:val="Tekstprzypisudolnego"/>
        <w:rPr>
          <w:sz w:val="16"/>
          <w:szCs w:val="16"/>
        </w:rPr>
      </w:pPr>
      <w:r w:rsidRPr="0056146F">
        <w:rPr>
          <w:rStyle w:val="Odwoanieprzypisudolnego"/>
          <w:sz w:val="16"/>
          <w:szCs w:val="16"/>
        </w:rPr>
        <w:footnoteRef/>
      </w:r>
      <w:r w:rsidRPr="0056146F">
        <w:rPr>
          <w:sz w:val="16"/>
          <w:szCs w:val="16"/>
        </w:rPr>
        <w:t xml:space="preserve"> </w:t>
      </w:r>
      <w:r>
        <w:rPr>
          <w:sz w:val="16"/>
          <w:szCs w:val="16"/>
        </w:rPr>
        <w:t xml:space="preserve">Dz. U. z 2013 r., poz. 984 z </w:t>
      </w:r>
      <w:proofErr w:type="spellStart"/>
      <w:r>
        <w:rPr>
          <w:sz w:val="16"/>
          <w:szCs w:val="16"/>
        </w:rPr>
        <w:t>późn</w:t>
      </w:r>
      <w:proofErr w:type="spellEnd"/>
      <w:r>
        <w:rPr>
          <w:sz w:val="16"/>
          <w:szCs w:val="16"/>
        </w:rPr>
        <w:t xml:space="preserve">. Zmianami, </w:t>
      </w:r>
      <w:r w:rsidR="00211832" w:rsidRPr="0056146F">
        <w:rPr>
          <w:sz w:val="16"/>
          <w:szCs w:val="16"/>
        </w:rPr>
        <w:t>Dz. U</w:t>
      </w:r>
      <w:r w:rsidRPr="0056146F">
        <w:rPr>
          <w:sz w:val="16"/>
          <w:szCs w:val="16"/>
        </w:rPr>
        <w:t xml:space="preserve"> z 2019 r. poz. 2019</w:t>
      </w:r>
      <w:r>
        <w:rPr>
          <w:sz w:val="16"/>
          <w:szCs w:val="16"/>
        </w:rPr>
        <w:t>.</w:t>
      </w:r>
    </w:p>
  </w:footnote>
  <w:footnote w:id="97">
    <w:p w14:paraId="625D4293" w14:textId="247F117E" w:rsidR="008C1E51" w:rsidRPr="0056146F" w:rsidRDefault="008C1E51" w:rsidP="008C1E51">
      <w:pPr>
        <w:pStyle w:val="Tekstprzypisudolnego"/>
        <w:rPr>
          <w:sz w:val="16"/>
          <w:szCs w:val="16"/>
        </w:rPr>
      </w:pPr>
      <w:r w:rsidRPr="0056146F">
        <w:rPr>
          <w:rStyle w:val="Odwoanieprzypisudolnego"/>
          <w:sz w:val="16"/>
          <w:szCs w:val="16"/>
        </w:rPr>
        <w:footnoteRef/>
      </w:r>
      <w:r w:rsidRPr="0056146F">
        <w:rPr>
          <w:sz w:val="16"/>
          <w:szCs w:val="16"/>
        </w:rPr>
        <w:t xml:space="preserve"> Zarządz</w:t>
      </w:r>
      <w:r>
        <w:rPr>
          <w:sz w:val="16"/>
          <w:szCs w:val="16"/>
        </w:rPr>
        <w:t xml:space="preserve">enie nr 8 Dyrektora </w:t>
      </w:r>
      <w:proofErr w:type="spellStart"/>
      <w:r>
        <w:rPr>
          <w:sz w:val="16"/>
          <w:szCs w:val="16"/>
        </w:rPr>
        <w:t>BdPN</w:t>
      </w:r>
      <w:proofErr w:type="spellEnd"/>
      <w:r>
        <w:rPr>
          <w:sz w:val="16"/>
          <w:szCs w:val="16"/>
        </w:rPr>
        <w:t xml:space="preserve"> z 2 marca </w:t>
      </w:r>
      <w:r w:rsidRPr="0056146F">
        <w:rPr>
          <w:sz w:val="16"/>
          <w:szCs w:val="16"/>
        </w:rPr>
        <w:t xml:space="preserve">2017 r. w/s przeprowadzania zamówień na usługi z zakresu </w:t>
      </w:r>
      <w:r w:rsidR="00211832" w:rsidRPr="0056146F">
        <w:rPr>
          <w:sz w:val="16"/>
          <w:szCs w:val="16"/>
        </w:rPr>
        <w:t>leśnictwa, Zarządzenie</w:t>
      </w:r>
      <w:r>
        <w:rPr>
          <w:sz w:val="16"/>
          <w:szCs w:val="16"/>
        </w:rPr>
        <w:t xml:space="preserve"> nr 10 Dyrektora </w:t>
      </w:r>
      <w:proofErr w:type="spellStart"/>
      <w:r>
        <w:rPr>
          <w:sz w:val="16"/>
          <w:szCs w:val="16"/>
        </w:rPr>
        <w:t>BdPN</w:t>
      </w:r>
      <w:proofErr w:type="spellEnd"/>
      <w:r>
        <w:rPr>
          <w:sz w:val="16"/>
          <w:szCs w:val="16"/>
        </w:rPr>
        <w:t xml:space="preserve"> z 15 lutego </w:t>
      </w:r>
      <w:r w:rsidRPr="0056146F">
        <w:rPr>
          <w:sz w:val="16"/>
          <w:szCs w:val="16"/>
        </w:rPr>
        <w:t>2021 r. w/s przeprowadzania zamówień na usługi z zakresu leśnictwa</w:t>
      </w:r>
      <w:r>
        <w:rPr>
          <w:sz w:val="16"/>
          <w:szCs w:val="16"/>
        </w:rPr>
        <w:t>.</w:t>
      </w:r>
    </w:p>
  </w:footnote>
  <w:footnote w:id="98">
    <w:p w14:paraId="2ECFED86" w14:textId="77777777" w:rsidR="008C1E51" w:rsidRPr="000F7CAB" w:rsidRDefault="008C1E51" w:rsidP="008C1E51">
      <w:pPr>
        <w:pStyle w:val="Tekstprzypisudolnego"/>
        <w:rPr>
          <w:sz w:val="16"/>
          <w:szCs w:val="16"/>
        </w:rPr>
      </w:pPr>
      <w:r w:rsidRPr="000F7CAB">
        <w:rPr>
          <w:rStyle w:val="Odwoanieprzypisudolnego"/>
          <w:sz w:val="16"/>
          <w:szCs w:val="16"/>
        </w:rPr>
        <w:footnoteRef/>
      </w:r>
      <w:r w:rsidRPr="000F7CAB">
        <w:rPr>
          <w:sz w:val="16"/>
          <w:szCs w:val="16"/>
        </w:rPr>
        <w:t xml:space="preserve"> Dz. U. z 2016 r., poz. 2038</w:t>
      </w:r>
      <w:r>
        <w:rPr>
          <w:sz w:val="16"/>
          <w:szCs w:val="16"/>
        </w:rPr>
        <w:t>.</w:t>
      </w:r>
    </w:p>
  </w:footnote>
  <w:footnote w:id="99">
    <w:p w14:paraId="79D80BA3" w14:textId="77777777" w:rsidR="008C1E51" w:rsidRPr="000F7CAB" w:rsidRDefault="008C1E51" w:rsidP="008C1E51">
      <w:pPr>
        <w:pStyle w:val="Tekstprzypisudolnego"/>
        <w:rPr>
          <w:sz w:val="16"/>
          <w:szCs w:val="16"/>
        </w:rPr>
      </w:pPr>
      <w:r w:rsidRPr="000F7CAB">
        <w:rPr>
          <w:rStyle w:val="Odwoanieprzypisudolnego"/>
          <w:sz w:val="16"/>
          <w:szCs w:val="16"/>
        </w:rPr>
        <w:footnoteRef/>
      </w:r>
      <w:r w:rsidRPr="000F7CAB">
        <w:rPr>
          <w:sz w:val="16"/>
          <w:szCs w:val="16"/>
        </w:rPr>
        <w:t xml:space="preserve"> Zarządzenie nr 127 Dyrektora </w:t>
      </w:r>
      <w:proofErr w:type="spellStart"/>
      <w:r w:rsidRPr="000F7CAB">
        <w:rPr>
          <w:sz w:val="16"/>
          <w:szCs w:val="16"/>
        </w:rPr>
        <w:t>BdPN</w:t>
      </w:r>
      <w:proofErr w:type="spellEnd"/>
      <w:r w:rsidRPr="000F7CAB">
        <w:rPr>
          <w:sz w:val="16"/>
          <w:szCs w:val="16"/>
        </w:rPr>
        <w:t xml:space="preserve"> z 31.12.2012 r. w sprawie Regulaminu organizacyjnego</w:t>
      </w:r>
      <w:r>
        <w:rPr>
          <w:sz w:val="16"/>
          <w:szCs w:val="16"/>
        </w:rPr>
        <w:t>.</w:t>
      </w:r>
    </w:p>
  </w:footnote>
  <w:footnote w:id="100">
    <w:p w14:paraId="704363DF" w14:textId="77777777" w:rsidR="008C1E51" w:rsidRPr="000F7CAB" w:rsidRDefault="008C1E51" w:rsidP="008C1E51">
      <w:pPr>
        <w:pStyle w:val="Tekstprzypisudolnego"/>
        <w:rPr>
          <w:sz w:val="16"/>
          <w:szCs w:val="16"/>
        </w:rPr>
      </w:pPr>
      <w:r w:rsidRPr="000F7CAB">
        <w:rPr>
          <w:rStyle w:val="Odwoanieprzypisudolnego"/>
          <w:sz w:val="16"/>
          <w:szCs w:val="16"/>
        </w:rPr>
        <w:footnoteRef/>
      </w:r>
      <w:r>
        <w:rPr>
          <w:sz w:val="16"/>
          <w:szCs w:val="16"/>
        </w:rPr>
        <w:t xml:space="preserve"> </w:t>
      </w:r>
      <w:r w:rsidRPr="000F7CAB">
        <w:rPr>
          <w:sz w:val="16"/>
          <w:szCs w:val="16"/>
        </w:rPr>
        <w:t>Zarządzenie nr 2 z 8 stycznia 2013 r. Dyrektora Bieszczadzkiego Parku Narodowego w sprawie zasad powoływania komisji przetargowych oraz trybu pracy komisji</w:t>
      </w:r>
      <w:r>
        <w:rPr>
          <w:sz w:val="16"/>
          <w:szCs w:val="16"/>
        </w:rPr>
        <w:t>.</w:t>
      </w:r>
    </w:p>
  </w:footnote>
  <w:footnote w:id="101">
    <w:p w14:paraId="645B655C" w14:textId="77777777" w:rsidR="008C1E51" w:rsidRPr="000F7CAB" w:rsidRDefault="008C1E51" w:rsidP="008C1E51">
      <w:pPr>
        <w:pStyle w:val="Tekstprzypisudolnego"/>
        <w:rPr>
          <w:sz w:val="16"/>
          <w:szCs w:val="16"/>
        </w:rPr>
      </w:pPr>
      <w:r w:rsidRPr="000F7CAB">
        <w:rPr>
          <w:rStyle w:val="Odwoanieprzypisudolnego"/>
          <w:sz w:val="16"/>
          <w:szCs w:val="16"/>
        </w:rPr>
        <w:footnoteRef/>
      </w:r>
      <w:r w:rsidRPr="000F7CAB">
        <w:rPr>
          <w:sz w:val="16"/>
          <w:szCs w:val="16"/>
        </w:rPr>
        <w:t xml:space="preserve"> Dz.U. z 2018 r. poz. 1986</w:t>
      </w:r>
      <w:r>
        <w:rPr>
          <w:sz w:val="16"/>
          <w:szCs w:val="16"/>
        </w:rPr>
        <w:t>.</w:t>
      </w:r>
    </w:p>
  </w:footnote>
  <w:footnote w:id="102">
    <w:p w14:paraId="214C644C" w14:textId="77777777" w:rsidR="008C1E51" w:rsidRPr="00E9514E" w:rsidRDefault="008C1E51" w:rsidP="008C1E51">
      <w:pPr>
        <w:pStyle w:val="Tekstprzypisudolnego"/>
        <w:rPr>
          <w:sz w:val="16"/>
          <w:szCs w:val="16"/>
        </w:rPr>
      </w:pPr>
      <w:r w:rsidRPr="000F7CAB">
        <w:rPr>
          <w:rStyle w:val="Odwoanieprzypisudolnego"/>
          <w:sz w:val="16"/>
          <w:szCs w:val="16"/>
        </w:rPr>
        <w:footnoteRef/>
      </w:r>
      <w:r w:rsidRPr="000F7CAB">
        <w:rPr>
          <w:sz w:val="16"/>
          <w:szCs w:val="16"/>
        </w:rPr>
        <w:t xml:space="preserve"> Przekazanie do Prezesa UZP sprawozdań nastąpiło: za 2019 r. – 20 lutego 2020 r., za 2020 r. – 25 lutego 2021 r., za 2021 r. – 28 lutego 2022 r.</w:t>
      </w:r>
    </w:p>
  </w:footnote>
  <w:footnote w:id="103">
    <w:p w14:paraId="0AB08457" w14:textId="77777777" w:rsidR="008C1E51" w:rsidRPr="00460ED6" w:rsidRDefault="008C1E51" w:rsidP="008C1E51">
      <w:pPr>
        <w:pStyle w:val="Tekstprzypisudolnego"/>
        <w:rPr>
          <w:sz w:val="16"/>
          <w:szCs w:val="16"/>
        </w:rPr>
      </w:pPr>
      <w:r w:rsidRPr="00460ED6">
        <w:rPr>
          <w:rStyle w:val="Odwoanieprzypisudolnego"/>
          <w:sz w:val="16"/>
          <w:szCs w:val="16"/>
        </w:rPr>
        <w:footnoteRef/>
      </w:r>
      <w:r w:rsidRPr="00460ED6">
        <w:rPr>
          <w:sz w:val="16"/>
          <w:szCs w:val="16"/>
        </w:rPr>
        <w:t xml:space="preserve"> Na podstawie Tabeli nr 1 przekazanej przez Park 13 maja 2022 r.</w:t>
      </w:r>
    </w:p>
  </w:footnote>
  <w:footnote w:id="104">
    <w:p w14:paraId="30D1B115" w14:textId="77777777" w:rsidR="008C1E51" w:rsidRPr="0056146F" w:rsidRDefault="008C1E51" w:rsidP="008C1E51">
      <w:pPr>
        <w:pStyle w:val="Tekstprzypisudolnego"/>
        <w:rPr>
          <w:sz w:val="16"/>
          <w:szCs w:val="16"/>
        </w:rPr>
      </w:pPr>
      <w:r w:rsidRPr="0056146F">
        <w:rPr>
          <w:rStyle w:val="Odwoanieprzypisudolnego"/>
          <w:sz w:val="16"/>
          <w:szCs w:val="16"/>
        </w:rPr>
        <w:footnoteRef/>
      </w:r>
      <w:r w:rsidRPr="0056146F">
        <w:rPr>
          <w:sz w:val="16"/>
          <w:szCs w:val="16"/>
        </w:rPr>
        <w:t xml:space="preserve"> </w:t>
      </w:r>
      <w:r w:rsidRPr="0056146F">
        <w:rPr>
          <w:rFonts w:cs="Times New Roman"/>
          <w:sz w:val="16"/>
          <w:szCs w:val="16"/>
        </w:rPr>
        <w:t>Realizacja zabiegów rolnych na łąkach kośnych w tym wykonanie paszy dla zwierząt w Bieszczadzkim Parku Narodowym w 2021 r.", umowy nr OP-1/K/2021, OP-2/K/2021, OP-3/K/2021, OP-4/K/2021, OP-5/K/2021, OP-6/K/2021 (wszystkie umowy z datą 11</w:t>
      </w:r>
      <w:r>
        <w:rPr>
          <w:rFonts w:cs="Times New Roman"/>
          <w:sz w:val="16"/>
          <w:szCs w:val="16"/>
        </w:rPr>
        <w:t xml:space="preserve"> czerwca </w:t>
      </w:r>
      <w:r w:rsidRPr="0056146F">
        <w:rPr>
          <w:rFonts w:cs="Times New Roman"/>
          <w:sz w:val="16"/>
          <w:szCs w:val="16"/>
        </w:rPr>
        <w:t>2021 r.)</w:t>
      </w:r>
    </w:p>
  </w:footnote>
  <w:footnote w:id="105">
    <w:p w14:paraId="7783444C" w14:textId="77777777" w:rsidR="008C1E51" w:rsidRDefault="008C1E51" w:rsidP="008C1E51">
      <w:pPr>
        <w:pStyle w:val="Tekstprzypisudolnego"/>
      </w:pPr>
      <w:r w:rsidRPr="006E03C3">
        <w:rPr>
          <w:rStyle w:val="Odwoanieprzypisudolnego"/>
          <w:sz w:val="16"/>
          <w:szCs w:val="16"/>
        </w:rPr>
        <w:footnoteRef/>
      </w:r>
      <w:r w:rsidRPr="006E03C3">
        <w:rPr>
          <w:sz w:val="16"/>
          <w:szCs w:val="16"/>
        </w:rPr>
        <w:t xml:space="preserve"> Wyjaśnienia </w:t>
      </w:r>
      <w:r w:rsidRPr="0056146F">
        <w:rPr>
          <w:sz w:val="16"/>
          <w:szCs w:val="16"/>
        </w:rPr>
        <w:t>przekazane mailem z 26</w:t>
      </w:r>
      <w:r>
        <w:rPr>
          <w:sz w:val="16"/>
          <w:szCs w:val="16"/>
        </w:rPr>
        <w:t xml:space="preserve"> października </w:t>
      </w:r>
      <w:r w:rsidRPr="0056146F">
        <w:rPr>
          <w:sz w:val="16"/>
          <w:szCs w:val="16"/>
        </w:rPr>
        <w:t xml:space="preserve">2022 r. </w:t>
      </w:r>
    </w:p>
  </w:footnote>
  <w:footnote w:id="106">
    <w:p w14:paraId="01E0175E" w14:textId="5F41725A" w:rsidR="008C1E51" w:rsidRPr="00D63025" w:rsidRDefault="008C1E51" w:rsidP="008C1E51">
      <w:pPr>
        <w:pStyle w:val="Tekstprzypisudolnego"/>
        <w:rPr>
          <w:sz w:val="16"/>
          <w:szCs w:val="16"/>
        </w:rPr>
      </w:pPr>
      <w:r w:rsidRPr="00D63025">
        <w:rPr>
          <w:rStyle w:val="Odwoanieprzypisudolnego"/>
          <w:sz w:val="16"/>
          <w:szCs w:val="16"/>
        </w:rPr>
        <w:footnoteRef/>
      </w:r>
      <w:r w:rsidRPr="00D63025">
        <w:rPr>
          <w:sz w:val="16"/>
          <w:szCs w:val="16"/>
        </w:rPr>
        <w:t xml:space="preserve"> Stan na dzień 13 maja </w:t>
      </w:r>
      <w:r w:rsidR="00211832" w:rsidRPr="00D63025">
        <w:rPr>
          <w:sz w:val="16"/>
          <w:szCs w:val="16"/>
        </w:rPr>
        <w:t>2022 r.</w:t>
      </w:r>
    </w:p>
  </w:footnote>
  <w:footnote w:id="107">
    <w:p w14:paraId="0CED1917" w14:textId="77777777" w:rsidR="008C1E51" w:rsidRPr="00D63025" w:rsidRDefault="008C1E51" w:rsidP="008C1E51">
      <w:pPr>
        <w:pStyle w:val="Tekstprzypisudolnego"/>
        <w:rPr>
          <w:sz w:val="16"/>
          <w:szCs w:val="16"/>
        </w:rPr>
      </w:pPr>
      <w:r w:rsidRPr="00D63025">
        <w:rPr>
          <w:rStyle w:val="Odwoanieprzypisudolnego"/>
          <w:sz w:val="16"/>
          <w:szCs w:val="16"/>
        </w:rPr>
        <w:footnoteRef/>
      </w:r>
      <w:r w:rsidRPr="00D63025">
        <w:rPr>
          <w:sz w:val="16"/>
          <w:szCs w:val="16"/>
        </w:rPr>
        <w:t xml:space="preserve"> Ewidencja środków trwałych </w:t>
      </w:r>
    </w:p>
  </w:footnote>
  <w:footnote w:id="108">
    <w:p w14:paraId="7EE833B6" w14:textId="51906934" w:rsidR="008C1E51" w:rsidRPr="00CB5F93" w:rsidRDefault="008C1E51" w:rsidP="008C1E51">
      <w:pPr>
        <w:spacing w:after="0" w:line="240" w:lineRule="auto"/>
        <w:rPr>
          <w:sz w:val="16"/>
          <w:szCs w:val="16"/>
        </w:rPr>
      </w:pPr>
      <w:r w:rsidRPr="00D63025">
        <w:rPr>
          <w:rStyle w:val="Odwoanieprzypisudolnego"/>
          <w:sz w:val="16"/>
          <w:szCs w:val="16"/>
        </w:rPr>
        <w:footnoteRef/>
      </w:r>
      <w:r w:rsidRPr="00D63025">
        <w:rPr>
          <w:sz w:val="16"/>
          <w:szCs w:val="16"/>
        </w:rPr>
        <w:t xml:space="preserve"> Zarządzenie nr 29/</w:t>
      </w:r>
      <w:r w:rsidR="00211832" w:rsidRPr="00D63025">
        <w:rPr>
          <w:sz w:val="16"/>
          <w:szCs w:val="16"/>
        </w:rPr>
        <w:t>2015 Dyrektora</w:t>
      </w:r>
      <w:r w:rsidRPr="00D63025">
        <w:rPr>
          <w:sz w:val="16"/>
          <w:szCs w:val="16"/>
        </w:rPr>
        <w:t xml:space="preserve"> Bieszczadzkiego Parku Narodowego z 26 czerwca 2015 r. w sprawie rozporządzania </w:t>
      </w:r>
      <w:r w:rsidR="00211832" w:rsidRPr="00D63025">
        <w:rPr>
          <w:sz w:val="16"/>
          <w:szCs w:val="16"/>
        </w:rPr>
        <w:t>nieruchomościami Bieszczadzkiego</w:t>
      </w:r>
      <w:r w:rsidRPr="00D63025">
        <w:rPr>
          <w:sz w:val="16"/>
          <w:szCs w:val="16"/>
        </w:rPr>
        <w:t xml:space="preserve"> Parku Narodowego</w:t>
      </w:r>
      <w:r>
        <w:rPr>
          <w:sz w:val="16"/>
          <w:szCs w:val="16"/>
        </w:rPr>
        <w:t xml:space="preserve">, </w:t>
      </w:r>
      <w:r w:rsidRPr="00D63025">
        <w:rPr>
          <w:sz w:val="16"/>
          <w:szCs w:val="16"/>
        </w:rPr>
        <w:t xml:space="preserve">Regulamin w sprawie przeprowadzania przetargów oraz rokowań na rozporządzanie nieruchomościami </w:t>
      </w:r>
      <w:proofErr w:type="spellStart"/>
      <w:r w:rsidRPr="00D63025">
        <w:rPr>
          <w:sz w:val="16"/>
          <w:szCs w:val="16"/>
        </w:rPr>
        <w:t>BdPN</w:t>
      </w:r>
      <w:proofErr w:type="spellEnd"/>
      <w:r w:rsidRPr="00D63025">
        <w:rPr>
          <w:sz w:val="16"/>
          <w:szCs w:val="16"/>
        </w:rPr>
        <w:t xml:space="preserve"> (Załącznik nr 3 do Zarządzenia nr 29/2015)</w:t>
      </w:r>
      <w:r>
        <w:rPr>
          <w:sz w:val="16"/>
          <w:szCs w:val="16"/>
        </w:rPr>
        <w:t>.</w:t>
      </w:r>
    </w:p>
  </w:footnote>
  <w:footnote w:id="109">
    <w:p w14:paraId="2D14D255" w14:textId="77777777" w:rsidR="008C1E51" w:rsidRPr="00CB5F93" w:rsidRDefault="008C1E51" w:rsidP="008C1E51">
      <w:pPr>
        <w:pStyle w:val="Tekstprzypisudolnego"/>
        <w:rPr>
          <w:sz w:val="16"/>
          <w:szCs w:val="16"/>
        </w:rPr>
      </w:pPr>
      <w:r w:rsidRPr="00CB5F93">
        <w:rPr>
          <w:rStyle w:val="Odwoanieprzypisudolnego"/>
          <w:sz w:val="16"/>
          <w:szCs w:val="16"/>
        </w:rPr>
        <w:footnoteRef/>
      </w:r>
      <w:r w:rsidRPr="00CB5F93">
        <w:rPr>
          <w:sz w:val="16"/>
          <w:szCs w:val="16"/>
        </w:rPr>
        <w:t xml:space="preserve"> Zarządzenie Dyrektora </w:t>
      </w:r>
      <w:proofErr w:type="spellStart"/>
      <w:r w:rsidRPr="00CB5F93">
        <w:rPr>
          <w:sz w:val="16"/>
          <w:szCs w:val="16"/>
        </w:rPr>
        <w:t>BdPN</w:t>
      </w:r>
      <w:proofErr w:type="spellEnd"/>
      <w:r w:rsidRPr="00CB5F93">
        <w:rPr>
          <w:sz w:val="16"/>
          <w:szCs w:val="16"/>
        </w:rPr>
        <w:t xml:space="preserve"> z 31.12.2012 r. w sprawie Regulaminu Organizacyjnego </w:t>
      </w:r>
      <w:proofErr w:type="spellStart"/>
      <w:r w:rsidRPr="00CB5F93">
        <w:rPr>
          <w:sz w:val="16"/>
          <w:szCs w:val="16"/>
        </w:rPr>
        <w:t>BdPN</w:t>
      </w:r>
      <w:proofErr w:type="spellEnd"/>
      <w:r>
        <w:rPr>
          <w:sz w:val="16"/>
          <w:szCs w:val="16"/>
        </w:rPr>
        <w:t xml:space="preserve">. </w:t>
      </w:r>
    </w:p>
    <w:p w14:paraId="12D5CFF0" w14:textId="77777777" w:rsidR="008C1E51" w:rsidRPr="00CB5F93" w:rsidRDefault="008C1E51" w:rsidP="008C1E51">
      <w:pPr>
        <w:pStyle w:val="Tekstprzypisudolnego"/>
        <w:rPr>
          <w:sz w:val="16"/>
          <w:szCs w:val="16"/>
        </w:rPr>
      </w:pPr>
      <w:r w:rsidRPr="00CB5F93">
        <w:rPr>
          <w:sz w:val="16"/>
          <w:szCs w:val="16"/>
        </w:rPr>
        <w:t xml:space="preserve">Zarządzenie Dyrektora </w:t>
      </w:r>
      <w:proofErr w:type="spellStart"/>
      <w:r w:rsidRPr="00CB5F93">
        <w:rPr>
          <w:sz w:val="16"/>
          <w:szCs w:val="16"/>
        </w:rPr>
        <w:t>BdPN</w:t>
      </w:r>
      <w:proofErr w:type="spellEnd"/>
      <w:r w:rsidRPr="00CB5F93">
        <w:rPr>
          <w:sz w:val="16"/>
          <w:szCs w:val="16"/>
        </w:rPr>
        <w:t xml:space="preserve"> nr 52 z 31 grudnia 2020 r. w sprawie Regulaminu Organizacyjnego </w:t>
      </w:r>
      <w:proofErr w:type="spellStart"/>
      <w:r w:rsidRPr="00CB5F93">
        <w:rPr>
          <w:sz w:val="16"/>
          <w:szCs w:val="16"/>
        </w:rPr>
        <w:t>BdPN</w:t>
      </w:r>
      <w:proofErr w:type="spellEnd"/>
      <w:r>
        <w:rPr>
          <w:sz w:val="16"/>
          <w:szCs w:val="16"/>
        </w:rPr>
        <w:t xml:space="preserve">. </w:t>
      </w:r>
    </w:p>
  </w:footnote>
  <w:footnote w:id="110">
    <w:p w14:paraId="2F96E17C" w14:textId="77777777" w:rsidR="008C1E51" w:rsidRPr="00CB5F93" w:rsidRDefault="008C1E51" w:rsidP="008C1E51">
      <w:pPr>
        <w:pStyle w:val="Tekstprzypisudolnego"/>
        <w:rPr>
          <w:rFonts w:cstheme="minorHAnsi"/>
          <w:sz w:val="16"/>
          <w:szCs w:val="16"/>
        </w:rPr>
      </w:pPr>
      <w:r w:rsidRPr="00CB5F93">
        <w:rPr>
          <w:rStyle w:val="Odwoanieprzypisudolnego"/>
          <w:rFonts w:cstheme="minorHAnsi"/>
          <w:sz w:val="16"/>
          <w:szCs w:val="16"/>
        </w:rPr>
        <w:footnoteRef/>
      </w:r>
      <w:r w:rsidRPr="00CB5F93">
        <w:rPr>
          <w:rFonts w:cstheme="minorHAnsi"/>
          <w:sz w:val="16"/>
          <w:szCs w:val="16"/>
        </w:rPr>
        <w:t xml:space="preserve"> Co wynika z zakresu obowiązków służbowych, uprawnień i odpowiedzialności pracownika Działu Księgowości.</w:t>
      </w:r>
    </w:p>
  </w:footnote>
  <w:footnote w:id="111">
    <w:p w14:paraId="4A552DD5" w14:textId="77777777" w:rsidR="008C1E51" w:rsidRPr="00216BAF" w:rsidRDefault="008C1E51" w:rsidP="008C1E51">
      <w:pPr>
        <w:pStyle w:val="Tekstprzypisudolnego"/>
        <w:rPr>
          <w:sz w:val="16"/>
          <w:szCs w:val="16"/>
        </w:rPr>
      </w:pPr>
      <w:r w:rsidRPr="00216BAF">
        <w:rPr>
          <w:rStyle w:val="Odwoanieprzypisudolnego"/>
          <w:sz w:val="16"/>
          <w:szCs w:val="16"/>
        </w:rPr>
        <w:footnoteRef/>
      </w:r>
      <w:r w:rsidRPr="00216BAF">
        <w:rPr>
          <w:sz w:val="16"/>
          <w:szCs w:val="16"/>
        </w:rPr>
        <w:t xml:space="preserve"> Zarządzenie nr 45 Dyrektora </w:t>
      </w:r>
      <w:proofErr w:type="spellStart"/>
      <w:r w:rsidRPr="00216BAF">
        <w:rPr>
          <w:sz w:val="16"/>
          <w:szCs w:val="16"/>
        </w:rPr>
        <w:t>BdPN</w:t>
      </w:r>
      <w:proofErr w:type="spellEnd"/>
      <w:r w:rsidRPr="00216BAF">
        <w:rPr>
          <w:sz w:val="16"/>
          <w:szCs w:val="16"/>
        </w:rPr>
        <w:t xml:space="preserve"> z 7 maja 2013 r. zmieniające zarządzenie w sprawie przyjętej polityki rachunkowości i Zakładowego Planu Kont w </w:t>
      </w:r>
      <w:proofErr w:type="spellStart"/>
      <w:r w:rsidRPr="00216BAF">
        <w:rPr>
          <w:sz w:val="16"/>
          <w:szCs w:val="16"/>
        </w:rPr>
        <w:t>BdPN</w:t>
      </w:r>
      <w:proofErr w:type="spellEnd"/>
      <w:r>
        <w:rPr>
          <w:sz w:val="16"/>
          <w:szCs w:val="16"/>
        </w:rPr>
        <w:t>.</w:t>
      </w:r>
    </w:p>
  </w:footnote>
  <w:footnote w:id="112">
    <w:p w14:paraId="40CC31C6" w14:textId="77777777" w:rsidR="008C1E51" w:rsidRPr="00216BAF" w:rsidRDefault="008C1E51" w:rsidP="008C1E51">
      <w:pPr>
        <w:pStyle w:val="Tekstprzypisudolnego"/>
        <w:rPr>
          <w:rFonts w:cs="Times New Roman"/>
          <w:sz w:val="16"/>
          <w:szCs w:val="16"/>
        </w:rPr>
      </w:pPr>
      <w:r w:rsidRPr="00216BAF">
        <w:rPr>
          <w:rStyle w:val="Odwoanieprzypisudolnego"/>
          <w:rFonts w:cs="Times New Roman"/>
          <w:sz w:val="16"/>
          <w:szCs w:val="16"/>
        </w:rPr>
        <w:footnoteRef/>
      </w:r>
      <w:r w:rsidRPr="00216BAF">
        <w:rPr>
          <w:rFonts w:cs="Times New Roman"/>
          <w:sz w:val="16"/>
          <w:szCs w:val="16"/>
        </w:rPr>
        <w:t xml:space="preserve"> Polisy nr: 64297947 (okres ubezpieczenia: 1</w:t>
      </w:r>
      <w:r>
        <w:rPr>
          <w:rFonts w:cs="Times New Roman"/>
          <w:sz w:val="16"/>
          <w:szCs w:val="16"/>
        </w:rPr>
        <w:t xml:space="preserve"> stycznia </w:t>
      </w:r>
      <w:r w:rsidRPr="00216BAF">
        <w:rPr>
          <w:rFonts w:cs="Times New Roman"/>
          <w:sz w:val="16"/>
          <w:szCs w:val="16"/>
        </w:rPr>
        <w:t xml:space="preserve">2019 </w:t>
      </w:r>
      <w:r>
        <w:rPr>
          <w:rFonts w:cs="Times New Roman"/>
          <w:sz w:val="16"/>
          <w:szCs w:val="16"/>
        </w:rPr>
        <w:t xml:space="preserve">r. </w:t>
      </w:r>
      <w:r w:rsidRPr="00216BAF">
        <w:rPr>
          <w:rFonts w:cs="Times New Roman"/>
          <w:sz w:val="16"/>
          <w:szCs w:val="16"/>
        </w:rPr>
        <w:t>do 31</w:t>
      </w:r>
      <w:r>
        <w:rPr>
          <w:rFonts w:cs="Times New Roman"/>
          <w:sz w:val="16"/>
          <w:szCs w:val="16"/>
        </w:rPr>
        <w:t xml:space="preserve"> grudnia </w:t>
      </w:r>
      <w:r w:rsidRPr="00216BAF">
        <w:rPr>
          <w:rFonts w:cs="Times New Roman"/>
          <w:sz w:val="16"/>
          <w:szCs w:val="16"/>
        </w:rPr>
        <w:t>2019</w:t>
      </w:r>
      <w:r>
        <w:rPr>
          <w:rFonts w:cs="Times New Roman"/>
          <w:sz w:val="16"/>
          <w:szCs w:val="16"/>
        </w:rPr>
        <w:t xml:space="preserve"> r.</w:t>
      </w:r>
      <w:r w:rsidRPr="00216BAF">
        <w:rPr>
          <w:rFonts w:cs="Times New Roman"/>
          <w:sz w:val="16"/>
          <w:szCs w:val="16"/>
        </w:rPr>
        <w:t>), 64953187 (okres ubezpieczenia: 1</w:t>
      </w:r>
      <w:r>
        <w:rPr>
          <w:rFonts w:cs="Times New Roman"/>
          <w:sz w:val="16"/>
          <w:szCs w:val="16"/>
        </w:rPr>
        <w:t xml:space="preserve"> stycznia </w:t>
      </w:r>
      <w:r w:rsidRPr="00216BAF">
        <w:rPr>
          <w:rFonts w:cs="Times New Roman"/>
          <w:sz w:val="16"/>
          <w:szCs w:val="16"/>
        </w:rPr>
        <w:t xml:space="preserve">2020 </w:t>
      </w:r>
      <w:r>
        <w:rPr>
          <w:rFonts w:cs="Times New Roman"/>
          <w:sz w:val="16"/>
          <w:szCs w:val="16"/>
        </w:rPr>
        <w:t xml:space="preserve">r. </w:t>
      </w:r>
      <w:r w:rsidRPr="00216BAF">
        <w:rPr>
          <w:rFonts w:cs="Times New Roman"/>
          <w:sz w:val="16"/>
          <w:szCs w:val="16"/>
        </w:rPr>
        <w:t>do 31</w:t>
      </w:r>
      <w:r>
        <w:rPr>
          <w:rFonts w:cs="Times New Roman"/>
          <w:sz w:val="16"/>
          <w:szCs w:val="16"/>
        </w:rPr>
        <w:t xml:space="preserve"> grudnia </w:t>
      </w:r>
      <w:r w:rsidRPr="00216BAF">
        <w:rPr>
          <w:rFonts w:cs="Times New Roman"/>
          <w:sz w:val="16"/>
          <w:szCs w:val="16"/>
        </w:rPr>
        <w:t>2020</w:t>
      </w:r>
      <w:r>
        <w:rPr>
          <w:rFonts w:cs="Times New Roman"/>
          <w:sz w:val="16"/>
          <w:szCs w:val="16"/>
        </w:rPr>
        <w:t xml:space="preserve"> r.</w:t>
      </w:r>
      <w:r w:rsidRPr="00216BAF">
        <w:rPr>
          <w:rFonts w:cs="Times New Roman"/>
          <w:sz w:val="16"/>
          <w:szCs w:val="16"/>
        </w:rPr>
        <w:t>), 65514039 (okres ubezpieczenia: 1</w:t>
      </w:r>
      <w:r>
        <w:rPr>
          <w:rFonts w:cs="Times New Roman"/>
          <w:sz w:val="16"/>
          <w:szCs w:val="16"/>
        </w:rPr>
        <w:t xml:space="preserve"> stycznia </w:t>
      </w:r>
      <w:r w:rsidRPr="00216BAF">
        <w:rPr>
          <w:rFonts w:cs="Times New Roman"/>
          <w:sz w:val="16"/>
          <w:szCs w:val="16"/>
        </w:rPr>
        <w:t xml:space="preserve">2021 </w:t>
      </w:r>
      <w:r>
        <w:rPr>
          <w:rFonts w:cs="Times New Roman"/>
          <w:sz w:val="16"/>
          <w:szCs w:val="16"/>
        </w:rPr>
        <w:t xml:space="preserve">r. </w:t>
      </w:r>
      <w:r w:rsidRPr="00216BAF">
        <w:rPr>
          <w:rFonts w:cs="Times New Roman"/>
          <w:sz w:val="16"/>
          <w:szCs w:val="16"/>
        </w:rPr>
        <w:t xml:space="preserve">do </w:t>
      </w:r>
      <w:r>
        <w:rPr>
          <w:rFonts w:cs="Times New Roman"/>
          <w:sz w:val="16"/>
          <w:szCs w:val="16"/>
        </w:rPr>
        <w:br/>
      </w:r>
      <w:r w:rsidRPr="00216BAF">
        <w:rPr>
          <w:rFonts w:cs="Times New Roman"/>
          <w:sz w:val="16"/>
          <w:szCs w:val="16"/>
        </w:rPr>
        <w:t>31</w:t>
      </w:r>
      <w:r>
        <w:rPr>
          <w:rFonts w:cs="Times New Roman"/>
          <w:sz w:val="16"/>
          <w:szCs w:val="16"/>
        </w:rPr>
        <w:t xml:space="preserve"> grudnia </w:t>
      </w:r>
      <w:r w:rsidRPr="00216BAF">
        <w:rPr>
          <w:rFonts w:cs="Times New Roman"/>
          <w:sz w:val="16"/>
          <w:szCs w:val="16"/>
        </w:rPr>
        <w:t>2021</w:t>
      </w:r>
      <w:r>
        <w:rPr>
          <w:rFonts w:cs="Times New Roman"/>
          <w:sz w:val="16"/>
          <w:szCs w:val="16"/>
        </w:rPr>
        <w:t xml:space="preserve"> r.</w:t>
      </w:r>
      <w:r w:rsidRPr="00216BAF">
        <w:rPr>
          <w:rFonts w:cs="Times New Roman"/>
          <w:sz w:val="16"/>
          <w:szCs w:val="16"/>
        </w:rPr>
        <w:t>)</w:t>
      </w:r>
      <w:r>
        <w:rPr>
          <w:rFonts w:cs="Times New Roman"/>
          <w:sz w:val="16"/>
          <w:szCs w:val="16"/>
        </w:rPr>
        <w:t>.</w:t>
      </w:r>
    </w:p>
  </w:footnote>
  <w:footnote w:id="113">
    <w:p w14:paraId="749E5A42" w14:textId="77777777" w:rsidR="008C1E51" w:rsidRPr="00735B35" w:rsidRDefault="008C1E51" w:rsidP="008C1E51">
      <w:pPr>
        <w:pStyle w:val="Tekstprzypisudolnego"/>
        <w:rPr>
          <w:sz w:val="16"/>
          <w:szCs w:val="16"/>
        </w:rPr>
      </w:pPr>
      <w:r w:rsidRPr="00735B35">
        <w:rPr>
          <w:rStyle w:val="Odwoanieprzypisudolnego"/>
          <w:sz w:val="16"/>
          <w:szCs w:val="16"/>
        </w:rPr>
        <w:footnoteRef/>
      </w:r>
      <w:r w:rsidRPr="00735B35">
        <w:rPr>
          <w:sz w:val="16"/>
          <w:szCs w:val="16"/>
        </w:rPr>
        <w:t xml:space="preserve">  </w:t>
      </w:r>
      <w:r>
        <w:rPr>
          <w:sz w:val="16"/>
          <w:szCs w:val="16"/>
        </w:rPr>
        <w:t xml:space="preserve">Pismo </w:t>
      </w:r>
      <w:proofErr w:type="spellStart"/>
      <w:r>
        <w:rPr>
          <w:sz w:val="16"/>
          <w:szCs w:val="16"/>
        </w:rPr>
        <w:t>BdPN</w:t>
      </w:r>
      <w:proofErr w:type="spellEnd"/>
      <w:r>
        <w:rPr>
          <w:sz w:val="16"/>
          <w:szCs w:val="16"/>
        </w:rPr>
        <w:t xml:space="preserve"> z 29.09.2022 r.</w:t>
      </w:r>
    </w:p>
  </w:footnote>
  <w:footnote w:id="114">
    <w:p w14:paraId="79F9944D" w14:textId="77777777" w:rsidR="008C1E51" w:rsidRPr="00735B35" w:rsidRDefault="008C1E51" w:rsidP="008C1E51">
      <w:pPr>
        <w:pStyle w:val="Tekstprzypisudolnego"/>
        <w:rPr>
          <w:sz w:val="16"/>
          <w:szCs w:val="16"/>
        </w:rPr>
      </w:pPr>
      <w:r w:rsidRPr="00735B35">
        <w:rPr>
          <w:rStyle w:val="Odwoanieprzypisudolnego"/>
          <w:sz w:val="16"/>
          <w:szCs w:val="16"/>
        </w:rPr>
        <w:footnoteRef/>
      </w:r>
      <w:r w:rsidRPr="00735B35">
        <w:rPr>
          <w:sz w:val="16"/>
          <w:szCs w:val="16"/>
        </w:rPr>
        <w:t xml:space="preserve"> Syntetyczna strategia gospodarowania lokalami mieszkalnymi w zarządzie </w:t>
      </w:r>
      <w:proofErr w:type="spellStart"/>
      <w:r w:rsidRPr="00735B35">
        <w:rPr>
          <w:sz w:val="16"/>
          <w:szCs w:val="16"/>
        </w:rPr>
        <w:t>BdPN</w:t>
      </w:r>
      <w:proofErr w:type="spellEnd"/>
      <w:r w:rsidRPr="00735B35">
        <w:rPr>
          <w:sz w:val="16"/>
          <w:szCs w:val="16"/>
        </w:rPr>
        <w:t xml:space="preserve"> z 28 maja 2008 r. aneks nr </w:t>
      </w:r>
      <w:r w:rsidRPr="00735B35">
        <w:rPr>
          <w:sz w:val="16"/>
          <w:szCs w:val="16"/>
        </w:rPr>
        <w:br/>
        <w:t>1 z 28 czerwca 2010 r. do Strategii</w:t>
      </w:r>
      <w:r>
        <w:rPr>
          <w:sz w:val="16"/>
          <w:szCs w:val="16"/>
        </w:rPr>
        <w:t>.</w:t>
      </w:r>
      <w:r w:rsidRPr="00735B35">
        <w:rPr>
          <w:sz w:val="16"/>
          <w:szCs w:val="16"/>
        </w:rPr>
        <w:t xml:space="preserve"> </w:t>
      </w:r>
    </w:p>
  </w:footnote>
  <w:footnote w:id="115">
    <w:p w14:paraId="76BB57C3" w14:textId="77777777" w:rsidR="008C1E51" w:rsidRPr="00735B35" w:rsidRDefault="008C1E51" w:rsidP="008C1E51">
      <w:pPr>
        <w:pStyle w:val="Tekstprzypisudolnego"/>
        <w:rPr>
          <w:sz w:val="16"/>
          <w:szCs w:val="16"/>
        </w:rPr>
      </w:pPr>
      <w:r w:rsidRPr="00735B35">
        <w:rPr>
          <w:rStyle w:val="Odwoanieprzypisudolnego"/>
          <w:sz w:val="16"/>
          <w:szCs w:val="16"/>
        </w:rPr>
        <w:footnoteRef/>
      </w:r>
      <w:r w:rsidRPr="00735B35">
        <w:rPr>
          <w:sz w:val="16"/>
          <w:szCs w:val="16"/>
        </w:rPr>
        <w:t xml:space="preserve"> </w:t>
      </w:r>
      <w:r>
        <w:rPr>
          <w:sz w:val="16"/>
          <w:szCs w:val="16"/>
        </w:rPr>
        <w:t xml:space="preserve">Pismo </w:t>
      </w:r>
      <w:proofErr w:type="spellStart"/>
      <w:r>
        <w:rPr>
          <w:sz w:val="16"/>
          <w:szCs w:val="16"/>
        </w:rPr>
        <w:t>BdPN</w:t>
      </w:r>
      <w:proofErr w:type="spellEnd"/>
      <w:r>
        <w:rPr>
          <w:sz w:val="16"/>
          <w:szCs w:val="16"/>
        </w:rPr>
        <w:t xml:space="preserve"> z 29.09.2022 r.</w:t>
      </w:r>
    </w:p>
  </w:footnote>
  <w:footnote w:id="116">
    <w:p w14:paraId="0C22D58B" w14:textId="77777777" w:rsidR="008C1E51" w:rsidRPr="003624DB" w:rsidRDefault="008C1E51" w:rsidP="008C1E51">
      <w:pPr>
        <w:pStyle w:val="Tekstprzypisudolnego"/>
        <w:rPr>
          <w:sz w:val="16"/>
          <w:szCs w:val="16"/>
        </w:rPr>
      </w:pPr>
      <w:r w:rsidRPr="003624DB">
        <w:rPr>
          <w:rStyle w:val="Odwoanieprzypisudolnego"/>
          <w:sz w:val="16"/>
          <w:szCs w:val="16"/>
        </w:rPr>
        <w:footnoteRef/>
      </w:r>
      <w:r w:rsidRPr="003624DB">
        <w:rPr>
          <w:sz w:val="16"/>
          <w:szCs w:val="16"/>
        </w:rPr>
        <w:t xml:space="preserve"> Roczne plany remontów na: 2019, 2020, 2021 i 2022 r. </w:t>
      </w:r>
    </w:p>
  </w:footnote>
  <w:footnote w:id="117">
    <w:p w14:paraId="2F66F928" w14:textId="77777777" w:rsidR="008C1E51" w:rsidRPr="003624DB" w:rsidRDefault="008C1E51" w:rsidP="008C1E51">
      <w:pPr>
        <w:spacing w:after="0" w:line="240" w:lineRule="auto"/>
        <w:rPr>
          <w:sz w:val="16"/>
          <w:szCs w:val="16"/>
        </w:rPr>
      </w:pPr>
      <w:r w:rsidRPr="003624DB">
        <w:rPr>
          <w:rStyle w:val="Odwoanieprzypisudolnego"/>
          <w:sz w:val="16"/>
          <w:szCs w:val="16"/>
        </w:rPr>
        <w:footnoteRef/>
      </w:r>
      <w:r w:rsidRPr="003624DB">
        <w:rPr>
          <w:sz w:val="16"/>
          <w:szCs w:val="16"/>
        </w:rPr>
        <w:t xml:space="preserve"> Zarządzenie nr 29/2015 Dyrektora Bieszczadzkiego Parku Narodowego z 26 czerwca 2015 r. w sprawie rozporządzania nieruchomościami Bieszczadzkiego Parku Narodowego, </w:t>
      </w:r>
    </w:p>
  </w:footnote>
  <w:footnote w:id="118">
    <w:p w14:paraId="1C714E32" w14:textId="77777777" w:rsidR="008C1E51" w:rsidRPr="003624DB" w:rsidRDefault="008C1E51" w:rsidP="008C1E51">
      <w:pPr>
        <w:pStyle w:val="Tekstprzypisudolnego"/>
        <w:rPr>
          <w:rFonts w:cs="Times New Roman"/>
          <w:sz w:val="16"/>
          <w:szCs w:val="16"/>
        </w:rPr>
      </w:pPr>
      <w:r w:rsidRPr="003624DB">
        <w:rPr>
          <w:rStyle w:val="Odwoanieprzypisudolnego"/>
          <w:rFonts w:cs="Times New Roman"/>
          <w:sz w:val="16"/>
          <w:szCs w:val="16"/>
        </w:rPr>
        <w:footnoteRef/>
      </w:r>
      <w:r w:rsidRPr="003624DB">
        <w:rPr>
          <w:rFonts w:cs="Times New Roman"/>
          <w:sz w:val="16"/>
          <w:szCs w:val="16"/>
        </w:rPr>
        <w:t xml:space="preserve"> w okresie od 2019 r. do 30 czerwca 2022 r. </w:t>
      </w:r>
    </w:p>
  </w:footnote>
  <w:footnote w:id="119">
    <w:p w14:paraId="41D1A5C3" w14:textId="77777777" w:rsidR="008C1E51" w:rsidRPr="003624DB" w:rsidRDefault="008C1E51" w:rsidP="008C1E51">
      <w:pPr>
        <w:pStyle w:val="Tekstprzypisudolnego"/>
        <w:rPr>
          <w:sz w:val="16"/>
          <w:szCs w:val="16"/>
        </w:rPr>
      </w:pPr>
      <w:r w:rsidRPr="003624DB">
        <w:rPr>
          <w:rStyle w:val="Odwoanieprzypisudolnego"/>
          <w:sz w:val="16"/>
          <w:szCs w:val="16"/>
        </w:rPr>
        <w:footnoteRef/>
      </w:r>
      <w:r w:rsidRPr="003624DB">
        <w:rPr>
          <w:sz w:val="16"/>
          <w:szCs w:val="16"/>
        </w:rPr>
        <w:t xml:space="preserve"> Zestawienie przychodów z tytułu najmu nieruchomości </w:t>
      </w:r>
      <w:proofErr w:type="spellStart"/>
      <w:r w:rsidRPr="003624DB">
        <w:rPr>
          <w:sz w:val="16"/>
          <w:szCs w:val="16"/>
        </w:rPr>
        <w:t>BdPN</w:t>
      </w:r>
      <w:proofErr w:type="spellEnd"/>
      <w:r w:rsidRPr="003624DB">
        <w:rPr>
          <w:sz w:val="16"/>
          <w:szCs w:val="16"/>
        </w:rPr>
        <w:t xml:space="preserve"> za lata 2019-30 czerwca 2022, </w:t>
      </w:r>
    </w:p>
  </w:footnote>
  <w:footnote w:id="120">
    <w:p w14:paraId="22D0FC43" w14:textId="77777777" w:rsidR="008C1E51" w:rsidRPr="003624DB" w:rsidRDefault="008C1E51" w:rsidP="008C1E51">
      <w:pPr>
        <w:pStyle w:val="Tekstprzypisudolnego"/>
        <w:rPr>
          <w:rFonts w:cs="Times New Roman"/>
          <w:sz w:val="16"/>
          <w:szCs w:val="16"/>
        </w:rPr>
      </w:pPr>
      <w:r w:rsidRPr="003624DB">
        <w:rPr>
          <w:rStyle w:val="Odwoanieprzypisudolnego"/>
          <w:rFonts w:cs="Times New Roman"/>
          <w:sz w:val="16"/>
          <w:szCs w:val="16"/>
        </w:rPr>
        <w:footnoteRef/>
      </w:r>
      <w:r w:rsidRPr="003624DB">
        <w:rPr>
          <w:rFonts w:cs="Times New Roman"/>
          <w:sz w:val="16"/>
          <w:szCs w:val="16"/>
        </w:rPr>
        <w:t xml:space="preserve"> W 2019 r. osiągnięto przychód w wysokości 198 703,25 zł (z planowanych 201 769,54) co stanowi 98,5% </w:t>
      </w:r>
      <w:r w:rsidRPr="003624DB">
        <w:rPr>
          <w:rFonts w:cs="Times New Roman"/>
          <w:sz w:val="16"/>
          <w:szCs w:val="16"/>
        </w:rPr>
        <w:br/>
        <w:t>w stosunku do planowanych przychodów,</w:t>
      </w:r>
    </w:p>
    <w:p w14:paraId="466A68B0" w14:textId="77777777" w:rsidR="008C1E51" w:rsidRPr="003624DB" w:rsidRDefault="008C1E51" w:rsidP="008C1E51">
      <w:pPr>
        <w:pStyle w:val="Tekstprzypisudolnego"/>
        <w:rPr>
          <w:rFonts w:cs="Times New Roman"/>
          <w:sz w:val="16"/>
          <w:szCs w:val="16"/>
        </w:rPr>
      </w:pPr>
      <w:r w:rsidRPr="003624DB">
        <w:rPr>
          <w:rFonts w:cs="Times New Roman"/>
          <w:sz w:val="16"/>
          <w:szCs w:val="16"/>
        </w:rPr>
        <w:t>W 2020 r. osiągnięto 224 265,47 zł (z planowanych 226 513,44 zł), co stanowi 99% w stosunku do planowanych przychodów,</w:t>
      </w:r>
    </w:p>
    <w:p w14:paraId="7B3EF350" w14:textId="77777777" w:rsidR="008C1E51" w:rsidRPr="003624DB" w:rsidRDefault="008C1E51" w:rsidP="008C1E51">
      <w:pPr>
        <w:pStyle w:val="Tekstprzypisudolnego"/>
        <w:rPr>
          <w:rFonts w:cs="Times New Roman"/>
          <w:sz w:val="16"/>
          <w:szCs w:val="16"/>
        </w:rPr>
      </w:pPr>
      <w:r w:rsidRPr="003624DB">
        <w:rPr>
          <w:rFonts w:cs="Times New Roman"/>
          <w:sz w:val="16"/>
          <w:szCs w:val="16"/>
        </w:rPr>
        <w:t>W 2021 r. osiągnięto 208 865,49 zł (z planowanych 212 547,83 zł), co stanowi 98,3% w stosunku do planowanych przychodów,</w:t>
      </w:r>
    </w:p>
    <w:p w14:paraId="390939ED" w14:textId="77777777" w:rsidR="008C1E51" w:rsidRPr="003624DB" w:rsidRDefault="008C1E51" w:rsidP="008C1E51">
      <w:pPr>
        <w:pStyle w:val="Tekstprzypisudolnego"/>
        <w:rPr>
          <w:rFonts w:cs="Times New Roman"/>
          <w:sz w:val="16"/>
          <w:szCs w:val="16"/>
        </w:rPr>
      </w:pPr>
      <w:r w:rsidRPr="003624DB">
        <w:rPr>
          <w:rFonts w:cs="Times New Roman"/>
          <w:sz w:val="16"/>
          <w:szCs w:val="16"/>
        </w:rPr>
        <w:t>Do 30 czerwca 2022 r. osiągnięto 91 482,34 (z planowanych 94 615,93 zł), co stanowi 96,7% w stosunku do zaplanowanych przychodów</w:t>
      </w:r>
    </w:p>
  </w:footnote>
  <w:footnote w:id="121">
    <w:p w14:paraId="3200084C" w14:textId="77777777" w:rsidR="008C1E51" w:rsidRPr="003624DB" w:rsidRDefault="008C1E51" w:rsidP="008C1E51">
      <w:pPr>
        <w:pStyle w:val="Tekstprzypisudolnego"/>
        <w:rPr>
          <w:sz w:val="16"/>
          <w:szCs w:val="16"/>
        </w:rPr>
      </w:pPr>
      <w:r w:rsidRPr="003624DB">
        <w:rPr>
          <w:rStyle w:val="Odwoanieprzypisudolnego"/>
          <w:sz w:val="16"/>
          <w:szCs w:val="16"/>
        </w:rPr>
        <w:footnoteRef/>
      </w:r>
      <w:r w:rsidRPr="003624DB">
        <w:rPr>
          <w:sz w:val="16"/>
          <w:szCs w:val="16"/>
        </w:rPr>
        <w:t xml:space="preserve"> Umowa nr DA.262.8.2019 z 8 marca 2019 r., Umowa nr DA.221.44.2018 z 19 grudnia 2018 r.  </w:t>
      </w:r>
    </w:p>
  </w:footnote>
  <w:footnote w:id="122">
    <w:p w14:paraId="464B2539" w14:textId="77777777" w:rsidR="008C1E51" w:rsidRPr="00FC6A9B" w:rsidRDefault="008C1E51" w:rsidP="008C1E51">
      <w:pPr>
        <w:pStyle w:val="Tekstprzypisudolnego"/>
        <w:rPr>
          <w:sz w:val="16"/>
          <w:szCs w:val="16"/>
        </w:rPr>
      </w:pPr>
      <w:r w:rsidRPr="003624DB">
        <w:rPr>
          <w:rStyle w:val="Odwoanieprzypisudolnego"/>
          <w:sz w:val="16"/>
          <w:szCs w:val="16"/>
        </w:rPr>
        <w:footnoteRef/>
      </w:r>
      <w:r w:rsidRPr="003624DB">
        <w:rPr>
          <w:sz w:val="16"/>
          <w:szCs w:val="16"/>
        </w:rPr>
        <w:t xml:space="preserve"> Dz. U z 2018 r., poz. 1614, Dz. U z 2012 r., poz. 868</w:t>
      </w:r>
    </w:p>
  </w:footnote>
  <w:footnote w:id="123">
    <w:p w14:paraId="4BDFDED6" w14:textId="77777777" w:rsidR="008C1E51" w:rsidRPr="00FC6A9B" w:rsidRDefault="008C1E51" w:rsidP="008C1E51">
      <w:pPr>
        <w:pStyle w:val="Tekstprzypisudolnego"/>
        <w:rPr>
          <w:rFonts w:cs="Times New Roman"/>
          <w:sz w:val="16"/>
          <w:szCs w:val="16"/>
        </w:rPr>
      </w:pPr>
      <w:r w:rsidRPr="00FC6A9B">
        <w:rPr>
          <w:rStyle w:val="Odwoanieprzypisudolnego"/>
          <w:rFonts w:cs="Times New Roman"/>
          <w:sz w:val="16"/>
          <w:szCs w:val="16"/>
        </w:rPr>
        <w:footnoteRef/>
      </w:r>
      <w:r w:rsidRPr="00FC6A9B">
        <w:rPr>
          <w:rFonts w:cs="Times New Roman"/>
          <w:sz w:val="16"/>
          <w:szCs w:val="16"/>
        </w:rPr>
        <w:t xml:space="preserve"> Pismo </w:t>
      </w:r>
      <w:proofErr w:type="spellStart"/>
      <w:r w:rsidRPr="00FC6A9B">
        <w:rPr>
          <w:rFonts w:cs="Times New Roman"/>
          <w:sz w:val="16"/>
          <w:szCs w:val="16"/>
        </w:rPr>
        <w:t>BdPN</w:t>
      </w:r>
      <w:proofErr w:type="spellEnd"/>
      <w:r w:rsidRPr="00FC6A9B">
        <w:rPr>
          <w:rFonts w:cs="Times New Roman"/>
          <w:sz w:val="16"/>
          <w:szCs w:val="16"/>
        </w:rPr>
        <w:t xml:space="preserve"> z 29</w:t>
      </w:r>
      <w:r>
        <w:rPr>
          <w:rFonts w:cs="Times New Roman"/>
          <w:sz w:val="16"/>
          <w:szCs w:val="16"/>
        </w:rPr>
        <w:t xml:space="preserve"> września </w:t>
      </w:r>
      <w:r w:rsidRPr="00FC6A9B">
        <w:rPr>
          <w:rFonts w:cs="Times New Roman"/>
          <w:sz w:val="16"/>
          <w:szCs w:val="16"/>
        </w:rPr>
        <w:t xml:space="preserve">2022 r. </w:t>
      </w:r>
    </w:p>
  </w:footnote>
  <w:footnote w:id="124">
    <w:p w14:paraId="66749D7E" w14:textId="77777777" w:rsidR="008C1E51" w:rsidRPr="00367C7A"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Protokół oględzin z 26</w:t>
      </w:r>
      <w:r>
        <w:rPr>
          <w:sz w:val="16"/>
          <w:szCs w:val="16"/>
        </w:rPr>
        <w:t xml:space="preserve"> października </w:t>
      </w:r>
      <w:r w:rsidRPr="00FC6A9B">
        <w:rPr>
          <w:sz w:val="16"/>
          <w:szCs w:val="16"/>
        </w:rPr>
        <w:t>2022 r.</w:t>
      </w:r>
      <w:r w:rsidRPr="00367C7A">
        <w:rPr>
          <w:sz w:val="16"/>
          <w:szCs w:val="16"/>
        </w:rPr>
        <w:t xml:space="preserve"> </w:t>
      </w:r>
    </w:p>
  </w:footnote>
  <w:footnote w:id="125">
    <w:p w14:paraId="22CADE3D" w14:textId="77777777" w:rsidR="008C1E51" w:rsidRPr="0002121A" w:rsidRDefault="008C1E51" w:rsidP="008C1E51">
      <w:pPr>
        <w:pStyle w:val="Tekstprzypisudolnego"/>
        <w:rPr>
          <w:sz w:val="16"/>
          <w:szCs w:val="16"/>
        </w:rPr>
      </w:pPr>
      <w:r w:rsidRPr="0002121A">
        <w:rPr>
          <w:rStyle w:val="Odwoanieprzypisudolnego"/>
          <w:sz w:val="16"/>
          <w:szCs w:val="16"/>
        </w:rPr>
        <w:footnoteRef/>
      </w:r>
      <w:r w:rsidRPr="0002121A">
        <w:rPr>
          <w:sz w:val="16"/>
          <w:szCs w:val="16"/>
        </w:rPr>
        <w:t xml:space="preserve"> Dz. U. z 2022 r., poz. 1846, 2185</w:t>
      </w:r>
      <w:r>
        <w:rPr>
          <w:sz w:val="16"/>
          <w:szCs w:val="16"/>
        </w:rPr>
        <w:t>.</w:t>
      </w:r>
    </w:p>
  </w:footnote>
  <w:footnote w:id="126">
    <w:p w14:paraId="5BBCA07A" w14:textId="77777777" w:rsidR="008C1E51" w:rsidRPr="00FC6A9B" w:rsidRDefault="008C1E51" w:rsidP="008C1E51">
      <w:pPr>
        <w:pStyle w:val="Tekstprzypisudolnego"/>
        <w:rPr>
          <w:color w:val="000000" w:themeColor="text1"/>
          <w:sz w:val="16"/>
          <w:szCs w:val="16"/>
        </w:rPr>
      </w:pPr>
      <w:r w:rsidRPr="00FC6A9B">
        <w:rPr>
          <w:rStyle w:val="Odwoanieprzypisudolnego"/>
          <w:rFonts w:cs="Times New Roman"/>
          <w:color w:val="000000" w:themeColor="text1"/>
          <w:sz w:val="16"/>
          <w:szCs w:val="16"/>
        </w:rPr>
        <w:footnoteRef/>
      </w:r>
      <w:r w:rsidRPr="00FC6A9B">
        <w:rPr>
          <w:rFonts w:cs="Times New Roman"/>
          <w:color w:val="000000" w:themeColor="text1"/>
          <w:sz w:val="16"/>
          <w:szCs w:val="16"/>
        </w:rPr>
        <w:t xml:space="preserve"> Dz.U. z 2021 r. poz. 2351</w:t>
      </w:r>
      <w:r>
        <w:rPr>
          <w:rFonts w:cs="Times New Roman"/>
          <w:color w:val="000000" w:themeColor="text1"/>
          <w:sz w:val="16"/>
          <w:szCs w:val="16"/>
        </w:rPr>
        <w:t>.</w:t>
      </w:r>
    </w:p>
  </w:footnote>
  <w:footnote w:id="127">
    <w:p w14:paraId="6E654BBF" w14:textId="77777777" w:rsidR="008C1E51" w:rsidRPr="00FC6A9B" w:rsidRDefault="008C1E51" w:rsidP="008C1E51">
      <w:pPr>
        <w:pStyle w:val="Tekstprzypisudolnego"/>
        <w:rPr>
          <w:rFonts w:cs="Times New Roman"/>
          <w:sz w:val="16"/>
          <w:szCs w:val="16"/>
        </w:rPr>
      </w:pPr>
      <w:r w:rsidRPr="00FC6A9B">
        <w:rPr>
          <w:rStyle w:val="Odwoanieprzypisudolnego"/>
          <w:rFonts w:cs="Times New Roman"/>
          <w:sz w:val="16"/>
          <w:szCs w:val="16"/>
        </w:rPr>
        <w:footnoteRef/>
      </w:r>
      <w:r w:rsidRPr="00FC6A9B">
        <w:rPr>
          <w:rFonts w:cs="Times New Roman"/>
          <w:sz w:val="16"/>
          <w:szCs w:val="16"/>
        </w:rPr>
        <w:t xml:space="preserve"> z wybranych 6 budynków</w:t>
      </w:r>
      <w:r>
        <w:rPr>
          <w:rFonts w:cs="Times New Roman"/>
          <w:sz w:val="16"/>
          <w:szCs w:val="16"/>
        </w:rPr>
        <w:t>.</w:t>
      </w:r>
    </w:p>
  </w:footnote>
  <w:footnote w:id="128">
    <w:p w14:paraId="3F17E003" w14:textId="77777777"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Dotyczy: Oczyszczalni ścieków Bereżki, Oczyszczalni ścieków Suche Rzeki, Oczyszczalni ścieków Tarnawa Niżna</w:t>
      </w:r>
      <w:r>
        <w:rPr>
          <w:sz w:val="16"/>
          <w:szCs w:val="16"/>
        </w:rPr>
        <w:t>.</w:t>
      </w:r>
      <w:r w:rsidRPr="00FC6A9B">
        <w:rPr>
          <w:sz w:val="16"/>
          <w:szCs w:val="16"/>
        </w:rPr>
        <w:t xml:space="preserve"> </w:t>
      </w:r>
    </w:p>
  </w:footnote>
  <w:footnote w:id="129">
    <w:p w14:paraId="11F9B639" w14:textId="77777777"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Dotyczy: budynku mieszkalnego pod adresem Zatwarnica 14</w:t>
      </w:r>
      <w:r>
        <w:rPr>
          <w:sz w:val="16"/>
          <w:szCs w:val="16"/>
        </w:rPr>
        <w:t>.</w:t>
      </w:r>
      <w:r w:rsidRPr="00FC6A9B">
        <w:rPr>
          <w:sz w:val="16"/>
          <w:szCs w:val="16"/>
        </w:rPr>
        <w:t xml:space="preserve"> </w:t>
      </w:r>
    </w:p>
  </w:footnote>
  <w:footnote w:id="130">
    <w:p w14:paraId="33D06819" w14:textId="14CCFB5A"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Dotyczy budynku mieszkalnego pod adresem Ustrzyki Górne </w:t>
      </w:r>
      <w:r w:rsidR="00211832" w:rsidRPr="00FC6A9B">
        <w:rPr>
          <w:sz w:val="16"/>
          <w:szCs w:val="16"/>
        </w:rPr>
        <w:t>49.</w:t>
      </w:r>
    </w:p>
  </w:footnote>
  <w:footnote w:id="131">
    <w:p w14:paraId="5D36542F" w14:textId="77777777"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Protokół z okresowej (rocznej i pięcioletniej) kontroli stanu technicznego Ustrzyki Górne</w:t>
      </w:r>
      <w:r>
        <w:rPr>
          <w:sz w:val="16"/>
          <w:szCs w:val="16"/>
        </w:rPr>
        <w:t>.</w:t>
      </w:r>
      <w:r w:rsidRPr="00FC6A9B">
        <w:rPr>
          <w:sz w:val="16"/>
          <w:szCs w:val="16"/>
        </w:rPr>
        <w:t xml:space="preserve"> </w:t>
      </w:r>
    </w:p>
  </w:footnote>
  <w:footnote w:id="132">
    <w:p w14:paraId="08486565" w14:textId="77777777"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Dotyczy budynku mieszkalnego pod adresem Ustrzyki Górne 59</w:t>
      </w:r>
      <w:r>
        <w:rPr>
          <w:sz w:val="16"/>
          <w:szCs w:val="16"/>
        </w:rPr>
        <w:t>.</w:t>
      </w:r>
    </w:p>
  </w:footnote>
  <w:footnote w:id="133">
    <w:p w14:paraId="5C6690C2" w14:textId="77777777"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Kopie zaświadczeń o posiadaniu stosownych kwalifikacji</w:t>
      </w:r>
      <w:r>
        <w:rPr>
          <w:sz w:val="16"/>
          <w:szCs w:val="16"/>
        </w:rPr>
        <w:t>.</w:t>
      </w:r>
    </w:p>
  </w:footnote>
  <w:footnote w:id="134">
    <w:p w14:paraId="65CC3DBD" w14:textId="77777777" w:rsidR="008C1E51" w:rsidRDefault="008C1E51" w:rsidP="008C1E51">
      <w:pPr>
        <w:pStyle w:val="Tekstprzypisudolnego"/>
      </w:pPr>
      <w:r w:rsidRPr="00FC6A9B">
        <w:rPr>
          <w:rStyle w:val="Odwoanieprzypisudolnego"/>
          <w:sz w:val="16"/>
          <w:szCs w:val="16"/>
        </w:rPr>
        <w:footnoteRef/>
      </w:r>
      <w:r w:rsidRPr="00FC6A9B">
        <w:rPr>
          <w:sz w:val="16"/>
          <w:szCs w:val="16"/>
        </w:rPr>
        <w:t xml:space="preserve"> Dotyczy </w:t>
      </w:r>
      <w:r w:rsidRPr="00FC6A9B">
        <w:rPr>
          <w:rFonts w:cs="Times New Roman"/>
          <w:sz w:val="16"/>
          <w:szCs w:val="16"/>
          <w:lang w:eastAsia="pl-PL"/>
        </w:rPr>
        <w:t>budynku pod adresem Zatwarnica 14</w:t>
      </w:r>
      <w:r>
        <w:rPr>
          <w:rFonts w:cs="Times New Roman"/>
          <w:sz w:val="16"/>
          <w:szCs w:val="16"/>
          <w:lang w:eastAsia="pl-PL"/>
        </w:rPr>
        <w:t>.</w:t>
      </w:r>
      <w:r w:rsidRPr="00FC6A9B">
        <w:rPr>
          <w:rFonts w:cs="Times New Roman"/>
          <w:sz w:val="16"/>
          <w:szCs w:val="16"/>
          <w:lang w:eastAsia="pl-PL"/>
        </w:rPr>
        <w:t xml:space="preserve"> </w:t>
      </w:r>
    </w:p>
  </w:footnote>
  <w:footnote w:id="135">
    <w:p w14:paraId="67695EA3" w14:textId="77777777"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Pismo </w:t>
      </w:r>
      <w:proofErr w:type="spellStart"/>
      <w:r w:rsidRPr="00FC6A9B">
        <w:rPr>
          <w:sz w:val="16"/>
          <w:szCs w:val="16"/>
        </w:rPr>
        <w:t>BdPN</w:t>
      </w:r>
      <w:proofErr w:type="spellEnd"/>
      <w:r w:rsidRPr="00FC6A9B">
        <w:rPr>
          <w:sz w:val="16"/>
          <w:szCs w:val="16"/>
        </w:rPr>
        <w:t xml:space="preserve"> z 29</w:t>
      </w:r>
      <w:r>
        <w:rPr>
          <w:sz w:val="16"/>
          <w:szCs w:val="16"/>
        </w:rPr>
        <w:t xml:space="preserve"> września </w:t>
      </w:r>
      <w:r w:rsidRPr="00FC6A9B">
        <w:rPr>
          <w:sz w:val="16"/>
          <w:szCs w:val="16"/>
        </w:rPr>
        <w:t>2022 r.</w:t>
      </w:r>
      <w:r w:rsidRPr="00FC6A9B">
        <w:rPr>
          <w:rFonts w:eastAsia="Arial Unicode MS" w:cs="Times New Roman"/>
          <w:kern w:val="2"/>
          <w:sz w:val="16"/>
          <w:szCs w:val="16"/>
          <w:lang w:eastAsia="hi-IN" w:bidi="hi-IN"/>
        </w:rPr>
        <w:t xml:space="preserve"> </w:t>
      </w:r>
    </w:p>
  </w:footnote>
  <w:footnote w:id="136">
    <w:p w14:paraId="50609165" w14:textId="77777777"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Pismo </w:t>
      </w:r>
      <w:proofErr w:type="spellStart"/>
      <w:r w:rsidRPr="00FC6A9B">
        <w:rPr>
          <w:sz w:val="16"/>
          <w:szCs w:val="16"/>
        </w:rPr>
        <w:t>BdPn</w:t>
      </w:r>
      <w:proofErr w:type="spellEnd"/>
      <w:r w:rsidRPr="00FC6A9B">
        <w:rPr>
          <w:sz w:val="16"/>
          <w:szCs w:val="16"/>
        </w:rPr>
        <w:t xml:space="preserve"> z 29</w:t>
      </w:r>
      <w:r>
        <w:rPr>
          <w:sz w:val="16"/>
          <w:szCs w:val="16"/>
        </w:rPr>
        <w:t xml:space="preserve"> września </w:t>
      </w:r>
      <w:r w:rsidRPr="00FC6A9B">
        <w:rPr>
          <w:sz w:val="16"/>
          <w:szCs w:val="16"/>
        </w:rPr>
        <w:t>2022 r.</w:t>
      </w:r>
      <w:r w:rsidRPr="00FC6A9B">
        <w:rPr>
          <w:rFonts w:eastAsia="Arial Unicode MS" w:cs="Times New Roman"/>
          <w:kern w:val="2"/>
          <w:sz w:val="16"/>
          <w:szCs w:val="16"/>
          <w:lang w:eastAsia="hi-IN" w:bidi="hi-IN"/>
        </w:rPr>
        <w:t xml:space="preserve"> </w:t>
      </w:r>
    </w:p>
  </w:footnote>
  <w:footnote w:id="137">
    <w:p w14:paraId="23B6A509" w14:textId="77777777" w:rsidR="008C1E51" w:rsidRPr="00FC6A9B" w:rsidRDefault="008C1E51" w:rsidP="008C1E51">
      <w:pPr>
        <w:pStyle w:val="Tekstprzypisudolnego"/>
        <w:rPr>
          <w:rFonts w:cs="Times New Roman"/>
          <w:sz w:val="16"/>
          <w:szCs w:val="16"/>
        </w:rPr>
      </w:pPr>
      <w:r w:rsidRPr="00FC6A9B">
        <w:rPr>
          <w:rStyle w:val="Odwoanieprzypisudolnego"/>
          <w:rFonts w:cs="Times New Roman"/>
          <w:sz w:val="16"/>
          <w:szCs w:val="16"/>
        </w:rPr>
        <w:footnoteRef/>
      </w:r>
      <w:r w:rsidRPr="00FC6A9B">
        <w:rPr>
          <w:rFonts w:cs="Times New Roman"/>
          <w:sz w:val="16"/>
          <w:szCs w:val="16"/>
        </w:rPr>
        <w:t xml:space="preserve"> </w:t>
      </w:r>
      <w:r w:rsidRPr="00FC6A9B">
        <w:rPr>
          <w:rFonts w:cs="Times New Roman"/>
          <w:color w:val="000000"/>
          <w:sz w:val="16"/>
          <w:szCs w:val="16"/>
        </w:rPr>
        <w:t>Dz.U. Nr 224, poz. 1337</w:t>
      </w:r>
      <w:r>
        <w:rPr>
          <w:rFonts w:cs="Times New Roman"/>
          <w:color w:val="000000"/>
          <w:sz w:val="16"/>
          <w:szCs w:val="16"/>
        </w:rPr>
        <w:t>.</w:t>
      </w:r>
    </w:p>
  </w:footnote>
  <w:footnote w:id="138">
    <w:p w14:paraId="30E61FD7" w14:textId="77777777" w:rsidR="008C1E51" w:rsidRPr="00FC6A9B"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Pismo </w:t>
      </w:r>
      <w:proofErr w:type="spellStart"/>
      <w:r w:rsidRPr="00FC6A9B">
        <w:rPr>
          <w:sz w:val="16"/>
          <w:szCs w:val="16"/>
        </w:rPr>
        <w:t>BdPN</w:t>
      </w:r>
      <w:proofErr w:type="spellEnd"/>
      <w:r w:rsidRPr="00FC6A9B">
        <w:rPr>
          <w:sz w:val="16"/>
          <w:szCs w:val="16"/>
        </w:rPr>
        <w:t xml:space="preserve"> z 29</w:t>
      </w:r>
      <w:r>
        <w:rPr>
          <w:sz w:val="16"/>
          <w:szCs w:val="16"/>
        </w:rPr>
        <w:t xml:space="preserve"> września </w:t>
      </w:r>
      <w:r w:rsidRPr="00FC6A9B">
        <w:rPr>
          <w:sz w:val="16"/>
          <w:szCs w:val="16"/>
        </w:rPr>
        <w:t xml:space="preserve">2022 r. </w:t>
      </w:r>
    </w:p>
  </w:footnote>
  <w:footnote w:id="139">
    <w:p w14:paraId="07603F38" w14:textId="77777777" w:rsidR="008C1E51" w:rsidRPr="00283CFE" w:rsidRDefault="008C1E51" w:rsidP="008C1E51">
      <w:pPr>
        <w:pStyle w:val="Tekstprzypisudolnego"/>
        <w:rPr>
          <w:sz w:val="16"/>
          <w:szCs w:val="16"/>
        </w:rPr>
      </w:pPr>
      <w:r w:rsidRPr="00FC6A9B">
        <w:rPr>
          <w:rStyle w:val="Odwoanieprzypisudolnego"/>
          <w:sz w:val="16"/>
          <w:szCs w:val="16"/>
        </w:rPr>
        <w:footnoteRef/>
      </w:r>
      <w:r w:rsidRPr="00FC6A9B">
        <w:rPr>
          <w:sz w:val="16"/>
          <w:szCs w:val="16"/>
        </w:rPr>
        <w:t xml:space="preserve"> za pismem </w:t>
      </w:r>
      <w:proofErr w:type="spellStart"/>
      <w:r w:rsidRPr="00FC6A9B">
        <w:rPr>
          <w:sz w:val="16"/>
          <w:szCs w:val="16"/>
        </w:rPr>
        <w:t>BdPN</w:t>
      </w:r>
      <w:proofErr w:type="spellEnd"/>
      <w:r w:rsidRPr="00FC6A9B">
        <w:rPr>
          <w:sz w:val="16"/>
          <w:szCs w:val="16"/>
        </w:rPr>
        <w:t xml:space="preserve"> z 2</w:t>
      </w:r>
      <w:r>
        <w:rPr>
          <w:sz w:val="16"/>
          <w:szCs w:val="16"/>
        </w:rPr>
        <w:t xml:space="preserve">9 września </w:t>
      </w:r>
      <w:r w:rsidRPr="00FC6A9B">
        <w:rPr>
          <w:sz w:val="16"/>
          <w:szCs w:val="16"/>
        </w:rPr>
        <w:t>2022 r.</w:t>
      </w:r>
      <w:r w:rsidRPr="00283CFE">
        <w:rPr>
          <w:sz w:val="16"/>
          <w:szCs w:val="16"/>
        </w:rPr>
        <w:t xml:space="preserve"> </w:t>
      </w:r>
    </w:p>
  </w:footnote>
  <w:footnote w:id="140">
    <w:p w14:paraId="1265FF18" w14:textId="77777777" w:rsidR="008C1E51" w:rsidRPr="006A2A75" w:rsidRDefault="008C1E51" w:rsidP="008C1E51">
      <w:pPr>
        <w:pStyle w:val="Tekstprzypisudolnego"/>
        <w:rPr>
          <w:sz w:val="16"/>
          <w:szCs w:val="16"/>
        </w:rPr>
      </w:pPr>
      <w:r w:rsidRPr="006A2A75">
        <w:rPr>
          <w:rStyle w:val="Odwoanieprzypisudolnego"/>
          <w:sz w:val="16"/>
          <w:szCs w:val="16"/>
        </w:rPr>
        <w:footnoteRef/>
      </w:r>
      <w:r w:rsidRPr="006A2A75">
        <w:rPr>
          <w:sz w:val="16"/>
          <w:szCs w:val="16"/>
        </w:rPr>
        <w:t xml:space="preserve"> Zgodnie z art. 7 ustawy z 18 sierpnia 2011 r. o zmianie ustawy o ochronie przyrody oraz niektórych innych ustaw (Dz. U. z 2011, poz. 1337)</w:t>
      </w:r>
    </w:p>
  </w:footnote>
  <w:footnote w:id="141">
    <w:p w14:paraId="6DF7F496" w14:textId="77777777" w:rsidR="008C1E51" w:rsidRPr="006A2A75" w:rsidRDefault="008C1E51" w:rsidP="008C1E51">
      <w:pPr>
        <w:pStyle w:val="Tekstprzypisudolnego"/>
        <w:rPr>
          <w:sz w:val="16"/>
          <w:szCs w:val="16"/>
        </w:rPr>
      </w:pPr>
      <w:r w:rsidRPr="006A2A75">
        <w:rPr>
          <w:rStyle w:val="Odwoanieprzypisudolnego"/>
          <w:sz w:val="16"/>
          <w:szCs w:val="16"/>
        </w:rPr>
        <w:footnoteRef/>
      </w:r>
      <w:r w:rsidRPr="006A2A75">
        <w:rPr>
          <w:sz w:val="16"/>
          <w:szCs w:val="16"/>
        </w:rPr>
        <w:t xml:space="preserve"> Pismo Dyrektora </w:t>
      </w:r>
      <w:proofErr w:type="spellStart"/>
      <w:r w:rsidRPr="006A2A75">
        <w:rPr>
          <w:sz w:val="16"/>
          <w:szCs w:val="16"/>
        </w:rPr>
        <w:t>BdPN</w:t>
      </w:r>
      <w:proofErr w:type="spellEnd"/>
      <w:r w:rsidRPr="006A2A75">
        <w:rPr>
          <w:sz w:val="16"/>
          <w:szCs w:val="16"/>
        </w:rPr>
        <w:t xml:space="preserve"> z 29</w:t>
      </w:r>
      <w:r>
        <w:rPr>
          <w:sz w:val="16"/>
          <w:szCs w:val="16"/>
        </w:rPr>
        <w:t xml:space="preserve"> września </w:t>
      </w:r>
      <w:r w:rsidRPr="006A2A75">
        <w:rPr>
          <w:sz w:val="16"/>
          <w:szCs w:val="16"/>
        </w:rPr>
        <w:t>2022 r.</w:t>
      </w:r>
    </w:p>
  </w:footnote>
  <w:footnote w:id="142">
    <w:p w14:paraId="5C6F1986" w14:textId="77777777" w:rsidR="008C1E51" w:rsidRPr="006A2A75" w:rsidRDefault="008C1E51" w:rsidP="008C1E51">
      <w:pPr>
        <w:pStyle w:val="Tekstprzypisudolnego"/>
        <w:rPr>
          <w:sz w:val="16"/>
          <w:szCs w:val="16"/>
        </w:rPr>
      </w:pPr>
      <w:r w:rsidRPr="006A2A75">
        <w:rPr>
          <w:rStyle w:val="Odwoanieprzypisudolnego"/>
          <w:sz w:val="16"/>
          <w:szCs w:val="16"/>
        </w:rPr>
        <w:footnoteRef/>
      </w:r>
      <w:r w:rsidRPr="006A2A75">
        <w:rPr>
          <w:sz w:val="16"/>
          <w:szCs w:val="16"/>
        </w:rPr>
        <w:t xml:space="preserve"> Pismo </w:t>
      </w:r>
      <w:proofErr w:type="spellStart"/>
      <w:r w:rsidRPr="006A2A75">
        <w:rPr>
          <w:sz w:val="16"/>
          <w:szCs w:val="16"/>
        </w:rPr>
        <w:t>BdPN</w:t>
      </w:r>
      <w:proofErr w:type="spellEnd"/>
      <w:r w:rsidRPr="006A2A75">
        <w:rPr>
          <w:sz w:val="16"/>
          <w:szCs w:val="16"/>
        </w:rPr>
        <w:t xml:space="preserve"> z 29</w:t>
      </w:r>
      <w:r>
        <w:rPr>
          <w:sz w:val="16"/>
          <w:szCs w:val="16"/>
        </w:rPr>
        <w:t xml:space="preserve"> września </w:t>
      </w:r>
      <w:r w:rsidRPr="006A2A75">
        <w:rPr>
          <w:sz w:val="16"/>
          <w:szCs w:val="16"/>
        </w:rPr>
        <w:t xml:space="preserve">2022 r. </w:t>
      </w:r>
    </w:p>
  </w:footnote>
  <w:footnote w:id="143">
    <w:p w14:paraId="2D330D69" w14:textId="77777777" w:rsidR="008C1E51" w:rsidRPr="006A2A75" w:rsidRDefault="008C1E51" w:rsidP="008C1E51">
      <w:pPr>
        <w:pStyle w:val="Tekstprzypisudolnego"/>
        <w:rPr>
          <w:sz w:val="16"/>
          <w:szCs w:val="16"/>
        </w:rPr>
      </w:pPr>
      <w:r w:rsidRPr="006A2A75">
        <w:rPr>
          <w:rStyle w:val="Odwoanieprzypisudolnego"/>
          <w:sz w:val="16"/>
          <w:szCs w:val="16"/>
        </w:rPr>
        <w:footnoteRef/>
      </w:r>
      <w:r w:rsidRPr="006A2A75">
        <w:rPr>
          <w:sz w:val="16"/>
          <w:szCs w:val="16"/>
        </w:rPr>
        <w:t xml:space="preserve"> KDO.221.3.2020,</w:t>
      </w:r>
      <w:r>
        <w:rPr>
          <w:sz w:val="16"/>
          <w:szCs w:val="16"/>
        </w:rPr>
        <w:t xml:space="preserve"> </w:t>
      </w:r>
      <w:r w:rsidRPr="006A2A75">
        <w:rPr>
          <w:sz w:val="16"/>
          <w:szCs w:val="16"/>
        </w:rPr>
        <w:t>KDO.221.1.2021</w:t>
      </w:r>
      <w:r>
        <w:rPr>
          <w:sz w:val="16"/>
          <w:szCs w:val="16"/>
        </w:rPr>
        <w:t>.</w:t>
      </w:r>
    </w:p>
  </w:footnote>
  <w:footnote w:id="144">
    <w:p w14:paraId="1A9645EB" w14:textId="10A988A2" w:rsidR="008C1E51" w:rsidRPr="006A2A75" w:rsidRDefault="008C1E51" w:rsidP="008C1E51">
      <w:pPr>
        <w:pStyle w:val="Tekstprzypisudolnego"/>
        <w:rPr>
          <w:sz w:val="16"/>
          <w:szCs w:val="16"/>
        </w:rPr>
      </w:pPr>
      <w:r w:rsidRPr="006A2A75">
        <w:rPr>
          <w:rStyle w:val="Odwoanieprzypisudolnego"/>
          <w:sz w:val="16"/>
          <w:szCs w:val="16"/>
        </w:rPr>
        <w:footnoteRef/>
      </w:r>
      <w:r>
        <w:rPr>
          <w:sz w:val="16"/>
          <w:szCs w:val="16"/>
        </w:rPr>
        <w:t xml:space="preserve"> </w:t>
      </w:r>
      <w:r w:rsidRPr="006A2A75">
        <w:rPr>
          <w:sz w:val="16"/>
          <w:szCs w:val="16"/>
        </w:rPr>
        <w:t xml:space="preserve">Ogłoszenie o przetargu na dzierżawę gruntów Skarbu Państwa znajdujących </w:t>
      </w:r>
      <w:r w:rsidR="00211832" w:rsidRPr="006A2A75">
        <w:rPr>
          <w:sz w:val="16"/>
          <w:szCs w:val="16"/>
        </w:rPr>
        <w:t xml:space="preserve">się </w:t>
      </w:r>
      <w:r w:rsidR="00211832">
        <w:rPr>
          <w:sz w:val="16"/>
          <w:szCs w:val="16"/>
        </w:rPr>
        <w:t>w</w:t>
      </w:r>
      <w:r w:rsidRPr="006A2A75">
        <w:rPr>
          <w:sz w:val="16"/>
          <w:szCs w:val="16"/>
        </w:rPr>
        <w:t xml:space="preserve"> użytkowaniu wieczystym Bieszczadzkiego Parku narodowego, znak sprawy: KDO.221.1.2021</w:t>
      </w:r>
      <w:r>
        <w:rPr>
          <w:sz w:val="16"/>
          <w:szCs w:val="16"/>
        </w:rPr>
        <w:t>.</w:t>
      </w:r>
    </w:p>
  </w:footnote>
  <w:footnote w:id="145">
    <w:p w14:paraId="12051ADF" w14:textId="77777777" w:rsidR="008C1E51" w:rsidRPr="006A2A75" w:rsidRDefault="008C1E51" w:rsidP="008C1E51">
      <w:pPr>
        <w:pStyle w:val="Tekstprzypisudolnego"/>
        <w:rPr>
          <w:sz w:val="16"/>
          <w:szCs w:val="16"/>
        </w:rPr>
      </w:pPr>
      <w:r w:rsidRPr="006A2A75">
        <w:rPr>
          <w:rStyle w:val="Odwoanieprzypisudolnego"/>
          <w:sz w:val="16"/>
          <w:szCs w:val="16"/>
        </w:rPr>
        <w:footnoteRef/>
      </w:r>
      <w:r w:rsidRPr="006A2A75">
        <w:rPr>
          <w:sz w:val="16"/>
          <w:szCs w:val="16"/>
        </w:rPr>
        <w:t xml:space="preserve"> Dz. U. Ministra Środowiska z 2018 r., poz. 69, Dz. U. Ministra Środowiska z 2021 r., poz. 97</w:t>
      </w:r>
      <w:r>
        <w:rPr>
          <w:sz w:val="16"/>
          <w:szCs w:val="16"/>
        </w:rPr>
        <w:t>.</w:t>
      </w:r>
    </w:p>
  </w:footnote>
  <w:footnote w:id="146">
    <w:p w14:paraId="68E48FF6" w14:textId="77777777" w:rsidR="008C1E51" w:rsidRPr="00472AB1" w:rsidRDefault="008C1E51" w:rsidP="008C1E51">
      <w:pPr>
        <w:pStyle w:val="Tekstprzypisudolnego"/>
        <w:rPr>
          <w:sz w:val="16"/>
          <w:szCs w:val="16"/>
        </w:rPr>
      </w:pPr>
      <w:r w:rsidRPr="006A2A75">
        <w:rPr>
          <w:rStyle w:val="Odwoanieprzypisudolnego"/>
          <w:sz w:val="16"/>
          <w:szCs w:val="16"/>
        </w:rPr>
        <w:footnoteRef/>
      </w:r>
      <w:r w:rsidRPr="006A2A75">
        <w:rPr>
          <w:sz w:val="16"/>
          <w:szCs w:val="16"/>
        </w:rPr>
        <w:t xml:space="preserve"> Szacowanie na podstawie Operatu szacunkowego z 2021 r. pn. Określenie wartości rynkowej czynszu dzierżawnego za dzierżawę działek lub części gruntu działek wchodzących w skład kompleksu oznaczonych jako K-1 (Brzegi Górne i Caryńskie, gm. Lutowiska), M-1 (Brzegi Górne i Ustrzyki Górne, gm. Lutowiska), M-2 (Brzegi Górne i Ustrzyki Górne, gm. Lutowiska), O-1 (Brzegi Górne, gm. Lutowiska), S-1 (Caryńskie, gm. Lutowiska), W-01 (Wetlina, gm. Cisna) i W-02 (Wetlina, gm. Cisna).</w:t>
      </w:r>
      <w:r w:rsidRPr="00FC6A9B">
        <w:rPr>
          <w:sz w:val="16"/>
          <w:szCs w:val="16"/>
        </w:rPr>
        <w:t xml:space="preserve"> </w:t>
      </w:r>
    </w:p>
  </w:footnote>
  <w:footnote w:id="147">
    <w:p w14:paraId="2373BDFD" w14:textId="77777777" w:rsidR="008C1E51" w:rsidRPr="00E048EF" w:rsidRDefault="008C1E51" w:rsidP="008C1E51">
      <w:pPr>
        <w:pStyle w:val="Tekstprzypisudolnego"/>
        <w:rPr>
          <w:sz w:val="16"/>
          <w:szCs w:val="16"/>
        </w:rPr>
      </w:pPr>
      <w:r w:rsidRPr="00E048EF">
        <w:rPr>
          <w:rStyle w:val="Odwoanieprzypisudolnego"/>
          <w:sz w:val="16"/>
          <w:szCs w:val="16"/>
        </w:rPr>
        <w:footnoteRef/>
      </w:r>
      <w:r w:rsidRPr="00E048EF">
        <w:rPr>
          <w:sz w:val="16"/>
          <w:szCs w:val="16"/>
        </w:rPr>
        <w:t xml:space="preserve"> Wyjaśnienia </w:t>
      </w:r>
      <w:proofErr w:type="spellStart"/>
      <w:r w:rsidRPr="00E048EF">
        <w:rPr>
          <w:sz w:val="16"/>
          <w:szCs w:val="16"/>
        </w:rPr>
        <w:t>BdPN</w:t>
      </w:r>
      <w:proofErr w:type="spellEnd"/>
      <w:r w:rsidRPr="00E048EF">
        <w:rPr>
          <w:sz w:val="16"/>
          <w:szCs w:val="16"/>
        </w:rPr>
        <w:t xml:space="preserve"> z 29</w:t>
      </w:r>
      <w:r>
        <w:rPr>
          <w:sz w:val="16"/>
          <w:szCs w:val="16"/>
        </w:rPr>
        <w:t xml:space="preserve"> września </w:t>
      </w:r>
      <w:r w:rsidRPr="00E048EF">
        <w:rPr>
          <w:sz w:val="16"/>
          <w:szCs w:val="16"/>
        </w:rPr>
        <w:t xml:space="preserve">2022 r. </w:t>
      </w:r>
    </w:p>
  </w:footnote>
  <w:footnote w:id="148">
    <w:p w14:paraId="2A4C62C9" w14:textId="77777777" w:rsidR="008C1E51" w:rsidRPr="00EB73E9" w:rsidRDefault="008C1E51" w:rsidP="008C1E51">
      <w:pPr>
        <w:pStyle w:val="Tekstprzypisudolnego"/>
        <w:rPr>
          <w:sz w:val="16"/>
          <w:szCs w:val="16"/>
        </w:rPr>
      </w:pPr>
      <w:r w:rsidRPr="00EB73E9">
        <w:rPr>
          <w:rStyle w:val="Odwoanieprzypisudolnego"/>
          <w:sz w:val="16"/>
          <w:szCs w:val="16"/>
        </w:rPr>
        <w:footnoteRef/>
      </w:r>
      <w:r w:rsidRPr="00EB73E9">
        <w:rPr>
          <w:sz w:val="16"/>
          <w:szCs w:val="16"/>
        </w:rPr>
        <w:t xml:space="preserve"> Pismo </w:t>
      </w:r>
      <w:proofErr w:type="spellStart"/>
      <w:r w:rsidRPr="00EB73E9">
        <w:rPr>
          <w:sz w:val="16"/>
          <w:szCs w:val="16"/>
        </w:rPr>
        <w:t>BdPN</w:t>
      </w:r>
      <w:proofErr w:type="spellEnd"/>
      <w:r w:rsidRPr="00EB73E9">
        <w:rPr>
          <w:sz w:val="16"/>
          <w:szCs w:val="16"/>
        </w:rPr>
        <w:t xml:space="preserve"> z 29</w:t>
      </w:r>
      <w:r>
        <w:rPr>
          <w:sz w:val="16"/>
          <w:szCs w:val="16"/>
        </w:rPr>
        <w:t xml:space="preserve"> września </w:t>
      </w:r>
      <w:r w:rsidRPr="00EB73E9">
        <w:rPr>
          <w:sz w:val="16"/>
          <w:szCs w:val="16"/>
        </w:rPr>
        <w:t xml:space="preserve">2022 r. </w:t>
      </w:r>
    </w:p>
  </w:footnote>
  <w:footnote w:id="149">
    <w:p w14:paraId="4F76849F" w14:textId="77777777" w:rsidR="008C1E51" w:rsidRPr="00EB73E9" w:rsidRDefault="008C1E51" w:rsidP="008C1E51">
      <w:pPr>
        <w:pStyle w:val="Tekstprzypisudolnego"/>
        <w:rPr>
          <w:sz w:val="16"/>
          <w:szCs w:val="16"/>
        </w:rPr>
      </w:pPr>
      <w:r w:rsidRPr="00EB73E9">
        <w:rPr>
          <w:rStyle w:val="Odwoanieprzypisudolnego"/>
          <w:sz w:val="16"/>
          <w:szCs w:val="16"/>
        </w:rPr>
        <w:footnoteRef/>
      </w:r>
      <w:r w:rsidRPr="00EB73E9">
        <w:rPr>
          <w:sz w:val="16"/>
          <w:szCs w:val="16"/>
        </w:rPr>
        <w:t xml:space="preserve"> Taka sytuacja wystąpiła np. w roku 2019 i 2021</w:t>
      </w:r>
      <w:r>
        <w:rPr>
          <w:sz w:val="16"/>
          <w:szCs w:val="16"/>
        </w:rPr>
        <w:t>.</w:t>
      </w:r>
    </w:p>
  </w:footnote>
  <w:footnote w:id="150">
    <w:p w14:paraId="10CAAC2B" w14:textId="77777777" w:rsidR="008C1E51" w:rsidRPr="00EB73E9" w:rsidRDefault="008C1E51" w:rsidP="008C1E51">
      <w:pPr>
        <w:pStyle w:val="Tekstprzypisudolnego"/>
        <w:rPr>
          <w:sz w:val="16"/>
          <w:szCs w:val="16"/>
        </w:rPr>
      </w:pPr>
      <w:r w:rsidRPr="00EB73E9">
        <w:rPr>
          <w:rStyle w:val="Odwoanieprzypisudolnego"/>
          <w:sz w:val="16"/>
          <w:szCs w:val="16"/>
        </w:rPr>
        <w:footnoteRef/>
      </w:r>
      <w:r w:rsidRPr="00EB73E9">
        <w:rPr>
          <w:sz w:val="16"/>
          <w:szCs w:val="16"/>
        </w:rPr>
        <w:t xml:space="preserve"> Przy piśmie z 20 stycznia 2022 r. </w:t>
      </w:r>
    </w:p>
  </w:footnote>
  <w:footnote w:id="151">
    <w:p w14:paraId="4A3BB062" w14:textId="77777777" w:rsidR="008C1E51" w:rsidRPr="00EB73E9" w:rsidRDefault="008C1E51" w:rsidP="008C1E51">
      <w:pPr>
        <w:pStyle w:val="Tekstprzypisudolnego"/>
        <w:rPr>
          <w:sz w:val="16"/>
          <w:szCs w:val="16"/>
        </w:rPr>
      </w:pPr>
      <w:r w:rsidRPr="00EB73E9">
        <w:rPr>
          <w:rStyle w:val="Odwoanieprzypisudolnego"/>
          <w:sz w:val="16"/>
          <w:szCs w:val="16"/>
        </w:rPr>
        <w:footnoteRef/>
      </w:r>
      <w:r w:rsidRPr="00EB73E9">
        <w:rPr>
          <w:sz w:val="16"/>
          <w:szCs w:val="16"/>
        </w:rPr>
        <w:t xml:space="preserve"> Wezwania do uregulowania odsetek za zwłokę, ostateczne wezwania do zapłaty</w:t>
      </w:r>
      <w:r>
        <w:rPr>
          <w:sz w:val="16"/>
          <w:szCs w:val="16"/>
        </w:rPr>
        <w:t>.</w:t>
      </w:r>
      <w:r w:rsidRPr="00EB73E9">
        <w:rPr>
          <w:sz w:val="16"/>
          <w:szCs w:val="16"/>
        </w:rPr>
        <w:t xml:space="preserve"> </w:t>
      </w:r>
    </w:p>
  </w:footnote>
  <w:footnote w:id="152">
    <w:p w14:paraId="6EEA735E" w14:textId="77777777" w:rsidR="008C1E51" w:rsidRPr="00EB73E9" w:rsidRDefault="008C1E51" w:rsidP="008C1E51">
      <w:pPr>
        <w:pStyle w:val="Tekstprzypisudolnego"/>
        <w:rPr>
          <w:sz w:val="16"/>
          <w:szCs w:val="16"/>
        </w:rPr>
      </w:pPr>
      <w:r w:rsidRPr="00EB73E9">
        <w:rPr>
          <w:rStyle w:val="Odwoanieprzypisudolnego"/>
          <w:sz w:val="16"/>
          <w:szCs w:val="16"/>
        </w:rPr>
        <w:footnoteRef/>
      </w:r>
      <w:r w:rsidRPr="00EB73E9">
        <w:rPr>
          <w:sz w:val="16"/>
          <w:szCs w:val="16"/>
        </w:rPr>
        <w:t xml:space="preserve"> Na podstawie art. 10b </w:t>
      </w:r>
      <w:r>
        <w:rPr>
          <w:sz w:val="16"/>
          <w:szCs w:val="16"/>
        </w:rPr>
        <w:t>uop</w:t>
      </w:r>
      <w:r w:rsidRPr="00EB73E9">
        <w:rPr>
          <w:rFonts w:cs="Times New Roman"/>
          <w:sz w:val="16"/>
          <w:szCs w:val="16"/>
        </w:rPr>
        <w:t>,</w:t>
      </w:r>
    </w:p>
  </w:footnote>
  <w:footnote w:id="153">
    <w:p w14:paraId="3358E033" w14:textId="77777777" w:rsidR="008C1E51" w:rsidRPr="00EB73E9" w:rsidRDefault="008C1E51" w:rsidP="008C1E51">
      <w:pPr>
        <w:pStyle w:val="Tekstprzypisudolnego"/>
        <w:rPr>
          <w:sz w:val="16"/>
          <w:szCs w:val="16"/>
        </w:rPr>
      </w:pPr>
      <w:r w:rsidRPr="00EB73E9">
        <w:rPr>
          <w:rStyle w:val="Odwoanieprzypisudolnego"/>
          <w:sz w:val="16"/>
          <w:szCs w:val="16"/>
        </w:rPr>
        <w:footnoteRef/>
      </w:r>
      <w:r w:rsidRPr="00EB73E9">
        <w:rPr>
          <w:sz w:val="16"/>
          <w:szCs w:val="16"/>
        </w:rPr>
        <w:t xml:space="preserve"> Pismo </w:t>
      </w:r>
      <w:proofErr w:type="spellStart"/>
      <w:r w:rsidRPr="00EB73E9">
        <w:rPr>
          <w:sz w:val="16"/>
          <w:szCs w:val="16"/>
        </w:rPr>
        <w:t>BdPN</w:t>
      </w:r>
      <w:proofErr w:type="spellEnd"/>
      <w:r w:rsidRPr="00EB73E9">
        <w:rPr>
          <w:sz w:val="16"/>
          <w:szCs w:val="16"/>
        </w:rPr>
        <w:t xml:space="preserve"> z 29</w:t>
      </w:r>
      <w:r>
        <w:rPr>
          <w:sz w:val="16"/>
          <w:szCs w:val="16"/>
        </w:rPr>
        <w:t xml:space="preserve"> września </w:t>
      </w:r>
      <w:r w:rsidRPr="00EB73E9">
        <w:rPr>
          <w:sz w:val="16"/>
          <w:szCs w:val="16"/>
        </w:rPr>
        <w:t xml:space="preserve">2022 r., wyjaśnienia </w:t>
      </w:r>
      <w:proofErr w:type="spellStart"/>
      <w:r w:rsidRPr="00EB73E9">
        <w:rPr>
          <w:sz w:val="16"/>
          <w:szCs w:val="16"/>
        </w:rPr>
        <w:t>BdPN</w:t>
      </w:r>
      <w:proofErr w:type="spellEnd"/>
      <w:r w:rsidRPr="00EB73E9">
        <w:rPr>
          <w:sz w:val="16"/>
          <w:szCs w:val="16"/>
        </w:rPr>
        <w:t xml:space="preserve"> z 17</w:t>
      </w:r>
      <w:r>
        <w:rPr>
          <w:sz w:val="16"/>
          <w:szCs w:val="16"/>
        </w:rPr>
        <w:t xml:space="preserve"> listopada </w:t>
      </w:r>
      <w:r w:rsidRPr="00EB73E9">
        <w:rPr>
          <w:sz w:val="16"/>
          <w:szCs w:val="16"/>
        </w:rPr>
        <w:t xml:space="preserve">2022 r. </w:t>
      </w:r>
    </w:p>
  </w:footnote>
  <w:footnote w:id="154">
    <w:p w14:paraId="739DD286" w14:textId="77777777" w:rsidR="008C1E51" w:rsidRPr="00EB73E9" w:rsidRDefault="008C1E51" w:rsidP="008C1E51">
      <w:pPr>
        <w:pStyle w:val="Tekstprzypisudolnego"/>
        <w:rPr>
          <w:rFonts w:cs="Times New Roman"/>
          <w:sz w:val="16"/>
          <w:szCs w:val="16"/>
        </w:rPr>
      </w:pPr>
      <w:r w:rsidRPr="00EB73E9">
        <w:rPr>
          <w:rStyle w:val="Odwoanieprzypisudolnego"/>
          <w:rFonts w:cs="Times New Roman"/>
          <w:sz w:val="16"/>
          <w:szCs w:val="16"/>
        </w:rPr>
        <w:footnoteRef/>
      </w:r>
      <w:r w:rsidRPr="00EB73E9">
        <w:rPr>
          <w:rFonts w:cs="Times New Roman"/>
          <w:sz w:val="16"/>
          <w:szCs w:val="16"/>
        </w:rPr>
        <w:t xml:space="preserve"> Na podstawie przepisów </w:t>
      </w:r>
      <w:r>
        <w:rPr>
          <w:rFonts w:cs="Times New Roman"/>
          <w:sz w:val="16"/>
          <w:szCs w:val="16"/>
        </w:rPr>
        <w:t>uop</w:t>
      </w:r>
      <w:r w:rsidRPr="00EB73E9">
        <w:rPr>
          <w:rFonts w:cs="Times New Roman"/>
          <w:sz w:val="16"/>
          <w:szCs w:val="16"/>
        </w:rPr>
        <w:t>, ustawy z 16 grudnia o zasadach zarządzania mieniem państwowym (Dz. U. z 2018 r., poz. 1182) oraz Rozporządzenia Ministra Środowiska z 20 lipca 2012 r. w sprawie przetargów oraz rokowań na rozporządzanie nieruchomościami przez parki narodowe</w:t>
      </w:r>
    </w:p>
  </w:footnote>
  <w:footnote w:id="155">
    <w:p w14:paraId="08A26242" w14:textId="77777777" w:rsidR="008C1E51" w:rsidRPr="00472AB1" w:rsidRDefault="008C1E51" w:rsidP="008C1E51">
      <w:pPr>
        <w:pStyle w:val="Tekstprzypisudolnego"/>
        <w:rPr>
          <w:rFonts w:cs="Times New Roman"/>
          <w:sz w:val="16"/>
          <w:szCs w:val="16"/>
        </w:rPr>
      </w:pPr>
      <w:r w:rsidRPr="00EB73E9">
        <w:rPr>
          <w:rStyle w:val="Odwoanieprzypisudolnego"/>
          <w:rFonts w:cs="Times New Roman"/>
          <w:sz w:val="16"/>
          <w:szCs w:val="16"/>
        </w:rPr>
        <w:footnoteRef/>
      </w:r>
      <w:r w:rsidRPr="00EB73E9">
        <w:rPr>
          <w:rFonts w:cs="Times New Roman"/>
          <w:sz w:val="16"/>
          <w:szCs w:val="16"/>
        </w:rPr>
        <w:t xml:space="preserve"> Pismo </w:t>
      </w:r>
      <w:proofErr w:type="spellStart"/>
      <w:r w:rsidRPr="00EB73E9">
        <w:rPr>
          <w:rFonts w:cs="Times New Roman"/>
          <w:sz w:val="16"/>
          <w:szCs w:val="16"/>
        </w:rPr>
        <w:t>BdPN</w:t>
      </w:r>
      <w:proofErr w:type="spellEnd"/>
      <w:r w:rsidRPr="00EB73E9">
        <w:rPr>
          <w:rFonts w:cs="Times New Roman"/>
          <w:sz w:val="16"/>
          <w:szCs w:val="16"/>
        </w:rPr>
        <w:t xml:space="preserve"> z 29</w:t>
      </w:r>
      <w:r>
        <w:rPr>
          <w:rFonts w:cs="Times New Roman"/>
          <w:sz w:val="16"/>
          <w:szCs w:val="16"/>
        </w:rPr>
        <w:t xml:space="preserve"> września </w:t>
      </w:r>
      <w:r w:rsidRPr="00EB73E9">
        <w:rPr>
          <w:rFonts w:cs="Times New Roman"/>
          <w:sz w:val="16"/>
          <w:szCs w:val="16"/>
        </w:rPr>
        <w:t>2022 r.</w:t>
      </w:r>
    </w:p>
  </w:footnote>
  <w:footnote w:id="156">
    <w:p w14:paraId="58A02FF4" w14:textId="77777777" w:rsidR="008C1E51" w:rsidRPr="003C1397" w:rsidRDefault="008C1E51" w:rsidP="008C1E51">
      <w:pPr>
        <w:pStyle w:val="Tekstprzypisudolnego"/>
        <w:rPr>
          <w:rFonts w:cs="Times New Roman"/>
          <w:sz w:val="16"/>
          <w:szCs w:val="16"/>
        </w:rPr>
      </w:pPr>
      <w:r w:rsidRPr="003C1397">
        <w:rPr>
          <w:rStyle w:val="Odwoanieprzypisudolnego"/>
          <w:rFonts w:cs="Times New Roman"/>
          <w:sz w:val="16"/>
          <w:szCs w:val="16"/>
        </w:rPr>
        <w:footnoteRef/>
      </w:r>
      <w:r w:rsidRPr="003C1397">
        <w:rPr>
          <w:rFonts w:cs="Times New Roman"/>
          <w:sz w:val="16"/>
          <w:szCs w:val="16"/>
        </w:rPr>
        <w:t xml:space="preserve"> Zarządzenie nr 14 Dyrektora </w:t>
      </w:r>
      <w:proofErr w:type="spellStart"/>
      <w:r w:rsidRPr="003C1397">
        <w:rPr>
          <w:rFonts w:cs="Times New Roman"/>
          <w:sz w:val="16"/>
          <w:szCs w:val="16"/>
        </w:rPr>
        <w:t>BdPN</w:t>
      </w:r>
      <w:proofErr w:type="spellEnd"/>
      <w:r w:rsidRPr="003C1397">
        <w:rPr>
          <w:rFonts w:cs="Times New Roman"/>
          <w:sz w:val="16"/>
          <w:szCs w:val="16"/>
        </w:rPr>
        <w:t xml:space="preserve"> z 27 marca 2014 r. w sprawie wprowadzenia Regulaminu przydzielenia bezpłatnych mieszkań oraz przyznawania ekwiwalentu za niekorzystanie z bezpłatnego mieszkania w </w:t>
      </w:r>
      <w:proofErr w:type="spellStart"/>
      <w:r w:rsidRPr="003C1397">
        <w:rPr>
          <w:rFonts w:cs="Times New Roman"/>
          <w:sz w:val="16"/>
          <w:szCs w:val="16"/>
        </w:rPr>
        <w:t>BdPN</w:t>
      </w:r>
      <w:proofErr w:type="spellEnd"/>
      <w:r w:rsidRPr="003C1397">
        <w:rPr>
          <w:rFonts w:eastAsia="Arial Unicode MS" w:cs="Times New Roman"/>
          <w:kern w:val="2"/>
          <w:sz w:val="16"/>
          <w:szCs w:val="16"/>
          <w:lang w:eastAsia="hi-IN" w:bidi="hi-IN"/>
        </w:rPr>
        <w:t>)</w:t>
      </w:r>
      <w:r w:rsidRPr="003C1397">
        <w:rPr>
          <w:rFonts w:cs="Times New Roman"/>
          <w:sz w:val="16"/>
          <w:szCs w:val="16"/>
        </w:rPr>
        <w:t>,</w:t>
      </w:r>
    </w:p>
    <w:p w14:paraId="145C8367" w14:textId="77777777" w:rsidR="008C1E51" w:rsidRPr="003C1397" w:rsidRDefault="008C1E51" w:rsidP="008C1E51">
      <w:pPr>
        <w:pStyle w:val="Tekstprzypisudolnego"/>
        <w:rPr>
          <w:rFonts w:cs="Times New Roman"/>
          <w:sz w:val="16"/>
          <w:szCs w:val="16"/>
        </w:rPr>
      </w:pPr>
      <w:r w:rsidRPr="003C1397">
        <w:rPr>
          <w:rFonts w:cs="Times New Roman"/>
          <w:sz w:val="16"/>
          <w:szCs w:val="16"/>
        </w:rPr>
        <w:t xml:space="preserve"> (zmienione Zarządzeniem zmieniającym z 6</w:t>
      </w:r>
      <w:r>
        <w:rPr>
          <w:rFonts w:cs="Times New Roman"/>
          <w:sz w:val="16"/>
          <w:szCs w:val="16"/>
        </w:rPr>
        <w:t xml:space="preserve"> listopada </w:t>
      </w:r>
      <w:r w:rsidRPr="003C1397">
        <w:rPr>
          <w:rFonts w:cs="Times New Roman"/>
          <w:sz w:val="16"/>
          <w:szCs w:val="16"/>
        </w:rPr>
        <w:t xml:space="preserve">2018 r. </w:t>
      </w:r>
    </w:p>
    <w:p w14:paraId="3C29BF24" w14:textId="77777777" w:rsidR="008C1E51" w:rsidRPr="003C1397" w:rsidRDefault="008C1E51" w:rsidP="008C1E51">
      <w:pPr>
        <w:pStyle w:val="Tekstprzypisudolnego"/>
        <w:rPr>
          <w:rFonts w:cs="Times New Roman"/>
          <w:sz w:val="16"/>
          <w:szCs w:val="16"/>
        </w:rPr>
      </w:pPr>
      <w:r w:rsidRPr="003C1397">
        <w:rPr>
          <w:rFonts w:cs="Times New Roman"/>
          <w:sz w:val="16"/>
          <w:szCs w:val="16"/>
        </w:rPr>
        <w:t xml:space="preserve">Zarządzenie nr 7 Dyrektora </w:t>
      </w:r>
      <w:proofErr w:type="spellStart"/>
      <w:r w:rsidRPr="003C1397">
        <w:rPr>
          <w:rFonts w:cs="Times New Roman"/>
          <w:sz w:val="16"/>
          <w:szCs w:val="16"/>
        </w:rPr>
        <w:t>BdPN</w:t>
      </w:r>
      <w:proofErr w:type="spellEnd"/>
      <w:r w:rsidRPr="003C1397">
        <w:rPr>
          <w:rFonts w:cs="Times New Roman"/>
          <w:sz w:val="16"/>
          <w:szCs w:val="16"/>
        </w:rPr>
        <w:t xml:space="preserve"> z 10 stycznia 2018 r. w sprawie wykonywania przez Najemców remontów </w:t>
      </w:r>
      <w:r w:rsidRPr="003C1397">
        <w:rPr>
          <w:rFonts w:cs="Times New Roman"/>
          <w:sz w:val="16"/>
          <w:szCs w:val="16"/>
        </w:rPr>
        <w:br/>
        <w:t>w lokalach mieszkalnych Bieszczadzkiego Parku Narodowego</w:t>
      </w:r>
      <w:r>
        <w:rPr>
          <w:rFonts w:cs="Times New Roman"/>
          <w:sz w:val="16"/>
          <w:szCs w:val="16"/>
        </w:rPr>
        <w:t>.</w:t>
      </w:r>
      <w:r w:rsidRPr="003C1397">
        <w:rPr>
          <w:rFonts w:cs="Times New Roman"/>
          <w:sz w:val="16"/>
          <w:szCs w:val="16"/>
        </w:rPr>
        <w:t xml:space="preserve"> </w:t>
      </w:r>
    </w:p>
    <w:p w14:paraId="28968ED0" w14:textId="4E1A030F" w:rsidR="008C1E51" w:rsidRPr="003C1397" w:rsidRDefault="008C1E51" w:rsidP="008C1E51">
      <w:pPr>
        <w:pStyle w:val="Tekstprzypisudolnego"/>
        <w:rPr>
          <w:rFonts w:cs="Times New Roman"/>
          <w:sz w:val="16"/>
          <w:szCs w:val="16"/>
        </w:rPr>
      </w:pPr>
      <w:r w:rsidRPr="003C1397">
        <w:rPr>
          <w:rFonts w:cs="Times New Roman"/>
          <w:sz w:val="16"/>
          <w:szCs w:val="16"/>
        </w:rPr>
        <w:t xml:space="preserve">Zarządzenie nr 39 Dyrektora </w:t>
      </w:r>
      <w:proofErr w:type="spellStart"/>
      <w:r w:rsidRPr="003C1397">
        <w:rPr>
          <w:rFonts w:cs="Times New Roman"/>
          <w:sz w:val="16"/>
          <w:szCs w:val="16"/>
        </w:rPr>
        <w:t>BdPN</w:t>
      </w:r>
      <w:proofErr w:type="spellEnd"/>
      <w:r w:rsidRPr="003C1397">
        <w:rPr>
          <w:rFonts w:cs="Times New Roman"/>
          <w:sz w:val="16"/>
          <w:szCs w:val="16"/>
        </w:rPr>
        <w:t xml:space="preserve"> z 9 czerwca 2014 r. w sprawie określenia stawek czynszu za lokale mieszkalne</w:t>
      </w:r>
      <w:r>
        <w:rPr>
          <w:rFonts w:cs="Times New Roman"/>
          <w:sz w:val="16"/>
          <w:szCs w:val="16"/>
        </w:rPr>
        <w:br/>
      </w:r>
      <w:r w:rsidRPr="003C1397">
        <w:rPr>
          <w:rFonts w:cs="Times New Roman"/>
          <w:sz w:val="16"/>
          <w:szCs w:val="16"/>
        </w:rPr>
        <w:t xml:space="preserve"> i pomieszczenia gospodarcze, pozostające w zasobach mieszkaniowych </w:t>
      </w:r>
      <w:proofErr w:type="spellStart"/>
      <w:r w:rsidR="00211832" w:rsidRPr="003C1397">
        <w:rPr>
          <w:rFonts w:cs="Times New Roman"/>
          <w:sz w:val="16"/>
          <w:szCs w:val="16"/>
        </w:rPr>
        <w:t>BdPN</w:t>
      </w:r>
      <w:proofErr w:type="spellEnd"/>
      <w:r w:rsidR="00211832" w:rsidRPr="003C1397">
        <w:rPr>
          <w:rFonts w:cs="Times New Roman"/>
          <w:sz w:val="16"/>
          <w:szCs w:val="16"/>
        </w:rPr>
        <w:t>.</w:t>
      </w:r>
    </w:p>
    <w:p w14:paraId="32F18706" w14:textId="77777777" w:rsidR="008C1E51" w:rsidRPr="003C1397" w:rsidRDefault="008C1E51" w:rsidP="008C1E51">
      <w:pPr>
        <w:pStyle w:val="Tekstprzypisudolnego"/>
        <w:rPr>
          <w:rFonts w:cs="Times New Roman"/>
          <w:sz w:val="16"/>
          <w:szCs w:val="16"/>
        </w:rPr>
      </w:pPr>
      <w:r w:rsidRPr="003C1397">
        <w:rPr>
          <w:rFonts w:cs="Times New Roman"/>
          <w:sz w:val="16"/>
          <w:szCs w:val="16"/>
        </w:rPr>
        <w:t xml:space="preserve">Zarządzenie nr 58 Dyrektora </w:t>
      </w:r>
      <w:proofErr w:type="spellStart"/>
      <w:r w:rsidRPr="003C1397">
        <w:rPr>
          <w:rFonts w:cs="Times New Roman"/>
          <w:sz w:val="16"/>
          <w:szCs w:val="16"/>
        </w:rPr>
        <w:t>BdPN</w:t>
      </w:r>
      <w:proofErr w:type="spellEnd"/>
      <w:r w:rsidRPr="003C1397">
        <w:rPr>
          <w:rFonts w:cs="Times New Roman"/>
          <w:sz w:val="16"/>
          <w:szCs w:val="16"/>
        </w:rPr>
        <w:t xml:space="preserve"> z 29 listopada 2019 r, w sprawie określenia stawek opłat za dostawę wody </w:t>
      </w:r>
      <w:r>
        <w:rPr>
          <w:rFonts w:cs="Times New Roman"/>
          <w:sz w:val="16"/>
          <w:szCs w:val="16"/>
        </w:rPr>
        <w:br/>
      </w:r>
      <w:r w:rsidRPr="003C1397">
        <w:rPr>
          <w:rFonts w:cs="Times New Roman"/>
          <w:sz w:val="16"/>
          <w:szCs w:val="16"/>
        </w:rPr>
        <w:t xml:space="preserve">i odprowadzanie ścieków przez </w:t>
      </w:r>
      <w:proofErr w:type="spellStart"/>
      <w:r w:rsidRPr="003C1397">
        <w:rPr>
          <w:rFonts w:cs="Times New Roman"/>
          <w:sz w:val="16"/>
          <w:szCs w:val="16"/>
        </w:rPr>
        <w:t>BdPN</w:t>
      </w:r>
      <w:proofErr w:type="spellEnd"/>
      <w:r>
        <w:rPr>
          <w:rFonts w:cs="Times New Roman"/>
          <w:sz w:val="16"/>
          <w:szCs w:val="16"/>
        </w:rPr>
        <w:t>.</w:t>
      </w:r>
      <w:r w:rsidRPr="003C1397">
        <w:rPr>
          <w:rFonts w:cs="Times New Roman"/>
          <w:sz w:val="16"/>
          <w:szCs w:val="16"/>
        </w:rPr>
        <w:t xml:space="preserve"> </w:t>
      </w:r>
    </w:p>
  </w:footnote>
  <w:footnote w:id="157">
    <w:p w14:paraId="76D5B343" w14:textId="77777777" w:rsidR="008C1E51" w:rsidRPr="003C1397" w:rsidRDefault="008C1E51" w:rsidP="008C1E51">
      <w:pPr>
        <w:pStyle w:val="Tekstprzypisudolnego"/>
        <w:rPr>
          <w:rFonts w:cs="Times New Roman"/>
          <w:sz w:val="16"/>
          <w:szCs w:val="16"/>
        </w:rPr>
      </w:pPr>
      <w:r w:rsidRPr="003C1397">
        <w:rPr>
          <w:rStyle w:val="Odwoanieprzypisudolnego"/>
          <w:rFonts w:cs="Times New Roman"/>
          <w:sz w:val="16"/>
          <w:szCs w:val="16"/>
        </w:rPr>
        <w:footnoteRef/>
      </w:r>
      <w:r w:rsidRPr="003C1397">
        <w:rPr>
          <w:rFonts w:cs="Times New Roman"/>
          <w:sz w:val="16"/>
          <w:szCs w:val="16"/>
        </w:rPr>
        <w:t xml:space="preserve"> Zarządzenie Dyrektora </w:t>
      </w:r>
      <w:proofErr w:type="spellStart"/>
      <w:r w:rsidRPr="003C1397">
        <w:rPr>
          <w:rFonts w:cs="Times New Roman"/>
          <w:sz w:val="16"/>
          <w:szCs w:val="16"/>
        </w:rPr>
        <w:t>BdPN</w:t>
      </w:r>
      <w:proofErr w:type="spellEnd"/>
      <w:r w:rsidRPr="003C1397">
        <w:rPr>
          <w:rFonts w:cs="Times New Roman"/>
          <w:sz w:val="16"/>
          <w:szCs w:val="16"/>
        </w:rPr>
        <w:t xml:space="preserve"> z 31</w:t>
      </w:r>
      <w:r>
        <w:rPr>
          <w:rFonts w:cs="Times New Roman"/>
          <w:sz w:val="16"/>
          <w:szCs w:val="16"/>
        </w:rPr>
        <w:t xml:space="preserve"> grudnia </w:t>
      </w:r>
      <w:r w:rsidRPr="003C1397">
        <w:rPr>
          <w:rFonts w:cs="Times New Roman"/>
          <w:sz w:val="16"/>
          <w:szCs w:val="16"/>
        </w:rPr>
        <w:t xml:space="preserve">2012 r. w sprawie Regulaminu Organizacyjnego </w:t>
      </w:r>
      <w:proofErr w:type="spellStart"/>
      <w:r w:rsidRPr="003C1397">
        <w:rPr>
          <w:rFonts w:cs="Times New Roman"/>
          <w:sz w:val="16"/>
          <w:szCs w:val="16"/>
        </w:rPr>
        <w:t>BdPN</w:t>
      </w:r>
      <w:proofErr w:type="spellEnd"/>
      <w:r>
        <w:rPr>
          <w:rFonts w:cs="Times New Roman"/>
          <w:sz w:val="16"/>
          <w:szCs w:val="16"/>
        </w:rPr>
        <w:t>.</w:t>
      </w:r>
    </w:p>
    <w:p w14:paraId="7F4B197B" w14:textId="7B6368A8" w:rsidR="008C1E51" w:rsidRPr="003C1397" w:rsidRDefault="008C1E51" w:rsidP="008C1E51">
      <w:pPr>
        <w:pStyle w:val="Tekstprzypisudolnego"/>
        <w:rPr>
          <w:rFonts w:cs="Times New Roman"/>
          <w:sz w:val="16"/>
          <w:szCs w:val="16"/>
        </w:rPr>
      </w:pPr>
      <w:r w:rsidRPr="003C1397">
        <w:rPr>
          <w:rFonts w:cs="Times New Roman"/>
          <w:sz w:val="16"/>
          <w:szCs w:val="16"/>
        </w:rPr>
        <w:t xml:space="preserve">Zarządzenie Dyrektora </w:t>
      </w:r>
      <w:proofErr w:type="spellStart"/>
      <w:r w:rsidRPr="003C1397">
        <w:rPr>
          <w:rFonts w:cs="Times New Roman"/>
          <w:sz w:val="16"/>
          <w:szCs w:val="16"/>
        </w:rPr>
        <w:t>BdPN</w:t>
      </w:r>
      <w:proofErr w:type="spellEnd"/>
      <w:r w:rsidRPr="003C1397">
        <w:rPr>
          <w:rFonts w:cs="Times New Roman"/>
          <w:sz w:val="16"/>
          <w:szCs w:val="16"/>
        </w:rPr>
        <w:t xml:space="preserve"> nr </w:t>
      </w:r>
      <w:r w:rsidR="00211832" w:rsidRPr="003C1397">
        <w:rPr>
          <w:rFonts w:cs="Times New Roman"/>
          <w:sz w:val="16"/>
          <w:szCs w:val="16"/>
        </w:rPr>
        <w:t>52 z</w:t>
      </w:r>
      <w:r w:rsidRPr="003C1397">
        <w:rPr>
          <w:rFonts w:cs="Times New Roman"/>
          <w:sz w:val="16"/>
          <w:szCs w:val="16"/>
        </w:rPr>
        <w:t xml:space="preserve"> 31 grudnia 2020 r. w sprawie Regulaminu Organizacyjnego </w:t>
      </w:r>
      <w:proofErr w:type="spellStart"/>
      <w:r w:rsidRPr="003C1397">
        <w:rPr>
          <w:rFonts w:cs="Times New Roman"/>
          <w:sz w:val="16"/>
          <w:szCs w:val="16"/>
        </w:rPr>
        <w:t>BdPN</w:t>
      </w:r>
      <w:proofErr w:type="spellEnd"/>
      <w:r>
        <w:rPr>
          <w:rFonts w:cs="Times New Roman"/>
          <w:sz w:val="16"/>
          <w:szCs w:val="16"/>
        </w:rPr>
        <w:t>.</w:t>
      </w:r>
      <w:r w:rsidRPr="003C1397">
        <w:rPr>
          <w:rFonts w:cs="Times New Roman"/>
          <w:sz w:val="16"/>
          <w:szCs w:val="16"/>
        </w:rPr>
        <w:t xml:space="preserve"> </w:t>
      </w:r>
    </w:p>
  </w:footnote>
  <w:footnote w:id="158">
    <w:p w14:paraId="7F1D8588" w14:textId="77777777" w:rsidR="008C1E51" w:rsidRPr="00DB690B"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Pismo </w:t>
      </w:r>
      <w:proofErr w:type="spellStart"/>
      <w:r w:rsidRPr="003C1397">
        <w:rPr>
          <w:sz w:val="16"/>
          <w:szCs w:val="16"/>
        </w:rPr>
        <w:t>BdPN</w:t>
      </w:r>
      <w:proofErr w:type="spellEnd"/>
      <w:r w:rsidRPr="003C1397">
        <w:rPr>
          <w:sz w:val="16"/>
          <w:szCs w:val="16"/>
        </w:rPr>
        <w:t xml:space="preserve"> z 20 stycznia 2023 r.</w:t>
      </w:r>
    </w:p>
  </w:footnote>
  <w:footnote w:id="159">
    <w:p w14:paraId="2A98AA5E" w14:textId="77777777" w:rsidR="008C1E51" w:rsidRPr="006A2A75" w:rsidRDefault="008C1E51" w:rsidP="008C1E51">
      <w:pPr>
        <w:pStyle w:val="Tekstprzypisudolnego"/>
        <w:rPr>
          <w:sz w:val="16"/>
          <w:szCs w:val="16"/>
        </w:rPr>
      </w:pPr>
      <w:r w:rsidRPr="006A2A75">
        <w:rPr>
          <w:rStyle w:val="Odwoanieprzypisudolnego"/>
          <w:sz w:val="16"/>
          <w:szCs w:val="16"/>
        </w:rPr>
        <w:footnoteRef/>
      </w:r>
      <w:r w:rsidRPr="006A2A75">
        <w:rPr>
          <w:sz w:val="16"/>
          <w:szCs w:val="16"/>
        </w:rPr>
        <w:t xml:space="preserve"> Zgodnie z art. 7 ustawy z 18 sierpnia 2011 r. o zmianie ustawy o ochronie przyrody oraz niektórych innych ustaw (Dz. U. z 2011, poz. 1337)</w:t>
      </w:r>
    </w:p>
  </w:footnote>
  <w:footnote w:id="160">
    <w:p w14:paraId="3DCCAAA5" w14:textId="77777777" w:rsidR="008C1E51" w:rsidRPr="003C1397"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Wyjaśnienia Kierownika Działu Administracji z 7</w:t>
      </w:r>
      <w:r>
        <w:rPr>
          <w:sz w:val="16"/>
          <w:szCs w:val="16"/>
        </w:rPr>
        <w:t xml:space="preserve"> października </w:t>
      </w:r>
      <w:r w:rsidRPr="003C1397">
        <w:rPr>
          <w:sz w:val="16"/>
          <w:szCs w:val="16"/>
        </w:rPr>
        <w:t xml:space="preserve">2022 r. </w:t>
      </w:r>
    </w:p>
  </w:footnote>
  <w:footnote w:id="161">
    <w:p w14:paraId="6FBB5541" w14:textId="543F922B" w:rsidR="008C1E51" w:rsidRPr="003C1397" w:rsidRDefault="008C1E51" w:rsidP="008C1E51">
      <w:pPr>
        <w:pStyle w:val="Akapitzlist"/>
        <w:spacing w:after="0" w:line="240" w:lineRule="auto"/>
        <w:ind w:left="0"/>
        <w:rPr>
          <w:rFonts w:eastAsia="Times New Roman" w:cs="Times New Roman"/>
          <w:color w:val="000000"/>
          <w:sz w:val="16"/>
          <w:szCs w:val="16"/>
          <w:lang w:eastAsia="pl-PL"/>
        </w:rPr>
      </w:pPr>
      <w:r w:rsidRPr="003C1397">
        <w:rPr>
          <w:rStyle w:val="Odwoanieprzypisudolnego"/>
          <w:sz w:val="16"/>
          <w:szCs w:val="16"/>
        </w:rPr>
        <w:footnoteRef/>
      </w:r>
      <w:r w:rsidRPr="003C1397">
        <w:rPr>
          <w:sz w:val="16"/>
          <w:szCs w:val="16"/>
        </w:rPr>
        <w:t xml:space="preserve">  </w:t>
      </w:r>
      <w:r w:rsidRPr="003C1397">
        <w:rPr>
          <w:rFonts w:eastAsia="Times New Roman" w:cs="Times New Roman"/>
          <w:color w:val="000000"/>
          <w:sz w:val="16"/>
          <w:szCs w:val="16"/>
          <w:lang w:eastAsia="pl-PL"/>
        </w:rPr>
        <w:t xml:space="preserve">2019 r. poniesiono koszty w łącznej wysokości </w:t>
      </w:r>
      <w:r w:rsidR="00211832" w:rsidRPr="003C1397">
        <w:rPr>
          <w:rFonts w:eastAsia="Times New Roman" w:cs="Times New Roman"/>
          <w:color w:val="000000"/>
          <w:sz w:val="16"/>
          <w:szCs w:val="16"/>
          <w:lang w:eastAsia="pl-PL"/>
        </w:rPr>
        <w:t>81.600, -</w:t>
      </w:r>
      <w:r w:rsidRPr="003C1397">
        <w:rPr>
          <w:rFonts w:eastAsia="Times New Roman" w:cs="Times New Roman"/>
          <w:color w:val="000000"/>
          <w:sz w:val="16"/>
          <w:szCs w:val="16"/>
          <w:lang w:eastAsia="pl-PL"/>
        </w:rPr>
        <w:t xml:space="preserve"> zł;</w:t>
      </w:r>
      <w:r>
        <w:rPr>
          <w:rFonts w:eastAsia="Times New Roman" w:cs="Times New Roman"/>
          <w:color w:val="000000"/>
          <w:sz w:val="16"/>
          <w:szCs w:val="16"/>
          <w:lang w:eastAsia="pl-PL"/>
        </w:rPr>
        <w:t xml:space="preserve"> </w:t>
      </w:r>
      <w:r w:rsidRPr="00CD6336">
        <w:rPr>
          <w:rFonts w:eastAsia="Times New Roman" w:cs="Times New Roman"/>
          <w:color w:val="000000"/>
          <w:sz w:val="16"/>
          <w:szCs w:val="16"/>
          <w:lang w:eastAsia="pl-PL"/>
        </w:rPr>
        <w:t xml:space="preserve">2020 r. – </w:t>
      </w:r>
      <w:r w:rsidR="00211832" w:rsidRPr="00CD6336">
        <w:rPr>
          <w:rFonts w:eastAsia="Times New Roman" w:cs="Times New Roman"/>
          <w:color w:val="000000"/>
          <w:sz w:val="16"/>
          <w:szCs w:val="16"/>
          <w:lang w:eastAsia="pl-PL"/>
        </w:rPr>
        <w:t>84.600, -</w:t>
      </w:r>
      <w:r w:rsidRPr="00CD6336">
        <w:rPr>
          <w:rFonts w:eastAsia="Times New Roman" w:cs="Times New Roman"/>
          <w:color w:val="000000"/>
          <w:sz w:val="16"/>
          <w:szCs w:val="16"/>
          <w:lang w:eastAsia="pl-PL"/>
        </w:rPr>
        <w:t xml:space="preserve"> zł</w:t>
      </w:r>
      <w:r>
        <w:rPr>
          <w:rFonts w:eastAsia="Times New Roman" w:cs="Times New Roman"/>
          <w:color w:val="000000"/>
          <w:sz w:val="16"/>
          <w:szCs w:val="16"/>
          <w:lang w:eastAsia="pl-PL"/>
        </w:rPr>
        <w:t xml:space="preserve">, </w:t>
      </w:r>
      <w:r w:rsidRPr="003C1397">
        <w:rPr>
          <w:rFonts w:eastAsia="Times New Roman" w:cs="Times New Roman"/>
          <w:color w:val="000000"/>
          <w:sz w:val="16"/>
          <w:szCs w:val="16"/>
          <w:lang w:eastAsia="pl-PL"/>
        </w:rPr>
        <w:t xml:space="preserve">2021 r. – </w:t>
      </w:r>
      <w:r w:rsidR="00211832" w:rsidRPr="003C1397">
        <w:rPr>
          <w:rFonts w:eastAsia="Times New Roman" w:cs="Times New Roman"/>
          <w:color w:val="000000"/>
          <w:sz w:val="16"/>
          <w:szCs w:val="16"/>
          <w:lang w:eastAsia="pl-PL"/>
        </w:rPr>
        <w:t>41.100, -</w:t>
      </w:r>
      <w:r w:rsidRPr="003C1397">
        <w:rPr>
          <w:rFonts w:eastAsia="Times New Roman" w:cs="Times New Roman"/>
          <w:color w:val="000000"/>
          <w:sz w:val="16"/>
          <w:szCs w:val="16"/>
          <w:lang w:eastAsia="pl-PL"/>
        </w:rPr>
        <w:t xml:space="preserve"> zł</w:t>
      </w:r>
      <w:r>
        <w:rPr>
          <w:rFonts w:eastAsia="Times New Roman" w:cs="Times New Roman"/>
          <w:color w:val="000000"/>
          <w:sz w:val="16"/>
          <w:szCs w:val="16"/>
          <w:lang w:eastAsia="pl-PL"/>
        </w:rPr>
        <w:t>,</w:t>
      </w:r>
      <w:r w:rsidRPr="003C1397">
        <w:rPr>
          <w:rFonts w:eastAsia="Times New Roman" w:cs="Times New Roman"/>
          <w:color w:val="000000"/>
          <w:sz w:val="16"/>
          <w:szCs w:val="16"/>
          <w:lang w:eastAsia="pl-PL"/>
        </w:rPr>
        <w:t xml:space="preserve"> 2022 r.- do 11</w:t>
      </w:r>
      <w:r>
        <w:rPr>
          <w:rFonts w:eastAsia="Times New Roman" w:cs="Times New Roman"/>
          <w:color w:val="000000"/>
          <w:sz w:val="16"/>
          <w:szCs w:val="16"/>
          <w:lang w:eastAsia="pl-PL"/>
        </w:rPr>
        <w:t xml:space="preserve"> października </w:t>
      </w:r>
      <w:r w:rsidRPr="003C1397">
        <w:rPr>
          <w:rFonts w:eastAsia="Times New Roman" w:cs="Times New Roman"/>
          <w:color w:val="000000"/>
          <w:sz w:val="16"/>
          <w:szCs w:val="16"/>
          <w:lang w:eastAsia="pl-PL"/>
        </w:rPr>
        <w:t xml:space="preserve">2022 r.- </w:t>
      </w:r>
      <w:r w:rsidR="00211832" w:rsidRPr="003C1397">
        <w:rPr>
          <w:rFonts w:eastAsia="Times New Roman" w:cs="Times New Roman"/>
          <w:color w:val="000000"/>
          <w:sz w:val="16"/>
          <w:szCs w:val="16"/>
          <w:lang w:eastAsia="pl-PL"/>
        </w:rPr>
        <w:t>46.400, -</w:t>
      </w:r>
      <w:r w:rsidRPr="003C1397">
        <w:rPr>
          <w:rFonts w:eastAsia="Times New Roman" w:cs="Times New Roman"/>
          <w:color w:val="000000"/>
          <w:sz w:val="16"/>
          <w:szCs w:val="16"/>
          <w:lang w:eastAsia="pl-PL"/>
        </w:rPr>
        <w:t xml:space="preserve"> zł</w:t>
      </w:r>
      <w:r>
        <w:rPr>
          <w:rFonts w:eastAsia="Times New Roman" w:cs="Times New Roman"/>
          <w:color w:val="000000"/>
          <w:sz w:val="16"/>
          <w:szCs w:val="16"/>
          <w:lang w:eastAsia="pl-PL"/>
        </w:rPr>
        <w:t>.</w:t>
      </w:r>
    </w:p>
  </w:footnote>
  <w:footnote w:id="162">
    <w:p w14:paraId="00C28C3D" w14:textId="77777777" w:rsidR="008C1E51" w:rsidRPr="003C1397"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Wyjaśnienia Kierownika Działu Administracji z 7</w:t>
      </w:r>
      <w:r>
        <w:rPr>
          <w:sz w:val="16"/>
          <w:szCs w:val="16"/>
        </w:rPr>
        <w:t xml:space="preserve"> października </w:t>
      </w:r>
      <w:r w:rsidRPr="003C1397">
        <w:rPr>
          <w:sz w:val="16"/>
          <w:szCs w:val="16"/>
        </w:rPr>
        <w:t xml:space="preserve">2022 r. </w:t>
      </w:r>
    </w:p>
  </w:footnote>
  <w:footnote w:id="163">
    <w:p w14:paraId="428AA9BF" w14:textId="77777777" w:rsidR="008C1E51" w:rsidRPr="003C1397"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Zarządzenie nr 39 Dyrektora </w:t>
      </w:r>
      <w:proofErr w:type="spellStart"/>
      <w:r w:rsidRPr="003C1397">
        <w:rPr>
          <w:sz w:val="16"/>
          <w:szCs w:val="16"/>
        </w:rPr>
        <w:t>BdPN</w:t>
      </w:r>
      <w:proofErr w:type="spellEnd"/>
      <w:r w:rsidRPr="003C1397">
        <w:rPr>
          <w:sz w:val="16"/>
          <w:szCs w:val="16"/>
        </w:rPr>
        <w:t xml:space="preserve"> z 9</w:t>
      </w:r>
      <w:r>
        <w:rPr>
          <w:sz w:val="16"/>
          <w:szCs w:val="16"/>
        </w:rPr>
        <w:t xml:space="preserve"> czerwca </w:t>
      </w:r>
      <w:r w:rsidRPr="003C1397">
        <w:rPr>
          <w:sz w:val="16"/>
          <w:szCs w:val="16"/>
        </w:rPr>
        <w:t xml:space="preserve">2014 r. w sprawie określenia stawek czynszu za lokale mieszkalne i pomieszczenia gospodarcze pozostające w zasobach mieszkaniowych Bieszczadzkiego Parku Narodowego </w:t>
      </w:r>
    </w:p>
  </w:footnote>
  <w:footnote w:id="164">
    <w:p w14:paraId="5C9ED6F5" w14:textId="77777777" w:rsidR="008C1E51" w:rsidRPr="00DB690B"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Pismo </w:t>
      </w:r>
      <w:proofErr w:type="spellStart"/>
      <w:r w:rsidRPr="003C1397">
        <w:rPr>
          <w:sz w:val="16"/>
          <w:szCs w:val="16"/>
        </w:rPr>
        <w:t>BdPN</w:t>
      </w:r>
      <w:proofErr w:type="spellEnd"/>
      <w:r w:rsidRPr="003C1397">
        <w:rPr>
          <w:sz w:val="16"/>
          <w:szCs w:val="16"/>
        </w:rPr>
        <w:t xml:space="preserve"> z 20 stycznia 2023 r.</w:t>
      </w:r>
      <w:r w:rsidRPr="00DB690B">
        <w:rPr>
          <w:sz w:val="16"/>
          <w:szCs w:val="16"/>
        </w:rPr>
        <w:t xml:space="preserve"> </w:t>
      </w:r>
    </w:p>
  </w:footnote>
  <w:footnote w:id="165">
    <w:p w14:paraId="54A960C0" w14:textId="77777777" w:rsidR="008C1E51" w:rsidRPr="0042144D" w:rsidRDefault="008C1E51" w:rsidP="008C1E51">
      <w:pPr>
        <w:pStyle w:val="Tekstprzypisudolnego"/>
        <w:rPr>
          <w:sz w:val="16"/>
          <w:szCs w:val="16"/>
        </w:rPr>
      </w:pPr>
      <w:r w:rsidRPr="0042144D">
        <w:rPr>
          <w:rStyle w:val="Odwoanieprzypisudolnego"/>
          <w:sz w:val="16"/>
          <w:szCs w:val="16"/>
        </w:rPr>
        <w:footnoteRef/>
      </w:r>
      <w:r w:rsidRPr="0042144D">
        <w:rPr>
          <w:sz w:val="16"/>
          <w:szCs w:val="16"/>
        </w:rPr>
        <w:t xml:space="preserve"> Wezwania do uregulowania odsetek za zwłokę, ostateczne wezwania do zapłaty </w:t>
      </w:r>
    </w:p>
  </w:footnote>
  <w:footnote w:id="166">
    <w:p w14:paraId="00F1873C" w14:textId="77777777" w:rsidR="008C1E51" w:rsidRPr="0042144D" w:rsidRDefault="008C1E51" w:rsidP="008C1E51">
      <w:pPr>
        <w:pStyle w:val="Tekstprzypisudolnego"/>
        <w:rPr>
          <w:rFonts w:cs="Times New Roman"/>
          <w:sz w:val="16"/>
          <w:szCs w:val="16"/>
        </w:rPr>
      </w:pPr>
      <w:r w:rsidRPr="0042144D">
        <w:rPr>
          <w:rStyle w:val="Odwoanieprzypisudolnego"/>
          <w:rFonts w:cs="Times New Roman"/>
          <w:sz w:val="16"/>
          <w:szCs w:val="16"/>
        </w:rPr>
        <w:footnoteRef/>
      </w:r>
      <w:r w:rsidRPr="0042144D">
        <w:rPr>
          <w:rFonts w:cs="Times New Roman"/>
          <w:sz w:val="16"/>
          <w:szCs w:val="16"/>
        </w:rPr>
        <w:t xml:space="preserve"> </w:t>
      </w:r>
      <w:r w:rsidRPr="0042144D">
        <w:rPr>
          <w:rFonts w:cs="Times New Roman"/>
          <w:color w:val="000000" w:themeColor="text1"/>
          <w:sz w:val="16"/>
          <w:szCs w:val="16"/>
        </w:rPr>
        <w:t>W związku z art.</w:t>
      </w:r>
      <w:r>
        <w:rPr>
          <w:rFonts w:cs="Times New Roman"/>
          <w:color w:val="000000" w:themeColor="text1"/>
          <w:sz w:val="16"/>
          <w:szCs w:val="16"/>
        </w:rPr>
        <w:t xml:space="preserve"> </w:t>
      </w:r>
      <w:r w:rsidRPr="0042144D">
        <w:rPr>
          <w:rFonts w:cs="Times New Roman"/>
          <w:color w:val="000000" w:themeColor="text1"/>
          <w:sz w:val="16"/>
          <w:szCs w:val="16"/>
        </w:rPr>
        <w:t xml:space="preserve">104 ust. 1 pkt 1 i 3 </w:t>
      </w:r>
      <w:r>
        <w:rPr>
          <w:rFonts w:cs="Times New Roman"/>
          <w:color w:val="000000" w:themeColor="text1"/>
          <w:sz w:val="16"/>
          <w:szCs w:val="16"/>
        </w:rPr>
        <w:t>uop</w:t>
      </w:r>
    </w:p>
  </w:footnote>
  <w:footnote w:id="167">
    <w:p w14:paraId="4CDDC856" w14:textId="77777777" w:rsidR="008C1E51" w:rsidRPr="0042144D" w:rsidRDefault="008C1E51" w:rsidP="008C1E51">
      <w:pPr>
        <w:pStyle w:val="Tekstprzypisudolnego"/>
        <w:rPr>
          <w:rFonts w:cs="Times New Roman"/>
          <w:sz w:val="16"/>
          <w:szCs w:val="16"/>
        </w:rPr>
      </w:pPr>
      <w:r w:rsidRPr="0042144D">
        <w:rPr>
          <w:rStyle w:val="Odwoanieprzypisudolnego"/>
          <w:rFonts w:cs="Times New Roman"/>
          <w:sz w:val="16"/>
          <w:szCs w:val="16"/>
        </w:rPr>
        <w:footnoteRef/>
      </w:r>
      <w:r w:rsidRPr="0042144D">
        <w:rPr>
          <w:rFonts w:cs="Times New Roman"/>
          <w:sz w:val="16"/>
          <w:szCs w:val="16"/>
        </w:rPr>
        <w:t xml:space="preserve"> Zarządzenie nr 50 Dyrektora </w:t>
      </w:r>
      <w:proofErr w:type="spellStart"/>
      <w:r w:rsidRPr="0042144D">
        <w:rPr>
          <w:rFonts w:cs="Times New Roman"/>
          <w:sz w:val="16"/>
          <w:szCs w:val="16"/>
        </w:rPr>
        <w:t>BdPN</w:t>
      </w:r>
      <w:proofErr w:type="spellEnd"/>
      <w:r w:rsidRPr="0042144D">
        <w:rPr>
          <w:rFonts w:cs="Times New Roman"/>
          <w:sz w:val="16"/>
          <w:szCs w:val="16"/>
        </w:rPr>
        <w:t xml:space="preserve"> z 27 maja 2013 r. w sprawie ustalenia wysokości ekwiwalentu za niewykorzystywanie bezpłatnego mieszkania dla pracownika parku narodowego</w:t>
      </w:r>
    </w:p>
  </w:footnote>
  <w:footnote w:id="168">
    <w:p w14:paraId="735B6647" w14:textId="77777777" w:rsidR="008C1E51" w:rsidRPr="0042144D" w:rsidRDefault="008C1E51" w:rsidP="008C1E51">
      <w:pPr>
        <w:pStyle w:val="Tekstprzypisudolnego"/>
        <w:rPr>
          <w:sz w:val="16"/>
          <w:szCs w:val="16"/>
        </w:rPr>
      </w:pPr>
      <w:r w:rsidRPr="0042144D">
        <w:rPr>
          <w:rStyle w:val="Odwoanieprzypisudolnego"/>
          <w:sz w:val="16"/>
          <w:szCs w:val="16"/>
        </w:rPr>
        <w:footnoteRef/>
      </w:r>
      <w:r w:rsidRPr="0042144D">
        <w:rPr>
          <w:sz w:val="16"/>
          <w:szCs w:val="16"/>
        </w:rPr>
        <w:t xml:space="preserve"> Decyzja Dyrektora </w:t>
      </w:r>
      <w:proofErr w:type="spellStart"/>
      <w:r w:rsidRPr="0042144D">
        <w:rPr>
          <w:sz w:val="16"/>
          <w:szCs w:val="16"/>
        </w:rPr>
        <w:t>BdPN</w:t>
      </w:r>
      <w:proofErr w:type="spellEnd"/>
      <w:r w:rsidRPr="0042144D">
        <w:rPr>
          <w:sz w:val="16"/>
          <w:szCs w:val="16"/>
        </w:rPr>
        <w:t xml:space="preserve"> z 29 lipca 2019 r. </w:t>
      </w:r>
    </w:p>
  </w:footnote>
  <w:footnote w:id="169">
    <w:p w14:paraId="146FB1B3" w14:textId="77777777" w:rsidR="008C1E51" w:rsidRPr="0042144D" w:rsidRDefault="008C1E51" w:rsidP="008C1E51">
      <w:pPr>
        <w:pStyle w:val="Tekstprzypisudolnego"/>
        <w:rPr>
          <w:sz w:val="16"/>
          <w:szCs w:val="16"/>
        </w:rPr>
      </w:pPr>
      <w:r w:rsidRPr="0042144D">
        <w:rPr>
          <w:rStyle w:val="Odwoanieprzypisudolnego"/>
          <w:sz w:val="16"/>
          <w:szCs w:val="16"/>
        </w:rPr>
        <w:footnoteRef/>
      </w:r>
      <w:r w:rsidRPr="0042144D">
        <w:rPr>
          <w:sz w:val="16"/>
          <w:szCs w:val="16"/>
        </w:rPr>
        <w:t xml:space="preserve"> Decyzja Dyrektora </w:t>
      </w:r>
      <w:proofErr w:type="spellStart"/>
      <w:r w:rsidRPr="0042144D">
        <w:rPr>
          <w:sz w:val="16"/>
          <w:szCs w:val="16"/>
        </w:rPr>
        <w:t>BdPN</w:t>
      </w:r>
      <w:proofErr w:type="spellEnd"/>
      <w:r w:rsidRPr="0042144D">
        <w:rPr>
          <w:sz w:val="16"/>
          <w:szCs w:val="16"/>
        </w:rPr>
        <w:t xml:space="preserve"> z 6 lutego 2019 r. </w:t>
      </w:r>
    </w:p>
  </w:footnote>
  <w:footnote w:id="170">
    <w:p w14:paraId="1C00D5E7" w14:textId="77777777" w:rsidR="008C1E51" w:rsidRPr="003C1397" w:rsidRDefault="008C1E51" w:rsidP="008C1E51">
      <w:pPr>
        <w:pStyle w:val="Tekstprzypisudolnego"/>
        <w:rPr>
          <w:sz w:val="16"/>
          <w:szCs w:val="16"/>
        </w:rPr>
      </w:pPr>
      <w:r w:rsidRPr="0042144D">
        <w:rPr>
          <w:rStyle w:val="Odwoanieprzypisudolnego"/>
          <w:sz w:val="16"/>
          <w:szCs w:val="16"/>
        </w:rPr>
        <w:footnoteRef/>
      </w:r>
      <w:r w:rsidRPr="0042144D">
        <w:rPr>
          <w:sz w:val="16"/>
          <w:szCs w:val="16"/>
        </w:rPr>
        <w:t xml:space="preserve"> Pismo Dyrektora </w:t>
      </w:r>
      <w:proofErr w:type="spellStart"/>
      <w:r w:rsidRPr="0042144D">
        <w:rPr>
          <w:sz w:val="16"/>
          <w:szCs w:val="16"/>
        </w:rPr>
        <w:t>BdPN</w:t>
      </w:r>
      <w:proofErr w:type="spellEnd"/>
      <w:r w:rsidRPr="0042144D">
        <w:rPr>
          <w:sz w:val="16"/>
          <w:szCs w:val="16"/>
        </w:rPr>
        <w:t xml:space="preserve"> z 30 listopada 2020 r.</w:t>
      </w:r>
    </w:p>
  </w:footnote>
  <w:footnote w:id="171">
    <w:p w14:paraId="671AC965" w14:textId="77777777" w:rsidR="008C1E51" w:rsidRPr="003C1397"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Na podstawie art. 104 ust. 12 </w:t>
      </w:r>
      <w:r>
        <w:rPr>
          <w:sz w:val="16"/>
          <w:szCs w:val="16"/>
        </w:rPr>
        <w:t>uop</w:t>
      </w:r>
    </w:p>
  </w:footnote>
  <w:footnote w:id="172">
    <w:p w14:paraId="09AD16AA" w14:textId="77777777" w:rsidR="008C1E51" w:rsidRPr="00CD2038"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Decyzja Dyrektora </w:t>
      </w:r>
      <w:proofErr w:type="spellStart"/>
      <w:r w:rsidRPr="003C1397">
        <w:rPr>
          <w:sz w:val="16"/>
          <w:szCs w:val="16"/>
        </w:rPr>
        <w:t>BdPN</w:t>
      </w:r>
      <w:proofErr w:type="spellEnd"/>
      <w:r w:rsidRPr="003C1397">
        <w:rPr>
          <w:sz w:val="16"/>
          <w:szCs w:val="16"/>
        </w:rPr>
        <w:t xml:space="preserve"> z 1 czerwca 2021 r.</w:t>
      </w:r>
      <w:r>
        <w:rPr>
          <w:sz w:val="16"/>
          <w:szCs w:val="16"/>
        </w:rPr>
        <w:t xml:space="preserve"> </w:t>
      </w:r>
    </w:p>
  </w:footnote>
  <w:footnote w:id="173">
    <w:p w14:paraId="504B2B9C" w14:textId="77777777" w:rsidR="008C1E51" w:rsidRPr="003C1397"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Decyzja Dyrektora </w:t>
      </w:r>
      <w:proofErr w:type="spellStart"/>
      <w:r w:rsidRPr="003C1397">
        <w:rPr>
          <w:sz w:val="16"/>
          <w:szCs w:val="16"/>
        </w:rPr>
        <w:t>BdPN</w:t>
      </w:r>
      <w:proofErr w:type="spellEnd"/>
      <w:r w:rsidRPr="003C1397">
        <w:rPr>
          <w:sz w:val="16"/>
          <w:szCs w:val="16"/>
        </w:rPr>
        <w:t xml:space="preserve"> z 21 marca 2022 r., Decyzja Dyrektora </w:t>
      </w:r>
      <w:proofErr w:type="spellStart"/>
      <w:r w:rsidRPr="003C1397">
        <w:rPr>
          <w:sz w:val="16"/>
          <w:szCs w:val="16"/>
        </w:rPr>
        <w:t>BdPN</w:t>
      </w:r>
      <w:proofErr w:type="spellEnd"/>
      <w:r w:rsidRPr="003C1397">
        <w:rPr>
          <w:sz w:val="16"/>
          <w:szCs w:val="16"/>
        </w:rPr>
        <w:t xml:space="preserve"> z 1 lipca 2022 r. Decyzja Dyrektora </w:t>
      </w:r>
      <w:proofErr w:type="spellStart"/>
      <w:r w:rsidRPr="003C1397">
        <w:rPr>
          <w:sz w:val="16"/>
          <w:szCs w:val="16"/>
        </w:rPr>
        <w:t>BdPN</w:t>
      </w:r>
      <w:proofErr w:type="spellEnd"/>
      <w:r w:rsidRPr="003C1397">
        <w:rPr>
          <w:sz w:val="16"/>
          <w:szCs w:val="16"/>
        </w:rPr>
        <w:t xml:space="preserve"> z 13 września 2022 r. </w:t>
      </w:r>
    </w:p>
  </w:footnote>
  <w:footnote w:id="174">
    <w:p w14:paraId="6ED4CDD2" w14:textId="77777777" w:rsidR="008C1E51" w:rsidRPr="003624DB" w:rsidRDefault="008C1E51" w:rsidP="008C1E51">
      <w:pPr>
        <w:spacing w:after="0" w:line="240" w:lineRule="auto"/>
        <w:rPr>
          <w:sz w:val="16"/>
          <w:szCs w:val="16"/>
        </w:rPr>
      </w:pPr>
      <w:r w:rsidRPr="003624DB">
        <w:rPr>
          <w:rStyle w:val="Odwoanieprzypisudolnego"/>
          <w:sz w:val="16"/>
          <w:szCs w:val="16"/>
        </w:rPr>
        <w:footnoteRef/>
      </w:r>
      <w:r w:rsidRPr="003624DB">
        <w:rPr>
          <w:sz w:val="16"/>
          <w:szCs w:val="16"/>
        </w:rPr>
        <w:t xml:space="preserve"> Zarządzenie nr 29/2015 Dyrektora Bieszczadzkiego Parku Narodowego z 26 czerwca 2015 r. w sprawie rozporządzania nieruchomościami Bieszczadzkiego Parku Narodowego, </w:t>
      </w:r>
    </w:p>
  </w:footnote>
  <w:footnote w:id="175">
    <w:p w14:paraId="74E8DC6F" w14:textId="77777777" w:rsidR="008C1E51" w:rsidRPr="002E4A64" w:rsidRDefault="008C1E51" w:rsidP="008C1E51">
      <w:pPr>
        <w:pStyle w:val="Tekstprzypisudolnego"/>
        <w:rPr>
          <w:sz w:val="16"/>
          <w:szCs w:val="16"/>
        </w:rPr>
      </w:pPr>
      <w:r w:rsidRPr="003C1397">
        <w:rPr>
          <w:rStyle w:val="Odwoanieprzypisudolnego"/>
          <w:rFonts w:eastAsia="Calibri"/>
          <w:sz w:val="16"/>
          <w:szCs w:val="16"/>
        </w:rPr>
        <w:footnoteRef/>
      </w:r>
      <w:r w:rsidRPr="003C1397">
        <w:rPr>
          <w:sz w:val="16"/>
          <w:szCs w:val="16"/>
        </w:rPr>
        <w:t xml:space="preserve"> Zarządzenie nr 20 Dyrektora Bieszczadzkiego Parku Narodowego z dnia 31 marca 2014 r. w sprawie regulaminu używania samochodów wykorzystywanych wyłącznie na potrzeby działalności statutowej Bieszczadzkiego Parku Narodowego, Zarządzenie nr 42 Dyrektora Bieszczadzkiego Parku Narodowego z dnia 31 grudnia 2015 r. w sprawie zleceń wyjazdów służbowych pojazdami Bieszczadzkiego Parku Narodowego </w:t>
      </w:r>
    </w:p>
  </w:footnote>
  <w:footnote w:id="176">
    <w:p w14:paraId="245D84F0" w14:textId="77777777" w:rsidR="008C1E51" w:rsidRPr="003C1397"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w:t>
      </w:r>
      <w:r w:rsidRPr="003C1397">
        <w:rPr>
          <w:color w:val="000000" w:themeColor="text1"/>
          <w:sz w:val="16"/>
          <w:szCs w:val="16"/>
        </w:rPr>
        <w:t>Zarządzenie nr 52 Dyrektora Bieszczadzkiego Parku Narodowego z 31</w:t>
      </w:r>
      <w:r>
        <w:rPr>
          <w:color w:val="000000" w:themeColor="text1"/>
          <w:sz w:val="16"/>
          <w:szCs w:val="16"/>
        </w:rPr>
        <w:t xml:space="preserve"> grudnia </w:t>
      </w:r>
      <w:r w:rsidRPr="003C1397">
        <w:rPr>
          <w:color w:val="000000" w:themeColor="text1"/>
          <w:sz w:val="16"/>
          <w:szCs w:val="16"/>
        </w:rPr>
        <w:t xml:space="preserve">2020 r. </w:t>
      </w:r>
      <w:proofErr w:type="spellStart"/>
      <w:r w:rsidRPr="003C1397">
        <w:rPr>
          <w:color w:val="000000" w:themeColor="text1"/>
          <w:sz w:val="16"/>
          <w:szCs w:val="16"/>
        </w:rPr>
        <w:t>ws</w:t>
      </w:r>
      <w:proofErr w:type="spellEnd"/>
      <w:r w:rsidRPr="003C1397">
        <w:rPr>
          <w:color w:val="000000" w:themeColor="text1"/>
          <w:sz w:val="16"/>
          <w:szCs w:val="16"/>
        </w:rPr>
        <w:t>. Regulaminu Organizacyjnego</w:t>
      </w:r>
    </w:p>
  </w:footnote>
  <w:footnote w:id="177">
    <w:p w14:paraId="32C1B358" w14:textId="02873FE0" w:rsidR="008C1E51" w:rsidRPr="000E2E5F" w:rsidRDefault="008C1E51" w:rsidP="008C1E51">
      <w:pPr>
        <w:pStyle w:val="Tekstprzypisudolnego"/>
        <w:rPr>
          <w:sz w:val="16"/>
          <w:szCs w:val="16"/>
        </w:rPr>
      </w:pPr>
      <w:r w:rsidRPr="003C1397">
        <w:rPr>
          <w:rStyle w:val="Odwoanieprzypisudolnego"/>
          <w:sz w:val="16"/>
          <w:szCs w:val="16"/>
        </w:rPr>
        <w:footnoteRef/>
      </w:r>
      <w:r w:rsidRPr="003C1397">
        <w:rPr>
          <w:sz w:val="16"/>
          <w:szCs w:val="16"/>
        </w:rPr>
        <w:t xml:space="preserve"> dla każdego z 10 pojazdów wybrano karty </w:t>
      </w:r>
      <w:r w:rsidR="00211832" w:rsidRPr="003C1397">
        <w:rPr>
          <w:sz w:val="16"/>
          <w:szCs w:val="16"/>
        </w:rPr>
        <w:t>z 4</w:t>
      </w:r>
      <w:r w:rsidRPr="003C1397">
        <w:rPr>
          <w:sz w:val="16"/>
          <w:szCs w:val="16"/>
        </w:rPr>
        <w:t xml:space="preserve"> miesięcy, po 1 miesięcznej karcie ewidencji czasu pojazdu z każdego roku objętego kontrolą.</w:t>
      </w:r>
      <w:r w:rsidRPr="000E2E5F">
        <w:rPr>
          <w:sz w:val="16"/>
          <w:szCs w:val="16"/>
        </w:rPr>
        <w:t xml:space="preserve"> </w:t>
      </w:r>
    </w:p>
  </w:footnote>
  <w:footnote w:id="178">
    <w:p w14:paraId="4C0A0DBC"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w:t>
      </w:r>
      <w:r w:rsidRPr="00584D62">
        <w:rPr>
          <w:color w:val="000000"/>
          <w:sz w:val="16"/>
          <w:szCs w:val="16"/>
        </w:rPr>
        <w:t xml:space="preserve">np. dot. pojazdu Suzuki </w:t>
      </w:r>
      <w:proofErr w:type="spellStart"/>
      <w:r w:rsidRPr="00584D62">
        <w:rPr>
          <w:color w:val="000000"/>
          <w:sz w:val="16"/>
          <w:szCs w:val="16"/>
        </w:rPr>
        <w:t>Jimny</w:t>
      </w:r>
      <w:proofErr w:type="spellEnd"/>
      <w:r w:rsidRPr="00584D62">
        <w:rPr>
          <w:color w:val="000000"/>
          <w:sz w:val="16"/>
          <w:szCs w:val="16"/>
        </w:rPr>
        <w:t xml:space="preserve"> o nr. rej.: RBI G 553, Opel o nr. rej. RBI 03024, Suzuki </w:t>
      </w:r>
      <w:proofErr w:type="spellStart"/>
      <w:r w:rsidRPr="00584D62">
        <w:rPr>
          <w:color w:val="000000"/>
          <w:sz w:val="16"/>
          <w:szCs w:val="16"/>
        </w:rPr>
        <w:t>Vitara</w:t>
      </w:r>
      <w:proofErr w:type="spellEnd"/>
      <w:r w:rsidRPr="00584D62">
        <w:rPr>
          <w:color w:val="000000"/>
          <w:sz w:val="16"/>
          <w:szCs w:val="16"/>
        </w:rPr>
        <w:t xml:space="preserve"> o nr. rej.: RBI F 338 (karta ze stycznia 2022 r., karta z listopada 2021), Suzuki Grand </w:t>
      </w:r>
      <w:proofErr w:type="spellStart"/>
      <w:r w:rsidRPr="00584D62">
        <w:rPr>
          <w:color w:val="000000"/>
          <w:sz w:val="16"/>
          <w:szCs w:val="16"/>
        </w:rPr>
        <w:t>Vitara</w:t>
      </w:r>
      <w:proofErr w:type="spellEnd"/>
      <w:r w:rsidRPr="00584D62">
        <w:rPr>
          <w:color w:val="000000"/>
          <w:sz w:val="16"/>
          <w:szCs w:val="16"/>
        </w:rPr>
        <w:t xml:space="preserve"> o nr. rej.: RBI G 551 (karta z listopada 2021, karta ze stycznia 2022</w:t>
      </w:r>
    </w:p>
  </w:footnote>
  <w:footnote w:id="179">
    <w:p w14:paraId="38BDCC2D"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Pismo </w:t>
      </w:r>
      <w:proofErr w:type="spellStart"/>
      <w:r w:rsidRPr="00584D62">
        <w:rPr>
          <w:sz w:val="16"/>
          <w:szCs w:val="16"/>
        </w:rPr>
        <w:t>BdPN</w:t>
      </w:r>
      <w:proofErr w:type="spellEnd"/>
      <w:r w:rsidRPr="00584D62">
        <w:rPr>
          <w:sz w:val="16"/>
          <w:szCs w:val="16"/>
        </w:rPr>
        <w:t xml:space="preserve"> z 24 stycznia 2023 r.</w:t>
      </w:r>
    </w:p>
  </w:footnote>
  <w:footnote w:id="180">
    <w:p w14:paraId="644E9CE2"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2 marca 2023 r.</w:t>
      </w:r>
    </w:p>
  </w:footnote>
  <w:footnote w:id="181">
    <w:p w14:paraId="36E56F55"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3 miesięczne karty rozliczenia przebiegu pojazdów: styczeń 2020, listopad 2021, styczeń 2022</w:t>
      </w:r>
    </w:p>
  </w:footnote>
  <w:footnote w:id="182">
    <w:p w14:paraId="1AECD291"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25 października 2023 r.</w:t>
      </w:r>
    </w:p>
  </w:footnote>
  <w:footnote w:id="183">
    <w:p w14:paraId="0A56D17B" w14:textId="2D7501F5" w:rsidR="008C1E51" w:rsidRPr="0038273C"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Pismo </w:t>
      </w:r>
      <w:proofErr w:type="spellStart"/>
      <w:r w:rsidRPr="00584D62">
        <w:rPr>
          <w:sz w:val="16"/>
          <w:szCs w:val="16"/>
        </w:rPr>
        <w:t>BdPN</w:t>
      </w:r>
      <w:proofErr w:type="spellEnd"/>
      <w:r w:rsidRPr="00584D62">
        <w:rPr>
          <w:sz w:val="16"/>
          <w:szCs w:val="16"/>
        </w:rPr>
        <w:t xml:space="preserve"> z </w:t>
      </w:r>
      <w:r w:rsidR="00211832" w:rsidRPr="00584D62">
        <w:rPr>
          <w:sz w:val="16"/>
          <w:szCs w:val="16"/>
        </w:rPr>
        <w:t>8</w:t>
      </w:r>
      <w:r w:rsidR="00211832">
        <w:rPr>
          <w:sz w:val="16"/>
          <w:szCs w:val="16"/>
        </w:rPr>
        <w:t xml:space="preserve"> sierpnia</w:t>
      </w:r>
      <w:r>
        <w:rPr>
          <w:sz w:val="16"/>
          <w:szCs w:val="16"/>
        </w:rPr>
        <w:t xml:space="preserve"> </w:t>
      </w:r>
      <w:r w:rsidRPr="00584D62">
        <w:rPr>
          <w:sz w:val="16"/>
          <w:szCs w:val="16"/>
        </w:rPr>
        <w:t>2022 r.</w:t>
      </w:r>
    </w:p>
  </w:footnote>
  <w:footnote w:id="184">
    <w:p w14:paraId="3FAF1621" w14:textId="107F38A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Pismo </w:t>
      </w:r>
      <w:proofErr w:type="spellStart"/>
      <w:r w:rsidRPr="00584D62">
        <w:rPr>
          <w:sz w:val="16"/>
          <w:szCs w:val="16"/>
        </w:rPr>
        <w:t>BdPN</w:t>
      </w:r>
      <w:proofErr w:type="spellEnd"/>
      <w:r w:rsidRPr="00584D62">
        <w:rPr>
          <w:sz w:val="16"/>
          <w:szCs w:val="16"/>
        </w:rPr>
        <w:t xml:space="preserve"> z </w:t>
      </w:r>
      <w:r w:rsidR="00211832" w:rsidRPr="00584D62">
        <w:rPr>
          <w:sz w:val="16"/>
          <w:szCs w:val="16"/>
        </w:rPr>
        <w:t>8</w:t>
      </w:r>
      <w:r w:rsidR="00211832">
        <w:rPr>
          <w:sz w:val="16"/>
          <w:szCs w:val="16"/>
        </w:rPr>
        <w:t xml:space="preserve"> sierpnia</w:t>
      </w:r>
      <w:r w:rsidRPr="00584D62">
        <w:rPr>
          <w:sz w:val="16"/>
          <w:szCs w:val="16"/>
        </w:rPr>
        <w:t xml:space="preserve"> 2022 r. </w:t>
      </w:r>
    </w:p>
  </w:footnote>
  <w:footnote w:id="185">
    <w:p w14:paraId="3AF0BD8A"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Pismo </w:t>
      </w:r>
      <w:proofErr w:type="spellStart"/>
      <w:r w:rsidRPr="00584D62">
        <w:rPr>
          <w:sz w:val="16"/>
          <w:szCs w:val="16"/>
        </w:rPr>
        <w:t>BdPN</w:t>
      </w:r>
      <w:proofErr w:type="spellEnd"/>
      <w:r w:rsidRPr="00584D62">
        <w:rPr>
          <w:sz w:val="16"/>
          <w:szCs w:val="16"/>
        </w:rPr>
        <w:t xml:space="preserve"> z 8</w:t>
      </w:r>
      <w:r>
        <w:rPr>
          <w:sz w:val="16"/>
          <w:szCs w:val="16"/>
        </w:rPr>
        <w:t xml:space="preserve"> sierpnia </w:t>
      </w:r>
      <w:r w:rsidRPr="00584D62">
        <w:rPr>
          <w:sz w:val="16"/>
          <w:szCs w:val="16"/>
        </w:rPr>
        <w:t>2022 r.</w:t>
      </w:r>
    </w:p>
  </w:footnote>
  <w:footnote w:id="186">
    <w:p w14:paraId="40A430E6"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Zał. nr 3 do pisma </w:t>
      </w:r>
      <w:proofErr w:type="spellStart"/>
      <w:r w:rsidRPr="00584D62">
        <w:rPr>
          <w:sz w:val="16"/>
          <w:szCs w:val="16"/>
        </w:rPr>
        <w:t>BdPN</w:t>
      </w:r>
      <w:proofErr w:type="spellEnd"/>
      <w:r w:rsidRPr="00584D62">
        <w:rPr>
          <w:sz w:val="16"/>
          <w:szCs w:val="16"/>
        </w:rPr>
        <w:t xml:space="preserve"> z 8</w:t>
      </w:r>
      <w:r>
        <w:rPr>
          <w:sz w:val="16"/>
          <w:szCs w:val="16"/>
        </w:rPr>
        <w:t xml:space="preserve"> sierpnia 2022 r.</w:t>
      </w:r>
    </w:p>
  </w:footnote>
  <w:footnote w:id="187">
    <w:p w14:paraId="75F4B241"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Dz. U. 2011 Nr 61, poz. 308, Dz. U. 2007 Nr 201, poz. 1462, Dz.U. 2004 Nr 237, poz. 2376</w:t>
      </w:r>
    </w:p>
  </w:footnote>
  <w:footnote w:id="188">
    <w:p w14:paraId="47676B7D" w14:textId="77777777" w:rsidR="008C1E51" w:rsidRPr="00584D62" w:rsidRDefault="008C1E51" w:rsidP="008C1E51">
      <w:pPr>
        <w:pStyle w:val="Tekstprzypisudolnego"/>
        <w:rPr>
          <w:sz w:val="16"/>
          <w:szCs w:val="16"/>
        </w:rPr>
      </w:pPr>
      <w:r w:rsidRPr="00584D62">
        <w:rPr>
          <w:rStyle w:val="Odwoanieprzypisudolnego"/>
          <w:sz w:val="16"/>
          <w:szCs w:val="16"/>
        </w:rPr>
        <w:footnoteRef/>
      </w:r>
      <w:r w:rsidRPr="00584D62">
        <w:rPr>
          <w:sz w:val="16"/>
          <w:szCs w:val="16"/>
        </w:rPr>
        <w:t xml:space="preserve"> Dz. U nr 27 </w:t>
      </w:r>
      <w:proofErr w:type="spellStart"/>
      <w:r w:rsidRPr="00584D62">
        <w:rPr>
          <w:sz w:val="16"/>
          <w:szCs w:val="16"/>
        </w:rPr>
        <w:t>poz</w:t>
      </w:r>
      <w:proofErr w:type="spellEnd"/>
      <w:r w:rsidRPr="00584D62">
        <w:rPr>
          <w:sz w:val="16"/>
          <w:szCs w:val="16"/>
        </w:rPr>
        <w:t xml:space="preserve"> 271 z 26.02.2002 r., do 900 cm3 – 0,5214 zł za kilometr, powyżej 900 cm3 – 0,8358 zł</w:t>
      </w:r>
    </w:p>
  </w:footnote>
  <w:footnote w:id="189">
    <w:p w14:paraId="65936842" w14:textId="77777777" w:rsidR="008C1E51" w:rsidRPr="00BD085F" w:rsidRDefault="008C1E51" w:rsidP="008C1E51">
      <w:pPr>
        <w:pStyle w:val="Tekstprzypisudolnego"/>
        <w:rPr>
          <w:sz w:val="18"/>
          <w:szCs w:val="18"/>
        </w:rPr>
      </w:pPr>
      <w:r w:rsidRPr="00584D62">
        <w:rPr>
          <w:rStyle w:val="Odwoanieprzypisudolnego"/>
          <w:sz w:val="16"/>
          <w:szCs w:val="16"/>
        </w:rPr>
        <w:footnoteRef/>
      </w:r>
      <w:r w:rsidRPr="00584D62">
        <w:rPr>
          <w:sz w:val="16"/>
          <w:szCs w:val="16"/>
        </w:rPr>
        <w:t xml:space="preserve"> 6 umów z lat 2019-2022 zawartych na okresy roczne z limitami miesięcznymi 500 i 800 km.</w:t>
      </w:r>
    </w:p>
  </w:footnote>
  <w:footnote w:id="190">
    <w:p w14:paraId="6313A19D" w14:textId="77777777" w:rsidR="008C1E51" w:rsidRPr="00106E84" w:rsidRDefault="008C1E51" w:rsidP="008C1E51">
      <w:pPr>
        <w:pStyle w:val="Tekstprzypisudolnego"/>
        <w:rPr>
          <w:sz w:val="16"/>
          <w:szCs w:val="16"/>
        </w:rPr>
      </w:pPr>
      <w:r w:rsidRPr="00106E84">
        <w:rPr>
          <w:rStyle w:val="Odwoanieprzypisudolnego"/>
          <w:sz w:val="16"/>
          <w:szCs w:val="16"/>
        </w:rPr>
        <w:footnoteRef/>
      </w:r>
      <w:r w:rsidRPr="00106E84">
        <w:rPr>
          <w:sz w:val="16"/>
          <w:szCs w:val="16"/>
        </w:rPr>
        <w:t xml:space="preserve"> Pismo z 12 września 2022 r.</w:t>
      </w:r>
    </w:p>
  </w:footnote>
  <w:footnote w:id="191">
    <w:p w14:paraId="032BE49F" w14:textId="7A5DAB04" w:rsidR="008C1E51" w:rsidRPr="00AE38A8" w:rsidRDefault="008C1E51" w:rsidP="008C1E51">
      <w:pPr>
        <w:pStyle w:val="Tekstprzypisudolnego"/>
        <w:rPr>
          <w:sz w:val="16"/>
          <w:szCs w:val="16"/>
        </w:rPr>
      </w:pPr>
      <w:r w:rsidRPr="00106E84">
        <w:rPr>
          <w:rStyle w:val="Odwoanieprzypisudolnego"/>
          <w:sz w:val="16"/>
          <w:szCs w:val="16"/>
        </w:rPr>
        <w:footnoteRef/>
      </w:r>
      <w:r w:rsidRPr="00106E84">
        <w:rPr>
          <w:sz w:val="16"/>
          <w:szCs w:val="16"/>
        </w:rPr>
        <w:t xml:space="preserve"> </w:t>
      </w:r>
      <w:r w:rsidRPr="00106E84">
        <w:rPr>
          <w:rFonts w:eastAsia="Times New Roman" w:cs="Times New Roman"/>
          <w:sz w:val="16"/>
          <w:szCs w:val="16"/>
          <w:lang w:eastAsia="pl-PL"/>
        </w:rPr>
        <w:t xml:space="preserve">Zarządzenie nr 31/15 z 29 czerwca 2015 r. Dyrektora </w:t>
      </w:r>
      <w:proofErr w:type="spellStart"/>
      <w:r w:rsidRPr="00106E84">
        <w:rPr>
          <w:rFonts w:eastAsia="Times New Roman" w:cs="Times New Roman"/>
          <w:sz w:val="16"/>
          <w:szCs w:val="16"/>
          <w:lang w:eastAsia="pl-PL"/>
        </w:rPr>
        <w:t>BdPN</w:t>
      </w:r>
      <w:proofErr w:type="spellEnd"/>
      <w:r w:rsidRPr="00106E84">
        <w:rPr>
          <w:rFonts w:eastAsia="Times New Roman" w:cs="Times New Roman"/>
          <w:sz w:val="16"/>
          <w:szCs w:val="16"/>
          <w:lang w:eastAsia="pl-PL"/>
        </w:rPr>
        <w:t xml:space="preserve"> w sprawie wprowadzenia Instrukcji postepowania z bronią palną i środkami przymusu bezpośredniego będącymi w dyspozycji Straży Parku, Zarządzenie nr 36/18 </w:t>
      </w:r>
      <w:r>
        <w:rPr>
          <w:rFonts w:eastAsia="Times New Roman" w:cs="Times New Roman"/>
          <w:sz w:val="16"/>
          <w:szCs w:val="16"/>
          <w:lang w:eastAsia="pl-PL"/>
        </w:rPr>
        <w:br/>
      </w:r>
      <w:r w:rsidRPr="00106E84">
        <w:rPr>
          <w:rFonts w:eastAsia="Times New Roman" w:cs="Times New Roman"/>
          <w:sz w:val="16"/>
          <w:szCs w:val="16"/>
          <w:lang w:eastAsia="pl-PL"/>
        </w:rPr>
        <w:t xml:space="preserve">z 03 września 2018 r. Dyrektora </w:t>
      </w:r>
      <w:proofErr w:type="spellStart"/>
      <w:r w:rsidRPr="00106E84">
        <w:rPr>
          <w:rFonts w:eastAsia="Times New Roman" w:cs="Times New Roman"/>
          <w:sz w:val="16"/>
          <w:szCs w:val="16"/>
          <w:lang w:eastAsia="pl-PL"/>
        </w:rPr>
        <w:t>BdPN</w:t>
      </w:r>
      <w:proofErr w:type="spellEnd"/>
      <w:r w:rsidRPr="00106E84">
        <w:rPr>
          <w:rFonts w:eastAsia="Times New Roman" w:cs="Times New Roman"/>
          <w:sz w:val="16"/>
          <w:szCs w:val="16"/>
          <w:lang w:eastAsia="pl-PL"/>
        </w:rPr>
        <w:t xml:space="preserve"> w sprawie upoważnienia funkcjonariusza Straży Parku do prowadzenia Magazynu Broni</w:t>
      </w:r>
      <w:r>
        <w:rPr>
          <w:rFonts w:eastAsia="Times New Roman" w:cs="Times New Roman"/>
          <w:sz w:val="16"/>
          <w:szCs w:val="16"/>
          <w:lang w:eastAsia="pl-PL"/>
        </w:rPr>
        <w:t xml:space="preserve">; </w:t>
      </w:r>
      <w:r w:rsidRPr="00AE38A8">
        <w:rPr>
          <w:rFonts w:cs="Times New Roman"/>
          <w:sz w:val="16"/>
          <w:szCs w:val="16"/>
        </w:rPr>
        <w:t xml:space="preserve">Instrukcję opracowano </w:t>
      </w:r>
      <w:r w:rsidRPr="00AE38A8">
        <w:rPr>
          <w:rFonts w:eastAsia="Times New Roman" w:cs="Times New Roman"/>
          <w:sz w:val="16"/>
          <w:szCs w:val="16"/>
          <w:lang w:eastAsia="pl-PL"/>
        </w:rPr>
        <w:t xml:space="preserve">na podstawie Ustawy z dnia 24 maja 2013 r. o środkach przymusu bezpośredniego i broni palnej, </w:t>
      </w:r>
      <w:r>
        <w:rPr>
          <w:rFonts w:eastAsia="Times New Roman" w:cs="Times New Roman"/>
          <w:sz w:val="16"/>
          <w:szCs w:val="16"/>
          <w:lang w:eastAsia="pl-PL"/>
        </w:rPr>
        <w:t>uop</w:t>
      </w:r>
      <w:r w:rsidRPr="00AE38A8">
        <w:rPr>
          <w:rFonts w:eastAsia="Times New Roman" w:cs="Times New Roman"/>
          <w:sz w:val="16"/>
          <w:szCs w:val="16"/>
          <w:lang w:eastAsia="pl-PL"/>
        </w:rPr>
        <w:t xml:space="preserve">, Ustawy z dnia 21 maja 1999 o broni i amunicji </w:t>
      </w:r>
      <w:r w:rsidR="00211832" w:rsidRPr="00AE38A8">
        <w:rPr>
          <w:rFonts w:eastAsia="Times New Roman" w:cs="Times New Roman"/>
          <w:sz w:val="16"/>
          <w:szCs w:val="16"/>
          <w:lang w:eastAsia="pl-PL"/>
        </w:rPr>
        <w:t>Rozporządzenia Ministra</w:t>
      </w:r>
      <w:r w:rsidRPr="00AE38A8">
        <w:rPr>
          <w:rFonts w:eastAsia="Times New Roman" w:cs="Times New Roman"/>
          <w:sz w:val="16"/>
          <w:szCs w:val="16"/>
          <w:lang w:eastAsia="pl-PL"/>
        </w:rPr>
        <w:t xml:space="preserve"> Środowiska z dnia 6 lipca 2005 r</w:t>
      </w:r>
      <w:r w:rsidRPr="00AE38A8">
        <w:rPr>
          <w:rFonts w:eastAsia="Times New Roman" w:cs="Times New Roman"/>
          <w:b/>
          <w:bCs/>
          <w:sz w:val="16"/>
          <w:szCs w:val="16"/>
          <w:lang w:eastAsia="pl-PL"/>
        </w:rPr>
        <w:t xml:space="preserve"> </w:t>
      </w:r>
      <w:r w:rsidRPr="00AE38A8">
        <w:rPr>
          <w:rFonts w:eastAsia="Times New Roman" w:cs="Times New Roman"/>
          <w:sz w:val="16"/>
          <w:szCs w:val="16"/>
          <w:lang w:eastAsia="pl-PL"/>
        </w:rPr>
        <w:t>w sprawie sposobu ewidencjonowania i przechowywania broni bojowej oraz broni myśliwskiej, wraz z amunicją, będącej w dyspozycji Straży Parku.</w:t>
      </w:r>
    </w:p>
  </w:footnote>
  <w:footnote w:id="192">
    <w:p w14:paraId="45EE6068" w14:textId="77777777" w:rsidR="008C1E51" w:rsidRPr="00AE38A8" w:rsidRDefault="008C1E51" w:rsidP="008C1E51">
      <w:pPr>
        <w:pStyle w:val="Tekstprzypisudolnego"/>
        <w:rPr>
          <w:rFonts w:cs="Times New Roman"/>
          <w:sz w:val="16"/>
          <w:szCs w:val="16"/>
        </w:rPr>
      </w:pPr>
      <w:r w:rsidRPr="00AE38A8">
        <w:rPr>
          <w:rStyle w:val="Odwoanieprzypisudolnego"/>
          <w:rFonts w:cs="Times New Roman"/>
          <w:sz w:val="16"/>
          <w:szCs w:val="16"/>
        </w:rPr>
        <w:footnoteRef/>
      </w:r>
      <w:r w:rsidRPr="00AE38A8">
        <w:rPr>
          <w:rFonts w:cs="Times New Roman"/>
          <w:sz w:val="16"/>
          <w:szCs w:val="16"/>
        </w:rPr>
        <w:t xml:space="preserve"> Dz.U. Nr 30 poz. 138</w:t>
      </w:r>
      <w:r>
        <w:rPr>
          <w:rFonts w:cs="Times New Roman"/>
          <w:sz w:val="16"/>
          <w:szCs w:val="16"/>
        </w:rPr>
        <w:t>.</w:t>
      </w:r>
    </w:p>
  </w:footnote>
  <w:footnote w:id="193">
    <w:p w14:paraId="64F55BE9" w14:textId="2B9999BF" w:rsidR="008C1E51" w:rsidRPr="00AE38A8" w:rsidRDefault="008C1E51" w:rsidP="008C1E51">
      <w:pPr>
        <w:pStyle w:val="Tekstprzypisudolnego"/>
        <w:rPr>
          <w:rFonts w:cs="Times New Roman"/>
          <w:sz w:val="16"/>
          <w:szCs w:val="16"/>
        </w:rPr>
      </w:pPr>
      <w:r w:rsidRPr="00AE38A8">
        <w:rPr>
          <w:rStyle w:val="Odwoanieprzypisudolnego"/>
          <w:rFonts w:cs="Times New Roman"/>
          <w:sz w:val="16"/>
          <w:szCs w:val="16"/>
        </w:rPr>
        <w:footnoteRef/>
      </w:r>
      <w:r w:rsidRPr="00AE38A8">
        <w:rPr>
          <w:rFonts w:cs="Times New Roman"/>
          <w:sz w:val="16"/>
          <w:szCs w:val="16"/>
        </w:rPr>
        <w:t xml:space="preserve"> Plany pracy: sierpień 2022, maj 2022, styczeń 2022, grudzień 2021, wrzesień 2021, czerwiec 2021, marzec 2021, listopad 2020, wrzesień 2020, maj 2020, marzec </w:t>
      </w:r>
      <w:r w:rsidR="00211832" w:rsidRPr="00AE38A8">
        <w:rPr>
          <w:rFonts w:cs="Times New Roman"/>
          <w:sz w:val="16"/>
          <w:szCs w:val="16"/>
        </w:rPr>
        <w:t>2020, wrzesień</w:t>
      </w:r>
      <w:r w:rsidRPr="00AE38A8">
        <w:rPr>
          <w:rFonts w:cs="Times New Roman"/>
          <w:sz w:val="16"/>
          <w:szCs w:val="16"/>
        </w:rPr>
        <w:t xml:space="preserve"> 2019, sierpień 2019, kwiecień 2019, luty 2019</w:t>
      </w:r>
    </w:p>
    <w:p w14:paraId="33D3DA3A" w14:textId="77777777" w:rsidR="008C1E51" w:rsidRPr="00AE38A8" w:rsidRDefault="008C1E51" w:rsidP="008C1E51">
      <w:pPr>
        <w:pStyle w:val="Tekstprzypisudolnego"/>
        <w:rPr>
          <w:rFonts w:cs="Times New Roman"/>
          <w:sz w:val="16"/>
          <w:szCs w:val="16"/>
        </w:rPr>
      </w:pPr>
      <w:r w:rsidRPr="00AE38A8">
        <w:rPr>
          <w:rFonts w:cs="Times New Roman"/>
          <w:sz w:val="16"/>
          <w:szCs w:val="16"/>
          <w:lang w:bidi="pl-PL"/>
        </w:rPr>
        <w:t>Ww.  plany pracy pn</w:t>
      </w:r>
      <w:r w:rsidRPr="00AE38A8">
        <w:rPr>
          <w:rFonts w:cs="Times New Roman"/>
          <w:i/>
          <w:iCs/>
          <w:sz w:val="16"/>
          <w:szCs w:val="16"/>
          <w:lang w:bidi="pl-PL"/>
        </w:rPr>
        <w:t xml:space="preserve">. </w:t>
      </w:r>
      <w:r w:rsidRPr="00AE38A8">
        <w:rPr>
          <w:rFonts w:cs="Times New Roman"/>
          <w:sz w:val="16"/>
          <w:szCs w:val="16"/>
          <w:lang w:bidi="pl-PL"/>
        </w:rPr>
        <w:t xml:space="preserve">obejmowały w szczególności: przewóz gotówki, patrole prewencyjne, kontrola wywozu drewna i składów, kontrola zabezpieczenia budynków Parku, kontrola otwarcia punktów kasowych i parkingów, pola namiotowe, zwalczanie kłusownictwa leśnego i wodnego, kontrola czystości, likwidacja dzikich obozowisk, zwalczanie </w:t>
      </w:r>
      <w:proofErr w:type="spellStart"/>
      <w:r w:rsidRPr="00AE38A8">
        <w:rPr>
          <w:rFonts w:cs="Times New Roman"/>
          <w:sz w:val="16"/>
          <w:szCs w:val="16"/>
          <w:lang w:bidi="pl-PL"/>
        </w:rPr>
        <w:t>zbieralnictwa</w:t>
      </w:r>
      <w:proofErr w:type="spellEnd"/>
      <w:r w:rsidRPr="00AE38A8">
        <w:rPr>
          <w:rFonts w:cs="Times New Roman"/>
          <w:sz w:val="16"/>
          <w:szCs w:val="16"/>
          <w:lang w:bidi="pl-PL"/>
        </w:rPr>
        <w:t xml:space="preserve"> jagód, brusznicy i innych owoców leśnych udział w monitoringu szlaków turystycznych, udział w monitoringu zwierzyny, doskonalenie jazdy na nartach </w:t>
      </w:r>
      <w:proofErr w:type="spellStart"/>
      <w:r w:rsidRPr="00AE38A8">
        <w:rPr>
          <w:rFonts w:cs="Times New Roman"/>
          <w:sz w:val="16"/>
          <w:szCs w:val="16"/>
          <w:lang w:bidi="pl-PL"/>
        </w:rPr>
        <w:t>skiturowych</w:t>
      </w:r>
      <w:proofErr w:type="spellEnd"/>
      <w:r w:rsidRPr="00AE38A8">
        <w:rPr>
          <w:rFonts w:cs="Times New Roman"/>
          <w:sz w:val="16"/>
          <w:szCs w:val="16"/>
          <w:lang w:bidi="pl-PL"/>
        </w:rPr>
        <w:t xml:space="preserve">, patrole prewencyjne w okresie rykowiska, kontrola ruchu turystycznego, zwalczanie wjazdu skuterów śnieżnych na teren Parku, zwalczanie </w:t>
      </w:r>
      <w:proofErr w:type="spellStart"/>
      <w:r w:rsidRPr="00AE38A8">
        <w:rPr>
          <w:rFonts w:cs="Times New Roman"/>
          <w:sz w:val="16"/>
          <w:szCs w:val="16"/>
          <w:lang w:bidi="pl-PL"/>
        </w:rPr>
        <w:t>zbieralnictwa</w:t>
      </w:r>
      <w:proofErr w:type="spellEnd"/>
      <w:r w:rsidRPr="00AE38A8">
        <w:rPr>
          <w:rFonts w:cs="Times New Roman"/>
          <w:sz w:val="16"/>
          <w:szCs w:val="16"/>
          <w:lang w:bidi="pl-PL"/>
        </w:rPr>
        <w:t xml:space="preserve"> poroży, udział w inwentaryzacji, kontrola zakupu biletów wstępu do Parku, udział w treningu strzeleckim, pomoc w organizacji rajdów narciarskich.</w:t>
      </w:r>
    </w:p>
  </w:footnote>
  <w:footnote w:id="194">
    <w:p w14:paraId="6167C214" w14:textId="77777777" w:rsidR="008C1E51" w:rsidRPr="000D5297" w:rsidRDefault="008C1E51" w:rsidP="008C1E51">
      <w:pPr>
        <w:pStyle w:val="Tekstprzypisudolnego"/>
        <w:rPr>
          <w:sz w:val="16"/>
          <w:szCs w:val="16"/>
        </w:rPr>
      </w:pPr>
      <w:r w:rsidRPr="00C810B2">
        <w:rPr>
          <w:rStyle w:val="Odwoanieprzypisudolnego"/>
          <w:sz w:val="16"/>
          <w:szCs w:val="16"/>
        </w:rPr>
        <w:footnoteRef/>
      </w:r>
      <w:r w:rsidRPr="00C810B2">
        <w:rPr>
          <w:sz w:val="16"/>
          <w:szCs w:val="16"/>
        </w:rPr>
        <w:t xml:space="preserve"> Plan patroli straży parku w dniach 14-19 stycznia 2019 r., plan patroli straży parku w dniach 09-14 września 2019 r, plan patroli straży parku w dniach 01-06 czerwca 2020 r, plan patroli straży parku w dniach 07-12 grudnia 2020 r., plan patroli straży parku w dniach 04-05 czerwca 2021 r, plan patroli straży parku w dniach 13-21 września 2021 r., plan patroli straży parku w dniach 11-16 lipca 2022 r., plan patroli straży parku w dniach 25-30 kwietnia 2022 r.</w:t>
      </w:r>
    </w:p>
  </w:footnote>
  <w:footnote w:id="195">
    <w:p w14:paraId="648D5F64" w14:textId="77777777" w:rsidR="008C1E51" w:rsidRPr="000D5297" w:rsidRDefault="008C1E51" w:rsidP="008C1E51">
      <w:pPr>
        <w:pStyle w:val="Tekstprzypisudolnego"/>
        <w:rPr>
          <w:sz w:val="16"/>
          <w:szCs w:val="16"/>
        </w:rPr>
      </w:pPr>
      <w:r w:rsidRPr="000D5297">
        <w:rPr>
          <w:rStyle w:val="Odwoanieprzypisudolnego"/>
          <w:sz w:val="16"/>
          <w:szCs w:val="16"/>
        </w:rPr>
        <w:footnoteRef/>
      </w:r>
      <w:r w:rsidRPr="000D5297">
        <w:rPr>
          <w:sz w:val="16"/>
          <w:szCs w:val="16"/>
        </w:rPr>
        <w:t xml:space="preserve"> Sprawdzono 30 wpisów w książkach z lat 2019-2023</w:t>
      </w:r>
    </w:p>
  </w:footnote>
  <w:footnote w:id="196">
    <w:p w14:paraId="1E916F46" w14:textId="77777777" w:rsidR="008C1E51" w:rsidRPr="000D5297" w:rsidRDefault="008C1E51" w:rsidP="008C1E51">
      <w:pPr>
        <w:pStyle w:val="Tekstprzypisudolnego"/>
        <w:rPr>
          <w:sz w:val="16"/>
          <w:szCs w:val="16"/>
        </w:rPr>
      </w:pPr>
      <w:r w:rsidRPr="000D5297">
        <w:rPr>
          <w:rStyle w:val="Odwoanieprzypisudolnego"/>
          <w:sz w:val="16"/>
          <w:szCs w:val="16"/>
        </w:rPr>
        <w:footnoteRef/>
      </w:r>
      <w:r w:rsidRPr="000D5297">
        <w:rPr>
          <w:sz w:val="16"/>
          <w:szCs w:val="16"/>
        </w:rPr>
        <w:t xml:space="preserve"> Art. 94 Ustawy z dnia 26 czerwca 1974 r Kodeks pracy </w:t>
      </w:r>
      <w:r>
        <w:rPr>
          <w:sz w:val="16"/>
          <w:szCs w:val="16"/>
        </w:rPr>
        <w:t>(</w:t>
      </w:r>
      <w:r w:rsidRPr="000D5297">
        <w:rPr>
          <w:sz w:val="16"/>
          <w:szCs w:val="16"/>
        </w:rPr>
        <w:t>Dz.U. z 2022 r. poz. 1510</w:t>
      </w:r>
      <w:r>
        <w:rPr>
          <w:sz w:val="16"/>
          <w:szCs w:val="16"/>
        </w:rPr>
        <w:t>)</w:t>
      </w:r>
    </w:p>
  </w:footnote>
  <w:footnote w:id="197">
    <w:p w14:paraId="4C669224" w14:textId="77777777" w:rsidR="008C1E51" w:rsidRPr="000E186A" w:rsidRDefault="008C1E51" w:rsidP="008C1E51">
      <w:pPr>
        <w:pStyle w:val="Tekstprzypisudolnego"/>
        <w:rPr>
          <w:rFonts w:cs="Times New Roman"/>
          <w:sz w:val="16"/>
          <w:szCs w:val="16"/>
        </w:rPr>
      </w:pPr>
      <w:r w:rsidRPr="000E186A">
        <w:rPr>
          <w:rStyle w:val="Odwoanieprzypisudolnego"/>
          <w:rFonts w:cs="Times New Roman"/>
          <w:sz w:val="16"/>
          <w:szCs w:val="16"/>
        </w:rPr>
        <w:footnoteRef/>
      </w:r>
      <w:r w:rsidRPr="000E186A">
        <w:rPr>
          <w:rFonts w:cs="Times New Roman"/>
          <w:sz w:val="16"/>
          <w:szCs w:val="16"/>
        </w:rPr>
        <w:t xml:space="preserve"> </w:t>
      </w:r>
      <w:r w:rsidRPr="000E186A">
        <w:rPr>
          <w:sz w:val="16"/>
          <w:szCs w:val="16"/>
        </w:rPr>
        <w:t>Wyjaśnienie z 28 grudnia 2022 r.</w:t>
      </w:r>
    </w:p>
  </w:footnote>
  <w:footnote w:id="198">
    <w:p w14:paraId="16015462" w14:textId="77777777" w:rsidR="008C1E51" w:rsidRPr="000E186A" w:rsidRDefault="008C1E51" w:rsidP="008C1E51">
      <w:pPr>
        <w:pStyle w:val="Tekstprzypisudolnego"/>
        <w:rPr>
          <w:sz w:val="16"/>
          <w:szCs w:val="16"/>
        </w:rPr>
      </w:pPr>
      <w:r w:rsidRPr="000E186A">
        <w:rPr>
          <w:rStyle w:val="Odwoanieprzypisudolnego"/>
          <w:sz w:val="16"/>
          <w:szCs w:val="16"/>
        </w:rPr>
        <w:footnoteRef/>
      </w:r>
      <w:r w:rsidRPr="000E186A">
        <w:rPr>
          <w:sz w:val="16"/>
          <w:szCs w:val="16"/>
        </w:rPr>
        <w:t xml:space="preserve"> Wyjaśnienie z 28 grudnia 2022 r.</w:t>
      </w:r>
    </w:p>
  </w:footnote>
  <w:footnote w:id="199">
    <w:p w14:paraId="4C0EFD41" w14:textId="77777777" w:rsidR="008C1E51" w:rsidRPr="00D32C9B" w:rsidRDefault="008C1E51" w:rsidP="008C1E51">
      <w:pPr>
        <w:pStyle w:val="Tekstprzypisudolnego"/>
        <w:rPr>
          <w:sz w:val="16"/>
          <w:szCs w:val="16"/>
        </w:rPr>
      </w:pPr>
      <w:r w:rsidRPr="00D32C9B">
        <w:rPr>
          <w:rStyle w:val="Odwoanieprzypisudolnego"/>
          <w:sz w:val="16"/>
          <w:szCs w:val="16"/>
        </w:rPr>
        <w:footnoteRef/>
      </w:r>
      <w:r w:rsidRPr="00D32C9B">
        <w:rPr>
          <w:sz w:val="16"/>
          <w:szCs w:val="16"/>
        </w:rPr>
        <w:t xml:space="preserve"> </w:t>
      </w:r>
      <w:r w:rsidRPr="00D32C9B">
        <w:rPr>
          <w:rFonts w:cs="Times New Roman"/>
          <w:sz w:val="16"/>
          <w:szCs w:val="16"/>
        </w:rPr>
        <w:t>Decyzja W-3622/2018 z 09 maja 2018 r.</w:t>
      </w:r>
      <w:r w:rsidRPr="00D32C9B">
        <w:rPr>
          <w:sz w:val="16"/>
          <w:szCs w:val="16"/>
        </w:rPr>
        <w:t xml:space="preserve"> </w:t>
      </w:r>
    </w:p>
  </w:footnote>
  <w:footnote w:id="200">
    <w:p w14:paraId="5B782F36" w14:textId="77777777" w:rsidR="008C1E51" w:rsidRPr="00D32C9B" w:rsidRDefault="008C1E51" w:rsidP="008C1E51">
      <w:pPr>
        <w:pStyle w:val="Tekstprzypisudolnego"/>
        <w:rPr>
          <w:sz w:val="16"/>
          <w:szCs w:val="16"/>
        </w:rPr>
      </w:pPr>
      <w:r w:rsidRPr="00D32C9B">
        <w:rPr>
          <w:rStyle w:val="Odwoanieprzypisudolnego"/>
          <w:sz w:val="16"/>
          <w:szCs w:val="16"/>
        </w:rPr>
        <w:footnoteRef/>
      </w:r>
      <w:r w:rsidRPr="00D32C9B">
        <w:rPr>
          <w:sz w:val="16"/>
          <w:szCs w:val="16"/>
        </w:rPr>
        <w:t xml:space="preserve"> </w:t>
      </w:r>
      <w:r w:rsidRPr="00D32C9B">
        <w:rPr>
          <w:rFonts w:eastAsia="Times New Roman" w:cs="Times New Roman"/>
          <w:sz w:val="16"/>
          <w:szCs w:val="16"/>
          <w:lang w:eastAsia="pl-PL"/>
        </w:rPr>
        <w:t>Dz. U. Nr 139, poz. 1170</w:t>
      </w:r>
    </w:p>
  </w:footnote>
  <w:footnote w:id="201">
    <w:p w14:paraId="2CB81B16" w14:textId="77777777" w:rsidR="008C1E51" w:rsidRPr="00D32C9B" w:rsidRDefault="008C1E51" w:rsidP="008C1E51">
      <w:pPr>
        <w:pStyle w:val="Tekstprzypisudolnego"/>
        <w:rPr>
          <w:sz w:val="16"/>
          <w:szCs w:val="16"/>
        </w:rPr>
      </w:pPr>
      <w:r w:rsidRPr="00D32C9B">
        <w:rPr>
          <w:rStyle w:val="Odwoanieprzypisudolnego"/>
          <w:sz w:val="16"/>
          <w:szCs w:val="16"/>
        </w:rPr>
        <w:footnoteRef/>
      </w:r>
      <w:r w:rsidRPr="00D32C9B">
        <w:rPr>
          <w:sz w:val="16"/>
          <w:szCs w:val="16"/>
        </w:rPr>
        <w:t xml:space="preserve"> Nr P41/073/2019 (7717) i Nr P41/245/2017 (7323)</w:t>
      </w:r>
    </w:p>
  </w:footnote>
  <w:footnote w:id="202">
    <w:p w14:paraId="2DF3E71F" w14:textId="6661C75F" w:rsidR="008C1E51" w:rsidRPr="004F0970" w:rsidRDefault="008C1E51" w:rsidP="008C1E51">
      <w:pPr>
        <w:pStyle w:val="Tekstprzypisudolnego"/>
        <w:rPr>
          <w:sz w:val="16"/>
          <w:szCs w:val="16"/>
        </w:rPr>
      </w:pPr>
      <w:r w:rsidRPr="00D32C9B">
        <w:rPr>
          <w:rStyle w:val="Odwoanieprzypisudolnego"/>
          <w:sz w:val="16"/>
          <w:szCs w:val="16"/>
        </w:rPr>
        <w:footnoteRef/>
      </w:r>
      <w:r w:rsidRPr="00D32C9B">
        <w:rPr>
          <w:sz w:val="16"/>
          <w:szCs w:val="16"/>
        </w:rPr>
        <w:t xml:space="preserve"> Pismo do dyrektora Izby administracji Skarbowej w Rzeszowie z 03 sierpnia 2020 r. z rozliczeniem formularzy mandatów karnych, </w:t>
      </w:r>
      <w:r w:rsidR="00211832" w:rsidRPr="00D32C9B">
        <w:rPr>
          <w:sz w:val="16"/>
          <w:szCs w:val="16"/>
        </w:rPr>
        <w:t>informacja roczna</w:t>
      </w:r>
      <w:r w:rsidRPr="00D32C9B">
        <w:rPr>
          <w:sz w:val="16"/>
          <w:szCs w:val="16"/>
        </w:rPr>
        <w:t xml:space="preserve"> dot. Liczby otrzymanych i wykorzystanych bloczków mandatowych za 2019 r, rozliczenie formularzy mandatów- wydruk z portalu podatkowego 30 lipca 2020 r.</w:t>
      </w:r>
    </w:p>
  </w:footnote>
  <w:footnote w:id="203">
    <w:p w14:paraId="00F658B9" w14:textId="77777777" w:rsidR="008C1E51" w:rsidRPr="00D32C9B" w:rsidRDefault="008C1E51" w:rsidP="008C1E51">
      <w:pPr>
        <w:pStyle w:val="Tekstprzypisudolnego"/>
        <w:rPr>
          <w:rFonts w:cs="Times New Roman"/>
          <w:sz w:val="16"/>
          <w:szCs w:val="16"/>
        </w:rPr>
      </w:pPr>
      <w:r w:rsidRPr="00D32C9B">
        <w:rPr>
          <w:rStyle w:val="Odwoanieprzypisudolnego"/>
          <w:rFonts w:cs="Times New Roman"/>
          <w:sz w:val="16"/>
          <w:szCs w:val="16"/>
        </w:rPr>
        <w:footnoteRef/>
      </w:r>
      <w:r w:rsidRPr="00D32C9B">
        <w:rPr>
          <w:rFonts w:cs="Times New Roman"/>
          <w:sz w:val="16"/>
          <w:szCs w:val="16"/>
        </w:rPr>
        <w:t xml:space="preserve"> Na podstawie danych BPN zamieszczonych w tabeli nr 16</w:t>
      </w:r>
    </w:p>
  </w:footnote>
  <w:footnote w:id="204">
    <w:p w14:paraId="05B65720" w14:textId="77777777" w:rsidR="008C1E51" w:rsidRPr="00DC15AB" w:rsidRDefault="008C1E51" w:rsidP="008C1E51">
      <w:pPr>
        <w:pStyle w:val="Tekstprzypisudolnego"/>
        <w:rPr>
          <w:sz w:val="16"/>
          <w:szCs w:val="16"/>
        </w:rPr>
      </w:pPr>
      <w:r w:rsidRPr="00D32C9B">
        <w:rPr>
          <w:rStyle w:val="Odwoanieprzypisudolnego"/>
          <w:sz w:val="16"/>
          <w:szCs w:val="16"/>
        </w:rPr>
        <w:footnoteRef/>
      </w:r>
      <w:r w:rsidRPr="00D32C9B">
        <w:rPr>
          <w:sz w:val="16"/>
          <w:szCs w:val="16"/>
        </w:rPr>
        <w:t xml:space="preserve"> </w:t>
      </w:r>
      <w:r w:rsidRPr="00D32C9B">
        <w:rPr>
          <w:rFonts w:eastAsia="Calibri" w:cs="Times New Roman"/>
          <w:sz w:val="16"/>
          <w:szCs w:val="16"/>
        </w:rPr>
        <w:t>Wyjaśnienia Komendanta Straży Parku z 25 października 2022 r</w:t>
      </w:r>
    </w:p>
  </w:footnote>
  <w:footnote w:id="205">
    <w:p w14:paraId="3F3916A8" w14:textId="337985A0" w:rsidR="008C1E51" w:rsidRPr="00DC15AB" w:rsidRDefault="008C1E51" w:rsidP="008C1E51">
      <w:pPr>
        <w:pStyle w:val="Tekstprzypisudolnego"/>
        <w:rPr>
          <w:rFonts w:cs="Times New Roman"/>
          <w:sz w:val="16"/>
          <w:szCs w:val="16"/>
        </w:rPr>
      </w:pPr>
      <w:r w:rsidRPr="00DC15AB">
        <w:rPr>
          <w:rStyle w:val="Odwoanieprzypisudolnego"/>
          <w:rFonts w:cs="Times New Roman"/>
          <w:sz w:val="16"/>
          <w:szCs w:val="16"/>
        </w:rPr>
        <w:footnoteRef/>
      </w:r>
      <w:r w:rsidRPr="00DC15AB">
        <w:rPr>
          <w:rFonts w:cs="Times New Roman"/>
          <w:sz w:val="16"/>
          <w:szCs w:val="16"/>
        </w:rPr>
        <w:t xml:space="preserve"> Legitymacja nr 1905/PDK/</w:t>
      </w:r>
      <w:r w:rsidR="00211832" w:rsidRPr="00DC15AB">
        <w:rPr>
          <w:rFonts w:cs="Times New Roman"/>
          <w:sz w:val="16"/>
          <w:szCs w:val="16"/>
        </w:rPr>
        <w:t>08 Zarządu</w:t>
      </w:r>
      <w:r w:rsidRPr="00DC15AB">
        <w:rPr>
          <w:rFonts w:cs="Times New Roman"/>
          <w:sz w:val="16"/>
          <w:szCs w:val="16"/>
        </w:rPr>
        <w:t xml:space="preserve"> Głównego Ligi Obrony Kraju uprawniająca do prowadzenia strzelania m.in. z broni maszynowej (pistolet).</w:t>
      </w:r>
    </w:p>
  </w:footnote>
  <w:footnote w:id="206">
    <w:p w14:paraId="0C26FA91" w14:textId="77777777" w:rsidR="008C1E51" w:rsidRPr="000A0BBC" w:rsidRDefault="008C1E51" w:rsidP="008C1E51">
      <w:pPr>
        <w:spacing w:after="0" w:line="240" w:lineRule="auto"/>
        <w:rPr>
          <w:sz w:val="16"/>
          <w:szCs w:val="16"/>
        </w:rPr>
      </w:pPr>
      <w:r w:rsidRPr="00DC15AB">
        <w:rPr>
          <w:rStyle w:val="Odwoanieprzypisudolnego"/>
          <w:sz w:val="16"/>
          <w:szCs w:val="16"/>
        </w:rPr>
        <w:footnoteRef/>
      </w:r>
      <w:r w:rsidRPr="00DC15AB">
        <w:rPr>
          <w:sz w:val="16"/>
          <w:szCs w:val="16"/>
        </w:rPr>
        <w:t xml:space="preserve"> </w:t>
      </w:r>
      <w:r w:rsidRPr="00DC15AB">
        <w:rPr>
          <w:rFonts w:eastAsia="Times New Roman" w:cs="Times New Roman"/>
          <w:sz w:val="16"/>
          <w:szCs w:val="16"/>
          <w:lang w:eastAsia="pl-PL"/>
        </w:rPr>
        <w:t xml:space="preserve">Zarządzenie nr 5 z dnia 18 marca 2016 r. Dyrektora Bieszczadzkiego Parku Narodowego w sprawie Regulaminu Pracy Bieszczadzkiego Parku Narodowego; Zarządzenie nr 107 z dnia 30 października 2012 r. Dyrektora Bieszczadzkiego Parku Narodowego w sprawie sporządzania zakresu czynności dla pracowników Bieszczadzkiego Parku Narodowego; </w:t>
      </w:r>
      <w:r w:rsidRPr="00DC15AB">
        <w:rPr>
          <w:sz w:val="16"/>
          <w:szCs w:val="16"/>
        </w:rPr>
        <w:t>Zarządzenie nr 30/2008 Dyrektora Bieszczadzkiego Parku Narodowego z dnia 12 maja 2008</w:t>
      </w:r>
      <w:r w:rsidRPr="0052261B">
        <w:rPr>
          <w:sz w:val="16"/>
          <w:szCs w:val="16"/>
        </w:rPr>
        <w:t xml:space="preserve"> r. w sprawie: wprowadzenia regulaminu premiowania dla pracowników Bieszczadzkiego Parku Narodowego </w:t>
      </w:r>
      <w:r>
        <w:rPr>
          <w:sz w:val="16"/>
          <w:szCs w:val="16"/>
        </w:rPr>
        <w:br/>
      </w:r>
      <w:r w:rsidRPr="0052261B">
        <w:rPr>
          <w:sz w:val="16"/>
          <w:szCs w:val="16"/>
        </w:rPr>
        <w:t xml:space="preserve">i </w:t>
      </w:r>
      <w:r w:rsidRPr="000A0BBC">
        <w:rPr>
          <w:sz w:val="16"/>
          <w:szCs w:val="16"/>
        </w:rPr>
        <w:t xml:space="preserve">Gospodarstwa Pomocniczego przy </w:t>
      </w:r>
      <w:proofErr w:type="spellStart"/>
      <w:r w:rsidRPr="000A0BBC">
        <w:rPr>
          <w:sz w:val="16"/>
          <w:szCs w:val="16"/>
        </w:rPr>
        <w:t>BdPN</w:t>
      </w:r>
      <w:proofErr w:type="spellEnd"/>
      <w:r w:rsidRPr="000A0BBC">
        <w:rPr>
          <w:sz w:val="16"/>
          <w:szCs w:val="16"/>
        </w:rPr>
        <w:t xml:space="preserve">; </w:t>
      </w:r>
      <w:r w:rsidRPr="000A0BBC">
        <w:rPr>
          <w:rFonts w:eastAsia="Times New Roman" w:cs="Times New Roman"/>
          <w:sz w:val="16"/>
          <w:szCs w:val="16"/>
          <w:lang w:eastAsia="pl-PL"/>
        </w:rPr>
        <w:t xml:space="preserve">Zarządzenie nr 10 z dnia 10 marca 2014 r. zmieniające zarządzenie </w:t>
      </w:r>
      <w:r>
        <w:rPr>
          <w:rFonts w:eastAsia="Times New Roman" w:cs="Times New Roman"/>
          <w:sz w:val="16"/>
          <w:szCs w:val="16"/>
          <w:lang w:eastAsia="pl-PL"/>
        </w:rPr>
        <w:br/>
      </w:r>
      <w:r w:rsidRPr="000A0BBC">
        <w:rPr>
          <w:rFonts w:eastAsia="Times New Roman" w:cs="Times New Roman"/>
          <w:sz w:val="16"/>
          <w:szCs w:val="16"/>
          <w:lang w:eastAsia="pl-PL"/>
        </w:rPr>
        <w:t>w sprawie wprowadzenia regulaminu premiowania dla pracowników Bieszczadzkiego Parku Narodowego.</w:t>
      </w:r>
    </w:p>
  </w:footnote>
  <w:footnote w:id="207">
    <w:p w14:paraId="4E67447F" w14:textId="77777777" w:rsidR="008C1E51" w:rsidRPr="00DC15AB" w:rsidRDefault="008C1E51" w:rsidP="008C1E51">
      <w:pPr>
        <w:pStyle w:val="Tekstprzypisudolnego"/>
        <w:rPr>
          <w:sz w:val="16"/>
          <w:szCs w:val="16"/>
        </w:rPr>
      </w:pPr>
      <w:r w:rsidRPr="00DC15AB">
        <w:rPr>
          <w:rStyle w:val="Odwoanieprzypisudolnego"/>
          <w:sz w:val="16"/>
          <w:szCs w:val="16"/>
        </w:rPr>
        <w:footnoteRef/>
      </w:r>
      <w:r w:rsidRPr="00DC15AB">
        <w:rPr>
          <w:sz w:val="16"/>
          <w:szCs w:val="16"/>
        </w:rPr>
        <w:t xml:space="preserve"> Zarządzenie nr 2 Dyrektora </w:t>
      </w:r>
      <w:proofErr w:type="spellStart"/>
      <w:r w:rsidRPr="00DC15AB">
        <w:rPr>
          <w:sz w:val="16"/>
          <w:szCs w:val="16"/>
        </w:rPr>
        <w:t>BdPN</w:t>
      </w:r>
      <w:proofErr w:type="spellEnd"/>
      <w:r w:rsidRPr="00DC15AB">
        <w:rPr>
          <w:sz w:val="16"/>
          <w:szCs w:val="16"/>
        </w:rPr>
        <w:t xml:space="preserve"> z 19 stycznia 2015 r. w sprawie wprowadzenia procedury przeciwdziałania </w:t>
      </w:r>
      <w:proofErr w:type="spellStart"/>
      <w:r w:rsidRPr="00DC15AB">
        <w:rPr>
          <w:sz w:val="16"/>
          <w:szCs w:val="16"/>
        </w:rPr>
        <w:t>mobbingowi</w:t>
      </w:r>
      <w:proofErr w:type="spellEnd"/>
      <w:r w:rsidRPr="00DC15AB">
        <w:rPr>
          <w:sz w:val="16"/>
          <w:szCs w:val="16"/>
        </w:rPr>
        <w:t xml:space="preserve"> w </w:t>
      </w:r>
      <w:proofErr w:type="spellStart"/>
      <w:r w:rsidRPr="00DC15AB">
        <w:rPr>
          <w:sz w:val="16"/>
          <w:szCs w:val="16"/>
        </w:rPr>
        <w:t>BdPN</w:t>
      </w:r>
      <w:proofErr w:type="spellEnd"/>
    </w:p>
  </w:footnote>
  <w:footnote w:id="208">
    <w:p w14:paraId="6ABBA256" w14:textId="77777777" w:rsidR="008C1E51" w:rsidRPr="005211C4" w:rsidRDefault="008C1E51" w:rsidP="008C1E51">
      <w:pPr>
        <w:pStyle w:val="Tekstprzypisudolnego"/>
        <w:rPr>
          <w:sz w:val="16"/>
          <w:szCs w:val="16"/>
        </w:rPr>
      </w:pPr>
      <w:r w:rsidRPr="005211C4">
        <w:rPr>
          <w:rStyle w:val="Odwoanieprzypisudolnego"/>
          <w:sz w:val="16"/>
          <w:szCs w:val="16"/>
        </w:rPr>
        <w:footnoteRef/>
      </w:r>
      <w:r w:rsidRPr="005211C4">
        <w:rPr>
          <w:sz w:val="16"/>
          <w:szCs w:val="16"/>
        </w:rPr>
        <w:t xml:space="preserve"> BKA-S.0831.1.2022.JG 1956356.6900780.5530231</w:t>
      </w:r>
    </w:p>
  </w:footnote>
  <w:footnote w:id="209">
    <w:p w14:paraId="3B4FB427" w14:textId="77777777" w:rsidR="008C1E51" w:rsidRPr="005211C4" w:rsidRDefault="008C1E51" w:rsidP="008C1E51">
      <w:pPr>
        <w:spacing w:after="0"/>
        <w:rPr>
          <w:sz w:val="16"/>
          <w:szCs w:val="16"/>
        </w:rPr>
      </w:pPr>
      <w:r w:rsidRPr="005211C4">
        <w:rPr>
          <w:rStyle w:val="Odwoanieprzypisudolnego"/>
          <w:sz w:val="16"/>
          <w:szCs w:val="16"/>
        </w:rPr>
        <w:footnoteRef/>
      </w:r>
      <w:r w:rsidRPr="005211C4">
        <w:rPr>
          <w:sz w:val="16"/>
          <w:szCs w:val="16"/>
        </w:rPr>
        <w:t xml:space="preserve"> </w:t>
      </w:r>
      <w:r w:rsidRPr="005211C4">
        <w:rPr>
          <w:rFonts w:eastAsia="Calibri" w:cs="Times New Roman"/>
          <w:sz w:val="16"/>
          <w:szCs w:val="16"/>
        </w:rPr>
        <w:t>Na podstawie zawartej umowy z Dyrektorem Parku pracownik otrzymał dofinansowanie na pokrycie czesnego w wysokości 100% jego wartości. W umowie pracownik został zobowiązany do pozostania w zatrudnieniu w Parku przez 3 lata po ukończeniu studiów licząc od daty zaliczenia egzaminu końcowego.</w:t>
      </w:r>
    </w:p>
  </w:footnote>
  <w:footnote w:id="210">
    <w:p w14:paraId="7BBF201E" w14:textId="77777777" w:rsidR="008C1E51" w:rsidRPr="005211C4" w:rsidRDefault="008C1E51" w:rsidP="008C1E51">
      <w:pPr>
        <w:spacing w:after="0"/>
        <w:rPr>
          <w:sz w:val="16"/>
          <w:szCs w:val="16"/>
        </w:rPr>
      </w:pPr>
      <w:r w:rsidRPr="005211C4">
        <w:rPr>
          <w:rStyle w:val="Odwoanieprzypisudolnego"/>
          <w:sz w:val="16"/>
          <w:szCs w:val="16"/>
        </w:rPr>
        <w:footnoteRef/>
      </w:r>
      <w:r w:rsidRPr="005211C4">
        <w:rPr>
          <w:sz w:val="16"/>
          <w:szCs w:val="16"/>
        </w:rPr>
        <w:t xml:space="preserve"> </w:t>
      </w:r>
      <w:r w:rsidRPr="005211C4">
        <w:rPr>
          <w:rFonts w:eastAsia="Calibri" w:cs="Times New Roman"/>
          <w:sz w:val="16"/>
          <w:szCs w:val="16"/>
        </w:rPr>
        <w:t xml:space="preserve">Park poniósł wydatki na szkolenia pracowników w poszczególnych latach w wysokości w 2019 r. 9 619,50 zł, </w:t>
      </w:r>
      <w:r w:rsidRPr="005211C4">
        <w:rPr>
          <w:rFonts w:eastAsia="Calibri" w:cs="Times New Roman"/>
          <w:sz w:val="16"/>
          <w:szCs w:val="16"/>
        </w:rPr>
        <w:br/>
        <w:t>w 2020 r. 15 174,66 zł, w 2021 r. 18 258,32 zł, w 2022 (do 31 sierpnia) 11 792,00 zł</w:t>
      </w:r>
    </w:p>
  </w:footnote>
  <w:footnote w:id="211">
    <w:p w14:paraId="6E402AF0" w14:textId="77777777" w:rsidR="008C1E51" w:rsidRPr="00A5785F" w:rsidRDefault="008C1E51" w:rsidP="008C1E51">
      <w:pPr>
        <w:pStyle w:val="Tekstprzypisudolnego"/>
        <w:rPr>
          <w:sz w:val="14"/>
          <w:szCs w:val="14"/>
        </w:rPr>
      </w:pPr>
      <w:r w:rsidRPr="005211C4">
        <w:rPr>
          <w:rStyle w:val="Odwoanieprzypisudolnego"/>
          <w:sz w:val="16"/>
          <w:szCs w:val="16"/>
        </w:rPr>
        <w:footnoteRef/>
      </w:r>
      <w:r w:rsidRPr="005211C4">
        <w:rPr>
          <w:sz w:val="16"/>
          <w:szCs w:val="16"/>
        </w:rPr>
        <w:t xml:space="preserve"> E-mail z 20 grudnia 2022 r.</w:t>
      </w:r>
    </w:p>
  </w:footnote>
  <w:footnote w:id="212">
    <w:p w14:paraId="2EBC25C3" w14:textId="77777777" w:rsidR="008C1E51" w:rsidRPr="00160798" w:rsidRDefault="008C1E51" w:rsidP="008C1E51">
      <w:pPr>
        <w:pStyle w:val="Tekstprzypisudolnego"/>
        <w:rPr>
          <w:sz w:val="16"/>
          <w:szCs w:val="16"/>
        </w:rPr>
      </w:pPr>
      <w:r w:rsidRPr="00160798">
        <w:rPr>
          <w:rStyle w:val="Odwoanieprzypisudolnego"/>
          <w:sz w:val="16"/>
          <w:szCs w:val="16"/>
        </w:rPr>
        <w:footnoteRef/>
      </w:r>
      <w:r w:rsidRPr="00160798">
        <w:rPr>
          <w:sz w:val="16"/>
          <w:szCs w:val="16"/>
        </w:rPr>
        <w:t xml:space="preserve"> Pismo z 22 września 2022 r. i wyjaśnienia z 1 marca 2023 r.</w:t>
      </w:r>
    </w:p>
  </w:footnote>
  <w:footnote w:id="213">
    <w:p w14:paraId="030164F6" w14:textId="77777777" w:rsidR="008C1E51" w:rsidRPr="005211C4" w:rsidRDefault="008C1E51" w:rsidP="008C1E51">
      <w:pPr>
        <w:pStyle w:val="Tekstprzypisudolnego"/>
        <w:rPr>
          <w:sz w:val="16"/>
          <w:szCs w:val="16"/>
        </w:rPr>
      </w:pPr>
      <w:r w:rsidRPr="005211C4">
        <w:rPr>
          <w:rStyle w:val="Odwoanieprzypisudolnego"/>
          <w:sz w:val="16"/>
          <w:szCs w:val="16"/>
        </w:rPr>
        <w:footnoteRef/>
      </w:r>
      <w:r w:rsidRPr="005211C4">
        <w:rPr>
          <w:sz w:val="16"/>
          <w:szCs w:val="16"/>
        </w:rPr>
        <w:t xml:space="preserve"> E-mail z 05 października 2022. r.</w:t>
      </w:r>
    </w:p>
  </w:footnote>
  <w:footnote w:id="214">
    <w:p w14:paraId="678AF0E7" w14:textId="77777777" w:rsidR="008C1E51" w:rsidRPr="005211C4" w:rsidRDefault="008C1E51" w:rsidP="008C1E51">
      <w:pPr>
        <w:pStyle w:val="Tekstprzypisudolnego"/>
        <w:rPr>
          <w:sz w:val="16"/>
          <w:szCs w:val="16"/>
        </w:rPr>
      </w:pPr>
      <w:r w:rsidRPr="005211C4">
        <w:rPr>
          <w:rStyle w:val="Odwoanieprzypisudolnego"/>
          <w:sz w:val="16"/>
          <w:szCs w:val="16"/>
        </w:rPr>
        <w:footnoteRef/>
      </w:r>
      <w:r w:rsidRPr="005211C4">
        <w:rPr>
          <w:sz w:val="16"/>
          <w:szCs w:val="16"/>
        </w:rPr>
        <w:t xml:space="preserve"> E-mail z 25 stycznia 2023 r.</w:t>
      </w:r>
    </w:p>
  </w:footnote>
  <w:footnote w:id="215">
    <w:p w14:paraId="5848CF52" w14:textId="77777777" w:rsidR="008C1E51" w:rsidRPr="00B40477" w:rsidRDefault="008C1E51" w:rsidP="008C1E51">
      <w:pPr>
        <w:pStyle w:val="Tekstprzypisudolnego"/>
        <w:rPr>
          <w:sz w:val="16"/>
          <w:szCs w:val="16"/>
        </w:rPr>
      </w:pPr>
      <w:r w:rsidRPr="005211C4">
        <w:rPr>
          <w:rStyle w:val="Odwoanieprzypisudolnego"/>
          <w:sz w:val="16"/>
          <w:szCs w:val="16"/>
        </w:rPr>
        <w:footnoteRef/>
      </w:r>
      <w:r w:rsidRPr="005211C4">
        <w:rPr>
          <w:sz w:val="16"/>
          <w:szCs w:val="16"/>
        </w:rPr>
        <w:t xml:space="preserve"> Zarządzenie nr 38 Dyrektora Bieszczadzkiego Parku Narodowego z dnia 31 lipca 2019 r. w sprawie zasad i norm użytkowania mundurów i oznak służbowych przez pracowników Służby Bieszczadzkiego Parku Narodowego; Zarządzenie nr 38/2018 Dyrektora Bieszczadzkiego Parku Narodowego z dnia 27 września 2018 r. sprawie zasad i norm użytkowania mundurów i oznak służbowych przez Pracowników Służby Parku; Zarządzenie nr 50/2021 Dyrektora Bieszczadzkiego Parku Narodowego z dnia 31 grudnia 2021 r. w sprawie: ustalenia zasad przydzielania </w:t>
      </w:r>
      <w:proofErr w:type="spellStart"/>
      <w:r w:rsidRPr="005211C4">
        <w:rPr>
          <w:sz w:val="16"/>
          <w:szCs w:val="16"/>
        </w:rPr>
        <w:t>sortów</w:t>
      </w:r>
      <w:proofErr w:type="spellEnd"/>
      <w:r w:rsidRPr="005211C4">
        <w:rPr>
          <w:sz w:val="16"/>
          <w:szCs w:val="16"/>
        </w:rPr>
        <w:t xml:space="preserve"> bhp z tabeli norm przydziału środków ochrony indywidualnej i osobistej oraz przydziału środków czystości dla pracowników Bieszczadzkiego Parku Narodowego, Zarządzenie nr 14/2007 Dyrektora Bieszczadzkiego Parku Narodowego z dnia 11 czerwca 2007 r. w sprawie ustalanie zasad dostarczania </w:t>
      </w:r>
      <w:proofErr w:type="spellStart"/>
      <w:r w:rsidRPr="005211C4">
        <w:rPr>
          <w:sz w:val="16"/>
          <w:szCs w:val="16"/>
        </w:rPr>
        <w:t>sortów</w:t>
      </w:r>
      <w:proofErr w:type="spellEnd"/>
      <w:r w:rsidRPr="005211C4">
        <w:rPr>
          <w:sz w:val="16"/>
          <w:szCs w:val="16"/>
        </w:rPr>
        <w:t xml:space="preserve"> bhp z tabeli norm przydziału środków ochrony indywidualnej oraz przydziału środków czystości dla pracowników Bieszczadzkiego Parku Narodowego oraz Gospodarstwa Pomocniczego przy Bieszczadzkim Parku Narodowym, Zarządzenie nr 22 z dnia 14 kwietnia 2014 r. zmieniające zarządzenie w sprawie ustalania zasad dostarczania </w:t>
      </w:r>
      <w:proofErr w:type="spellStart"/>
      <w:r w:rsidRPr="005211C4">
        <w:rPr>
          <w:sz w:val="16"/>
          <w:szCs w:val="16"/>
        </w:rPr>
        <w:t>sortów</w:t>
      </w:r>
      <w:proofErr w:type="spellEnd"/>
      <w:r w:rsidRPr="005211C4">
        <w:rPr>
          <w:sz w:val="16"/>
          <w:szCs w:val="16"/>
        </w:rPr>
        <w:t xml:space="preserve"> bhp z tabeli norm przydziału środków ochrony indywidualnej oraz przydziału środków czystości dla pracowników Bieszczadzkiego Parku Narodowego; Zarządzenie nr 47 z dnia 10 listopada 2020 r. Dyrektora Bieszczadzkiego Parku Narodowego w sprawie zakupu kurtek oraz spodni jako odzieży ochronnej</w:t>
      </w:r>
    </w:p>
  </w:footnote>
  <w:footnote w:id="216">
    <w:p w14:paraId="7C4661DD" w14:textId="77777777" w:rsidR="008C1E51" w:rsidRPr="006C7D2B" w:rsidRDefault="008C1E51" w:rsidP="008C1E51">
      <w:pPr>
        <w:pStyle w:val="Tekstprzypisudolnego"/>
        <w:rPr>
          <w:sz w:val="16"/>
          <w:szCs w:val="16"/>
        </w:rPr>
      </w:pPr>
      <w:r w:rsidRPr="006C7D2B">
        <w:rPr>
          <w:rStyle w:val="Odwoanieprzypisudolnego"/>
          <w:sz w:val="16"/>
          <w:szCs w:val="16"/>
        </w:rPr>
        <w:footnoteRef/>
      </w:r>
      <w:r w:rsidRPr="006C7D2B">
        <w:rPr>
          <w:sz w:val="16"/>
          <w:szCs w:val="16"/>
        </w:rPr>
        <w:t xml:space="preserve"> Dz. U. z 2017 r. Poz. 2247</w:t>
      </w:r>
    </w:p>
  </w:footnote>
  <w:footnote w:id="217">
    <w:p w14:paraId="33255CC3" w14:textId="77777777" w:rsidR="008C1E51" w:rsidRPr="00AF15EC" w:rsidRDefault="008C1E51" w:rsidP="008C1E51">
      <w:pPr>
        <w:pStyle w:val="Tekstprzypisudolnego"/>
        <w:rPr>
          <w:rFonts w:cs="Times New Roman"/>
          <w:sz w:val="16"/>
          <w:szCs w:val="16"/>
        </w:rPr>
      </w:pPr>
      <w:r w:rsidRPr="00AF15EC">
        <w:rPr>
          <w:rStyle w:val="Odwoanieprzypisudolnego"/>
          <w:rFonts w:cs="Times New Roman"/>
          <w:sz w:val="16"/>
          <w:szCs w:val="16"/>
        </w:rPr>
        <w:footnoteRef/>
      </w:r>
      <w:r w:rsidRPr="00AF15EC">
        <w:rPr>
          <w:rFonts w:cs="Times New Roman"/>
          <w:sz w:val="16"/>
          <w:szCs w:val="16"/>
        </w:rPr>
        <w:t xml:space="preserve"> NSZZ „Solidarność” i Związek Leśników Polskich Parków Narodowych</w:t>
      </w:r>
    </w:p>
  </w:footnote>
  <w:footnote w:id="218">
    <w:p w14:paraId="3B6479E2" w14:textId="77777777" w:rsidR="008C1E51" w:rsidRDefault="008C1E51" w:rsidP="008C1E51">
      <w:pPr>
        <w:spacing w:after="0"/>
        <w:jc w:val="left"/>
      </w:pPr>
      <w:r w:rsidRPr="00AF15EC">
        <w:rPr>
          <w:rStyle w:val="Odwoanieprzypisudolnego"/>
          <w:sz w:val="16"/>
          <w:szCs w:val="16"/>
        </w:rPr>
        <w:footnoteRef/>
      </w:r>
      <w:r w:rsidRPr="00AF15EC">
        <w:rPr>
          <w:sz w:val="16"/>
          <w:szCs w:val="16"/>
        </w:rPr>
        <w:t xml:space="preserve"> </w:t>
      </w:r>
      <w:r w:rsidRPr="00AF15EC">
        <w:rPr>
          <w:rFonts w:eastAsia="Calibri" w:cs="Times New Roman"/>
          <w:sz w:val="16"/>
          <w:szCs w:val="16"/>
        </w:rPr>
        <w:t>w 2019 r. 300 366,00 zł, w 2020 r. 349 743,82 zł, w 2021 r. 333 502,72 zł, w 2022 r. 221 284,86 zł.</w:t>
      </w:r>
    </w:p>
  </w:footnote>
  <w:footnote w:id="219">
    <w:p w14:paraId="18A4B32A" w14:textId="77777777" w:rsidR="008C1E51" w:rsidRPr="00FA37D2" w:rsidRDefault="008C1E51" w:rsidP="008C1E51">
      <w:pPr>
        <w:pStyle w:val="Tekstprzypisudolnego"/>
        <w:rPr>
          <w:sz w:val="16"/>
          <w:szCs w:val="16"/>
        </w:rPr>
      </w:pPr>
      <w:r w:rsidRPr="00FA37D2">
        <w:rPr>
          <w:rStyle w:val="Odwoanieprzypisudolnego"/>
          <w:sz w:val="16"/>
          <w:szCs w:val="16"/>
        </w:rPr>
        <w:footnoteRef/>
      </w:r>
      <w:r w:rsidRPr="00FA37D2">
        <w:rPr>
          <w:sz w:val="16"/>
          <w:szCs w:val="16"/>
        </w:rPr>
        <w:t xml:space="preserve"> Umowa z 18 lipca 2019 r. na przeprowadzenie prelekcji wraz z prezentacją multimedialną, Umowa z 16 sierpnia 2019 r. na przeprowadzenie prelekcji, Umowa z 9 lipca 2019 r. na przeprowadzenie prelekcji, Umowa nr DA.262.1.2019 z 2 stycznia 2019 r. ma obsługę pieca c.o. w kotłowni obiektu Noclegi-Biały, Umowa nr DA.262.34.2018 z 1 października 2018 r. na obsługę pieca c.o. w </w:t>
      </w:r>
      <w:proofErr w:type="spellStart"/>
      <w:r w:rsidRPr="00FA37D2">
        <w:rPr>
          <w:sz w:val="16"/>
          <w:szCs w:val="16"/>
        </w:rPr>
        <w:t>Wołosatem</w:t>
      </w:r>
      <w:proofErr w:type="spellEnd"/>
      <w:r w:rsidRPr="00FA37D2">
        <w:rPr>
          <w:sz w:val="16"/>
          <w:szCs w:val="16"/>
        </w:rPr>
        <w:t xml:space="preserve">, Umowa z 30 kwietnia 2020 r. na obsługę punktu kasowego Suche Rzeki, Umowa z 29 maja 2020 r. na obsługę punku kasowego </w:t>
      </w:r>
      <w:proofErr w:type="spellStart"/>
      <w:r w:rsidRPr="00FA37D2">
        <w:rPr>
          <w:sz w:val="16"/>
          <w:szCs w:val="16"/>
        </w:rPr>
        <w:t>Rabia</w:t>
      </w:r>
      <w:proofErr w:type="spellEnd"/>
      <w:r w:rsidRPr="00FA37D2">
        <w:rPr>
          <w:sz w:val="16"/>
          <w:szCs w:val="16"/>
        </w:rPr>
        <w:t xml:space="preserve"> Skała, Umowa nr DA.262.14.2020 na wywóz szamba z obiektów Parku, Umowa nr DA.262.1</w:t>
      </w:r>
      <w:r>
        <w:rPr>
          <w:sz w:val="16"/>
          <w:szCs w:val="16"/>
        </w:rPr>
        <w:t>2</w:t>
      </w:r>
      <w:r w:rsidRPr="00FA37D2">
        <w:rPr>
          <w:sz w:val="16"/>
          <w:szCs w:val="16"/>
        </w:rPr>
        <w:t xml:space="preserve">.2022 na wywóz nieczystości płynnych z obiektów Parku, </w:t>
      </w:r>
      <w:r>
        <w:rPr>
          <w:sz w:val="16"/>
          <w:szCs w:val="16"/>
        </w:rPr>
        <w:t xml:space="preserve">Umowa nr </w:t>
      </w:r>
      <w:r w:rsidRPr="00FA37D2">
        <w:rPr>
          <w:sz w:val="16"/>
          <w:szCs w:val="16"/>
        </w:rPr>
        <w:t>Umowa z 2 stycznia 2020 r. na prace porządkowe, Umowa z 30 lipca 2020 r. na produkcję 3 odcinków filmów edukacyjnych, 2 Umowy z 14 września 2022 r. ma wykonaniu zdjęć do kalendarza, Umowa z 21 lutego 2020 r. na naprawę ciągnika, na Umowa 1 września 2020 r. na naprawę ciągnika, Umowa z 24 lutego 2020 r. na naprawę ciągnika Umowa z sierpnia 2020 r. na wymianę rozrusznika i przekładni w rozrzutniku, Umowa z 20 maja 2022 r. na przeprowadzanie treningu strzeleckiego, Umowa z 1 sierpnia 209 r. na wykonaniu zdjęć do folderu i wydawnictwa, Umowa z 5 lutego 2019 r. na udostępnienie zdjęć o prezentacji i materiałów edukacyjnych dla nauczycieli, . Umowa z 11 kwietnia 2019 r. na wykonanie zdjęć do wystawy fotograficznej, Umowa z 20 maja 2019 r. na wykonanie zdjęć do prezentacji, Umowa z 11 kwietnia 2019 r. na wykonanie zdjęć do wystawy fotograficznej, 2 Umowy z 1 lipca 2019 r. na wykonaniu zdjęć do kalendarza, Umowa z 1</w:t>
      </w:r>
      <w:r>
        <w:rPr>
          <w:sz w:val="16"/>
          <w:szCs w:val="16"/>
        </w:rPr>
        <w:t xml:space="preserve"> stycznia </w:t>
      </w:r>
      <w:r w:rsidRPr="00FA37D2">
        <w:rPr>
          <w:sz w:val="16"/>
          <w:szCs w:val="16"/>
        </w:rPr>
        <w:t>2020 na otwieranie i zamykanie OEE</w:t>
      </w:r>
    </w:p>
  </w:footnote>
  <w:footnote w:id="220">
    <w:p w14:paraId="017A007E" w14:textId="77777777" w:rsidR="008C1E51" w:rsidRPr="00057E0E" w:rsidRDefault="008C1E51" w:rsidP="008C1E51">
      <w:pPr>
        <w:pStyle w:val="Tekstprzypisudolnego"/>
        <w:rPr>
          <w:sz w:val="16"/>
          <w:szCs w:val="16"/>
        </w:rPr>
      </w:pPr>
      <w:r w:rsidRPr="00057E0E">
        <w:rPr>
          <w:rStyle w:val="Odwoanieprzypisudolnego"/>
          <w:sz w:val="16"/>
          <w:szCs w:val="16"/>
        </w:rPr>
        <w:footnoteRef/>
      </w:r>
      <w:r w:rsidRPr="00057E0E">
        <w:rPr>
          <w:sz w:val="16"/>
          <w:szCs w:val="16"/>
        </w:rPr>
        <w:t xml:space="preserve"> Pismo Dyrektora Parku z 16 listopada 2022 r.</w:t>
      </w:r>
    </w:p>
  </w:footnote>
  <w:footnote w:id="221">
    <w:p w14:paraId="40719806" w14:textId="77777777" w:rsidR="008C1E51" w:rsidRPr="00BF6DC0" w:rsidRDefault="008C1E51" w:rsidP="008C1E51">
      <w:pPr>
        <w:pStyle w:val="Tekstprzypisudolnego"/>
        <w:rPr>
          <w:sz w:val="16"/>
          <w:szCs w:val="16"/>
        </w:rPr>
      </w:pPr>
      <w:r w:rsidRPr="00BF6DC0">
        <w:rPr>
          <w:rStyle w:val="Odwoanieprzypisudolnego"/>
          <w:sz w:val="16"/>
          <w:szCs w:val="16"/>
        </w:rPr>
        <w:footnoteRef/>
      </w:r>
      <w:r w:rsidRPr="00BF6DC0">
        <w:rPr>
          <w:sz w:val="16"/>
          <w:szCs w:val="16"/>
        </w:rPr>
        <w:t xml:space="preserve"> Dz. U. z 2020 r. poz. 1320.</w:t>
      </w:r>
    </w:p>
  </w:footnote>
  <w:footnote w:id="222">
    <w:p w14:paraId="60E1E523" w14:textId="77777777" w:rsidR="008C1E51" w:rsidRDefault="008C1E51" w:rsidP="008C1E51">
      <w:pPr>
        <w:pStyle w:val="Tekstprzypisudolnego"/>
      </w:pPr>
      <w:r w:rsidRPr="00057E0E">
        <w:rPr>
          <w:rStyle w:val="Odwoanieprzypisudolnego"/>
          <w:sz w:val="16"/>
          <w:szCs w:val="16"/>
        </w:rPr>
        <w:footnoteRef/>
      </w:r>
      <w:r w:rsidRPr="00057E0E">
        <w:rPr>
          <w:sz w:val="16"/>
          <w:szCs w:val="16"/>
        </w:rPr>
        <w:t xml:space="preserve"> Pismo Dyrektora Parku z 16 listopada 2022 r.</w:t>
      </w:r>
    </w:p>
  </w:footnote>
  <w:footnote w:id="223">
    <w:p w14:paraId="5520558B" w14:textId="77777777" w:rsidR="008C1E51" w:rsidRPr="000C0197" w:rsidRDefault="008C1E51" w:rsidP="008C1E51">
      <w:pPr>
        <w:pStyle w:val="Tekstprzypisudolnego"/>
        <w:rPr>
          <w:sz w:val="16"/>
          <w:szCs w:val="16"/>
        </w:rPr>
      </w:pPr>
      <w:r w:rsidRPr="000C0197">
        <w:rPr>
          <w:rStyle w:val="Odwoanieprzypisudolnego"/>
          <w:sz w:val="16"/>
          <w:szCs w:val="16"/>
        </w:rPr>
        <w:footnoteRef/>
      </w:r>
      <w:r w:rsidRPr="000C0197">
        <w:rPr>
          <w:sz w:val="16"/>
          <w:szCs w:val="16"/>
        </w:rPr>
        <w:t xml:space="preserve"> Pismo Dyrektora Parku z 16 listopada 2022 r. i Pismo Dyrektora Parku z 5 maja 2023 r.</w:t>
      </w:r>
    </w:p>
  </w:footnote>
  <w:footnote w:id="224">
    <w:p w14:paraId="547E8991" w14:textId="77777777" w:rsidR="008C1E51" w:rsidRPr="00911DD1" w:rsidRDefault="008C1E51" w:rsidP="008C1E51">
      <w:pPr>
        <w:pStyle w:val="Tekstprzypisudolnego"/>
      </w:pPr>
      <w:r w:rsidRPr="00911DD1">
        <w:rPr>
          <w:rStyle w:val="Odwoanieprzypisudolnego"/>
          <w:sz w:val="16"/>
          <w:szCs w:val="16"/>
        </w:rPr>
        <w:footnoteRef/>
      </w:r>
      <w:r w:rsidRPr="00911DD1">
        <w:rPr>
          <w:sz w:val="16"/>
          <w:szCs w:val="16"/>
        </w:rPr>
        <w:t xml:space="preserve"> Pismo Dyrektora Parku z 14 listopada 2022 r.</w:t>
      </w:r>
    </w:p>
  </w:footnote>
  <w:footnote w:id="225">
    <w:p w14:paraId="157051E0" w14:textId="77777777" w:rsidR="008C1E51" w:rsidRPr="00911DD1" w:rsidRDefault="008C1E51" w:rsidP="008C1E51">
      <w:pPr>
        <w:pStyle w:val="Tekstprzypisudolnego"/>
        <w:rPr>
          <w:sz w:val="16"/>
          <w:szCs w:val="16"/>
        </w:rPr>
      </w:pPr>
      <w:r w:rsidRPr="00911DD1">
        <w:rPr>
          <w:rStyle w:val="Odwoanieprzypisudolnego"/>
          <w:sz w:val="16"/>
          <w:szCs w:val="16"/>
        </w:rPr>
        <w:footnoteRef/>
      </w:r>
      <w:r w:rsidRPr="00911DD1">
        <w:rPr>
          <w:sz w:val="16"/>
          <w:szCs w:val="16"/>
        </w:rPr>
        <w:t xml:space="preserve"> Pismo Dyrektora Parku z 5 kwietnia 2023 r.</w:t>
      </w:r>
    </w:p>
  </w:footnote>
  <w:footnote w:id="226">
    <w:p w14:paraId="1101BBD2" w14:textId="77777777" w:rsidR="008C1E51" w:rsidRPr="00B33A2C" w:rsidRDefault="008C1E51" w:rsidP="008C1E51">
      <w:pPr>
        <w:pStyle w:val="Tekstprzypisudolnego"/>
        <w:rPr>
          <w:sz w:val="16"/>
          <w:szCs w:val="16"/>
        </w:rPr>
      </w:pPr>
      <w:r w:rsidRPr="000C0197">
        <w:rPr>
          <w:rStyle w:val="Odwoanieprzypisudolnego"/>
          <w:sz w:val="16"/>
          <w:szCs w:val="16"/>
        </w:rPr>
        <w:footnoteRef/>
      </w:r>
      <w:r w:rsidRPr="000C0197">
        <w:rPr>
          <w:sz w:val="16"/>
          <w:szCs w:val="16"/>
        </w:rPr>
        <w:t xml:space="preserve"> Pismo Dyrektora Parku z 16 listopada 2022 r.</w:t>
      </w:r>
    </w:p>
  </w:footnote>
  <w:footnote w:id="227">
    <w:p w14:paraId="0A8F18AC" w14:textId="77777777" w:rsidR="008C1E51" w:rsidRPr="000C0197" w:rsidRDefault="008C1E51" w:rsidP="008C1E51">
      <w:pPr>
        <w:pStyle w:val="Tekstprzypisudolnego"/>
        <w:rPr>
          <w:sz w:val="16"/>
          <w:szCs w:val="16"/>
        </w:rPr>
      </w:pPr>
      <w:r w:rsidRPr="000C0197">
        <w:rPr>
          <w:rStyle w:val="Odwoanieprzypisudolnego"/>
          <w:sz w:val="16"/>
          <w:szCs w:val="16"/>
        </w:rPr>
        <w:footnoteRef/>
      </w:r>
      <w:r w:rsidRPr="000C0197">
        <w:rPr>
          <w:sz w:val="16"/>
          <w:szCs w:val="16"/>
        </w:rPr>
        <w:t xml:space="preserve"> Pismo Dyrektora Parku z 14 listopada 2022 r.</w:t>
      </w:r>
    </w:p>
  </w:footnote>
  <w:footnote w:id="228">
    <w:p w14:paraId="2EB2267F" w14:textId="77777777" w:rsidR="008C1E51" w:rsidRPr="000C0197" w:rsidRDefault="008C1E51" w:rsidP="008C1E51">
      <w:pPr>
        <w:pStyle w:val="Tekstprzypisudolnego"/>
        <w:rPr>
          <w:sz w:val="16"/>
          <w:szCs w:val="16"/>
        </w:rPr>
      </w:pPr>
      <w:r w:rsidRPr="000C0197">
        <w:rPr>
          <w:rStyle w:val="Odwoanieprzypisudolnego"/>
          <w:sz w:val="16"/>
          <w:szCs w:val="16"/>
        </w:rPr>
        <w:footnoteRef/>
      </w:r>
      <w:r w:rsidRPr="000C0197">
        <w:rPr>
          <w:sz w:val="16"/>
          <w:szCs w:val="16"/>
        </w:rPr>
        <w:t xml:space="preserve"> Pismo Dyrektora Parku z 5 kwietnia 2023 r.</w:t>
      </w:r>
    </w:p>
  </w:footnote>
  <w:footnote w:id="229">
    <w:p w14:paraId="037BAFD4" w14:textId="77777777" w:rsidR="008C1E51" w:rsidRPr="00911DD1" w:rsidRDefault="008C1E51" w:rsidP="008C1E51">
      <w:pPr>
        <w:pStyle w:val="Tekstprzypisudolnego"/>
        <w:rPr>
          <w:sz w:val="16"/>
          <w:szCs w:val="16"/>
        </w:rPr>
      </w:pPr>
      <w:r w:rsidRPr="00911DD1">
        <w:rPr>
          <w:rStyle w:val="Odwoanieprzypisudolnego"/>
          <w:sz w:val="16"/>
          <w:szCs w:val="16"/>
        </w:rPr>
        <w:footnoteRef/>
      </w:r>
      <w:r w:rsidRPr="00911DD1">
        <w:rPr>
          <w:sz w:val="16"/>
          <w:szCs w:val="16"/>
        </w:rPr>
        <w:t xml:space="preserve"> Pismo Dyrektora Parku z 16 listopada 2022 r.</w:t>
      </w:r>
    </w:p>
  </w:footnote>
  <w:footnote w:id="230">
    <w:p w14:paraId="3B151BC0" w14:textId="77777777" w:rsidR="008C1E51" w:rsidRDefault="008C1E51" w:rsidP="008C1E51">
      <w:pPr>
        <w:pStyle w:val="Tekstprzypisudolnego"/>
      </w:pPr>
      <w:r w:rsidRPr="00911DD1">
        <w:rPr>
          <w:rStyle w:val="Odwoanieprzypisudolnego"/>
          <w:sz w:val="16"/>
          <w:szCs w:val="16"/>
        </w:rPr>
        <w:footnoteRef/>
      </w:r>
      <w:r w:rsidRPr="00911DD1">
        <w:rPr>
          <w:sz w:val="16"/>
          <w:szCs w:val="16"/>
        </w:rPr>
        <w:t xml:space="preserve"> Pismo Dyrektora Parku z 5 kwietnia 2023 r.</w:t>
      </w:r>
    </w:p>
  </w:footnote>
  <w:footnote w:id="231">
    <w:p w14:paraId="33D67662" w14:textId="77777777" w:rsidR="008C1E51" w:rsidRPr="004B6136" w:rsidRDefault="008C1E51" w:rsidP="008C1E51">
      <w:pPr>
        <w:pStyle w:val="Tekstprzypisudolnego"/>
        <w:rPr>
          <w:sz w:val="16"/>
          <w:szCs w:val="16"/>
        </w:rPr>
      </w:pPr>
      <w:r w:rsidRPr="004B6136">
        <w:rPr>
          <w:rStyle w:val="Odwoanieprzypisudolnego"/>
          <w:sz w:val="16"/>
          <w:szCs w:val="16"/>
        </w:rPr>
        <w:footnoteRef/>
      </w:r>
      <w:r w:rsidRPr="004B6136">
        <w:rPr>
          <w:sz w:val="16"/>
          <w:szCs w:val="16"/>
        </w:rPr>
        <w:t xml:space="preserve"> Pismo </w:t>
      </w:r>
      <w:proofErr w:type="spellStart"/>
      <w:r w:rsidRPr="004B6136">
        <w:rPr>
          <w:sz w:val="16"/>
          <w:szCs w:val="16"/>
        </w:rPr>
        <w:t>BdPN</w:t>
      </w:r>
      <w:proofErr w:type="spellEnd"/>
      <w:r w:rsidRPr="004B6136">
        <w:rPr>
          <w:sz w:val="16"/>
          <w:szCs w:val="16"/>
        </w:rPr>
        <w:t xml:space="preserve"> z 14 listopada 2022 r.</w:t>
      </w:r>
    </w:p>
  </w:footnote>
  <w:footnote w:id="232">
    <w:p w14:paraId="45885B14"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w:t>
      </w:r>
      <w:r w:rsidRPr="00BE3F92">
        <w:rPr>
          <w:rFonts w:eastAsia="Times New Roman" w:cs="Times New Roman"/>
          <w:sz w:val="16"/>
          <w:szCs w:val="16"/>
          <w:lang w:eastAsia="pl-PL"/>
        </w:rPr>
        <w:t>kontrola prowadzona w 2020 r.</w:t>
      </w:r>
    </w:p>
  </w:footnote>
  <w:footnote w:id="233">
    <w:p w14:paraId="1B1AE110" w14:textId="77777777" w:rsidR="008C1E51" w:rsidRPr="00BE3F92" w:rsidRDefault="008C1E51" w:rsidP="008C1E51">
      <w:pPr>
        <w:pStyle w:val="Tekstprzypisudolnego"/>
        <w:rPr>
          <w:sz w:val="16"/>
          <w:szCs w:val="16"/>
        </w:rPr>
      </w:pPr>
      <w:r w:rsidRPr="00BE3F92">
        <w:rPr>
          <w:rStyle w:val="Odwoanieprzypisudolnego"/>
          <w:sz w:val="16"/>
          <w:szCs w:val="16"/>
        </w:rPr>
        <w:footnoteRef/>
      </w:r>
      <w:r w:rsidRPr="00BE3F92">
        <w:rPr>
          <w:sz w:val="16"/>
          <w:szCs w:val="16"/>
        </w:rPr>
        <w:t xml:space="preserve"> </w:t>
      </w:r>
      <w:r w:rsidRPr="00BE3F92">
        <w:rPr>
          <w:rFonts w:eastAsia="Times New Roman" w:cs="Times New Roman"/>
          <w:sz w:val="16"/>
          <w:szCs w:val="16"/>
          <w:lang w:eastAsia="pl-PL"/>
        </w:rPr>
        <w:t>kontrola prowadzona w 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9D3E" w14:textId="77777777" w:rsidR="00031C0A" w:rsidRDefault="00031C0A"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8998" w14:textId="337861AF" w:rsidR="00031C0A" w:rsidRDefault="00646052">
    <w:pPr>
      <w:pStyle w:val="Nagwek"/>
    </w:pPr>
    <w:r>
      <w:rPr>
        <w:noProof/>
        <w:lang w:eastAsia="pl-PL"/>
      </w:rPr>
      <w:drawing>
        <wp:anchor distT="0" distB="0" distL="114300" distR="114300" simplePos="0" relativeHeight="251660288" behindDoc="0" locked="0" layoutInCell="1" allowOverlap="1" wp14:anchorId="13AF8B43" wp14:editId="507E4E0C">
          <wp:simplePos x="0" y="0"/>
          <wp:positionH relativeFrom="column">
            <wp:posOffset>-923925</wp:posOffset>
          </wp:positionH>
          <wp:positionV relativeFrom="paragraph">
            <wp:posOffset>-57785</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560"/>
    <w:multiLevelType w:val="hybridMultilevel"/>
    <w:tmpl w:val="84C4CB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1094B"/>
    <w:multiLevelType w:val="hybridMultilevel"/>
    <w:tmpl w:val="5A7E0598"/>
    <w:lvl w:ilvl="0" w:tplc="C5A86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24E8B"/>
    <w:multiLevelType w:val="hybridMultilevel"/>
    <w:tmpl w:val="D5C2169A"/>
    <w:lvl w:ilvl="0" w:tplc="DDC2F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AF07DB"/>
    <w:multiLevelType w:val="hybridMultilevel"/>
    <w:tmpl w:val="F7A29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317FEE"/>
    <w:multiLevelType w:val="hybridMultilevel"/>
    <w:tmpl w:val="9522BC9C"/>
    <w:lvl w:ilvl="0" w:tplc="27DEB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EC4C6B"/>
    <w:multiLevelType w:val="hybridMultilevel"/>
    <w:tmpl w:val="CAA6D998"/>
    <w:lvl w:ilvl="0" w:tplc="629ECD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5132901"/>
    <w:multiLevelType w:val="hybridMultilevel"/>
    <w:tmpl w:val="0C44EA0A"/>
    <w:lvl w:ilvl="0" w:tplc="4984A094">
      <w:start w:val="1"/>
      <w:numFmt w:val="decimal"/>
      <w:lvlText w:val="%1."/>
      <w:lvlJc w:val="left"/>
      <w:pPr>
        <w:ind w:left="720" w:hanging="720"/>
      </w:pPr>
      <w:rPr>
        <w:b/>
        <w:bCs/>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8FB1C75"/>
    <w:multiLevelType w:val="hybridMultilevel"/>
    <w:tmpl w:val="075CBE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C016E5"/>
    <w:multiLevelType w:val="hybridMultilevel"/>
    <w:tmpl w:val="11A2F48A"/>
    <w:lvl w:ilvl="0" w:tplc="C5A86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8406B2"/>
    <w:multiLevelType w:val="hybridMultilevel"/>
    <w:tmpl w:val="F31AE57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27B918AB"/>
    <w:multiLevelType w:val="multilevel"/>
    <w:tmpl w:val="3D147F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AE0948"/>
    <w:multiLevelType w:val="hybridMultilevel"/>
    <w:tmpl w:val="64CEAB06"/>
    <w:lvl w:ilvl="0" w:tplc="C5A86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C85827"/>
    <w:multiLevelType w:val="hybridMultilevel"/>
    <w:tmpl w:val="1E82A12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6800A2B"/>
    <w:multiLevelType w:val="hybridMultilevel"/>
    <w:tmpl w:val="34D40088"/>
    <w:lvl w:ilvl="0" w:tplc="0415000F">
      <w:start w:val="1"/>
      <w:numFmt w:val="decimal"/>
      <w:lvlText w:val="%1."/>
      <w:lvlJc w:val="left"/>
      <w:pPr>
        <w:ind w:left="720" w:hanging="72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8EE34E3"/>
    <w:multiLevelType w:val="hybridMultilevel"/>
    <w:tmpl w:val="6E38CEA0"/>
    <w:lvl w:ilvl="0" w:tplc="DDC2F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F833C1"/>
    <w:multiLevelType w:val="hybridMultilevel"/>
    <w:tmpl w:val="9B3E1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A19C2"/>
    <w:multiLevelType w:val="hybridMultilevel"/>
    <w:tmpl w:val="B6346060"/>
    <w:lvl w:ilvl="0" w:tplc="C5A86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1D2655"/>
    <w:multiLevelType w:val="hybridMultilevel"/>
    <w:tmpl w:val="ACBC4654"/>
    <w:lvl w:ilvl="0" w:tplc="DDC2F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002AF1"/>
    <w:multiLevelType w:val="hybridMultilevel"/>
    <w:tmpl w:val="26028B76"/>
    <w:lvl w:ilvl="0" w:tplc="C5A86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1766DD"/>
    <w:multiLevelType w:val="hybridMultilevel"/>
    <w:tmpl w:val="1B0C129C"/>
    <w:lvl w:ilvl="0" w:tplc="248C81BC">
      <w:start w:val="1"/>
      <w:numFmt w:val="decimal"/>
      <w:suff w:val="space"/>
      <w:lvlText w:val="2.%1."/>
      <w:lvlJc w:val="left"/>
      <w:pPr>
        <w:ind w:left="1724" w:hanging="1724"/>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58631333"/>
    <w:multiLevelType w:val="hybridMultilevel"/>
    <w:tmpl w:val="A394F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795EE5"/>
    <w:multiLevelType w:val="hybridMultilevel"/>
    <w:tmpl w:val="6D888690"/>
    <w:lvl w:ilvl="0" w:tplc="C5A86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807499"/>
    <w:multiLevelType w:val="hybridMultilevel"/>
    <w:tmpl w:val="D7AC87C6"/>
    <w:lvl w:ilvl="0" w:tplc="C5A86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470F0A"/>
    <w:multiLevelType w:val="hybridMultilevel"/>
    <w:tmpl w:val="63FC4016"/>
    <w:lvl w:ilvl="0" w:tplc="C5A86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6F3C0F"/>
    <w:multiLevelType w:val="hybridMultilevel"/>
    <w:tmpl w:val="6F78D218"/>
    <w:lvl w:ilvl="0" w:tplc="FFFFFFFF">
      <w:start w:val="1"/>
      <w:numFmt w:val="upperRoman"/>
      <w:lvlText w:val="%1."/>
      <w:lvlJc w:val="left"/>
      <w:pPr>
        <w:ind w:left="1080" w:hanging="72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452737D"/>
    <w:multiLevelType w:val="hybridMultilevel"/>
    <w:tmpl w:val="B9D229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6FC1B80"/>
    <w:multiLevelType w:val="hybridMultilevel"/>
    <w:tmpl w:val="81262A42"/>
    <w:lvl w:ilvl="0" w:tplc="F1C23B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A8A7B97"/>
    <w:multiLevelType w:val="hybridMultilevel"/>
    <w:tmpl w:val="C66258E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CAC3FF7"/>
    <w:multiLevelType w:val="hybridMultilevel"/>
    <w:tmpl w:val="C66258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E30238"/>
    <w:multiLevelType w:val="hybridMultilevel"/>
    <w:tmpl w:val="6F78D218"/>
    <w:lvl w:ilvl="0" w:tplc="E4146230">
      <w:start w:val="1"/>
      <w:numFmt w:val="upperRoman"/>
      <w:lvlText w:val="%1."/>
      <w:lvlJc w:val="left"/>
      <w:pPr>
        <w:ind w:left="1080" w:hanging="72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E165F1A"/>
    <w:multiLevelType w:val="hybridMultilevel"/>
    <w:tmpl w:val="85885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12356B"/>
    <w:multiLevelType w:val="hybridMultilevel"/>
    <w:tmpl w:val="EA404044"/>
    <w:lvl w:ilvl="0" w:tplc="C5A86A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9643412">
    <w:abstractNumId w:val="29"/>
  </w:num>
  <w:num w:numId="2" w16cid:durableId="1659726353">
    <w:abstractNumId w:val="13"/>
  </w:num>
  <w:num w:numId="3" w16cid:durableId="326639243">
    <w:abstractNumId w:val="17"/>
  </w:num>
  <w:num w:numId="4" w16cid:durableId="964580044">
    <w:abstractNumId w:val="14"/>
  </w:num>
  <w:num w:numId="5" w16cid:durableId="1265570993">
    <w:abstractNumId w:val="2"/>
  </w:num>
  <w:num w:numId="6" w16cid:durableId="1552570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463798">
    <w:abstractNumId w:val="11"/>
  </w:num>
  <w:num w:numId="8" w16cid:durableId="1485855013">
    <w:abstractNumId w:val="30"/>
  </w:num>
  <w:num w:numId="9" w16cid:durableId="2094813343">
    <w:abstractNumId w:val="25"/>
  </w:num>
  <w:num w:numId="10" w16cid:durableId="1864593732">
    <w:abstractNumId w:val="9"/>
  </w:num>
  <w:num w:numId="11" w16cid:durableId="198705688">
    <w:abstractNumId w:val="24"/>
  </w:num>
  <w:num w:numId="12" w16cid:durableId="1152478304">
    <w:abstractNumId w:val="6"/>
  </w:num>
  <w:num w:numId="13" w16cid:durableId="1483153962">
    <w:abstractNumId w:val="5"/>
  </w:num>
  <w:num w:numId="14" w16cid:durableId="1926373954">
    <w:abstractNumId w:val="0"/>
  </w:num>
  <w:num w:numId="15" w16cid:durableId="219439097">
    <w:abstractNumId w:val="31"/>
  </w:num>
  <w:num w:numId="16" w16cid:durableId="65685029">
    <w:abstractNumId w:val="4"/>
  </w:num>
  <w:num w:numId="17" w16cid:durableId="767315908">
    <w:abstractNumId w:val="22"/>
  </w:num>
  <w:num w:numId="18" w16cid:durableId="2031754873">
    <w:abstractNumId w:val="18"/>
  </w:num>
  <w:num w:numId="19" w16cid:durableId="2096973532">
    <w:abstractNumId w:val="20"/>
  </w:num>
  <w:num w:numId="20" w16cid:durableId="1493327047">
    <w:abstractNumId w:val="7"/>
  </w:num>
  <w:num w:numId="21" w16cid:durableId="1011645354">
    <w:abstractNumId w:val="15"/>
  </w:num>
  <w:num w:numId="22" w16cid:durableId="581640602">
    <w:abstractNumId w:val="26"/>
  </w:num>
  <w:num w:numId="23" w16cid:durableId="1764649442">
    <w:abstractNumId w:val="27"/>
  </w:num>
  <w:num w:numId="24" w16cid:durableId="2133475807">
    <w:abstractNumId w:val="12"/>
  </w:num>
  <w:num w:numId="25" w16cid:durableId="838887577">
    <w:abstractNumId w:val="3"/>
  </w:num>
  <w:num w:numId="26" w16cid:durableId="477110248">
    <w:abstractNumId w:val="10"/>
  </w:num>
  <w:num w:numId="27" w16cid:durableId="1999336838">
    <w:abstractNumId w:val="21"/>
  </w:num>
  <w:num w:numId="28" w16cid:durableId="1530795523">
    <w:abstractNumId w:val="8"/>
  </w:num>
  <w:num w:numId="29" w16cid:durableId="786853170">
    <w:abstractNumId w:val="23"/>
  </w:num>
  <w:num w:numId="30" w16cid:durableId="1986353329">
    <w:abstractNumId w:val="16"/>
  </w:num>
  <w:num w:numId="31" w16cid:durableId="54091181">
    <w:abstractNumId w:val="1"/>
  </w:num>
  <w:num w:numId="32" w16cid:durableId="7003246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E51"/>
    <w:rsid w:val="00031C0A"/>
    <w:rsid w:val="00041F37"/>
    <w:rsid w:val="000434FE"/>
    <w:rsid w:val="00062669"/>
    <w:rsid w:val="000B5B5B"/>
    <w:rsid w:val="001129EF"/>
    <w:rsid w:val="001A560E"/>
    <w:rsid w:val="00211832"/>
    <w:rsid w:val="00245D86"/>
    <w:rsid w:val="0027654F"/>
    <w:rsid w:val="002A7688"/>
    <w:rsid w:val="002B552C"/>
    <w:rsid w:val="002F6421"/>
    <w:rsid w:val="003463A1"/>
    <w:rsid w:val="00350FEE"/>
    <w:rsid w:val="00396497"/>
    <w:rsid w:val="003C1429"/>
    <w:rsid w:val="003E4740"/>
    <w:rsid w:val="003F0A44"/>
    <w:rsid w:val="00416A7A"/>
    <w:rsid w:val="004344A3"/>
    <w:rsid w:val="0044682B"/>
    <w:rsid w:val="00463221"/>
    <w:rsid w:val="00465024"/>
    <w:rsid w:val="00475950"/>
    <w:rsid w:val="00476928"/>
    <w:rsid w:val="004C1057"/>
    <w:rsid w:val="004D1C90"/>
    <w:rsid w:val="004D4B63"/>
    <w:rsid w:val="004E3697"/>
    <w:rsid w:val="004F6782"/>
    <w:rsid w:val="005036F5"/>
    <w:rsid w:val="005439E1"/>
    <w:rsid w:val="00577AC0"/>
    <w:rsid w:val="005A0B4C"/>
    <w:rsid w:val="005A549E"/>
    <w:rsid w:val="005E1A1E"/>
    <w:rsid w:val="00605FAE"/>
    <w:rsid w:val="006350DE"/>
    <w:rsid w:val="00646052"/>
    <w:rsid w:val="006750FE"/>
    <w:rsid w:val="006E7ED0"/>
    <w:rsid w:val="00741D48"/>
    <w:rsid w:val="007A797F"/>
    <w:rsid w:val="007D6431"/>
    <w:rsid w:val="007E34B5"/>
    <w:rsid w:val="007F6DBC"/>
    <w:rsid w:val="00821FAA"/>
    <w:rsid w:val="008C1E51"/>
    <w:rsid w:val="008D4082"/>
    <w:rsid w:val="008E0048"/>
    <w:rsid w:val="00913514"/>
    <w:rsid w:val="0091612E"/>
    <w:rsid w:val="009176CB"/>
    <w:rsid w:val="00995E91"/>
    <w:rsid w:val="009F1999"/>
    <w:rsid w:val="009F2B9C"/>
    <w:rsid w:val="00A00296"/>
    <w:rsid w:val="00A05B67"/>
    <w:rsid w:val="00A11F6C"/>
    <w:rsid w:val="00A26BBA"/>
    <w:rsid w:val="00A65C15"/>
    <w:rsid w:val="00A822E7"/>
    <w:rsid w:val="00A963DB"/>
    <w:rsid w:val="00A97953"/>
    <w:rsid w:val="00AE01E0"/>
    <w:rsid w:val="00B10F42"/>
    <w:rsid w:val="00B17452"/>
    <w:rsid w:val="00B20E71"/>
    <w:rsid w:val="00B52EE4"/>
    <w:rsid w:val="00BB3D96"/>
    <w:rsid w:val="00BE4A67"/>
    <w:rsid w:val="00CD2FDC"/>
    <w:rsid w:val="00CD4804"/>
    <w:rsid w:val="00CD5042"/>
    <w:rsid w:val="00D01D9B"/>
    <w:rsid w:val="00D05ABB"/>
    <w:rsid w:val="00D17DD6"/>
    <w:rsid w:val="00D503A4"/>
    <w:rsid w:val="00D97150"/>
    <w:rsid w:val="00DC3F51"/>
    <w:rsid w:val="00F37C90"/>
    <w:rsid w:val="00F53297"/>
    <w:rsid w:val="00F817FB"/>
    <w:rsid w:val="00FA4809"/>
    <w:rsid w:val="00FD68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D8B32"/>
  <w15:docId w15:val="{4B737454-D95B-4F84-A80C-48C5961C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83610"/>
    <w:pPr>
      <w:jc w:val="both"/>
    </w:pPr>
    <w:rPr>
      <w:rFonts w:ascii="Lato" w:hAnsi="Lato"/>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qFormat/>
    <w:rsid w:val="00B83610"/>
    <w:pPr>
      <w:tabs>
        <w:tab w:val="center" w:pos="4536"/>
        <w:tab w:val="right" w:pos="9072"/>
      </w:tabs>
      <w:spacing w:after="0" w:line="240" w:lineRule="auto"/>
      <w:jc w:val="left"/>
    </w:pPr>
    <w:rPr>
      <w:sz w:val="16"/>
    </w:rPr>
  </w:style>
  <w:style w:type="character" w:customStyle="1" w:styleId="StopkaZnak">
    <w:name w:val="Stopka Znak"/>
    <w:basedOn w:val="Domylnaczcionkaakapitu"/>
    <w:link w:val="Stopka"/>
    <w:uiPriority w:val="99"/>
    <w:rsid w:val="00B83610"/>
    <w:rPr>
      <w:rFonts w:ascii="Lato" w:hAnsi="Lato"/>
      <w:sz w:val="16"/>
    </w:rPr>
  </w:style>
  <w:style w:type="paragraph" w:styleId="Tekstprzypisudolnego">
    <w:name w:val="footnote text"/>
    <w:aliases w:val="Podrozdzia3,Podrozdział,Tekst przypisu,Tekst przypisu Znak Znak Znak Znak,Tekst przypisu Znak Znak Znak Znak Znak,Tekst przypisu Znak Znak Znak Znak Znak Znak Znak,Tekst przypisu Znak Znak Znak Znak Znak Znak Znak Znak Zn,Footnote"/>
    <w:basedOn w:val="Normalny"/>
    <w:link w:val="TekstprzypisudolnegoZnak"/>
    <w:uiPriority w:val="99"/>
    <w:unhideWhenUsed/>
    <w:qFormat/>
    <w:rsid w:val="008C1E51"/>
    <w:pPr>
      <w:spacing w:after="0" w:line="240" w:lineRule="auto"/>
    </w:pPr>
    <w:rPr>
      <w:szCs w:val="20"/>
    </w:rPr>
  </w:style>
  <w:style w:type="character" w:customStyle="1" w:styleId="TekstprzypisudolnegoZnak">
    <w:name w:val="Tekst przypisu dolnego Znak"/>
    <w:aliases w:val="Podrozdzia3 Znak,Podrozdział Znak,Tekst przypisu Znak,Tekst przypisu Znak Znak Znak Znak Znak1,Tekst przypisu Znak Znak Znak Znak Znak Znak,Tekst przypisu Znak Znak Znak Znak Znak Znak Znak Znak,Footnote Znak"/>
    <w:basedOn w:val="Domylnaczcionkaakapitu"/>
    <w:link w:val="Tekstprzypisudolnego"/>
    <w:uiPriority w:val="99"/>
    <w:qFormat/>
    <w:rsid w:val="008C1E51"/>
    <w:rPr>
      <w:rFonts w:ascii="Lato" w:hAnsi="Lato"/>
      <w:sz w:val="20"/>
      <w:szCs w:val="20"/>
    </w:rPr>
  </w:style>
  <w:style w:type="character" w:styleId="Odwoanieprzypisudolnego">
    <w:name w:val="footnote reference"/>
    <w:uiPriority w:val="99"/>
    <w:qFormat/>
    <w:rsid w:val="008C1E51"/>
    <w:rPr>
      <w:vertAlign w:val="superscript"/>
    </w:rPr>
  </w:style>
  <w:style w:type="paragraph" w:styleId="Akapitzlist">
    <w:name w:val="List Paragraph"/>
    <w:aliases w:val="Dot pt,No Spacing1,List Paragraph Char Char Char,Indicator Text,Numbered Para 1,List Paragraph à moi,LISTA,Listaszerű bekezdés2,Listaszerű bekezdés1,Listaszerű bekezdés3"/>
    <w:basedOn w:val="Normalny"/>
    <w:link w:val="AkapitzlistZnak"/>
    <w:uiPriority w:val="34"/>
    <w:qFormat/>
    <w:rsid w:val="008C1E51"/>
    <w:pPr>
      <w:ind w:left="720"/>
      <w:contextualSpacing/>
    </w:pPr>
  </w:style>
  <w:style w:type="character" w:styleId="Odwoaniedokomentarza">
    <w:name w:val="annotation reference"/>
    <w:basedOn w:val="Domylnaczcionkaakapitu"/>
    <w:uiPriority w:val="99"/>
    <w:unhideWhenUsed/>
    <w:rsid w:val="008C1E51"/>
    <w:rPr>
      <w:sz w:val="16"/>
      <w:szCs w:val="16"/>
    </w:rPr>
  </w:style>
  <w:style w:type="paragraph" w:styleId="Tekstkomentarza">
    <w:name w:val="annotation text"/>
    <w:basedOn w:val="Normalny"/>
    <w:link w:val="TekstkomentarzaZnak"/>
    <w:uiPriority w:val="99"/>
    <w:unhideWhenUsed/>
    <w:rsid w:val="008C1E51"/>
    <w:pPr>
      <w:spacing w:line="240" w:lineRule="auto"/>
    </w:pPr>
    <w:rPr>
      <w:szCs w:val="20"/>
    </w:rPr>
  </w:style>
  <w:style w:type="character" w:customStyle="1" w:styleId="TekstkomentarzaZnak">
    <w:name w:val="Tekst komentarza Znak"/>
    <w:basedOn w:val="Domylnaczcionkaakapitu"/>
    <w:link w:val="Tekstkomentarza"/>
    <w:uiPriority w:val="99"/>
    <w:rsid w:val="008C1E51"/>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8C1E51"/>
    <w:rPr>
      <w:b/>
      <w:bCs/>
    </w:rPr>
  </w:style>
  <w:style w:type="character" w:customStyle="1" w:styleId="TematkomentarzaZnak">
    <w:name w:val="Temat komentarza Znak"/>
    <w:basedOn w:val="TekstkomentarzaZnak"/>
    <w:link w:val="Tematkomentarza"/>
    <w:uiPriority w:val="99"/>
    <w:semiHidden/>
    <w:rsid w:val="008C1E51"/>
    <w:rPr>
      <w:rFonts w:ascii="Lato" w:hAnsi="Lato"/>
      <w:b/>
      <w:bCs/>
      <w:sz w:val="20"/>
      <w:szCs w:val="20"/>
    </w:rPr>
  </w:style>
  <w:style w:type="table" w:styleId="Tabela-Siatka">
    <w:name w:val="Table Grid"/>
    <w:basedOn w:val="Standardowy"/>
    <w:uiPriority w:val="39"/>
    <w:rsid w:val="008C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8C1E51"/>
  </w:style>
  <w:style w:type="paragraph" w:styleId="Tekstdymka">
    <w:name w:val="Balloon Text"/>
    <w:basedOn w:val="Normalny"/>
    <w:link w:val="TekstdymkaZnak"/>
    <w:uiPriority w:val="99"/>
    <w:semiHidden/>
    <w:unhideWhenUsed/>
    <w:rsid w:val="008C1E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1E51"/>
    <w:rPr>
      <w:rFonts w:ascii="Segoe UI" w:hAnsi="Segoe UI" w:cs="Segoe UI"/>
      <w:sz w:val="18"/>
      <w:szCs w:val="18"/>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
    <w:link w:val="Akapitzlist"/>
    <w:uiPriority w:val="34"/>
    <w:qFormat/>
    <w:locked/>
    <w:rsid w:val="008C1E51"/>
    <w:rPr>
      <w:rFonts w:ascii="Lato" w:hAnsi="Lato"/>
      <w:sz w:val="20"/>
    </w:rPr>
  </w:style>
  <w:style w:type="paragraph" w:customStyle="1" w:styleId="Default">
    <w:name w:val="Default"/>
    <w:rsid w:val="008C1E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bject">
    <w:name w:val="object"/>
    <w:basedOn w:val="Domylnaczcionkaakapitu"/>
    <w:rsid w:val="008C1E51"/>
  </w:style>
  <w:style w:type="character" w:styleId="Hipercze">
    <w:name w:val="Hyperlink"/>
    <w:uiPriority w:val="99"/>
    <w:rsid w:val="008C1E51"/>
    <w:rPr>
      <w:color w:val="0000FF"/>
      <w:u w:val="single"/>
    </w:rPr>
  </w:style>
  <w:style w:type="character" w:styleId="Uwydatnienie">
    <w:name w:val="Emphasis"/>
    <w:basedOn w:val="Domylnaczcionkaakapitu"/>
    <w:uiPriority w:val="20"/>
    <w:qFormat/>
    <w:rsid w:val="008C1E51"/>
    <w:rPr>
      <w:i/>
      <w:iCs/>
    </w:rPr>
  </w:style>
  <w:style w:type="paragraph" w:styleId="Bezodstpw">
    <w:name w:val="No Spacing"/>
    <w:uiPriority w:val="1"/>
    <w:qFormat/>
    <w:rsid w:val="008C1E51"/>
    <w:pPr>
      <w:suppressAutoHyphens/>
      <w:spacing w:after="0" w:line="240" w:lineRule="auto"/>
    </w:pPr>
    <w:rPr>
      <w:rFonts w:ascii="Calibri" w:eastAsia="Calibri" w:hAnsi="Calibri" w:cs="Calibri"/>
      <w:lang w:eastAsia="ar-SA"/>
    </w:rPr>
  </w:style>
  <w:style w:type="table" w:customStyle="1" w:styleId="Tabela-Siatka4">
    <w:name w:val="Tabela - Siatka4"/>
    <w:basedOn w:val="Standardowy"/>
    <w:next w:val="Tabela-Siatka"/>
    <w:uiPriority w:val="59"/>
    <w:rsid w:val="008C1E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C1E5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8C1E51"/>
    <w:rPr>
      <w:rFonts w:ascii="Lato" w:hAnsi="Lato"/>
      <w:sz w:val="20"/>
      <w:szCs w:val="20"/>
    </w:rPr>
  </w:style>
  <w:style w:type="character" w:styleId="Odwoanieprzypisukocowego">
    <w:name w:val="endnote reference"/>
    <w:basedOn w:val="Domylnaczcionkaakapitu"/>
    <w:uiPriority w:val="99"/>
    <w:semiHidden/>
    <w:unhideWhenUsed/>
    <w:rsid w:val="008C1E51"/>
    <w:rPr>
      <w:vertAlign w:val="superscript"/>
    </w:rPr>
  </w:style>
  <w:style w:type="paragraph" w:styleId="Poprawka">
    <w:name w:val="Revision"/>
    <w:hidden/>
    <w:uiPriority w:val="99"/>
    <w:semiHidden/>
    <w:rsid w:val="008C1E51"/>
    <w:pPr>
      <w:spacing w:after="0" w:line="240" w:lineRule="auto"/>
    </w:pPr>
    <w:rPr>
      <w:rFonts w:ascii="Lato" w:hAnsi="La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2.068.220,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819E-6B7E-402B-A1BA-AF484019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28233</Words>
  <Characters>169402</Characters>
  <Application>Microsoft Office Word</Application>
  <DocSecurity>0</DocSecurity>
  <Lines>1411</Lines>
  <Paragraphs>394</Paragraphs>
  <ScaleCrop>false</ScaleCrop>
  <HeadingPairs>
    <vt:vector size="2" baseType="variant">
      <vt:variant>
        <vt:lpstr>Tytuł</vt:lpstr>
      </vt:variant>
      <vt:variant>
        <vt:i4>1</vt:i4>
      </vt:variant>
    </vt:vector>
  </HeadingPairs>
  <TitlesOfParts>
    <vt:vector size="1" baseType="lpstr">
      <vt:lpstr>Z upoważnienia Ministra Klimatu i Środowiska sekretarz podsekretarz kolor</vt:lpstr>
    </vt:vector>
  </TitlesOfParts>
  <Company>Ministerstwo Klimatu i Środowiska</Company>
  <LinksUpToDate>false</LinksUpToDate>
  <CharactersWithSpaces>197241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upoważnienia Ministra Klimatu i Środowiska sekretarz podsekretarz kolor</dc:title>
  <dc:creator>Żebrowska Katarzyna</dc:creator>
  <cp:keywords>PL, kolor</cp:keywords>
  <dc:description>Wersja 7.1 dostępna od 11.04.2023</dc:description>
  <cp:lastModifiedBy>Żebrowska Katarzyna</cp:lastModifiedBy>
  <cp:revision>2</cp:revision>
  <cp:lastPrinted>2022-09-08T13:34:00Z</cp:lastPrinted>
  <dcterms:created xsi:type="dcterms:W3CDTF">2023-12-22T11:35:00Z</dcterms:created>
  <dcterms:modified xsi:type="dcterms:W3CDTF">2023-12-22T11:35:00Z</dcterms:modified>
  <cp:category>KIEROWNICTWO</cp:category>
</cp:coreProperties>
</file>