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000000" w:rsidRPr="00D05E25" w:rsidP="00BD7137">
      <w:pPr>
        <w:spacing w:after="0" w:line="240" w:lineRule="auto"/>
      </w:pPr>
      <w:bookmarkStart w:id="0" w:name="ezdSprawaZnak"/>
      <w:r>
        <w:t>BKA-RII.0831.5.2022</w:t>
      </w:r>
      <w:bookmarkEnd w:id="0"/>
      <w:r>
        <w:t>.</w:t>
      </w:r>
      <w:bookmarkStart w:id="1" w:name="ezdAutorInicjaly"/>
      <w:r>
        <w:t>TM</w:t>
      </w:r>
      <w:bookmarkEnd w:id="1"/>
    </w:p>
    <w:p w:rsidR="00000000" w:rsidRPr="00D05E25" w:rsidP="00BD7137">
      <w:pPr>
        <w:spacing w:after="0" w:line="240" w:lineRule="auto"/>
        <w:rPr>
          <w:sz w:val="18"/>
          <w:szCs w:val="18"/>
        </w:rPr>
      </w:pPr>
      <w:bookmarkStart w:id="2" w:name="ezdIdentyfikatorDokumentuPDF"/>
      <w:r w:rsidRPr="00D05E25">
        <w:rPr>
          <w:sz w:val="18"/>
          <w:szCs w:val="18"/>
        </w:rPr>
        <w:t>$Id_dokumentu</w:t>
      </w:r>
      <w:bookmarkEnd w:id="2"/>
    </w:p>
    <w:p w:rsidR="00000000" w:rsidRPr="009276B2" w:rsidP="009276B2">
      <w:pPr>
        <w:spacing w:after="0" w:line="240" w:lineRule="auto"/>
      </w:pPr>
      <w:r w:rsidRPr="00D05E25">
        <w:t xml:space="preserve">Warszawa, </w:t>
      </w:r>
      <w:bookmarkStart w:id="3" w:name="ezdDataPodpisu"/>
      <w:r>
        <w:t>30-12-2023</w:t>
      </w:r>
      <w:bookmarkEnd w:id="3"/>
    </w:p>
    <w:p w:rsidR="00000000" w:rsidRPr="009276B2" w:rsidP="009276B2">
      <w:pPr>
        <w:spacing w:after="0" w:line="240" w:lineRule="auto"/>
      </w:pPr>
    </w:p>
    <w:p w:rsidR="00000000" w:rsidRPr="009276B2" w:rsidP="009276B2">
      <w:pPr>
        <w:spacing w:after="0" w:line="240" w:lineRule="auto"/>
      </w:pPr>
    </w:p>
    <w:p w:rsidR="00AE7A5B" w:rsidRPr="00BB0861" w:rsidP="00AE7A5B">
      <w:pPr>
        <w:spacing w:after="0" w:line="240" w:lineRule="auto"/>
        <w:rPr>
          <w:b/>
          <w:bCs/>
        </w:rPr>
      </w:pPr>
      <w:r w:rsidRPr="00BB0861">
        <w:rPr>
          <w:b/>
          <w:bCs/>
        </w:rPr>
        <w:t>Pan</w:t>
      </w:r>
    </w:p>
    <w:p w:rsidR="00AE7A5B" w:rsidRPr="00BB0861" w:rsidP="00AE7A5B">
      <w:pPr>
        <w:autoSpaceDE w:val="0"/>
        <w:autoSpaceDN w:val="0"/>
        <w:adjustRightInd w:val="0"/>
        <w:spacing w:after="0" w:line="240" w:lineRule="auto"/>
        <w:jc w:val="left"/>
        <w:rPr>
          <w:rFonts w:cs="Lato-Bold"/>
          <w:b/>
          <w:bCs/>
          <w:szCs w:val="20"/>
        </w:rPr>
      </w:pPr>
      <w:r w:rsidRPr="00BB0861">
        <w:rPr>
          <w:rFonts w:cs="Lato-Bold"/>
          <w:b/>
          <w:bCs/>
          <w:szCs w:val="20"/>
        </w:rPr>
        <w:t xml:space="preserve">Dr inż. Mateusz </w:t>
      </w:r>
      <w:r w:rsidRPr="00BB0861">
        <w:rPr>
          <w:rFonts w:cs="Lato-Bold"/>
          <w:b/>
          <w:bCs/>
          <w:szCs w:val="20"/>
        </w:rPr>
        <w:t>Damrat</w:t>
      </w:r>
    </w:p>
    <w:p w:rsidR="00AE7A5B" w:rsidRPr="00BB0861" w:rsidP="00AE7A5B">
      <w:pPr>
        <w:autoSpaceDE w:val="0"/>
        <w:autoSpaceDN w:val="0"/>
        <w:adjustRightInd w:val="0"/>
        <w:spacing w:after="0" w:line="240" w:lineRule="auto"/>
        <w:jc w:val="left"/>
        <w:rPr>
          <w:rFonts w:cs="Lato-Bold"/>
          <w:b/>
          <w:bCs/>
          <w:szCs w:val="20"/>
        </w:rPr>
      </w:pPr>
      <w:r w:rsidRPr="00BB0861">
        <w:rPr>
          <w:rFonts w:cs="Lato-Bold"/>
          <w:b/>
          <w:bCs/>
          <w:szCs w:val="20"/>
        </w:rPr>
        <w:t>Dyrektor</w:t>
      </w:r>
    </w:p>
    <w:p w:rsidR="00AE7A5B" w:rsidRPr="00BB0861" w:rsidP="00AE7A5B">
      <w:pPr>
        <w:autoSpaceDE w:val="0"/>
        <w:autoSpaceDN w:val="0"/>
        <w:adjustRightInd w:val="0"/>
        <w:spacing w:after="0" w:line="240" w:lineRule="auto"/>
        <w:jc w:val="left"/>
        <w:rPr>
          <w:rFonts w:cs="Lato-Bold"/>
          <w:b/>
          <w:bCs/>
          <w:szCs w:val="20"/>
        </w:rPr>
      </w:pPr>
      <w:r w:rsidRPr="00BB0861">
        <w:rPr>
          <w:rFonts w:cs="Lato-Bold"/>
          <w:b/>
          <w:bCs/>
          <w:szCs w:val="20"/>
        </w:rPr>
        <w:t>Państwowego Instytutu Geologicznego – Państwowego Instytutu Badawczego</w:t>
      </w:r>
    </w:p>
    <w:p w:rsidR="00AE7A5B" w:rsidRPr="00BB0861" w:rsidP="00AE7A5B">
      <w:pPr>
        <w:autoSpaceDE w:val="0"/>
        <w:autoSpaceDN w:val="0"/>
        <w:adjustRightInd w:val="0"/>
        <w:spacing w:after="0" w:line="240" w:lineRule="auto"/>
        <w:jc w:val="left"/>
        <w:rPr>
          <w:rFonts w:cs="Lato-Bold"/>
          <w:b/>
          <w:bCs/>
          <w:szCs w:val="20"/>
        </w:rPr>
      </w:pPr>
      <w:r w:rsidRPr="00BB0861">
        <w:rPr>
          <w:rFonts w:cs="Lato-Bold"/>
          <w:b/>
          <w:bCs/>
          <w:szCs w:val="20"/>
        </w:rPr>
        <w:t>ul. Rakowiecka 4</w:t>
      </w:r>
    </w:p>
    <w:p w:rsidR="00000000" w:rsidRPr="009276B2" w:rsidP="00AE7A5B">
      <w:pPr>
        <w:spacing w:after="0" w:line="240" w:lineRule="auto"/>
      </w:pPr>
      <w:r w:rsidRPr="00BB0861">
        <w:rPr>
          <w:rFonts w:cs="Lato-Bold"/>
          <w:b/>
          <w:bCs/>
          <w:szCs w:val="20"/>
        </w:rPr>
        <w:t>00-975 Warszawa</w:t>
      </w:r>
    </w:p>
    <w:p w:rsidR="00000000" w:rsidRPr="009276B2" w:rsidP="009276B2">
      <w:pPr>
        <w:spacing w:after="0" w:line="240" w:lineRule="auto"/>
      </w:pPr>
    </w:p>
    <w:p w:rsidR="00000000" w:rsidRPr="009276B2" w:rsidP="009276B2">
      <w:pPr>
        <w:spacing w:after="0" w:line="240" w:lineRule="auto"/>
      </w:pPr>
    </w:p>
    <w:p w:rsidR="00000000" w:rsidRPr="009276B2" w:rsidP="009276B2">
      <w:pPr>
        <w:spacing w:after="0" w:line="240" w:lineRule="auto"/>
      </w:pPr>
    </w:p>
    <w:p w:rsidR="00AE7A5B" w:rsidRPr="00AE7A5B" w:rsidP="00AE7A5B">
      <w:pPr>
        <w:spacing w:after="0" w:line="240" w:lineRule="auto"/>
        <w:jc w:val="center"/>
        <w:rPr>
          <w:rFonts w:cs="Times New Roman"/>
          <w:b/>
          <w:bCs/>
          <w:szCs w:val="20"/>
        </w:rPr>
      </w:pPr>
      <w:r w:rsidRPr="00AE7A5B">
        <w:rPr>
          <w:rFonts w:cs="Times New Roman"/>
          <w:b/>
          <w:bCs/>
          <w:szCs w:val="20"/>
        </w:rPr>
        <w:t xml:space="preserve">WYSTĄPIENIE POKONTROLNE </w:t>
      </w:r>
    </w:p>
    <w:p w:rsidR="00AE7A5B" w:rsidRPr="00AE7A5B" w:rsidP="00AE7A5B">
      <w:pPr>
        <w:spacing w:after="0" w:line="240" w:lineRule="auto"/>
        <w:jc w:val="center"/>
        <w:rPr>
          <w:rFonts w:cs="Times New Roman"/>
          <w:b/>
          <w:bCs/>
          <w:szCs w:val="20"/>
        </w:rPr>
      </w:pPr>
    </w:p>
    <w:p w:rsidR="00AE7A5B" w:rsidRPr="00AE7A5B" w:rsidP="00AE7A5B">
      <w:pPr>
        <w:spacing w:after="120" w:line="240" w:lineRule="auto"/>
        <w:jc w:val="left"/>
        <w:rPr>
          <w:rFonts w:cs="Times New Roman"/>
          <w:bCs/>
          <w:szCs w:val="20"/>
        </w:rPr>
      </w:pPr>
      <w:r w:rsidRPr="00AE7A5B">
        <w:rPr>
          <w:rFonts w:cs="Times New Roman"/>
          <w:szCs w:val="20"/>
        </w:rPr>
        <w:t>Działając na podstawie upoważnień Ministra Klimatu i Środowiska</w:t>
      </w:r>
      <w:r>
        <w:rPr>
          <w:rFonts w:cs="Times New Roman"/>
          <w:szCs w:val="20"/>
          <w:vertAlign w:val="superscript"/>
        </w:rPr>
        <w:footnoteReference w:id="2"/>
      </w:r>
      <w:r w:rsidRPr="00AE7A5B">
        <w:rPr>
          <w:rFonts w:cs="Times New Roman"/>
          <w:szCs w:val="20"/>
        </w:rPr>
        <w:t xml:space="preserve">, zespół kontrolujący Ministerstwa Klimatu i Środowiska (dalej: </w:t>
      </w:r>
      <w:r w:rsidRPr="00AE7A5B">
        <w:rPr>
          <w:rFonts w:cs="Times New Roman"/>
          <w:szCs w:val="20"/>
        </w:rPr>
        <w:t>MKiŚ</w:t>
      </w:r>
      <w:r w:rsidRPr="00AE7A5B">
        <w:rPr>
          <w:rFonts w:cs="Times New Roman"/>
          <w:szCs w:val="20"/>
        </w:rPr>
        <w:t xml:space="preserve">) przeprowadził od 15 grudnia 2022 r. </w:t>
      </w:r>
      <w:r w:rsidRPr="00AE7A5B">
        <w:rPr>
          <w:rFonts w:cs="Times New Roman"/>
          <w:szCs w:val="20"/>
        </w:rPr>
        <w:br/>
        <w:t xml:space="preserve">do 30 kwietnia 2023 r. kontrolę planową w </w:t>
      </w:r>
      <w:r w:rsidRPr="00AE7A5B">
        <w:rPr>
          <w:rFonts w:cs="Times New Roman"/>
          <w:bCs/>
          <w:szCs w:val="20"/>
        </w:rPr>
        <w:t>Państwowym Instytucie Geologicznym – Państwowym Instytucie Badawczym (dalej: PIG lub Instytut), w zakresie:</w:t>
      </w:r>
    </w:p>
    <w:p w:rsidR="00AE7A5B" w:rsidRPr="00AE7A5B" w:rsidP="00AE7A5B">
      <w:pPr>
        <w:autoSpaceDE w:val="0"/>
        <w:autoSpaceDN w:val="0"/>
        <w:adjustRightInd w:val="0"/>
        <w:spacing w:after="0" w:line="240" w:lineRule="auto"/>
        <w:jc w:val="left"/>
        <w:rPr>
          <w:rFonts w:cs="SegoeUI"/>
          <w:szCs w:val="20"/>
        </w:rPr>
      </w:pPr>
      <w:r w:rsidRPr="00AE7A5B">
        <w:rPr>
          <w:rFonts w:cs="SegoeUI"/>
          <w:szCs w:val="20"/>
        </w:rPr>
        <w:t>1) Działalności finansowej Instytutu;</w:t>
      </w:r>
    </w:p>
    <w:p w:rsidR="00AE7A5B" w:rsidRPr="00AE7A5B" w:rsidP="00AE7A5B">
      <w:pPr>
        <w:autoSpaceDE w:val="0"/>
        <w:autoSpaceDN w:val="0"/>
        <w:adjustRightInd w:val="0"/>
        <w:spacing w:after="0" w:line="240" w:lineRule="auto"/>
        <w:jc w:val="left"/>
        <w:rPr>
          <w:rFonts w:cs="SegoeUI"/>
          <w:szCs w:val="20"/>
        </w:rPr>
      </w:pPr>
      <w:r w:rsidRPr="00AE7A5B">
        <w:rPr>
          <w:rFonts w:cs="SegoeUI"/>
          <w:szCs w:val="20"/>
        </w:rPr>
        <w:t>2) Organizacji i jakości pracy Instytutu;</w:t>
      </w:r>
    </w:p>
    <w:p w:rsidR="00AE7A5B" w:rsidRPr="00AE7A5B" w:rsidP="00AE7A5B">
      <w:pPr>
        <w:autoSpaceDE w:val="0"/>
        <w:autoSpaceDN w:val="0"/>
        <w:adjustRightInd w:val="0"/>
        <w:spacing w:after="0" w:line="240" w:lineRule="auto"/>
        <w:jc w:val="left"/>
        <w:rPr>
          <w:rFonts w:cs="SegoeUI"/>
          <w:szCs w:val="20"/>
        </w:rPr>
      </w:pPr>
      <w:r w:rsidRPr="00AE7A5B">
        <w:rPr>
          <w:rFonts w:cs="SegoeUI"/>
          <w:szCs w:val="20"/>
        </w:rPr>
        <w:t>3) Jakości zarządzania Instytutem;</w:t>
      </w:r>
    </w:p>
    <w:p w:rsidR="00AE7A5B" w:rsidRPr="00AE7A5B" w:rsidP="00AE7A5B">
      <w:pPr>
        <w:autoSpaceDE w:val="0"/>
        <w:autoSpaceDN w:val="0"/>
        <w:adjustRightInd w:val="0"/>
        <w:spacing w:after="0" w:line="240" w:lineRule="auto"/>
        <w:ind w:left="227" w:hanging="227"/>
        <w:jc w:val="left"/>
        <w:rPr>
          <w:rFonts w:cs="SegoeUI"/>
          <w:szCs w:val="20"/>
        </w:rPr>
      </w:pPr>
      <w:r w:rsidRPr="00AE7A5B">
        <w:rPr>
          <w:rFonts w:cs="SegoeUI"/>
          <w:szCs w:val="20"/>
        </w:rPr>
        <w:t>4) Stanu realizacji wybranych zaleceń i wniosków pokontrolnych wydanych przez Ministra Klimatu i Ministra Środowiska w poprzednich kontrolach.</w:t>
      </w:r>
    </w:p>
    <w:p w:rsidR="00AE7A5B" w:rsidRPr="00AE7A5B" w:rsidP="00AE7A5B">
      <w:pPr>
        <w:spacing w:before="120" w:after="120" w:line="240" w:lineRule="auto"/>
        <w:jc w:val="left"/>
        <w:rPr>
          <w:rFonts w:cs="Times New Roman"/>
          <w:szCs w:val="20"/>
        </w:rPr>
      </w:pPr>
      <w:r w:rsidRPr="00AE7A5B">
        <w:rPr>
          <w:rFonts w:cs="Times New Roman"/>
          <w:szCs w:val="20"/>
        </w:rPr>
        <w:t>Kontrola została przeprowadzona przez zespół kontrolujący w składzie:</w:t>
      </w:r>
    </w:p>
    <w:p w:rsidR="00AE7A5B" w:rsidRPr="00AE7A5B" w:rsidP="00AE7A5B">
      <w:pPr>
        <w:numPr>
          <w:ilvl w:val="0"/>
          <w:numId w:val="4"/>
        </w:numPr>
        <w:spacing w:after="0" w:line="240" w:lineRule="auto"/>
        <w:ind w:left="227" w:hanging="227"/>
        <w:jc w:val="left"/>
        <w:rPr>
          <w:rFonts w:cs="Times New Roman"/>
          <w:szCs w:val="20"/>
        </w:rPr>
      </w:pPr>
      <w:r w:rsidRPr="00AE7A5B">
        <w:rPr>
          <w:rFonts w:cs="Times New Roman"/>
          <w:szCs w:val="20"/>
        </w:rPr>
        <w:t>Tomasz Marczak – Główny Specjalista w Biurze Kontroli i Audytu,</w:t>
      </w:r>
    </w:p>
    <w:p w:rsidR="00AE7A5B" w:rsidRPr="00AE7A5B" w:rsidP="00AE7A5B">
      <w:pPr>
        <w:numPr>
          <w:ilvl w:val="0"/>
          <w:numId w:val="4"/>
        </w:numPr>
        <w:spacing w:after="0" w:line="240" w:lineRule="auto"/>
        <w:ind w:left="227" w:hanging="227"/>
        <w:jc w:val="left"/>
        <w:rPr>
          <w:rFonts w:cs="Times New Roman"/>
          <w:szCs w:val="20"/>
        </w:rPr>
      </w:pPr>
      <w:r w:rsidRPr="00AE7A5B">
        <w:rPr>
          <w:rFonts w:cs="Times New Roman"/>
          <w:szCs w:val="20"/>
        </w:rPr>
        <w:t>Andrzej Czerwieniec – Główny Specjalista w Biurze Kontroli i Audytu,</w:t>
      </w:r>
    </w:p>
    <w:p w:rsidR="00AE7A5B" w:rsidRPr="00AE7A5B" w:rsidP="00AE7A5B">
      <w:pPr>
        <w:numPr>
          <w:ilvl w:val="0"/>
          <w:numId w:val="4"/>
        </w:numPr>
        <w:spacing w:after="0" w:line="240" w:lineRule="auto"/>
        <w:ind w:left="227" w:hanging="227"/>
        <w:jc w:val="left"/>
        <w:rPr>
          <w:rFonts w:cs="Times New Roman"/>
          <w:szCs w:val="20"/>
        </w:rPr>
      </w:pPr>
      <w:r w:rsidRPr="00AE7A5B">
        <w:rPr>
          <w:rFonts w:cs="Times New Roman"/>
          <w:szCs w:val="20"/>
        </w:rPr>
        <w:t xml:space="preserve">Magdalena Gucwa – Rydelek – Główny Specjalista </w:t>
      </w:r>
      <w:bookmarkStart w:id="4" w:name="_Hlk134187641"/>
      <w:r w:rsidRPr="00AE7A5B">
        <w:rPr>
          <w:rFonts w:cs="Times New Roman"/>
          <w:szCs w:val="20"/>
        </w:rPr>
        <w:t>w Departamencie Nadzoru Geologicznego i Polityki Surowcowej,</w:t>
      </w:r>
    </w:p>
    <w:p w:rsidR="00AE7A5B" w:rsidRPr="00AE7A5B" w:rsidP="00AE7A5B">
      <w:pPr>
        <w:numPr>
          <w:ilvl w:val="0"/>
          <w:numId w:val="4"/>
        </w:numPr>
        <w:spacing w:after="0" w:line="240" w:lineRule="auto"/>
        <w:ind w:left="227" w:hanging="227"/>
        <w:jc w:val="left"/>
        <w:rPr>
          <w:rFonts w:cs="Times New Roman"/>
          <w:szCs w:val="20"/>
        </w:rPr>
      </w:pPr>
      <w:bookmarkEnd w:id="4"/>
      <w:r w:rsidRPr="00AE7A5B">
        <w:rPr>
          <w:rFonts w:cs="Times New Roman"/>
          <w:szCs w:val="20"/>
        </w:rPr>
        <w:t xml:space="preserve">Anna </w:t>
      </w:r>
      <w:r w:rsidRPr="00AE7A5B">
        <w:rPr>
          <w:rFonts w:cs="Times New Roman"/>
          <w:szCs w:val="20"/>
        </w:rPr>
        <w:t>Paciorkowska</w:t>
      </w:r>
      <w:r w:rsidRPr="00AE7A5B">
        <w:rPr>
          <w:rFonts w:cs="Times New Roman"/>
          <w:szCs w:val="20"/>
        </w:rPr>
        <w:t xml:space="preserve"> – Nowacka – Specjalista w Departamencie Nadzoru Geologicznego </w:t>
      </w:r>
      <w:r w:rsidRPr="00AE7A5B">
        <w:rPr>
          <w:rFonts w:cs="Times New Roman"/>
          <w:szCs w:val="20"/>
        </w:rPr>
        <w:br/>
        <w:t>i Polityki Surowcowej,</w:t>
      </w:r>
    </w:p>
    <w:p w:rsidR="00AE7A5B" w:rsidRPr="00AE7A5B" w:rsidP="00AE7A5B">
      <w:pPr>
        <w:numPr>
          <w:ilvl w:val="0"/>
          <w:numId w:val="4"/>
        </w:numPr>
        <w:spacing w:after="0" w:line="240" w:lineRule="auto"/>
        <w:ind w:left="227" w:hanging="227"/>
        <w:jc w:val="left"/>
        <w:rPr>
          <w:rFonts w:cs="Times New Roman"/>
          <w:szCs w:val="20"/>
        </w:rPr>
      </w:pPr>
      <w:r w:rsidRPr="00AE7A5B">
        <w:rPr>
          <w:rFonts w:cs="Times New Roman"/>
          <w:szCs w:val="20"/>
        </w:rPr>
        <w:t>Sylwia Półtorak – Radca w Biurze Kontroli i Audytu.</w:t>
      </w:r>
    </w:p>
    <w:p w:rsidR="00AE7A5B" w:rsidRPr="00AE7A5B" w:rsidP="00AE7A5B">
      <w:pPr>
        <w:spacing w:before="120" w:after="0" w:line="240" w:lineRule="auto"/>
        <w:jc w:val="left"/>
        <w:rPr>
          <w:rFonts w:cs="Times New Roman"/>
          <w:szCs w:val="20"/>
        </w:rPr>
      </w:pPr>
      <w:r w:rsidRPr="00AE7A5B">
        <w:rPr>
          <w:rFonts w:cs="Times New Roman"/>
          <w:szCs w:val="20"/>
        </w:rPr>
        <w:t>Kontrolą objęto okres od 1 stycznia 2020 r. do 31 grudnia 2021 r.</w:t>
      </w:r>
    </w:p>
    <w:p w:rsidR="00AE7A5B" w:rsidRPr="00AE7A5B" w:rsidP="00AE7A5B">
      <w:pPr>
        <w:spacing w:before="120" w:after="0" w:line="240" w:lineRule="auto"/>
        <w:jc w:val="left"/>
        <w:rPr>
          <w:rFonts w:cs="Times New Roman"/>
          <w:szCs w:val="20"/>
        </w:rPr>
      </w:pPr>
      <w:r w:rsidRPr="00AE7A5B">
        <w:rPr>
          <w:rFonts w:cs="Times New Roman"/>
          <w:szCs w:val="20"/>
        </w:rPr>
        <w:t xml:space="preserve">Kontrola została przeprowadzona na podstawie ustawy z 15 lipca 2011 r. </w:t>
      </w:r>
      <w:r w:rsidRPr="00AE7A5B">
        <w:rPr>
          <w:rFonts w:cs="Times New Roman"/>
          <w:iCs/>
          <w:szCs w:val="20"/>
        </w:rPr>
        <w:t xml:space="preserve">o kontroli </w:t>
      </w:r>
      <w:r w:rsidRPr="00AE7A5B">
        <w:rPr>
          <w:rFonts w:cs="Times New Roman"/>
          <w:iCs/>
          <w:szCs w:val="20"/>
        </w:rPr>
        <w:br/>
        <w:t>w administracji rządowej</w:t>
      </w:r>
      <w:r>
        <w:rPr>
          <w:rFonts w:cs="Times New Roman"/>
          <w:iCs/>
          <w:szCs w:val="20"/>
          <w:vertAlign w:val="superscript"/>
        </w:rPr>
        <w:footnoteReference w:id="3"/>
      </w:r>
      <w:r w:rsidRPr="00AE7A5B">
        <w:rPr>
          <w:rFonts w:cs="Times New Roman"/>
          <w:iCs/>
          <w:szCs w:val="20"/>
        </w:rPr>
        <w:t xml:space="preserve">, w związku z art. 36 ust. 1 ustawy z 30 kwietnia 2010 r. </w:t>
      </w:r>
      <w:r w:rsidRPr="00AE7A5B">
        <w:rPr>
          <w:rFonts w:cs="Times New Roman"/>
          <w:iCs/>
          <w:szCs w:val="20"/>
        </w:rPr>
        <w:br/>
        <w:t>o instytutach badawczych</w:t>
      </w:r>
      <w:r>
        <w:rPr>
          <w:rFonts w:cs="Times New Roman"/>
          <w:iCs/>
          <w:szCs w:val="20"/>
          <w:vertAlign w:val="superscript"/>
        </w:rPr>
        <w:footnoteReference w:id="4"/>
      </w:r>
      <w:r w:rsidRPr="00AE7A5B">
        <w:rPr>
          <w:rFonts w:cs="Times New Roman"/>
          <w:iCs/>
          <w:szCs w:val="20"/>
        </w:rPr>
        <w:t xml:space="preserve"> (dalej: ustawy o instytutach badawczych) oraz obwieszczeniem Ministra Klimatu i Środowiska z 12 kwietnia 2021 r. w sprawie wykazu jednostek organizacyjnych podległych Ministrowi Klimatu i Środowiska lub przez niego nadzorowanych</w:t>
      </w:r>
      <w:r>
        <w:rPr>
          <w:rFonts w:cs="Times New Roman"/>
          <w:iCs/>
          <w:szCs w:val="20"/>
          <w:vertAlign w:val="superscript"/>
        </w:rPr>
        <w:footnoteReference w:id="5"/>
      </w:r>
      <w:r w:rsidRPr="00AE7A5B">
        <w:rPr>
          <w:rFonts w:cs="Times New Roman"/>
          <w:iCs/>
          <w:szCs w:val="20"/>
        </w:rPr>
        <w:t>.</w:t>
      </w:r>
      <w:r w:rsidRPr="00AE7A5B">
        <w:rPr>
          <w:rFonts w:cs="Times New Roman"/>
          <w:szCs w:val="20"/>
        </w:rPr>
        <w:t xml:space="preserve"> </w:t>
      </w:r>
    </w:p>
    <w:p w:rsidR="00AE7A5B" w:rsidRPr="00AE7A5B" w:rsidP="00AE7A5B">
      <w:pPr>
        <w:spacing w:before="120" w:after="0" w:line="240" w:lineRule="auto"/>
        <w:jc w:val="left"/>
      </w:pPr>
      <w:r w:rsidRPr="00AE7A5B">
        <w:t xml:space="preserve">W okresie objętym kontrolą funkcję Dyrektora PIG pełnił Pan dr inż. Mateusz </w:t>
      </w:r>
      <w:r w:rsidRPr="00AE7A5B">
        <w:t>Damrat</w:t>
      </w:r>
      <w:r w:rsidRPr="00AE7A5B">
        <w:t xml:space="preserve">, </w:t>
      </w:r>
      <w:r w:rsidRPr="00AE7A5B">
        <w:rPr>
          <w:rFonts w:cs="Times New Roman"/>
          <w:iCs/>
          <w:szCs w:val="20"/>
        </w:rPr>
        <w:t>powołany na to stanowisko od 5 października 2019 r.</w:t>
      </w:r>
      <w:r>
        <w:rPr>
          <w:rFonts w:cs="Times New Roman"/>
          <w:iCs/>
          <w:szCs w:val="20"/>
          <w:vertAlign w:val="superscript"/>
        </w:rPr>
        <w:footnoteReference w:id="6"/>
      </w:r>
      <w:r w:rsidRPr="00AE7A5B">
        <w:t xml:space="preserve"> </w:t>
      </w:r>
    </w:p>
    <w:p w:rsidR="00AE7A5B" w:rsidRPr="00AE7A5B" w:rsidP="00AE7A5B">
      <w:pPr>
        <w:spacing w:before="120" w:after="120" w:line="240" w:lineRule="auto"/>
        <w:jc w:val="left"/>
        <w:rPr>
          <w:rFonts w:cs="Times New Roman"/>
          <w:b/>
          <w:szCs w:val="20"/>
        </w:rPr>
      </w:pPr>
      <w:r w:rsidRPr="00AE7A5B">
        <w:rPr>
          <w:rFonts w:cs="Times New Roman"/>
          <w:szCs w:val="20"/>
        </w:rPr>
        <w:t>[Dowód: akta kontroli str. 173-175, 273-274, 281-282, 290-291, III/455]</w:t>
      </w:r>
    </w:p>
    <w:p w:rsidR="00AE7A5B" w:rsidRPr="00AE7A5B" w:rsidP="00AE7A5B">
      <w:pPr>
        <w:spacing w:before="120" w:after="0" w:line="240" w:lineRule="auto"/>
        <w:jc w:val="left"/>
      </w:pPr>
      <w:r w:rsidRPr="00AE7A5B">
        <w:t>Nadzór nad Instytutem sprawuje minister właściwy ds. środowiska</w:t>
      </w:r>
      <w:r>
        <w:rPr>
          <w:vertAlign w:val="superscript"/>
        </w:rPr>
        <w:footnoteReference w:id="7"/>
      </w:r>
      <w:r w:rsidRPr="00AE7A5B">
        <w:t xml:space="preserve"> - obecnie Minister Klimatu i Środowiska</w:t>
      </w:r>
      <w:r>
        <w:rPr>
          <w:vertAlign w:val="superscript"/>
        </w:rPr>
        <w:footnoteReference w:id="8"/>
      </w:r>
      <w:r w:rsidRPr="00AE7A5B">
        <w:t>.</w:t>
      </w:r>
    </w:p>
    <w:p w:rsidR="00AE7A5B" w:rsidRPr="00AE7A5B" w:rsidP="00AE7A5B">
      <w:pPr>
        <w:spacing w:before="120" w:after="0" w:line="240" w:lineRule="auto"/>
        <w:jc w:val="left"/>
        <w:rPr>
          <w:rFonts w:cs="Times New Roman"/>
          <w:szCs w:val="20"/>
        </w:rPr>
      </w:pPr>
      <w:bookmarkStart w:id="5" w:name="_Hlk123826348"/>
      <w:r w:rsidRPr="00AE7A5B">
        <w:rPr>
          <w:rFonts w:eastAsia="Times New Roman" w:cs="Times New Roman"/>
          <w:szCs w:val="20"/>
          <w:lang w:eastAsia="pl-PL"/>
        </w:rPr>
        <w:t>Fakt przeprowadzenia kontroli odnotowano w książce kontroli pod poz. 12.</w:t>
      </w:r>
      <w:bookmarkEnd w:id="5"/>
    </w:p>
    <w:p w:rsidR="00AE7A5B" w:rsidRPr="00AE7A5B" w:rsidP="00AE7A5B">
      <w:pPr>
        <w:spacing w:after="0" w:line="240" w:lineRule="auto"/>
        <w:jc w:val="left"/>
        <w:rPr>
          <w:rFonts w:cs="Times New Roman"/>
          <w:b/>
          <w:szCs w:val="20"/>
        </w:rPr>
      </w:pPr>
    </w:p>
    <w:p w:rsidR="00AE7A5B" w:rsidRPr="00AE7A5B" w:rsidP="00AE7A5B">
      <w:pPr>
        <w:spacing w:after="0" w:line="240" w:lineRule="auto"/>
        <w:jc w:val="left"/>
        <w:rPr>
          <w:rFonts w:cs="Times New Roman"/>
          <w:b/>
          <w:szCs w:val="20"/>
        </w:rPr>
      </w:pPr>
      <w:r w:rsidRPr="00AE7A5B">
        <w:rPr>
          <w:rFonts w:cs="Times New Roman"/>
          <w:b/>
          <w:szCs w:val="20"/>
        </w:rPr>
        <w:t>Ocena ogólna kontrolowanej działalności</w:t>
      </w:r>
      <w:r>
        <w:rPr>
          <w:vertAlign w:val="superscript"/>
        </w:rPr>
        <w:footnoteReference w:id="9"/>
      </w:r>
    </w:p>
    <w:p w:rsidR="00AE7A5B" w:rsidRPr="00AE7A5B" w:rsidP="00AE7A5B">
      <w:pPr>
        <w:spacing w:before="120" w:after="0" w:line="240" w:lineRule="auto"/>
        <w:jc w:val="left"/>
        <w:rPr>
          <w:rFonts w:cs="Times New Roman"/>
          <w:bCs/>
          <w:szCs w:val="20"/>
        </w:rPr>
      </w:pPr>
      <w:bookmarkStart w:id="6" w:name="_Hlk123826514"/>
      <w:r w:rsidRPr="00AE7A5B">
        <w:rPr>
          <w:rFonts w:cs="Times New Roman"/>
          <w:bCs/>
          <w:szCs w:val="20"/>
        </w:rPr>
        <w:t xml:space="preserve">W okresie objętym kontrolą Dyrektor PIG realizował zasady gospodarki finansowej na podstawie polityki rachunkowości wprowadzonej zarządzeniem Dyrektora nr 43 </w:t>
      </w:r>
      <w:r w:rsidRPr="00AE7A5B">
        <w:rPr>
          <w:rFonts w:cs="Times New Roman"/>
          <w:bCs/>
          <w:szCs w:val="20"/>
        </w:rPr>
        <w:br/>
        <w:t xml:space="preserve">z 24 lipca 2019 r. w sprawie polityki rachunkowości </w:t>
      </w:r>
      <w:r w:rsidRPr="00AE7A5B">
        <w:rPr>
          <w:rFonts w:cs="Times New Roman"/>
          <w:szCs w:val="20"/>
        </w:rPr>
        <w:t>(dalej: polityka rachunkowości).</w:t>
      </w:r>
      <w:r w:rsidRPr="00AE7A5B">
        <w:rPr>
          <w:rFonts w:cs="Times New Roman"/>
          <w:bCs/>
          <w:szCs w:val="20"/>
        </w:rPr>
        <w:t xml:space="preserve"> </w:t>
      </w:r>
    </w:p>
    <w:p w:rsidR="00AE7A5B" w:rsidRPr="00AE7A5B" w:rsidP="00AE7A5B">
      <w:pPr>
        <w:spacing w:before="120" w:after="0" w:line="240" w:lineRule="auto"/>
        <w:jc w:val="left"/>
        <w:rPr>
          <w:rFonts w:cs="Times New Roman"/>
          <w:bCs/>
          <w:szCs w:val="20"/>
        </w:rPr>
      </w:pPr>
      <w:r w:rsidRPr="00AE7A5B">
        <w:rPr>
          <w:rFonts w:cs="Times New Roman"/>
          <w:bCs/>
          <w:szCs w:val="20"/>
        </w:rPr>
        <w:t>Wykonanie planu finansowego na 2020 r. w zakresie przychodów i kosztów było na poziomie 104 %, a na 2021 r. w zakresie przychodów na poziomie 95 %, zaś kosztów 93 %.</w:t>
      </w:r>
      <w:r w:rsidRPr="00AE7A5B">
        <w:t xml:space="preserve"> </w:t>
      </w:r>
      <w:r w:rsidRPr="00AE7A5B">
        <w:rPr>
          <w:rFonts w:cs="Times New Roman"/>
          <w:bCs/>
          <w:szCs w:val="20"/>
        </w:rPr>
        <w:t xml:space="preserve">Sprawozdania finansowe za rok 2020 i 2021 zostały sporządzone zgodnie z przepisami rozdziału 5 ustawy  z </w:t>
      </w:r>
      <w:r w:rsidRPr="00AE7A5B">
        <w:rPr>
          <w:szCs w:val="20"/>
          <w:lang w:bidi="pl-PL"/>
        </w:rPr>
        <w:t>29 września 1994 r.</w:t>
      </w:r>
      <w:r w:rsidRPr="00AE7A5B">
        <w:rPr>
          <w:rFonts w:cs="Times New Roman"/>
          <w:bCs/>
          <w:szCs w:val="20"/>
        </w:rPr>
        <w:t xml:space="preserve"> o rachunkowości</w:t>
      </w:r>
      <w:r>
        <w:rPr>
          <w:rFonts w:cs="Times New Roman"/>
          <w:bCs/>
          <w:szCs w:val="20"/>
          <w:vertAlign w:val="superscript"/>
        </w:rPr>
        <w:footnoteReference w:id="10"/>
      </w:r>
      <w:r w:rsidRPr="00AE7A5B">
        <w:rPr>
          <w:rFonts w:cs="Times New Roman"/>
          <w:bCs/>
          <w:szCs w:val="20"/>
        </w:rPr>
        <w:t xml:space="preserve"> (dalej: ustawa o rachunkowości) i podlegały  badaniu przez biegłego rewidenta. </w:t>
      </w:r>
    </w:p>
    <w:p w:rsidR="00AE7A5B" w:rsidRPr="00AE7A5B" w:rsidP="00AE7A5B">
      <w:pPr>
        <w:suppressAutoHyphens/>
        <w:spacing w:before="120" w:after="0" w:line="240" w:lineRule="auto"/>
        <w:jc w:val="left"/>
        <w:rPr>
          <w:rFonts w:cs="Times New Roman"/>
          <w:iCs/>
          <w:szCs w:val="20"/>
        </w:rPr>
      </w:pPr>
      <w:r w:rsidRPr="00AE7A5B">
        <w:rPr>
          <w:rFonts w:cs="Times New Roman"/>
          <w:iCs/>
          <w:szCs w:val="20"/>
        </w:rPr>
        <w:t>Jednakże w obszarze gospodarki finansowej stwierdzono istotne nieprawidłowości mające wpływ na funkcjonowanie Instytutu jak i na ocenę ogólną tj.:</w:t>
      </w:r>
    </w:p>
    <w:p w:rsidR="00AE7A5B" w:rsidRPr="00AE7A5B" w:rsidP="00AE7A5B">
      <w:pPr>
        <w:numPr>
          <w:ilvl w:val="0"/>
          <w:numId w:val="31"/>
        </w:numPr>
        <w:spacing w:after="0" w:line="240" w:lineRule="auto"/>
        <w:ind w:left="284" w:hanging="284"/>
        <w:jc w:val="left"/>
        <w:rPr>
          <w:szCs w:val="20"/>
        </w:rPr>
      </w:pPr>
      <w:r w:rsidRPr="00AE7A5B">
        <w:rPr>
          <w:szCs w:val="20"/>
        </w:rPr>
        <w:t xml:space="preserve">Dyrektor PIG nie podjął działań prowadzących do zaopiniowania przez Radę Naukową korekty planu finansowego na 2020 r. </w:t>
      </w:r>
      <w:r w:rsidRPr="00AE7A5B">
        <w:rPr>
          <w:rFonts w:cs="Times New Roman"/>
          <w:szCs w:val="20"/>
        </w:rPr>
        <w:t xml:space="preserve">co było niezgodne z art. 18 ust. 12 ustawy </w:t>
      </w:r>
      <w:r w:rsidRPr="00AE7A5B">
        <w:rPr>
          <w:rFonts w:cs="Times New Roman"/>
          <w:szCs w:val="20"/>
        </w:rPr>
        <w:br/>
        <w:t xml:space="preserve">o instytutach badawczych oraz </w:t>
      </w:r>
      <w:r w:rsidRPr="00AE7A5B">
        <w:rPr>
          <w:rFonts w:eastAsia="Times New Roman" w:cs="Times New Roman"/>
          <w:szCs w:val="20"/>
          <w:shd w:val="clear" w:color="auto" w:fill="FFFFFF"/>
          <w:lang w:eastAsia="pl-PL"/>
        </w:rPr>
        <w:t>§ 6 pkt 7 Instrukcji sporządzania i realizacji planu finansowego PIG</w:t>
      </w:r>
      <w:r>
        <w:rPr>
          <w:rFonts w:eastAsia="Times New Roman" w:cs="Times New Roman"/>
          <w:szCs w:val="20"/>
          <w:shd w:val="clear" w:color="auto" w:fill="FFFFFF"/>
          <w:vertAlign w:val="superscript"/>
          <w:lang w:eastAsia="pl-PL"/>
        </w:rPr>
        <w:footnoteReference w:id="11"/>
      </w:r>
      <w:r w:rsidRPr="00AE7A5B">
        <w:rPr>
          <w:rFonts w:eastAsia="Times New Roman" w:cs="Times New Roman"/>
          <w:szCs w:val="20"/>
          <w:shd w:val="clear" w:color="auto" w:fill="FFFFFF"/>
          <w:lang w:eastAsia="pl-PL"/>
        </w:rPr>
        <w:t>;</w:t>
      </w:r>
    </w:p>
    <w:p w:rsidR="00AE7A5B" w:rsidRPr="00AE7A5B" w:rsidP="00AE7A5B">
      <w:pPr>
        <w:numPr>
          <w:ilvl w:val="0"/>
          <w:numId w:val="31"/>
        </w:numPr>
        <w:spacing w:after="0" w:line="240" w:lineRule="auto"/>
        <w:ind w:left="284" w:hanging="284"/>
        <w:jc w:val="left"/>
        <w:rPr>
          <w:rFonts w:cs="Times New Roman"/>
          <w:bCs/>
          <w:szCs w:val="20"/>
        </w:rPr>
      </w:pPr>
      <w:r w:rsidRPr="00AE7A5B">
        <w:rPr>
          <w:rFonts w:cs="Times New Roman"/>
          <w:bCs/>
          <w:szCs w:val="20"/>
        </w:rPr>
        <w:t>dopuszczono do zawarcia 10 umów cywilnoprawnych noszących znamiona stosunku pracy w rozumieniu art. 22 § 1 Kodeksu pracy</w:t>
      </w:r>
      <w:r>
        <w:rPr>
          <w:rFonts w:cs="Times New Roman"/>
          <w:bCs/>
          <w:szCs w:val="20"/>
          <w:vertAlign w:val="superscript"/>
        </w:rPr>
        <w:footnoteReference w:id="12"/>
      </w:r>
      <w:r w:rsidRPr="00AE7A5B">
        <w:rPr>
          <w:rFonts w:cs="Times New Roman"/>
          <w:bCs/>
          <w:szCs w:val="20"/>
        </w:rPr>
        <w:t xml:space="preserve"> (dalej: Kodeks pracy) z uwagi na wprowadzenie w ich treści wymogu wykonywania pracy pod kierownictwem zleceniodawcy.  15 umów cywilnoprawnych zawarto na zadania pokrywające się </w:t>
      </w:r>
      <w:r w:rsidRPr="00AE7A5B">
        <w:rPr>
          <w:rFonts w:cs="Times New Roman"/>
          <w:bCs/>
          <w:szCs w:val="20"/>
        </w:rPr>
        <w:br/>
        <w:t xml:space="preserve">z zadaniami komórek organizacyjnych PIG określonymi w Regulaminie organizacyjnym </w:t>
      </w:r>
      <w:r w:rsidRPr="00AE7A5B">
        <w:rPr>
          <w:rFonts w:cs="Times New Roman"/>
          <w:bCs/>
          <w:szCs w:val="20"/>
        </w:rPr>
        <w:br/>
        <w:t>z 5 czerwca 2019 r.</w:t>
      </w:r>
      <w:r>
        <w:rPr>
          <w:rFonts w:cs="Times New Roman"/>
          <w:bCs/>
          <w:szCs w:val="20"/>
          <w:vertAlign w:val="superscript"/>
        </w:rPr>
        <w:footnoteReference w:id="13"/>
      </w:r>
      <w:r w:rsidRPr="00AE7A5B">
        <w:rPr>
          <w:rFonts w:cs="Times New Roman"/>
          <w:bCs/>
          <w:szCs w:val="20"/>
        </w:rPr>
        <w:t xml:space="preserve"> (dalej: Regulamin organizacyjny z 2019 r.) i Regulaminie organizacyjnym z 23 czerwca 2020 r.</w:t>
      </w:r>
      <w:r>
        <w:rPr>
          <w:rFonts w:cs="Times New Roman"/>
          <w:bCs/>
          <w:szCs w:val="20"/>
          <w:vertAlign w:val="superscript"/>
        </w:rPr>
        <w:footnoteReference w:id="14"/>
      </w:r>
      <w:r w:rsidRPr="00AE7A5B">
        <w:rPr>
          <w:rFonts w:cs="Times New Roman"/>
          <w:bCs/>
          <w:szCs w:val="20"/>
        </w:rPr>
        <w:t xml:space="preserve"> (dalej: Regulamin organizacyjny z 2020 r.);</w:t>
      </w:r>
    </w:p>
    <w:p w:rsidR="00AE7A5B" w:rsidRPr="00AE7A5B" w:rsidP="00AE7A5B">
      <w:pPr>
        <w:numPr>
          <w:ilvl w:val="0"/>
          <w:numId w:val="31"/>
        </w:numPr>
        <w:spacing w:after="0" w:line="240" w:lineRule="auto"/>
        <w:ind w:left="284" w:hanging="284"/>
        <w:jc w:val="left"/>
        <w:rPr>
          <w:rFonts w:cs="Times New Roman"/>
          <w:bCs/>
          <w:szCs w:val="20"/>
        </w:rPr>
      </w:pPr>
      <w:r w:rsidRPr="00AE7A5B">
        <w:rPr>
          <w:rFonts w:cs="Times New Roman"/>
          <w:bCs/>
          <w:szCs w:val="20"/>
        </w:rPr>
        <w:t xml:space="preserve">postępowania o udzielenia zamówienia publicznego były prowadzone niezgodnie </w:t>
      </w:r>
      <w:r w:rsidRPr="00AE7A5B">
        <w:rPr>
          <w:rFonts w:cs="Times New Roman"/>
          <w:bCs/>
          <w:szCs w:val="20"/>
        </w:rPr>
        <w:br/>
        <w:t>z ustawą z 29 stycznia 2004 r. Prawo zamówień publicznych</w:t>
      </w:r>
      <w:r>
        <w:rPr>
          <w:szCs w:val="20"/>
          <w:vertAlign w:val="superscript"/>
        </w:rPr>
        <w:footnoteReference w:id="15"/>
      </w:r>
      <w:r w:rsidRPr="00AE7A5B">
        <w:rPr>
          <w:rFonts w:cs="Times New Roman"/>
          <w:bCs/>
          <w:szCs w:val="20"/>
        </w:rPr>
        <w:t xml:space="preserve"> (dalej: </w:t>
      </w:r>
      <w:r w:rsidRPr="00AE7A5B">
        <w:rPr>
          <w:rFonts w:cs="Times New Roman"/>
          <w:bCs/>
          <w:szCs w:val="20"/>
        </w:rPr>
        <w:t>Pzp</w:t>
      </w:r>
      <w:r w:rsidRPr="00AE7A5B">
        <w:rPr>
          <w:rFonts w:cs="Times New Roman"/>
          <w:bCs/>
          <w:szCs w:val="20"/>
        </w:rPr>
        <w:t xml:space="preserve">) i ustawą </w:t>
      </w:r>
      <w:r w:rsidRPr="00AE7A5B">
        <w:rPr>
          <w:rFonts w:cs="Times New Roman"/>
          <w:bCs/>
          <w:szCs w:val="20"/>
        </w:rPr>
        <w:br/>
        <w:t>z 11 września 2019 r. Prawo zamówień publicznych</w:t>
      </w:r>
      <w:r>
        <w:rPr>
          <w:szCs w:val="20"/>
          <w:vertAlign w:val="superscript"/>
        </w:rPr>
        <w:footnoteReference w:id="16"/>
      </w:r>
      <w:r w:rsidRPr="00AE7A5B">
        <w:rPr>
          <w:rFonts w:cs="Times New Roman"/>
          <w:bCs/>
          <w:szCs w:val="20"/>
        </w:rPr>
        <w:t xml:space="preserve"> (dalej: </w:t>
      </w:r>
      <w:r w:rsidRPr="00AE7A5B">
        <w:rPr>
          <w:rFonts w:cs="Times New Roman"/>
          <w:bCs/>
          <w:szCs w:val="20"/>
        </w:rPr>
        <w:t>nPzp</w:t>
      </w:r>
      <w:r w:rsidRPr="00AE7A5B">
        <w:rPr>
          <w:rFonts w:cs="Times New Roman"/>
          <w:bCs/>
          <w:szCs w:val="20"/>
        </w:rPr>
        <w:t xml:space="preserve">), poprzez: niezłożenie przez osoby udzielające zamówienia/mające wpływ na wynik postępowania/wykonujące inne czynności związane z przeprowadzeniem postępowania w 4 przypadkach oświadczenia o braku konfliktu interesów oraz w 7 przypadkach oświadczenia </w:t>
      </w:r>
      <w:r w:rsidRPr="00AE7A5B">
        <w:rPr>
          <w:rFonts w:cs="Times New Roman"/>
          <w:bCs/>
          <w:szCs w:val="20"/>
        </w:rPr>
        <w:br/>
        <w:t xml:space="preserve">o niekaralności, a także w 1 przypadku nieterminowe złożenie oświadczenia </w:t>
      </w:r>
      <w:r w:rsidRPr="00AE7A5B">
        <w:rPr>
          <w:rFonts w:cs="Times New Roman"/>
          <w:bCs/>
          <w:szCs w:val="20"/>
        </w:rPr>
        <w:br/>
        <w:t xml:space="preserve">o niekaralności, czym naruszono art. 17 ust. 2 ustawy </w:t>
      </w:r>
      <w:r w:rsidRPr="00AE7A5B">
        <w:rPr>
          <w:rFonts w:cs="Times New Roman"/>
          <w:bCs/>
          <w:szCs w:val="20"/>
        </w:rPr>
        <w:t>Pzp</w:t>
      </w:r>
      <w:r w:rsidRPr="00AE7A5B">
        <w:rPr>
          <w:rFonts w:cs="Times New Roman"/>
          <w:bCs/>
          <w:szCs w:val="20"/>
        </w:rPr>
        <w:t xml:space="preserve"> i art. 56 ust. 1-6  ustawy </w:t>
      </w:r>
      <w:r w:rsidRPr="00AE7A5B">
        <w:rPr>
          <w:rFonts w:cs="Times New Roman"/>
          <w:bCs/>
          <w:szCs w:val="20"/>
        </w:rPr>
        <w:t>nPzp</w:t>
      </w:r>
      <w:r w:rsidRPr="00AE7A5B">
        <w:rPr>
          <w:rFonts w:cs="Times New Roman"/>
          <w:bCs/>
          <w:szCs w:val="20"/>
        </w:rPr>
        <w:t xml:space="preserve">. Stwierdzono brak powołania komisji przetargowej do przeprowadzenia 1 badanego postępowania, co było niezgodne z art. 19 ust. 2 </w:t>
      </w:r>
      <w:r w:rsidRPr="00AE7A5B">
        <w:rPr>
          <w:rFonts w:cs="Times New Roman"/>
          <w:bCs/>
          <w:szCs w:val="20"/>
        </w:rPr>
        <w:t>Pzp</w:t>
      </w:r>
      <w:r w:rsidRPr="00AE7A5B">
        <w:rPr>
          <w:rFonts w:cs="Times New Roman"/>
          <w:bCs/>
          <w:szCs w:val="20"/>
        </w:rPr>
        <w:t xml:space="preserve">.  Brak udokumentowania przesłania zawiadomienia o wyborze najkorzystniejszej oferty do wszystkich wykonawców biorących udział w 1 badanym postępowaniu, co było niezgodne z art. 92 ust. 1 pkt 1 </w:t>
      </w:r>
      <w:r w:rsidRPr="00AE7A5B">
        <w:rPr>
          <w:rFonts w:cs="Times New Roman"/>
          <w:bCs/>
          <w:szCs w:val="20"/>
        </w:rPr>
        <w:t>Pzp</w:t>
      </w:r>
      <w:r w:rsidRPr="00AE7A5B">
        <w:rPr>
          <w:rFonts w:cs="Times New Roman"/>
          <w:bCs/>
          <w:szCs w:val="20"/>
        </w:rPr>
        <w:t>.</w:t>
      </w:r>
    </w:p>
    <w:p w:rsidR="00AE7A5B" w:rsidRPr="00AE7A5B" w:rsidP="00AE7A5B">
      <w:pPr>
        <w:spacing w:before="120" w:after="0" w:line="240" w:lineRule="auto"/>
        <w:jc w:val="left"/>
        <w:rPr>
          <w:vertAlign w:val="superscript"/>
        </w:rPr>
      </w:pPr>
      <w:r w:rsidRPr="00AE7A5B">
        <w:rPr>
          <w:rFonts w:cs="Times New Roman"/>
          <w:bCs/>
          <w:szCs w:val="20"/>
        </w:rPr>
        <w:t>Ponadto w przypadku badanej próby zamówień publicznych realizowano zamówienia niezgodnie z  Regulaminem udzielania zamówień publicznych w PIG (dalej: Regulamin zamówień)</w:t>
      </w:r>
      <w:r>
        <w:rPr>
          <w:vertAlign w:val="superscript"/>
        </w:rPr>
        <w:footnoteReference w:id="17"/>
      </w:r>
      <w:r w:rsidRPr="00AE7A5B">
        <w:rPr>
          <w:vertAlign w:val="superscript"/>
        </w:rPr>
        <w:t xml:space="preserve"> </w:t>
      </w:r>
      <w:r w:rsidRPr="00AE7A5B">
        <w:rPr>
          <w:rFonts w:cs="Times New Roman"/>
          <w:bCs/>
          <w:szCs w:val="20"/>
        </w:rPr>
        <w:t xml:space="preserve">poprzez: </w:t>
      </w:r>
    </w:p>
    <w:p w:rsidR="00AE7A5B" w:rsidRPr="00AE7A5B" w:rsidP="00AE7A5B">
      <w:pPr>
        <w:numPr>
          <w:ilvl w:val="0"/>
          <w:numId w:val="32"/>
        </w:numPr>
        <w:spacing w:after="0" w:line="240" w:lineRule="auto"/>
        <w:ind w:left="284" w:hanging="284"/>
        <w:jc w:val="left"/>
        <w:rPr>
          <w:rFonts w:cs="Times New Roman"/>
          <w:bCs/>
          <w:szCs w:val="20"/>
        </w:rPr>
      </w:pPr>
      <w:r w:rsidRPr="00AE7A5B">
        <w:rPr>
          <w:rFonts w:cs="Times New Roman"/>
          <w:bCs/>
          <w:szCs w:val="20"/>
        </w:rPr>
        <w:t xml:space="preserve">brak złożenia przez członków komisji przetargowej oświadczeń co do okoliczności wskazanych w art. 17 ust. 1  </w:t>
      </w:r>
      <w:r w:rsidRPr="00AE7A5B">
        <w:rPr>
          <w:rFonts w:cs="Times New Roman"/>
          <w:bCs/>
          <w:szCs w:val="20"/>
        </w:rPr>
        <w:t>Pzp</w:t>
      </w:r>
      <w:r w:rsidRPr="00AE7A5B">
        <w:rPr>
          <w:rFonts w:cs="Times New Roman"/>
          <w:bCs/>
          <w:szCs w:val="20"/>
        </w:rPr>
        <w:t xml:space="preserve">  i  art. 56 ust. 2  </w:t>
      </w:r>
      <w:r w:rsidRPr="00AE7A5B">
        <w:rPr>
          <w:rFonts w:cs="Times New Roman"/>
          <w:bCs/>
          <w:szCs w:val="20"/>
        </w:rPr>
        <w:t>nPzp</w:t>
      </w:r>
      <w:r w:rsidRPr="00AE7A5B">
        <w:rPr>
          <w:rFonts w:cs="Times New Roman"/>
          <w:bCs/>
          <w:szCs w:val="20"/>
        </w:rPr>
        <w:t xml:space="preserve"> , co było niezgodne z § 11 ust. 1 </w:t>
      </w:r>
      <w:r w:rsidRPr="00AE7A5B">
        <w:rPr>
          <w:rFonts w:cs="Times New Roman"/>
          <w:bCs/>
          <w:szCs w:val="20"/>
        </w:rPr>
        <w:br/>
        <w:t xml:space="preserve">w związku z § 18 ust. 1 pkt 4 Regulaminu zamówień; </w:t>
      </w:r>
    </w:p>
    <w:p w:rsidR="00AE7A5B" w:rsidRPr="00AE7A5B" w:rsidP="00AE7A5B">
      <w:pPr>
        <w:numPr>
          <w:ilvl w:val="0"/>
          <w:numId w:val="32"/>
        </w:numPr>
        <w:spacing w:after="0" w:line="240" w:lineRule="auto"/>
        <w:ind w:left="284" w:hanging="284"/>
        <w:jc w:val="left"/>
        <w:rPr>
          <w:rFonts w:cs="Times New Roman"/>
          <w:bCs/>
          <w:szCs w:val="20"/>
        </w:rPr>
      </w:pPr>
      <w:r w:rsidRPr="00AE7A5B">
        <w:rPr>
          <w:rFonts w:cs="Times New Roman"/>
          <w:bCs/>
          <w:szCs w:val="20"/>
        </w:rPr>
        <w:t xml:space="preserve">brak we wnioskach o udzielenie zamówień publicznych wypełnienia informacji dotyczących ujęcia zamówień w planie finansowym PIG lub pozycji w tym planie oraz wysokości zabezpieczonych środków, co było niezgodne z pkt III.2 i III.3 wzoru wniosku. </w:t>
      </w:r>
    </w:p>
    <w:p w:rsidR="00AE7A5B" w:rsidRPr="00AE7A5B" w:rsidP="00AE7A5B">
      <w:pPr>
        <w:numPr>
          <w:ilvl w:val="0"/>
          <w:numId w:val="32"/>
        </w:numPr>
        <w:spacing w:after="0" w:line="240" w:lineRule="auto"/>
        <w:ind w:left="284" w:hanging="284"/>
        <w:jc w:val="left"/>
        <w:rPr>
          <w:rFonts w:cs="Times New Roman"/>
          <w:bCs/>
          <w:szCs w:val="20"/>
        </w:rPr>
      </w:pPr>
      <w:r w:rsidRPr="00AE7A5B">
        <w:rPr>
          <w:rFonts w:cs="Times New Roman"/>
          <w:bCs/>
          <w:szCs w:val="20"/>
        </w:rPr>
        <w:t>w 1 przypadku  nie przedłożono dokumentów potwierdzających stosowną akceptację umowy kończącej to postępowanie, co było niezgodne z</w:t>
      </w:r>
      <w:r w:rsidRPr="00AE7A5B">
        <w:rPr>
          <w:rFonts w:cs="Times New Roman"/>
          <w:szCs w:val="20"/>
        </w:rPr>
        <w:t xml:space="preserve"> § 15 ust. 2</w:t>
      </w:r>
      <w:r w:rsidRPr="00AE7A5B">
        <w:rPr>
          <w:rFonts w:cs="Times New Roman"/>
          <w:bCs/>
          <w:szCs w:val="20"/>
        </w:rPr>
        <w:t xml:space="preserve"> Regulaminu zamówień; </w:t>
      </w:r>
    </w:p>
    <w:p w:rsidR="00AE7A5B" w:rsidRPr="00AE7A5B" w:rsidP="00AE7A5B">
      <w:pPr>
        <w:numPr>
          <w:ilvl w:val="0"/>
          <w:numId w:val="32"/>
        </w:numPr>
        <w:spacing w:after="0" w:line="240" w:lineRule="auto"/>
        <w:ind w:left="284" w:hanging="284"/>
        <w:jc w:val="left"/>
        <w:rPr>
          <w:rFonts w:cs="Times New Roman"/>
          <w:bCs/>
          <w:szCs w:val="20"/>
        </w:rPr>
      </w:pPr>
      <w:r w:rsidRPr="00AE7A5B">
        <w:rPr>
          <w:rFonts w:cs="Times New Roman"/>
          <w:bCs/>
          <w:szCs w:val="20"/>
        </w:rPr>
        <w:t>w 1 przypadku naruszono zasadę przejrzystości i równego traktowania wykonawców poprzez określenie w zapytaniu ofertowym kryterium oceny ofert odnoszącego się do właściwości wykonawcy, co było niezgodne z § 17 ust. 4 i § 21 ust. 5 Regulaminu zamówień.</w:t>
      </w:r>
    </w:p>
    <w:p w:rsidR="00AE7A5B" w:rsidRPr="00AE7A5B" w:rsidP="00AE7A5B">
      <w:pPr>
        <w:spacing w:before="120" w:after="0" w:line="240" w:lineRule="auto"/>
        <w:jc w:val="left"/>
        <w:rPr>
          <w:rFonts w:cs="Times New Roman"/>
          <w:szCs w:val="20"/>
        </w:rPr>
      </w:pPr>
      <w:r w:rsidRPr="00AE7A5B">
        <w:rPr>
          <w:rFonts w:cs="Times New Roman"/>
          <w:szCs w:val="20"/>
        </w:rPr>
        <w:t>Ponadto w wyniku kontroli stwierdzono następujące uchybienia:</w:t>
      </w:r>
    </w:p>
    <w:p w:rsidR="00AE7A5B" w:rsidRPr="00AE7A5B" w:rsidP="00AE7A5B">
      <w:pPr>
        <w:numPr>
          <w:ilvl w:val="0"/>
          <w:numId w:val="33"/>
        </w:numPr>
        <w:spacing w:after="0" w:line="240" w:lineRule="auto"/>
        <w:ind w:left="284" w:hanging="284"/>
        <w:jc w:val="left"/>
        <w:rPr>
          <w:rFonts w:cs="Times New Roman"/>
          <w:bCs/>
          <w:sz w:val="24"/>
          <w:szCs w:val="20"/>
        </w:rPr>
      </w:pPr>
      <w:r w:rsidRPr="00AE7A5B">
        <w:rPr>
          <w:rFonts w:cs="Times New Roman"/>
          <w:bCs/>
          <w:szCs w:val="20"/>
        </w:rPr>
        <w:t>brak comiesięcznego odbioru prac oraz brak wskazania dat na 10 protokołach odbioru w przypadku 1 umowy cywilnoprawnej;</w:t>
      </w:r>
    </w:p>
    <w:p w:rsidR="00AE7A5B" w:rsidRPr="00AE7A5B" w:rsidP="00AE7A5B">
      <w:pPr>
        <w:numPr>
          <w:ilvl w:val="0"/>
          <w:numId w:val="33"/>
        </w:numPr>
        <w:spacing w:after="0" w:line="240" w:lineRule="auto"/>
        <w:ind w:left="284" w:hanging="284"/>
        <w:jc w:val="left"/>
        <w:rPr>
          <w:rFonts w:cs="Times New Roman"/>
          <w:sz w:val="24"/>
          <w:szCs w:val="20"/>
        </w:rPr>
      </w:pPr>
      <w:r w:rsidRPr="00AE7A5B">
        <w:rPr>
          <w:rFonts w:cs="Times New Roman"/>
          <w:szCs w:val="20"/>
        </w:rPr>
        <w:t>podpisanie 1 umowy cywilnoprawnej przez Zastępcę Dyrektora ds. Służby Geologicznej, niewymienionego w umowie jako jedna z 2 osób działających w imieniu Instytutu;</w:t>
      </w:r>
    </w:p>
    <w:p w:rsidR="00AE7A5B" w:rsidRPr="00AE7A5B" w:rsidP="00AE7A5B">
      <w:pPr>
        <w:numPr>
          <w:ilvl w:val="0"/>
          <w:numId w:val="33"/>
        </w:numPr>
        <w:spacing w:after="0" w:line="240" w:lineRule="auto"/>
        <w:ind w:left="284" w:hanging="284"/>
        <w:jc w:val="left"/>
        <w:rPr>
          <w:rFonts w:cs="Times New Roman"/>
          <w:szCs w:val="20"/>
        </w:rPr>
      </w:pPr>
      <w:r w:rsidRPr="00AE7A5B">
        <w:rPr>
          <w:rFonts w:cs="Times New Roman"/>
          <w:szCs w:val="20"/>
        </w:rPr>
        <w:t>brak wskazania numeru konta bankowego na 9 wystawionych rachunkach</w:t>
      </w:r>
    </w:p>
    <w:p w:rsidR="00AE7A5B" w:rsidRPr="00AE7A5B" w:rsidP="00AE7A5B">
      <w:pPr>
        <w:numPr>
          <w:ilvl w:val="0"/>
          <w:numId w:val="33"/>
        </w:numPr>
        <w:spacing w:after="0" w:line="240" w:lineRule="auto"/>
        <w:ind w:left="284" w:hanging="284"/>
        <w:jc w:val="left"/>
        <w:rPr>
          <w:rFonts w:cs="Times New Roman"/>
          <w:szCs w:val="20"/>
        </w:rPr>
      </w:pPr>
      <w:r w:rsidRPr="00AE7A5B">
        <w:rPr>
          <w:rFonts w:cs="Times New Roman"/>
          <w:szCs w:val="20"/>
        </w:rPr>
        <w:t xml:space="preserve">braku wskazania w protokole z postępowania daty zawiadomienia wykonawców </w:t>
      </w:r>
      <w:r w:rsidRPr="00AE7A5B">
        <w:rPr>
          <w:rFonts w:cs="Times New Roman"/>
          <w:szCs w:val="20"/>
        </w:rPr>
        <w:br/>
        <w:t>o wyborze najkorzystniejszej oferty.</w:t>
      </w:r>
    </w:p>
    <w:p w:rsidR="00AE7A5B" w:rsidRPr="00AE7A5B" w:rsidP="00AE7A5B">
      <w:pPr>
        <w:spacing w:before="120" w:after="0" w:line="240" w:lineRule="auto"/>
        <w:jc w:val="left"/>
        <w:rPr>
          <w:bCs/>
          <w:szCs w:val="20"/>
          <w:lang w:eastAsia="ar-SA" w:bidi="pl-PL"/>
        </w:rPr>
      </w:pPr>
      <w:r w:rsidRPr="00AE7A5B">
        <w:rPr>
          <w:rFonts w:cs="Times New Roman"/>
          <w:bCs/>
          <w:szCs w:val="20"/>
        </w:rPr>
        <w:t xml:space="preserve">W zakresie organizacji pracy i jakości zarządzania Instytutem w okresie objętym kontrolą stwierdzono, że zatrudnienie w Instytucie wzrosło z 865,81 etatów na początku 2020 r. do 874,76 na koniec 2021 r., głównie na stanowiskach inżynieryjno-technicznych.  Zasady zatrudnienia pracowników PIG określał m.in.: </w:t>
      </w:r>
      <w:r w:rsidRPr="00AE7A5B">
        <w:rPr>
          <w:rFonts w:cs="Times New Roman"/>
          <w:szCs w:val="20"/>
          <w:lang w:bidi="pl-PL"/>
        </w:rPr>
        <w:t>Regulamin konkursu przy zatrudnianiu pracowników na stanowiska naukowe w PIG z 30 czerwca 2011 r.</w:t>
      </w:r>
      <w:r>
        <w:rPr>
          <w:rFonts w:cs="Times New Roman"/>
          <w:szCs w:val="20"/>
          <w:vertAlign w:val="superscript"/>
          <w:lang w:bidi="pl-PL"/>
        </w:rPr>
        <w:footnoteReference w:id="18"/>
      </w:r>
      <w:r w:rsidRPr="00AE7A5B">
        <w:rPr>
          <w:rFonts w:cs="Times New Roman"/>
          <w:szCs w:val="20"/>
          <w:lang w:bidi="pl-PL"/>
        </w:rPr>
        <w:t xml:space="preserve"> (dalej: Regulamin konkursu na stanowiska naukowe)</w:t>
      </w:r>
      <w:r w:rsidRPr="00AE7A5B">
        <w:rPr>
          <w:rFonts w:cs="Times New Roman"/>
          <w:bCs/>
          <w:szCs w:val="20"/>
        </w:rPr>
        <w:t xml:space="preserve"> i </w:t>
      </w:r>
      <w:r w:rsidRPr="00AE7A5B">
        <w:rPr>
          <w:bCs/>
          <w:szCs w:val="20"/>
          <w:lang w:eastAsia="ar-SA" w:bidi="pl-PL"/>
        </w:rPr>
        <w:t>Regulamin konkursu przy zatrudnianiu pracowników na stanowiska inne niż naukowe w PIG z 30 sierpnia 2013 r.</w:t>
      </w:r>
      <w:r>
        <w:rPr>
          <w:bCs/>
          <w:szCs w:val="20"/>
          <w:vertAlign w:val="superscript"/>
          <w:lang w:eastAsia="ar-SA" w:bidi="pl-PL"/>
        </w:rPr>
        <w:footnoteReference w:id="19"/>
      </w:r>
      <w:r w:rsidRPr="00AE7A5B">
        <w:rPr>
          <w:bCs/>
          <w:szCs w:val="20"/>
          <w:lang w:eastAsia="ar-SA" w:bidi="pl-PL"/>
        </w:rPr>
        <w:t xml:space="preserve"> (dalej: Regulamin konkursu na stanowiska nienaukowe).</w:t>
      </w:r>
      <w:r w:rsidRPr="00AE7A5B">
        <w:t xml:space="preserve"> </w:t>
      </w:r>
      <w:r w:rsidRPr="00AE7A5B">
        <w:rPr>
          <w:rFonts w:cs="Times New Roman"/>
          <w:bCs/>
          <w:szCs w:val="20"/>
        </w:rPr>
        <w:t xml:space="preserve">Zasady dotyczące wynagradzania pracowników Instytutu określał </w:t>
      </w:r>
      <w:r w:rsidRPr="00AE7A5B">
        <w:rPr>
          <w:rFonts w:cs="Times New Roman"/>
          <w:szCs w:val="20"/>
          <w:lang w:bidi="pl-PL"/>
        </w:rPr>
        <w:t>Zakładowy Układ Zbiorowy Pracy PIG z 28 lutego 2019 r. (dalej: ZUZP)</w:t>
      </w:r>
      <w:r>
        <w:rPr>
          <w:rFonts w:cs="Times New Roman"/>
          <w:szCs w:val="20"/>
          <w:vertAlign w:val="superscript"/>
          <w:lang w:eastAsia="ar-SA"/>
        </w:rPr>
        <w:footnoteReference w:id="20"/>
      </w:r>
      <w:r w:rsidRPr="00AE7A5B">
        <w:rPr>
          <w:rFonts w:cs="Times New Roman"/>
          <w:szCs w:val="20"/>
          <w:lang w:bidi="pl-PL"/>
        </w:rPr>
        <w:t xml:space="preserve"> </w:t>
      </w:r>
      <w:r w:rsidRPr="00AE7A5B">
        <w:rPr>
          <w:rFonts w:cs="Times New Roman"/>
          <w:bCs/>
          <w:szCs w:val="20"/>
        </w:rPr>
        <w:t xml:space="preserve">wraz </w:t>
      </w:r>
      <w:r w:rsidRPr="00AE7A5B">
        <w:rPr>
          <w:rFonts w:cs="Times New Roman"/>
          <w:bCs/>
          <w:szCs w:val="20"/>
        </w:rPr>
        <w:br/>
        <w:t xml:space="preserve">z protokołem dodatkowym nr 1, które były każdorazowo uzgadniane z zakładowymi organizacjami związkowymi. Kwestie dotyczące gospodarowania mieniem zostały uregulowane  w zarządzeniu Dyrektora nr 1 z 22 stycznia 2010 r. w sprawie zagospodarowania składników majątku PIG, w tym m.in. zasady postępowania ze zbędnymi składnikami majątku, ich sprzedaży, darowizny i likwidacji fizycznej. </w:t>
      </w:r>
    </w:p>
    <w:p w:rsidR="00AE7A5B" w:rsidRPr="00AE7A5B" w:rsidP="00AE7A5B">
      <w:pPr>
        <w:spacing w:before="120" w:after="0" w:line="240" w:lineRule="auto"/>
        <w:jc w:val="left"/>
        <w:rPr>
          <w:rFonts w:cs="Times New Roman"/>
          <w:bCs/>
          <w:szCs w:val="20"/>
        </w:rPr>
      </w:pPr>
      <w:r w:rsidRPr="00AE7A5B">
        <w:rPr>
          <w:rFonts w:cs="Times New Roman"/>
          <w:bCs/>
          <w:szCs w:val="20"/>
        </w:rPr>
        <w:t>Niemniej jednak stwierdzono następujące nieprawidłowości i uchybienia m.in.:</w:t>
      </w:r>
    </w:p>
    <w:p w:rsidR="00AE7A5B" w:rsidRPr="00AE7A5B" w:rsidP="00AE7A5B">
      <w:pPr>
        <w:numPr>
          <w:ilvl w:val="0"/>
          <w:numId w:val="34"/>
        </w:numPr>
        <w:autoSpaceDE w:val="0"/>
        <w:autoSpaceDN w:val="0"/>
        <w:adjustRightInd w:val="0"/>
        <w:spacing w:after="0" w:line="240" w:lineRule="auto"/>
        <w:ind w:left="284" w:hanging="284"/>
        <w:jc w:val="left"/>
        <w:rPr>
          <w:sz w:val="24"/>
          <w:szCs w:val="20"/>
        </w:rPr>
      </w:pPr>
      <w:r w:rsidRPr="00AE7A5B">
        <w:rPr>
          <w:rFonts w:cs="TimesNewRomanPSMT"/>
          <w:szCs w:val="20"/>
        </w:rPr>
        <w:t xml:space="preserve">w okresie </w:t>
      </w:r>
      <w:r w:rsidRPr="00AE7A5B">
        <w:rPr>
          <w:bCs/>
          <w:szCs w:val="20"/>
        </w:rPr>
        <w:t>od 1 stycznia 2020 r. do 30 sierpnia 2020 r.</w:t>
      </w:r>
      <w:r w:rsidRPr="00AE7A5B">
        <w:rPr>
          <w:rFonts w:cs="Times New Roman"/>
          <w:bCs/>
          <w:szCs w:val="20"/>
        </w:rPr>
        <w:t xml:space="preserve"> w składzie Rady Naukowej brak</w:t>
      </w:r>
      <w:r w:rsidRPr="00AE7A5B">
        <w:rPr>
          <w:bCs/>
          <w:szCs w:val="20"/>
        </w:rPr>
        <w:t xml:space="preserve">owało 1 pracownika nieposiadającego tytułu naukowego lub stopnia naukowego doktora habilitowanego, czym naruszono </w:t>
      </w:r>
      <w:r w:rsidRPr="00AE7A5B">
        <w:rPr>
          <w:szCs w:val="20"/>
        </w:rPr>
        <w:t>§ 7 ust. 3 pkt 2 Statutu;</w:t>
      </w:r>
    </w:p>
    <w:p w:rsidR="00AE7A5B" w:rsidRPr="00AE7A5B" w:rsidP="00AE7A5B">
      <w:pPr>
        <w:numPr>
          <w:ilvl w:val="0"/>
          <w:numId w:val="34"/>
        </w:numPr>
        <w:spacing w:after="0" w:line="240" w:lineRule="auto"/>
        <w:ind w:left="284" w:hanging="284"/>
        <w:jc w:val="left"/>
        <w:rPr>
          <w:szCs w:val="20"/>
        </w:rPr>
      </w:pPr>
      <w:r w:rsidRPr="00AE7A5B">
        <w:rPr>
          <w:szCs w:val="20"/>
        </w:rPr>
        <w:t xml:space="preserve">nieterminowe przekazanie ministrowi nadzorującemu uchwały Rady Naukowej, </w:t>
      </w:r>
      <w:r w:rsidRPr="00AE7A5B">
        <w:rPr>
          <w:szCs w:val="20"/>
        </w:rPr>
        <w:br/>
        <w:t>tj. z opóźnieniem 17 miesięcy, czym naruszono art. 35a ust. 1 ustawy o instytutach badawczych;</w:t>
      </w:r>
    </w:p>
    <w:p w:rsidR="00AE7A5B" w:rsidRPr="00AE7A5B" w:rsidP="00AE7A5B">
      <w:pPr>
        <w:numPr>
          <w:ilvl w:val="0"/>
          <w:numId w:val="34"/>
        </w:numPr>
        <w:spacing w:after="0" w:line="240" w:lineRule="auto"/>
        <w:ind w:left="284" w:hanging="284"/>
        <w:jc w:val="left"/>
        <w:rPr>
          <w:szCs w:val="20"/>
        </w:rPr>
      </w:pPr>
      <w:r w:rsidRPr="00AE7A5B">
        <w:rPr>
          <w:szCs w:val="20"/>
        </w:rPr>
        <w:t>nieprzedstawienie do opiniowania związkom zawodowym regulaminów organizacyjnych oraz zmiany regulaminu, czym naruszono art. 6 ust. 4 ustawy o instytutach badawczych;</w:t>
      </w:r>
    </w:p>
    <w:p w:rsidR="00AE7A5B" w:rsidRPr="00AE7A5B" w:rsidP="00AE7A5B">
      <w:pPr>
        <w:numPr>
          <w:ilvl w:val="0"/>
          <w:numId w:val="34"/>
        </w:numPr>
        <w:spacing w:after="0" w:line="240" w:lineRule="auto"/>
        <w:ind w:left="284" w:hanging="284"/>
        <w:jc w:val="left"/>
        <w:rPr>
          <w:szCs w:val="20"/>
        </w:rPr>
      </w:pPr>
      <w:r w:rsidRPr="00AE7A5B">
        <w:rPr>
          <w:szCs w:val="20"/>
        </w:rPr>
        <w:t>nieopracowanie kierunkowych planów tematycznych badań naukowych i prac rozwojowych, wskazanych w art. 29 ust. 2 pkt 5 ustawy o instytutach badawczych;</w:t>
      </w:r>
    </w:p>
    <w:p w:rsidR="00AE7A5B" w:rsidRPr="00AE7A5B" w:rsidP="00AE7A5B">
      <w:pPr>
        <w:numPr>
          <w:ilvl w:val="0"/>
          <w:numId w:val="34"/>
        </w:numPr>
        <w:spacing w:after="0" w:line="240" w:lineRule="auto"/>
        <w:ind w:left="284" w:hanging="284"/>
        <w:jc w:val="left"/>
        <w:rPr>
          <w:bCs/>
          <w:szCs w:val="20"/>
          <w:lang w:eastAsia="ar-SA" w:bidi="pl-PL"/>
        </w:rPr>
      </w:pPr>
      <w:r w:rsidRPr="00AE7A5B">
        <w:rPr>
          <w:rFonts w:cs="Times New Roman"/>
          <w:bCs/>
          <w:szCs w:val="20"/>
        </w:rPr>
        <w:t>brak udokumentowania opublikowania ogłoszenia na stanowisko profesora instytutu na stronie internetowej Komisji Europejskiej,</w:t>
      </w:r>
      <w:r w:rsidRPr="00AE7A5B">
        <w:rPr>
          <w:szCs w:val="20"/>
        </w:rPr>
        <w:t xml:space="preserve"> w europejskim portalu dla mobilnych naukowców przeznaczonym do publikacji ofert pracy naukowców, czym naruszono</w:t>
      </w:r>
      <w:r w:rsidRPr="00AE7A5B">
        <w:rPr>
          <w:rFonts w:cs="Times New Roman"/>
          <w:bCs/>
          <w:szCs w:val="20"/>
        </w:rPr>
        <w:t xml:space="preserve"> </w:t>
      </w:r>
      <w:r w:rsidRPr="00AE7A5B">
        <w:rPr>
          <w:rFonts w:cs="Times New Roman"/>
          <w:bCs/>
          <w:szCs w:val="20"/>
        </w:rPr>
        <w:br/>
        <w:t>art. 43 ust. 6 ustawy o instytutach badawczych;</w:t>
      </w:r>
      <w:r w:rsidRPr="00AE7A5B">
        <w:rPr>
          <w:szCs w:val="20"/>
        </w:rPr>
        <w:t xml:space="preserve"> </w:t>
      </w:r>
    </w:p>
    <w:p w:rsidR="00AE7A5B" w:rsidRPr="00AE7A5B" w:rsidP="00AE7A5B">
      <w:pPr>
        <w:numPr>
          <w:ilvl w:val="0"/>
          <w:numId w:val="34"/>
        </w:numPr>
        <w:spacing w:after="0" w:line="240" w:lineRule="auto"/>
        <w:ind w:left="284" w:hanging="284"/>
        <w:jc w:val="left"/>
        <w:rPr>
          <w:bCs/>
          <w:szCs w:val="20"/>
          <w:lang w:eastAsia="ar-SA" w:bidi="pl-PL"/>
        </w:rPr>
      </w:pPr>
      <w:r w:rsidRPr="00AE7A5B">
        <w:rPr>
          <w:szCs w:val="20"/>
        </w:rPr>
        <w:t>nieprzestrzeganie</w:t>
      </w:r>
      <w:r w:rsidRPr="00AE7A5B">
        <w:rPr>
          <w:rFonts w:cs="Times New Roman"/>
          <w:bCs/>
          <w:szCs w:val="20"/>
        </w:rPr>
        <w:t xml:space="preserve"> w ramach jednego z badanych naborów zasad określonych w załączniku nr 2 do</w:t>
      </w:r>
      <w:r w:rsidRPr="00AE7A5B">
        <w:rPr>
          <w:rFonts w:cs="Times New Roman"/>
          <w:szCs w:val="20"/>
          <w:lang w:bidi="pl-PL"/>
        </w:rPr>
        <w:t xml:space="preserve"> ZUZP </w:t>
      </w:r>
      <w:r w:rsidRPr="00AE7A5B">
        <w:rPr>
          <w:rFonts w:cs="Times New Roman"/>
          <w:bCs/>
          <w:szCs w:val="20"/>
        </w:rPr>
        <w:t xml:space="preserve">poprzez przyjęcie do pracy na stanowisko specjalisty </w:t>
      </w:r>
      <w:r w:rsidRPr="00AE7A5B">
        <w:rPr>
          <w:rFonts w:cs="Times New Roman"/>
          <w:bCs/>
          <w:szCs w:val="20"/>
        </w:rPr>
        <w:br/>
        <w:t>ds. administracyjnych osoby niespełniającej wymogu doświadczenia zawodowego powyżej 2 lat;</w:t>
      </w:r>
    </w:p>
    <w:p w:rsidR="00AE7A5B" w:rsidRPr="00AE7A5B" w:rsidP="00AE7A5B">
      <w:pPr>
        <w:numPr>
          <w:ilvl w:val="0"/>
          <w:numId w:val="34"/>
        </w:numPr>
        <w:spacing w:after="0"/>
        <w:ind w:left="284" w:hanging="284"/>
        <w:rPr>
          <w:szCs w:val="20"/>
          <w:lang w:eastAsia="ar-SA"/>
        </w:rPr>
      </w:pPr>
      <w:r w:rsidRPr="00AE7A5B">
        <w:rPr>
          <w:rFonts w:cs="Times New Roman"/>
          <w:bCs/>
          <w:szCs w:val="20"/>
        </w:rPr>
        <w:t xml:space="preserve">brak </w:t>
      </w:r>
      <w:r w:rsidRPr="00AE7A5B">
        <w:rPr>
          <w:szCs w:val="20"/>
          <w:lang w:eastAsia="ar-SA" w:bidi="pl-PL"/>
        </w:rPr>
        <w:t>dostosowania Regulaminu konkursu na stanowiska naukowe do Statutu;</w:t>
      </w:r>
    </w:p>
    <w:p w:rsidR="00AE7A5B" w:rsidRPr="00AE7A5B" w:rsidP="00AE7A5B">
      <w:pPr>
        <w:numPr>
          <w:ilvl w:val="0"/>
          <w:numId w:val="34"/>
        </w:numPr>
        <w:spacing w:after="0" w:line="240" w:lineRule="auto"/>
        <w:ind w:left="284" w:hanging="284"/>
        <w:jc w:val="left"/>
        <w:rPr>
          <w:bCs/>
          <w:szCs w:val="20"/>
          <w:lang w:eastAsia="ar-SA" w:bidi="pl-PL"/>
        </w:rPr>
      </w:pPr>
      <w:r w:rsidRPr="00AE7A5B">
        <w:rPr>
          <w:szCs w:val="20"/>
          <w:lang w:eastAsia="ar-SA"/>
        </w:rPr>
        <w:t xml:space="preserve">brak przedłożenia dokumentów </w:t>
      </w:r>
      <w:r w:rsidRPr="00AE7A5B">
        <w:rPr>
          <w:bCs/>
          <w:szCs w:val="20"/>
          <w:lang w:eastAsia="ar-SA"/>
        </w:rPr>
        <w:t>dotyczących powołania komisji konkursowej</w:t>
      </w:r>
      <w:r w:rsidRPr="00AE7A5B">
        <w:rPr>
          <w:szCs w:val="20"/>
          <w:lang w:eastAsia="ar-SA"/>
        </w:rPr>
        <w:t xml:space="preserve"> </w:t>
      </w:r>
      <w:r w:rsidRPr="00AE7A5B">
        <w:rPr>
          <w:szCs w:val="20"/>
          <w:lang w:eastAsia="ar-SA"/>
        </w:rPr>
        <w:t>w naborze na</w:t>
      </w:r>
      <w:r w:rsidRPr="00AE7A5B">
        <w:rPr>
          <w:bCs/>
          <w:szCs w:val="20"/>
          <w:lang w:eastAsia="ar-SA"/>
        </w:rPr>
        <w:t xml:space="preserve"> stanowisko specjalisty ds. administracyjnych, co nie pozwalało potwierdzić spełnienia wymagań § 6 Regulaminu konkursu na stanowiska nienaukowe;</w:t>
      </w:r>
    </w:p>
    <w:p w:rsidR="00AE7A5B" w:rsidRPr="00AE7A5B" w:rsidP="00AE7A5B">
      <w:pPr>
        <w:numPr>
          <w:ilvl w:val="0"/>
          <w:numId w:val="34"/>
        </w:numPr>
        <w:spacing w:after="0" w:line="240" w:lineRule="auto"/>
        <w:ind w:left="284" w:hanging="284"/>
        <w:jc w:val="left"/>
        <w:rPr>
          <w:rFonts w:cs="Times New Roman"/>
          <w:bCs/>
          <w:szCs w:val="20"/>
        </w:rPr>
      </w:pPr>
      <w:r w:rsidRPr="00AE7A5B">
        <w:rPr>
          <w:rFonts w:cs="Times New Roman"/>
          <w:bCs/>
          <w:szCs w:val="20"/>
        </w:rPr>
        <w:t xml:space="preserve">brak złożenia przez 4 nowozatrudnionych pracowników oświadczeń o zapoznaniu </w:t>
      </w:r>
      <w:r w:rsidRPr="00AE7A5B">
        <w:rPr>
          <w:rFonts w:cs="Times New Roman"/>
          <w:bCs/>
          <w:szCs w:val="20"/>
        </w:rPr>
        <w:br/>
        <w:t>z m.in. Regulaminem pracy z 14 czerwca 2018 r.</w:t>
      </w:r>
      <w:r>
        <w:rPr>
          <w:szCs w:val="20"/>
          <w:vertAlign w:val="superscript"/>
        </w:rPr>
        <w:footnoteReference w:id="21"/>
      </w:r>
      <w:r w:rsidRPr="00AE7A5B">
        <w:rPr>
          <w:rFonts w:cs="Times New Roman"/>
          <w:bCs/>
          <w:szCs w:val="20"/>
        </w:rPr>
        <w:t xml:space="preserve"> (dalej: Regulamin pracy), co było niezgodne z § 3 pkt 2 </w:t>
      </w:r>
      <w:r w:rsidRPr="00AE7A5B">
        <w:rPr>
          <w:rFonts w:cs="Times New Roman"/>
          <w:bCs/>
          <w:szCs w:val="20"/>
        </w:rPr>
        <w:t>ppkt</w:t>
      </w:r>
      <w:r w:rsidRPr="00AE7A5B">
        <w:rPr>
          <w:rFonts w:cs="Times New Roman"/>
          <w:bCs/>
          <w:szCs w:val="20"/>
        </w:rPr>
        <w:t xml:space="preserve"> e) </w:t>
      </w:r>
      <w:r w:rsidRPr="00AE7A5B">
        <w:rPr>
          <w:rFonts w:cs="Times New Roman"/>
          <w:bCs/>
          <w:iCs/>
          <w:szCs w:val="20"/>
        </w:rPr>
        <w:t>rozporządzenia Ministra Rodziny, Pracy i Polityki Społecznej z 10 grudnia 2018 r. w sprawie dokumentacji pracowniczej</w:t>
      </w:r>
      <w:r>
        <w:rPr>
          <w:szCs w:val="20"/>
          <w:vertAlign w:val="superscript"/>
        </w:rPr>
        <w:footnoteReference w:id="22"/>
      </w:r>
      <w:r w:rsidRPr="00AE7A5B">
        <w:rPr>
          <w:rFonts w:cs="Times New Roman"/>
          <w:bCs/>
          <w:iCs/>
          <w:szCs w:val="20"/>
        </w:rPr>
        <w:t xml:space="preserve"> (dalej: rozporządzenie </w:t>
      </w:r>
      <w:r w:rsidRPr="00AE7A5B">
        <w:rPr>
          <w:rFonts w:cs="Times New Roman"/>
          <w:bCs/>
          <w:iCs/>
          <w:szCs w:val="20"/>
        </w:rPr>
        <w:t>ws</w:t>
      </w:r>
      <w:r w:rsidRPr="00AE7A5B">
        <w:rPr>
          <w:rFonts w:cs="Times New Roman"/>
          <w:bCs/>
          <w:iCs/>
          <w:szCs w:val="20"/>
        </w:rPr>
        <w:t>. dokumentacji pracowniczej);</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nieprzestrzeganie w przypadku 3 pracowników zasad ustalania wynagrodzenia zasadniczego określonego w ZUZP, tj. w przypadku 1 pracownika wynagrodzenie zasadnicze było wyższe o 500,00 zł od maksymalnej</w:t>
      </w:r>
      <w:r w:rsidRPr="00AE7A5B">
        <w:rPr>
          <w:szCs w:val="20"/>
        </w:rPr>
        <w:t xml:space="preserve"> kwoty wynagrodzenia przewidzianej na tym stanowisku, a 2 pracownikom nie przyporządkowano kategorii zaszeregowania stanowiącej podstawę do ustalenia wynagrodzenia;</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brak wyłączenia 4 pracowników z prac komisji oceniającej</w:t>
      </w:r>
      <w:r w:rsidRPr="00AE7A5B">
        <w:rPr>
          <w:szCs w:val="20"/>
        </w:rPr>
        <w:t xml:space="preserve"> na czas dokonywania oceny ich własnego dorobku, </w:t>
      </w:r>
      <w:r w:rsidRPr="00AE7A5B">
        <w:rPr>
          <w:rFonts w:cs="Times New Roman"/>
          <w:bCs/>
          <w:szCs w:val="20"/>
        </w:rPr>
        <w:t>co było niezgodne z § 5 ust. 1 Regulaminu przeprowadzania oceny okresowej pracowników naukowych oraz badawczo-technicznych w PIG z 29 listopada 2019 r. (dalej: Regulamin oceny pracowników)</w:t>
      </w:r>
      <w:r>
        <w:rPr>
          <w:szCs w:val="20"/>
          <w:vertAlign w:val="superscript"/>
        </w:rPr>
        <w:footnoteReference w:id="23"/>
      </w:r>
      <w:r w:rsidRPr="00AE7A5B">
        <w:rPr>
          <w:rFonts w:cs="Times New Roman"/>
          <w:bCs/>
          <w:szCs w:val="20"/>
        </w:rPr>
        <w:t>, a także brak wyznaczenia recenzenta dorobku naukowego oraz przeprowadzenia ponownej oceny przez komisję w przypadku 1 pracownika odwołującego się od oceny, co było niezgodne z § 7 ust. 4-5 Regulaminu oceny pracowników;</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nieprzestrzeganie rozporządzenia Rady Ministrów z 5 października 1993 r. w sprawie zasad organizowania przetargu na sprzedaż środków trwałych przez przedsiębiorstwa państwowe oraz warunków odstąpienia od przetargu (dalej: rozporządzenie </w:t>
      </w:r>
      <w:r w:rsidRPr="00AE7A5B">
        <w:rPr>
          <w:rFonts w:cs="Times New Roman"/>
          <w:bCs/>
          <w:szCs w:val="20"/>
        </w:rPr>
        <w:t>ws</w:t>
      </w:r>
      <w:r w:rsidRPr="00AE7A5B">
        <w:rPr>
          <w:rFonts w:cs="Times New Roman"/>
          <w:bCs/>
          <w:szCs w:val="20"/>
        </w:rPr>
        <w:t>. przetargu środków trwałych)</w:t>
      </w:r>
      <w:r>
        <w:rPr>
          <w:szCs w:val="20"/>
          <w:vertAlign w:val="superscript"/>
        </w:rPr>
        <w:footnoteReference w:id="24"/>
      </w:r>
      <w:r w:rsidRPr="00AE7A5B">
        <w:rPr>
          <w:rFonts w:cs="Times New Roman"/>
          <w:bCs/>
          <w:szCs w:val="20"/>
        </w:rPr>
        <w:t xml:space="preserve"> poprzez brak powołania komisji przetargowej do sprzedaży samochodu, niezamieszczenie w prasie obwieszczenia o przetargu, brak sporządzenia protokołu z przetargu pisemnego, określenie ceny wywoławczej w wysokości wyższej o kwotę podatku VAT od ceny oszacowanej, nierzetelne przygotowanie </w:t>
      </w:r>
      <w:r w:rsidRPr="00AE7A5B">
        <w:rPr>
          <w:szCs w:val="20"/>
        </w:rPr>
        <w:t>obwieszczenia o przetargu;</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nienależyte zabezpieczenie interesów Instytutu przy zawieraniu umów najmu poprzez: brak zapisów w 2 umowach dotyczących kar umownych za opóźnienia w płatnościach, </w:t>
      </w:r>
      <w:r w:rsidRPr="00AE7A5B">
        <w:rPr>
          <w:rFonts w:cs="Times New Roman"/>
          <w:bCs/>
          <w:szCs w:val="20"/>
        </w:rPr>
        <w:br/>
        <w:t xml:space="preserve">a w 1 umowie </w:t>
      </w:r>
      <w:r w:rsidRPr="00AE7A5B">
        <w:rPr>
          <w:rFonts w:cs="Times New Roman"/>
          <w:szCs w:val="20"/>
        </w:rPr>
        <w:t>dotyczących kar umownych za</w:t>
      </w:r>
      <w:r w:rsidRPr="00AE7A5B">
        <w:rPr>
          <w:szCs w:val="20"/>
        </w:rPr>
        <w:t xml:space="preserve"> rozwiązanie umowy z przyczyn leżących po stronie najemcy, a także brak egzekwowania od 1 najemcy wymaganego </w:t>
      </w:r>
      <w:r w:rsidRPr="00AE7A5B">
        <w:rPr>
          <w:rFonts w:cs="Times New Roman"/>
          <w:bCs/>
          <w:szCs w:val="20"/>
        </w:rPr>
        <w:t>§ 3 ust. 2 umowy</w:t>
      </w:r>
      <w:r w:rsidRPr="00AE7A5B">
        <w:rPr>
          <w:szCs w:val="20"/>
        </w:rPr>
        <w:t xml:space="preserve"> </w:t>
      </w:r>
      <w:r w:rsidRPr="00AE7A5B">
        <w:rPr>
          <w:rFonts w:cs="Times New Roman"/>
          <w:bCs/>
          <w:szCs w:val="20"/>
        </w:rPr>
        <w:t>wykazu godzin pracy oraz danych personalnych pracowników najemcy wykonujących swoje obowiązki w pomieszczeniach biurowych;</w:t>
      </w:r>
    </w:p>
    <w:p w:rsidR="00AE7A5B" w:rsidRPr="00AE7A5B" w:rsidP="00AE7A5B">
      <w:pPr>
        <w:numPr>
          <w:ilvl w:val="0"/>
          <w:numId w:val="34"/>
        </w:numPr>
        <w:spacing w:after="0" w:line="240" w:lineRule="auto"/>
        <w:ind w:left="284" w:hanging="284"/>
        <w:jc w:val="left"/>
        <w:rPr>
          <w:rFonts w:cs="Times New Roman"/>
          <w:bCs/>
          <w:szCs w:val="20"/>
        </w:rPr>
      </w:pPr>
      <w:r w:rsidRPr="00AE7A5B">
        <w:rPr>
          <w:rFonts w:cs="Times New Roman"/>
          <w:bCs/>
          <w:szCs w:val="20"/>
        </w:rPr>
        <w:t xml:space="preserve">brak przeprowadzenia w 1 przypadku 5-letniej kontroli okresowej budynku oraz przeprowadzenie w 1 przypadku kontroli stanu technicznego elementów obiektu budowlanego z opóźnieniem 324 dni, czym naruszono art. 62 ust. 1 pkt 2 ustawy </w:t>
      </w:r>
      <w:r w:rsidRPr="00AE7A5B">
        <w:rPr>
          <w:rFonts w:cs="Times New Roman"/>
          <w:bCs/>
          <w:szCs w:val="20"/>
        </w:rPr>
        <w:br/>
        <w:t>z 7 lipca 1994 r. Prawo budowlane</w:t>
      </w:r>
      <w:r>
        <w:rPr>
          <w:szCs w:val="20"/>
          <w:vertAlign w:val="superscript"/>
        </w:rPr>
        <w:footnoteReference w:id="25"/>
      </w:r>
      <w:r w:rsidRPr="00AE7A5B">
        <w:rPr>
          <w:rFonts w:cs="Times New Roman"/>
          <w:bCs/>
          <w:szCs w:val="20"/>
        </w:rPr>
        <w:t xml:space="preserve"> (dalej: Prawo budowlane).</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brak spójności w datach umieszczonych w porozumieniu zmieniającym umowę o pracę oraz w zakresie obowiązków 1 pracownika; </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brak złożenia przez 11 z 22 pracowników obejmujących funkcję kierowniczą oświadczeń o braku powiązań z podwładnymi, o którym mowa w art. 39 ust. 2 ustawy </w:t>
      </w:r>
      <w:r w:rsidRPr="00AE7A5B">
        <w:rPr>
          <w:rFonts w:cs="Times New Roman"/>
          <w:bCs/>
          <w:szCs w:val="20"/>
        </w:rPr>
        <w:br/>
        <w:t>o instytutach badawczych;</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brak aktualizacji zakresów obowiązków dla 2 z 15 pracowników, a także brak wskazania w zakresie obowiązków w 1 przypadku stanowiska pracy oraz w 9 przypadkach zadań związanych z pełnieniem funkcji kierownika projektu/budżetu w zakresie m.in. Polityki Surowcowej Państwa;</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niezamieszczanie w 3 ogłoszeniach </w:t>
      </w:r>
      <w:r w:rsidRPr="00AE7A5B">
        <w:rPr>
          <w:szCs w:val="20"/>
          <w:lang w:eastAsia="ar-SA"/>
        </w:rPr>
        <w:t xml:space="preserve">na stanowiska naukowe </w:t>
      </w:r>
      <w:r w:rsidRPr="00AE7A5B">
        <w:rPr>
          <w:rFonts w:cs="Times New Roman"/>
          <w:bCs/>
          <w:szCs w:val="20"/>
        </w:rPr>
        <w:t>informacji wymaganych § 7 pkt 2, 8-11 Regulaminu konkursu na stanowiska naukowe;</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brak stosowania w 5 z 10 badanych przypadków wzorów wniosków o zgodę na dodatkowe zatrudnienie stanowiących załącznik nr 7 do zarządzenia o dodatkowym zatrudnieniu;</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brak włączenia do akt osobowych kart ocen 6 pracowników oraz 1 przypadek braku ponumerowania karty oceny 1 pracownika i ujęcia jej w wykazie oświadczeń i dokumentów – części B, a także liczne przypadki braków podpisów na kartach oceny; </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brak w przypadku 1 umowy najmu potwierdzenia na fakturach daty ich odbiorów przez najemcę, co uniemożliwiało stwierdzenie terminowości płacenia czynszu; </w:t>
      </w:r>
    </w:p>
    <w:p w:rsidR="00AE7A5B" w:rsidRPr="00AE7A5B" w:rsidP="00AE7A5B">
      <w:pPr>
        <w:numPr>
          <w:ilvl w:val="0"/>
          <w:numId w:val="34"/>
        </w:numPr>
        <w:autoSpaceDE w:val="0"/>
        <w:autoSpaceDN w:val="0"/>
        <w:adjustRightInd w:val="0"/>
        <w:spacing w:after="0" w:line="240" w:lineRule="auto"/>
        <w:ind w:left="284" w:hanging="284"/>
        <w:jc w:val="left"/>
        <w:rPr>
          <w:rFonts w:cs="Times New Roman"/>
          <w:bCs/>
          <w:szCs w:val="20"/>
        </w:rPr>
      </w:pPr>
      <w:r w:rsidRPr="00AE7A5B">
        <w:rPr>
          <w:szCs w:val="20"/>
        </w:rPr>
        <w:t>brak podpisu na protokole z rocznej kontroli okresowej obiektu budowlanego, co uniemożliwiało ustalenie czy roczna kontrola okresowa stanu technicznego obiektu została przeprowadzona zgodnie z art. 62 ust. 1 pkt 1 Prawa budowlanego;</w:t>
      </w:r>
    </w:p>
    <w:p w:rsidR="00AE7A5B" w:rsidRPr="00AE7A5B" w:rsidP="00AE7A5B">
      <w:pPr>
        <w:numPr>
          <w:ilvl w:val="0"/>
          <w:numId w:val="34"/>
        </w:numPr>
        <w:autoSpaceDE w:val="0"/>
        <w:autoSpaceDN w:val="0"/>
        <w:adjustRightInd w:val="0"/>
        <w:spacing w:after="120" w:line="240" w:lineRule="auto"/>
        <w:ind w:left="284" w:hanging="284"/>
        <w:jc w:val="left"/>
        <w:rPr>
          <w:rFonts w:cs="Times New Roman"/>
          <w:bCs/>
          <w:szCs w:val="20"/>
        </w:rPr>
      </w:pPr>
      <w:r w:rsidRPr="00AE7A5B">
        <w:rPr>
          <w:rFonts w:cs="Times New Roman"/>
          <w:bCs/>
          <w:szCs w:val="20"/>
        </w:rPr>
        <w:t>niezamieszczenie w 2 książkach obiektu budowlanego informacji dotyczących m.in.: protokołu odbioru obiektu, pozwolenia na użytkowanie, zarządcy obiektu,</w:t>
      </w:r>
      <w:r w:rsidRPr="00AE7A5B">
        <w:rPr>
          <w:szCs w:val="20"/>
        </w:rPr>
        <w:t xml:space="preserve"> protokołu </w:t>
      </w:r>
      <w:r w:rsidRPr="00AE7A5B">
        <w:rPr>
          <w:szCs w:val="20"/>
        </w:rPr>
        <w:br/>
        <w:t>z kontroli okresowej stanu technicznego obiektu budowlanego, protokołu z przeglądu technicznego instalacji elektrycznej i odgromowej</w:t>
      </w:r>
      <w:r w:rsidRPr="00AE7A5B">
        <w:rPr>
          <w:rFonts w:cs="Times New Roman"/>
          <w:bCs/>
          <w:szCs w:val="20"/>
        </w:rPr>
        <w:t>; kodu pocztowego w adresie obiektu; numeru księgi wieczystej;</w:t>
      </w:r>
      <w:r w:rsidRPr="00AE7A5B">
        <w:rPr>
          <w:szCs w:val="20"/>
        </w:rPr>
        <w:t xml:space="preserve"> spisu dokumentacji dołączonej do książki</w:t>
      </w:r>
      <w:r w:rsidRPr="00AE7A5B">
        <w:rPr>
          <w:rFonts w:cs="Times New Roman"/>
          <w:bCs/>
          <w:szCs w:val="20"/>
        </w:rPr>
        <w:t xml:space="preserve">, co było niezgodne </w:t>
      </w:r>
      <w:r w:rsidRPr="00AE7A5B">
        <w:rPr>
          <w:rFonts w:cs="Times New Roman"/>
          <w:bCs/>
          <w:szCs w:val="20"/>
        </w:rPr>
        <w:br/>
        <w:t xml:space="preserve">z § 2, § 5 ust. 1 pkt b)-d), § 5 ust. 2 i § 5 ust. 4 rozporządzenia Ministra Infrastruktury </w:t>
      </w:r>
      <w:r w:rsidRPr="00AE7A5B">
        <w:rPr>
          <w:rFonts w:cs="Times New Roman"/>
          <w:bCs/>
          <w:szCs w:val="20"/>
        </w:rPr>
        <w:br/>
        <w:t>z 3 lipca 2003 r. w sprawie książki obiektu budowlanego</w:t>
      </w:r>
      <w:r>
        <w:rPr>
          <w:szCs w:val="20"/>
          <w:vertAlign w:val="superscript"/>
        </w:rPr>
        <w:footnoteReference w:id="26"/>
      </w:r>
      <w:r w:rsidRPr="00AE7A5B">
        <w:rPr>
          <w:rFonts w:cs="Times New Roman"/>
          <w:bCs/>
          <w:szCs w:val="20"/>
        </w:rPr>
        <w:t xml:space="preserve"> (dalej: rozporządzenia książki obiektu).</w:t>
      </w:r>
    </w:p>
    <w:p w:rsidR="00AE7A5B" w:rsidRPr="00AE7A5B" w:rsidP="00AE7A5B">
      <w:pPr>
        <w:autoSpaceDE w:val="0"/>
        <w:autoSpaceDN w:val="0"/>
        <w:adjustRightInd w:val="0"/>
        <w:spacing w:after="120" w:line="240" w:lineRule="auto"/>
        <w:ind w:left="284"/>
        <w:jc w:val="left"/>
        <w:rPr>
          <w:rFonts w:cs="Times New Roman"/>
          <w:bCs/>
          <w:szCs w:val="20"/>
        </w:rPr>
      </w:pPr>
      <w:r w:rsidRPr="00AE7A5B">
        <w:rPr>
          <w:rFonts w:cs="Times New Roman"/>
          <w:bCs/>
          <w:szCs w:val="20"/>
        </w:rPr>
        <w:t>W zakresie oceny realizacji wniosków pokontrolnych ustalono, że na 35 zaleceń sformułowanych w poprzednich kontrolach (lata 2016-2020), 11 zaleceń nie zostało jeszcze wdrożonych. Niezrealizowane zalecenia dotyczyły głównie spraw z zakresu polityki kadrowej i archiwizacji.</w:t>
      </w:r>
    </w:p>
    <w:p w:rsidR="00AE7A5B" w:rsidRPr="00AE7A5B" w:rsidP="00AE7A5B">
      <w:pPr>
        <w:autoSpaceDE w:val="0"/>
        <w:autoSpaceDN w:val="0"/>
        <w:adjustRightInd w:val="0"/>
        <w:spacing w:after="120" w:line="240" w:lineRule="auto"/>
        <w:ind w:left="284"/>
        <w:jc w:val="left"/>
        <w:rPr>
          <w:rFonts w:cs="Times New Roman"/>
          <w:bCs/>
          <w:szCs w:val="20"/>
        </w:rPr>
      </w:pPr>
    </w:p>
    <w:p w:rsidR="00AE7A5B" w:rsidRPr="00AE7A5B" w:rsidP="00AE7A5B">
      <w:pPr>
        <w:spacing w:after="120" w:line="240" w:lineRule="auto"/>
        <w:ind w:left="284" w:hanging="284"/>
        <w:jc w:val="left"/>
        <w:rPr>
          <w:rFonts w:cs="Times New Roman"/>
          <w:b/>
          <w:bCs/>
          <w:szCs w:val="20"/>
        </w:rPr>
      </w:pPr>
      <w:bookmarkEnd w:id="6"/>
      <w:r w:rsidRPr="00AE7A5B">
        <w:rPr>
          <w:rFonts w:cs="Times New Roman"/>
          <w:b/>
          <w:bCs/>
          <w:szCs w:val="20"/>
        </w:rPr>
        <w:t>1.</w:t>
      </w:r>
      <w:r w:rsidRPr="00AE7A5B">
        <w:rPr>
          <w:rFonts w:cs="Times New Roman"/>
          <w:b/>
          <w:bCs/>
          <w:szCs w:val="20"/>
        </w:rPr>
        <w:tab/>
        <w:t xml:space="preserve">Działalność finansowa Instytutu </w:t>
      </w:r>
    </w:p>
    <w:p w:rsidR="00AE7A5B" w:rsidRPr="00AE7A5B" w:rsidP="00AE7A5B">
      <w:pPr>
        <w:spacing w:after="0" w:line="240" w:lineRule="auto"/>
        <w:ind w:left="794" w:hanging="794"/>
        <w:jc w:val="left"/>
        <w:rPr>
          <w:rFonts w:cs="Times New Roman"/>
          <w:b/>
          <w:bCs/>
          <w:szCs w:val="20"/>
        </w:rPr>
      </w:pPr>
      <w:r w:rsidRPr="00AE7A5B">
        <w:rPr>
          <w:rFonts w:cs="Times New Roman"/>
          <w:b/>
          <w:bCs/>
          <w:szCs w:val="20"/>
        </w:rPr>
        <w:t>a) Zasady gospodarki finansowej Instytutu</w:t>
      </w:r>
    </w:p>
    <w:p w:rsidR="00AE7A5B" w:rsidRPr="00AE7A5B" w:rsidP="00AE7A5B">
      <w:pPr>
        <w:spacing w:before="120" w:after="0" w:line="240" w:lineRule="auto"/>
        <w:jc w:val="left"/>
        <w:rPr>
          <w:rFonts w:cs="Times New Roman"/>
          <w:szCs w:val="20"/>
          <w:lang w:eastAsia="pl-PL" w:bidi="pl-PL"/>
        </w:rPr>
      </w:pPr>
      <w:r w:rsidRPr="00AE7A5B">
        <w:t xml:space="preserve">W okresie objętym kontrolą w Instytucie obowiązywała Polityka rachunkowości z 24 lipca 2019 r., która była </w:t>
      </w:r>
      <w:r w:rsidRPr="00AE7A5B">
        <w:rPr>
          <w:rFonts w:cs="Times New Roman"/>
          <w:szCs w:val="20"/>
          <w:lang w:eastAsia="pl-PL" w:bidi="pl-PL"/>
        </w:rPr>
        <w:t>zgodna z art. 10 ust. 1 ustawy o rachunkowości.</w:t>
      </w:r>
    </w:p>
    <w:p w:rsidR="00AE7A5B" w:rsidRPr="00AE7A5B" w:rsidP="00AE7A5B">
      <w:pPr>
        <w:spacing w:before="120" w:after="0" w:line="240" w:lineRule="auto"/>
        <w:jc w:val="left"/>
        <w:rPr>
          <w:sz w:val="24"/>
          <w:szCs w:val="20"/>
        </w:rPr>
      </w:pPr>
      <w:r w:rsidRPr="00AE7A5B">
        <w:rPr>
          <w:rFonts w:cs="Times New Roman"/>
          <w:szCs w:val="20"/>
        </w:rPr>
        <w:t>Kierownikowi Działu Finansowo-Księgowego 1 kwietnia 2017 r. p</w:t>
      </w:r>
      <w:r w:rsidRPr="00AE7A5B">
        <w:rPr>
          <w:szCs w:val="20"/>
        </w:rPr>
        <w:t>owierzono funkcję Głównego Księgowego</w:t>
      </w:r>
      <w:r>
        <w:rPr>
          <w:szCs w:val="20"/>
          <w:vertAlign w:val="superscript"/>
        </w:rPr>
        <w:footnoteReference w:id="27"/>
      </w:r>
      <w:r w:rsidRPr="00AE7A5B">
        <w:rPr>
          <w:szCs w:val="20"/>
        </w:rPr>
        <w:t>.</w:t>
      </w:r>
    </w:p>
    <w:p w:rsidR="00AE7A5B" w:rsidRPr="00AE7A5B" w:rsidP="00AE7A5B">
      <w:pPr>
        <w:spacing w:before="120" w:after="120" w:line="240" w:lineRule="auto"/>
        <w:jc w:val="left"/>
        <w:rPr>
          <w:sz w:val="18"/>
          <w:szCs w:val="18"/>
        </w:rPr>
      </w:pPr>
      <w:r w:rsidRPr="00AE7A5B">
        <w:rPr>
          <w:rFonts w:cs="Times New Roman"/>
          <w:szCs w:val="20"/>
        </w:rPr>
        <w:t xml:space="preserve">[Dowód: akta kontroli str. I/SP/350-351, I/SP/383-385, </w:t>
      </w:r>
      <w:r w:rsidRPr="00AE7A5B">
        <w:rPr>
          <w:szCs w:val="20"/>
        </w:rPr>
        <w:t>I/SP/410-426</w:t>
      </w:r>
      <w:r w:rsidRPr="00AE7A5B">
        <w:rPr>
          <w:rFonts w:cs="Times New Roman"/>
          <w:szCs w:val="20"/>
        </w:rPr>
        <w:t>]</w:t>
      </w:r>
    </w:p>
    <w:p w:rsidR="00AE7A5B" w:rsidRPr="00AE7A5B" w:rsidP="00AE7A5B">
      <w:pPr>
        <w:autoSpaceDE w:val="0"/>
        <w:autoSpaceDN w:val="0"/>
        <w:adjustRightInd w:val="0"/>
        <w:spacing w:after="120" w:line="240" w:lineRule="auto"/>
        <w:jc w:val="left"/>
        <w:rPr>
          <w:rFonts w:cs="Times New Roman"/>
          <w:szCs w:val="20"/>
        </w:rPr>
      </w:pPr>
      <w:r w:rsidRPr="00AE7A5B">
        <w:t xml:space="preserve">Instytut oprócz działalności podstawowej, o której mowa w art. 2 ust. 1-3 ustawy o instytutach badawczych, prowadził działalność gospodarczą dotyczącą </w:t>
      </w:r>
      <w:r w:rsidRPr="00AE7A5B">
        <w:rPr>
          <w:szCs w:val="20"/>
        </w:rPr>
        <w:t xml:space="preserve">m.in. wynajmu pomieszczeń, </w:t>
      </w:r>
      <w:r w:rsidRPr="00AE7A5B">
        <w:rPr>
          <w:rFonts w:cs="Times New Roman"/>
          <w:szCs w:val="20"/>
        </w:rPr>
        <w:t xml:space="preserve">udostępniania i sprzedaży materiałów geologicznych. </w:t>
      </w:r>
      <w:r w:rsidRPr="00AE7A5B">
        <w:rPr>
          <w:rFonts w:cs="Times New Roman"/>
          <w:szCs w:val="20"/>
          <w:lang w:eastAsia="pl-PL" w:bidi="pl-PL"/>
        </w:rPr>
        <w:t>Z tytułu ww. działalności Instytut w 2020 r. poniósł stratę w wysokości 176 tys. zł, a w 2021 r. osiągnął zysk w wysokości 429 tys. zł.</w:t>
      </w:r>
    </w:p>
    <w:p w:rsidR="00AE7A5B" w:rsidRPr="00AE7A5B" w:rsidP="00AE7A5B">
      <w:pPr>
        <w:autoSpaceDE w:val="0"/>
        <w:autoSpaceDN w:val="0"/>
        <w:adjustRightInd w:val="0"/>
        <w:spacing w:after="0" w:line="240" w:lineRule="auto"/>
        <w:jc w:val="left"/>
        <w:rPr>
          <w:rFonts w:cs="Times New Roman"/>
          <w:lang w:eastAsia="pl-PL" w:bidi="pl-PL"/>
        </w:rPr>
      </w:pPr>
      <w:r w:rsidRPr="00AE7A5B">
        <w:rPr>
          <w:bCs/>
          <w:iCs/>
          <w:szCs w:val="20"/>
        </w:rPr>
        <w:t xml:space="preserve">Działalność ta została wyodrębniona pod względem finansowym i rachunkowym zgodnie z art. 2 ust. 4 ustawy o instytutach badawczych. </w:t>
      </w:r>
    </w:p>
    <w:p w:rsidR="00AE7A5B" w:rsidRPr="00AE7A5B" w:rsidP="00AE7A5B">
      <w:pPr>
        <w:suppressAutoHyphens/>
        <w:spacing w:before="120" w:after="120" w:line="240" w:lineRule="auto"/>
        <w:jc w:val="left"/>
        <w:rPr>
          <w:rFonts w:cs="Times New Roman"/>
          <w:sz w:val="24"/>
          <w:szCs w:val="20"/>
        </w:rPr>
      </w:pPr>
      <w:r w:rsidRPr="00AE7A5B">
        <w:rPr>
          <w:rFonts w:cs="Times New Roman"/>
          <w:szCs w:val="20"/>
        </w:rPr>
        <w:t>[Dowód: akta kontroli str. I/SP/386-391,</w:t>
      </w:r>
      <w:r w:rsidRPr="00AE7A5B">
        <w:rPr>
          <w:szCs w:val="20"/>
        </w:rPr>
        <w:t xml:space="preserve"> I/SP/410-426</w:t>
      </w:r>
      <w:r w:rsidRPr="00AE7A5B">
        <w:rPr>
          <w:rFonts w:cs="Times New Roman"/>
          <w:szCs w:val="20"/>
        </w:rPr>
        <w:t>]</w:t>
      </w:r>
    </w:p>
    <w:p w:rsidR="00AE7A5B" w:rsidRPr="00AE7A5B" w:rsidP="00AE7A5B">
      <w:pPr>
        <w:spacing w:after="0" w:line="240" w:lineRule="auto"/>
        <w:jc w:val="left"/>
      </w:pPr>
      <w:r w:rsidRPr="00AE7A5B">
        <w:t xml:space="preserve">W okresie objętym kontrolą Dyrektor ustalił roczne plany finansowe na lata 2020 i 2021 </w:t>
      </w:r>
      <w:r w:rsidRPr="00AE7A5B">
        <w:br/>
        <w:t>po uzyskaniu pozytywnej opinii Rady Naukowej</w:t>
      </w:r>
      <w:r>
        <w:rPr>
          <w:vertAlign w:val="superscript"/>
        </w:rPr>
        <w:footnoteReference w:id="28"/>
      </w:r>
      <w:r w:rsidRPr="00AE7A5B">
        <w:t>.</w:t>
      </w:r>
    </w:p>
    <w:p w:rsidR="00AE7A5B" w:rsidRPr="00AE7A5B" w:rsidP="00AE7A5B">
      <w:pPr>
        <w:spacing w:before="120" w:after="0" w:line="240" w:lineRule="auto"/>
        <w:jc w:val="left"/>
        <w:rPr>
          <w:szCs w:val="20"/>
        </w:rPr>
      </w:pPr>
      <w:bookmarkStart w:id="7" w:name="_Hlk140220236"/>
      <w:r w:rsidRPr="00AE7A5B">
        <w:t>Natomiast w przypadku korekty planu finansowego na 2020 r. opinia Rady Naukowej</w:t>
      </w:r>
      <w:r>
        <w:rPr>
          <w:rFonts w:cs="Times New Roman"/>
          <w:szCs w:val="20"/>
          <w:vertAlign w:val="superscript"/>
        </w:rPr>
        <w:footnoteReference w:id="29"/>
      </w:r>
      <w:r w:rsidRPr="00AE7A5B">
        <w:rPr>
          <w:rFonts w:cs="Times New Roman"/>
          <w:szCs w:val="20"/>
        </w:rPr>
        <w:t>,</w:t>
      </w:r>
      <w:r w:rsidRPr="00AE7A5B">
        <w:t xml:space="preserve"> została wydana po zatwierdzeniu przez Dyrektora</w:t>
      </w:r>
      <w:r>
        <w:rPr>
          <w:vertAlign w:val="superscript"/>
        </w:rPr>
        <w:footnoteReference w:id="30"/>
      </w:r>
      <w:r w:rsidRPr="00AE7A5B">
        <w:t xml:space="preserve">, </w:t>
      </w:r>
      <w:r w:rsidRPr="00AE7A5B">
        <w:rPr>
          <w:rFonts w:cs="Times New Roman"/>
          <w:szCs w:val="20"/>
        </w:rPr>
        <w:t>co było niezgodne z art. 18 ust. 12 ustawy o instytutach badawczych</w:t>
      </w:r>
      <w:r>
        <w:rPr>
          <w:rFonts w:cs="Times New Roman"/>
          <w:szCs w:val="20"/>
          <w:vertAlign w:val="superscript"/>
        </w:rPr>
        <w:footnoteReference w:id="31"/>
      </w:r>
      <w:r w:rsidRPr="00AE7A5B">
        <w:rPr>
          <w:rFonts w:cs="Times New Roman"/>
          <w:szCs w:val="20"/>
        </w:rPr>
        <w:t xml:space="preserve"> i </w:t>
      </w:r>
      <w:r w:rsidRPr="00AE7A5B">
        <w:rPr>
          <w:rFonts w:eastAsia="Times New Roman" w:cs="Times New Roman"/>
          <w:szCs w:val="20"/>
          <w:shd w:val="clear" w:color="auto" w:fill="FFFFFF"/>
          <w:lang w:eastAsia="pl-PL"/>
        </w:rPr>
        <w:t>§ 6 pkt 7 Instrukcji sporządzania i realizacji planu finansowego PIG</w:t>
      </w:r>
      <w:bookmarkStart w:id="8" w:name="_Hlk146033114"/>
      <w:bookmarkStart w:id="9" w:name="_Hlk140220305"/>
      <w:bookmarkEnd w:id="7"/>
      <w:r>
        <w:rPr>
          <w:rFonts w:eastAsia="Times New Roman" w:cs="Times New Roman"/>
          <w:szCs w:val="20"/>
          <w:shd w:val="clear" w:color="auto" w:fill="FFFFFF"/>
          <w:vertAlign w:val="superscript"/>
          <w:lang w:eastAsia="pl-PL"/>
        </w:rPr>
        <w:footnoteReference w:id="32"/>
      </w:r>
      <w:bookmarkEnd w:id="8"/>
      <w:r w:rsidRPr="00AE7A5B">
        <w:rPr>
          <w:rFonts w:eastAsia="Times New Roman" w:cs="Times New Roman"/>
          <w:szCs w:val="20"/>
          <w:shd w:val="clear" w:color="auto" w:fill="FFFFFF"/>
          <w:lang w:eastAsia="pl-PL"/>
        </w:rPr>
        <w:t>.</w:t>
      </w:r>
      <w:bookmarkEnd w:id="9"/>
    </w:p>
    <w:p w:rsidR="00AE7A5B" w:rsidRPr="00AE7A5B" w:rsidP="00AE7A5B">
      <w:pPr>
        <w:autoSpaceDE w:val="0"/>
        <w:autoSpaceDN w:val="0"/>
        <w:adjustRightInd w:val="0"/>
        <w:spacing w:before="120" w:after="0" w:line="240" w:lineRule="auto"/>
        <w:jc w:val="left"/>
        <w:rPr>
          <w:rFonts w:eastAsia="Times New Roman" w:cs="Times New Roman"/>
          <w:szCs w:val="20"/>
          <w:lang w:eastAsia="pl-PL"/>
        </w:rPr>
      </w:pPr>
      <w:r w:rsidRPr="00AE7A5B">
        <w:rPr>
          <w:rFonts w:cs="Times New Roman"/>
          <w:szCs w:val="20"/>
        </w:rPr>
        <w:t>Zastępca Dyrektora ds. Administracyjno-Ekonomicznych wyjaśnił</w:t>
      </w:r>
      <w:r>
        <w:rPr>
          <w:rFonts w:cs="Times New Roman"/>
          <w:szCs w:val="20"/>
          <w:vertAlign w:val="superscript"/>
        </w:rPr>
        <w:footnoteReference w:id="33"/>
      </w:r>
      <w:r w:rsidRPr="00AE7A5B">
        <w:rPr>
          <w:rFonts w:cs="Times New Roman"/>
          <w:szCs w:val="20"/>
        </w:rPr>
        <w:t>, że p</w:t>
      </w:r>
      <w:r w:rsidRPr="00AE7A5B">
        <w:rPr>
          <w:rFonts w:eastAsia="Times New Roman" w:cs="Times New Roman"/>
          <w:szCs w:val="20"/>
          <w:lang w:eastAsia="pl-PL"/>
        </w:rPr>
        <w:t xml:space="preserve">ozytywna opinia Rady Naukowej nie wpłynęła na konieczność wprowadzenia jakichkolwiek zmian do już zaakceptowanej korekty planu. </w:t>
      </w:r>
    </w:p>
    <w:p w:rsidR="00AE7A5B" w:rsidRPr="00AE7A5B" w:rsidP="00AE7A5B">
      <w:pPr>
        <w:autoSpaceDE w:val="0"/>
        <w:autoSpaceDN w:val="0"/>
        <w:adjustRightInd w:val="0"/>
        <w:spacing w:before="120" w:after="120" w:line="240" w:lineRule="auto"/>
        <w:jc w:val="left"/>
      </w:pPr>
      <w:r w:rsidRPr="00AE7A5B">
        <w:t xml:space="preserve">Roczne plany finansowe Instytutu na lata 2020-2021 uwzględniały strukturę przewidzianą w art. 18 ust. 11 ustawy o instytutach badawczych. </w:t>
      </w:r>
    </w:p>
    <w:p w:rsidR="00AE7A5B" w:rsidRPr="00AE7A5B" w:rsidP="00AE7A5B">
      <w:pPr>
        <w:spacing w:before="120" w:after="120" w:line="240" w:lineRule="auto"/>
        <w:jc w:val="left"/>
      </w:pPr>
      <w:r w:rsidRPr="00AE7A5B">
        <w:rPr>
          <w:rFonts w:cs="Times New Roman"/>
          <w:szCs w:val="20"/>
        </w:rPr>
        <w:t>[Dowód: akta kontroli str. I/SP/1-10, I/SP/352-373, I</w:t>
      </w:r>
      <w:r w:rsidRPr="00AE7A5B">
        <w:rPr>
          <w:szCs w:val="20"/>
        </w:rPr>
        <w:t>/SP/410-426</w:t>
      </w:r>
      <w:r w:rsidRPr="00AE7A5B">
        <w:rPr>
          <w:rFonts w:cs="Times New Roman"/>
          <w:szCs w:val="20"/>
        </w:rPr>
        <w:t>]</w:t>
      </w:r>
    </w:p>
    <w:p w:rsidR="00AE7A5B" w:rsidRPr="00AE7A5B" w:rsidP="00AE7A5B">
      <w:pPr>
        <w:spacing w:after="0" w:line="240" w:lineRule="auto"/>
        <w:jc w:val="left"/>
        <w:rPr>
          <w:rFonts w:cs="Times New Roman"/>
          <w:szCs w:val="20"/>
        </w:rPr>
      </w:pPr>
      <w:r w:rsidRPr="00AE7A5B">
        <w:rPr>
          <w:rFonts w:cs="Times New Roman"/>
          <w:szCs w:val="20"/>
        </w:rPr>
        <w:t>W 2020 r. i 2021 r. Instytut zaplanował przychody na poziomie odpowiednio</w:t>
      </w:r>
      <w:r w:rsidRPr="00AE7A5B">
        <w:rPr>
          <w:rFonts w:cs="Times New Roman"/>
          <w:szCs w:val="20"/>
        </w:rPr>
        <w:t xml:space="preserve"> </w:t>
      </w:r>
      <w:r w:rsidRPr="00AE7A5B">
        <w:rPr>
          <w:rFonts w:cs="Times New Roman"/>
          <w:szCs w:val="20"/>
        </w:rPr>
        <w:t xml:space="preserve">131 170 tys. zł </w:t>
      </w:r>
      <w:r w:rsidRPr="00AE7A5B">
        <w:rPr>
          <w:rFonts w:cs="Times New Roman"/>
          <w:szCs w:val="20"/>
        </w:rPr>
        <w:br/>
        <w:t>i 149 936 tys. zł</w:t>
      </w:r>
      <w:r>
        <w:rPr>
          <w:szCs w:val="20"/>
          <w:vertAlign w:val="superscript"/>
        </w:rPr>
        <w:footnoteReference w:id="34"/>
      </w:r>
      <w:r w:rsidRPr="00AE7A5B">
        <w:rPr>
          <w:rFonts w:cs="Times New Roman"/>
          <w:szCs w:val="20"/>
        </w:rPr>
        <w:t xml:space="preserve">, </w:t>
      </w:r>
      <w:r w:rsidRPr="00AE7A5B">
        <w:t xml:space="preserve">a największą pozycję stanowiły przychody z tytułu dotacji na Państwową Służbę Geologiczną (dalej: PSG). Koszty zaplanowano na poziomie </w:t>
      </w:r>
      <w:r w:rsidRPr="00AE7A5B">
        <w:rPr>
          <w:rFonts w:cs="Times New Roman"/>
          <w:szCs w:val="20"/>
        </w:rPr>
        <w:t>odpowiednio 130 891 tys. zł i 149 806 tys. zł, a największą pozycję stanowiły koszty na wynagrodzenia i naliczone od nich składki.</w:t>
      </w:r>
    </w:p>
    <w:p w:rsidR="00AE7A5B" w:rsidRPr="00AE7A5B" w:rsidP="00AE7A5B">
      <w:pPr>
        <w:spacing w:after="0" w:line="240" w:lineRule="auto"/>
        <w:jc w:val="left"/>
        <w:rPr>
          <w:rFonts w:cs="Times New Roman"/>
          <w:szCs w:val="20"/>
          <w:lang w:eastAsia="pl-PL" w:bidi="pl-PL"/>
        </w:rPr>
      </w:pPr>
      <w:r w:rsidRPr="00AE7A5B">
        <w:rPr>
          <w:rFonts w:cs="Times New Roman"/>
          <w:szCs w:val="20"/>
          <w:lang w:eastAsia="pl-PL" w:bidi="pl-PL"/>
        </w:rPr>
        <w:t xml:space="preserve">Wykonanie planu finansowego na 2020 r. w zakresie przychodów i kosztów było na poziomie 104 %, a na 2021 r. w zakresie przychodów na poziomie 95 %, zaś kosztów 93 %. </w:t>
      </w:r>
    </w:p>
    <w:p w:rsidR="00AE7A5B" w:rsidRPr="00AE7A5B" w:rsidP="00AE7A5B">
      <w:pPr>
        <w:spacing w:before="120" w:after="0" w:line="240" w:lineRule="auto"/>
        <w:jc w:val="left"/>
        <w:rPr>
          <w:rFonts w:eastAsia="Times New Roman" w:cs="Times New Roman"/>
          <w:szCs w:val="20"/>
          <w:lang w:eastAsia="pl-PL"/>
        </w:rPr>
      </w:pPr>
      <w:r w:rsidRPr="00AE7A5B">
        <w:rPr>
          <w:rFonts w:cs="Times New Roman"/>
          <w:szCs w:val="20"/>
          <w:lang w:eastAsia="pl-PL" w:bidi="pl-PL"/>
        </w:rPr>
        <w:t>Zastępca Dyrektora ds. Administracyjno-Ekonomicznych wyjaśnił</w:t>
      </w:r>
      <w:r>
        <w:rPr>
          <w:rFonts w:cs="Times New Roman"/>
          <w:szCs w:val="20"/>
          <w:vertAlign w:val="superscript"/>
          <w:lang w:eastAsia="pl-PL" w:bidi="pl-PL"/>
        </w:rPr>
        <w:footnoteReference w:id="35"/>
      </w:r>
      <w:r w:rsidRPr="00AE7A5B">
        <w:rPr>
          <w:rFonts w:cs="Times New Roman"/>
          <w:szCs w:val="20"/>
          <w:lang w:eastAsia="pl-PL" w:bidi="pl-PL"/>
        </w:rPr>
        <w:t>, że p</w:t>
      </w:r>
      <w:r w:rsidRPr="00AE7A5B">
        <w:rPr>
          <w:rFonts w:eastAsia="Times New Roman" w:cs="Times New Roman"/>
          <w:szCs w:val="20"/>
          <w:lang w:eastAsia="pl-PL"/>
        </w:rPr>
        <w:t xml:space="preserve">rzyczyną rozbieżności pomiędzy planem a wykonaniem mogą wynikać m.in. z jakości planowania. Dodatkowo poinformował, że Instytut jest obecnie w trakcie zmian zasad planowania. </w:t>
      </w:r>
    </w:p>
    <w:p w:rsidR="00AE7A5B" w:rsidRPr="00AE7A5B" w:rsidP="00AE7A5B">
      <w:pPr>
        <w:spacing w:before="120" w:after="120" w:line="240" w:lineRule="auto"/>
        <w:jc w:val="left"/>
      </w:pPr>
      <w:bookmarkStart w:id="10" w:name="_Hlk140133292"/>
      <w:r w:rsidRPr="00AE7A5B">
        <w:rPr>
          <w:rFonts w:cs="Times New Roman"/>
          <w:szCs w:val="20"/>
        </w:rPr>
        <w:t>[Dowód: akta kontroli str. I/SP/392-394, I/</w:t>
      </w:r>
      <w:r w:rsidRPr="00AE7A5B">
        <w:rPr>
          <w:szCs w:val="20"/>
        </w:rPr>
        <w:t>SP/410-426</w:t>
      </w:r>
      <w:r w:rsidRPr="00AE7A5B">
        <w:rPr>
          <w:rFonts w:cs="Times New Roman"/>
          <w:szCs w:val="20"/>
        </w:rPr>
        <w:t>]</w:t>
      </w:r>
      <w:bookmarkEnd w:id="10"/>
    </w:p>
    <w:p w:rsidR="00AE7A5B" w:rsidRPr="00AE7A5B" w:rsidP="00AE7A5B">
      <w:pPr>
        <w:spacing w:after="0" w:line="240" w:lineRule="auto"/>
        <w:jc w:val="left"/>
        <w:rPr>
          <w:rFonts w:cs="Times New Roman"/>
          <w:szCs w:val="20"/>
        </w:rPr>
      </w:pPr>
      <w:r w:rsidRPr="00AE7A5B">
        <w:rPr>
          <w:rFonts w:cs="Times New Roman"/>
          <w:szCs w:val="20"/>
          <w:lang w:eastAsia="pl-PL" w:bidi="pl-PL"/>
        </w:rPr>
        <w:t>Zarówno w 2020 r. jak i w 2021 r. Instytut poniósł stratę odpowiednio ma poziomie 3 878 tys. zł i 4 042 tys. zł.</w:t>
      </w:r>
    </w:p>
    <w:p w:rsidR="00AE7A5B" w:rsidRPr="00AE7A5B" w:rsidP="00AE7A5B">
      <w:pPr>
        <w:spacing w:before="120" w:after="0" w:line="240" w:lineRule="auto"/>
        <w:jc w:val="left"/>
        <w:rPr>
          <w:rFonts w:eastAsia="Times New Roman" w:cs="Times New Roman"/>
          <w:szCs w:val="20"/>
          <w:lang w:eastAsia="pl-PL"/>
        </w:rPr>
      </w:pPr>
      <w:r w:rsidRPr="00AE7A5B">
        <w:rPr>
          <w:rFonts w:eastAsia="Times New Roman" w:cs="Times New Roman"/>
          <w:szCs w:val="20"/>
          <w:lang w:eastAsia="pl-PL"/>
        </w:rPr>
        <w:t>Dyrektor wyjaśnił</w:t>
      </w:r>
      <w:r>
        <w:rPr>
          <w:rFonts w:cs="Times New Roman"/>
          <w:szCs w:val="20"/>
          <w:vertAlign w:val="superscript"/>
          <w:lang w:eastAsia="pl-PL" w:bidi="pl-PL"/>
        </w:rPr>
        <w:footnoteReference w:id="36"/>
      </w:r>
      <w:r w:rsidRPr="00AE7A5B">
        <w:rPr>
          <w:rFonts w:eastAsia="Times New Roman" w:cs="Times New Roman"/>
          <w:szCs w:val="20"/>
          <w:lang w:eastAsia="pl-PL"/>
        </w:rPr>
        <w:t xml:space="preserve">, że straty były spowodowane m.in. niedostosowaniem kosztów pośrednich do limitów narzuconych przez finansujących. Dodatkowo poinformował, </w:t>
      </w:r>
      <w:r w:rsidRPr="00AE7A5B">
        <w:rPr>
          <w:rFonts w:eastAsia="Times New Roman" w:cs="Times New Roman"/>
          <w:szCs w:val="20"/>
          <w:lang w:eastAsia="pl-PL"/>
        </w:rPr>
        <w:br/>
        <w:t xml:space="preserve">że w 2021 r. przygotowano plan naprawczy w celu poprawy wyniku finansowego, w wyniku którego strata za 2022 r. zmniejszyła się o 1 629 tys. zł – 40% w stosunku do 2021 r., </w:t>
      </w:r>
      <w:r w:rsidRPr="00AE7A5B">
        <w:rPr>
          <w:rFonts w:eastAsia="Times New Roman" w:cs="Times New Roman"/>
          <w:szCs w:val="20"/>
          <w:lang w:eastAsia="pl-PL"/>
        </w:rPr>
        <w:t>natomiast planowana w 2023 r. strata ma się zmniejszyć o 2 507 tys. zł – 62% w stosunku do 2021 r.</w:t>
      </w:r>
    </w:p>
    <w:p w:rsidR="00AE7A5B" w:rsidRPr="00AE7A5B" w:rsidP="00AE7A5B">
      <w:pPr>
        <w:spacing w:before="120" w:after="120" w:line="240" w:lineRule="auto"/>
        <w:jc w:val="left"/>
      </w:pPr>
      <w:r w:rsidRPr="00AE7A5B">
        <w:rPr>
          <w:rFonts w:cs="Times New Roman"/>
          <w:szCs w:val="20"/>
        </w:rPr>
        <w:t>[Dowód: akta kontroli str. I/SP/395-408, I</w:t>
      </w:r>
      <w:r w:rsidRPr="00AE7A5B">
        <w:rPr>
          <w:szCs w:val="20"/>
        </w:rPr>
        <w:t>/SP/410-426</w:t>
      </w:r>
      <w:r w:rsidRPr="00AE7A5B">
        <w:rPr>
          <w:rFonts w:cs="Times New Roman"/>
          <w:szCs w:val="20"/>
        </w:rPr>
        <w:t>]</w:t>
      </w:r>
    </w:p>
    <w:p w:rsidR="00AE7A5B" w:rsidRPr="00AE7A5B" w:rsidP="00AE7A5B">
      <w:pPr>
        <w:spacing w:after="0" w:line="240" w:lineRule="auto"/>
        <w:jc w:val="left"/>
      </w:pPr>
      <w:r w:rsidRPr="00AE7A5B">
        <w:rPr>
          <w:rFonts w:cs="Times New Roman"/>
          <w:szCs w:val="20"/>
        </w:rPr>
        <w:t>Sprawozdania finansowe za rok 2020 i 2021 zostały sporządzone zgodnie z przepisami rozdziału 5 ustawy o rachunkowości</w:t>
      </w:r>
      <w:r>
        <w:rPr>
          <w:vertAlign w:val="superscript"/>
        </w:rPr>
        <w:footnoteReference w:id="37"/>
      </w:r>
      <w:r w:rsidRPr="00AE7A5B">
        <w:rPr>
          <w:rFonts w:cs="Times New Roman"/>
          <w:szCs w:val="20"/>
        </w:rPr>
        <w:t xml:space="preserve"> i podlegały  </w:t>
      </w:r>
      <w:r w:rsidRPr="00AE7A5B">
        <w:t xml:space="preserve">badaniu przez biegłego rewidenta, zgodnie z art. 64 ust. 1 pkt 4 ustawy o rachunkowości. Ponadto ww. </w:t>
      </w:r>
      <w:r w:rsidRPr="00AE7A5B">
        <w:rPr>
          <w:rFonts w:cs="Times New Roman"/>
          <w:szCs w:val="20"/>
        </w:rPr>
        <w:t xml:space="preserve">sprawozdania oraz propozycje Dyrektora dotyczące pokrycia strat zostały </w:t>
      </w:r>
      <w:r w:rsidRPr="00AE7A5B">
        <w:t>pozytywnie zaopiniowane przez Radę Naukową</w:t>
      </w:r>
      <w:r>
        <w:rPr>
          <w:vertAlign w:val="superscript"/>
        </w:rPr>
        <w:footnoteReference w:id="38"/>
      </w:r>
      <w:r w:rsidRPr="00AE7A5B">
        <w:t xml:space="preserve"> i zatwierdzone przez Ministra Klimatu i Środowiska</w:t>
      </w:r>
      <w:r>
        <w:rPr>
          <w:vertAlign w:val="superscript"/>
        </w:rPr>
        <w:footnoteReference w:id="39"/>
      </w:r>
      <w:r w:rsidRPr="00AE7A5B">
        <w:t xml:space="preserve">. </w:t>
      </w:r>
      <w:r w:rsidRPr="00AE7A5B">
        <w:rPr>
          <w:rFonts w:cs="Times New Roman"/>
          <w:szCs w:val="20"/>
        </w:rPr>
        <w:t>Minister nadzorujący zatwierdził pokrycie straty:</w:t>
      </w:r>
    </w:p>
    <w:p w:rsidR="00AE7A5B" w:rsidRPr="00AE7A5B" w:rsidP="00AE7A5B">
      <w:pPr>
        <w:numPr>
          <w:ilvl w:val="0"/>
          <w:numId w:val="3"/>
        </w:numPr>
        <w:spacing w:after="0" w:line="240" w:lineRule="auto"/>
        <w:ind w:left="284" w:hanging="284"/>
        <w:jc w:val="left"/>
        <w:rPr>
          <w:rFonts w:cs="Times New Roman"/>
          <w:szCs w:val="20"/>
        </w:rPr>
      </w:pPr>
      <w:r w:rsidRPr="00AE7A5B">
        <w:rPr>
          <w:rFonts w:cs="Times New Roman"/>
          <w:szCs w:val="20"/>
        </w:rPr>
        <w:t>za 2020 r. z funduszu rezerwowego na kwotę 951 tys. zł i z funduszu podstawowego na kwotę 2 927 tys. zł</w:t>
      </w:r>
      <w:r>
        <w:rPr>
          <w:rFonts w:cs="Times New Roman"/>
          <w:szCs w:val="20"/>
          <w:vertAlign w:val="superscript"/>
        </w:rPr>
        <w:footnoteReference w:id="40"/>
      </w:r>
      <w:r w:rsidRPr="00AE7A5B">
        <w:rPr>
          <w:rFonts w:cs="Times New Roman"/>
          <w:szCs w:val="20"/>
        </w:rPr>
        <w:t>;</w:t>
      </w:r>
    </w:p>
    <w:p w:rsidR="00AE7A5B" w:rsidRPr="00AE7A5B" w:rsidP="00AE7A5B">
      <w:pPr>
        <w:numPr>
          <w:ilvl w:val="0"/>
          <w:numId w:val="3"/>
        </w:numPr>
        <w:spacing w:after="0" w:line="240" w:lineRule="auto"/>
        <w:ind w:left="284" w:hanging="284"/>
        <w:jc w:val="left"/>
        <w:rPr>
          <w:rFonts w:cs="Times New Roman"/>
          <w:szCs w:val="20"/>
        </w:rPr>
      </w:pPr>
      <w:r w:rsidRPr="00AE7A5B">
        <w:rPr>
          <w:rFonts w:cs="Times New Roman"/>
          <w:szCs w:val="20"/>
        </w:rPr>
        <w:t>za 2021 r. z funduszu podstawowego na kwotę 4 042 tys. zł</w:t>
      </w:r>
      <w:r>
        <w:rPr>
          <w:rFonts w:cs="Times New Roman"/>
          <w:szCs w:val="20"/>
          <w:vertAlign w:val="superscript"/>
        </w:rPr>
        <w:footnoteReference w:id="41"/>
      </w:r>
      <w:r w:rsidRPr="00AE7A5B">
        <w:rPr>
          <w:rFonts w:cs="Times New Roman"/>
          <w:szCs w:val="20"/>
        </w:rPr>
        <w:t>.</w:t>
      </w:r>
    </w:p>
    <w:p w:rsidR="00AE7A5B" w:rsidRPr="00AE7A5B" w:rsidP="00AE7A5B">
      <w:pPr>
        <w:spacing w:before="120" w:after="120" w:line="240" w:lineRule="auto"/>
        <w:jc w:val="left"/>
      </w:pPr>
      <w:r w:rsidRPr="00AE7A5B">
        <w:t xml:space="preserve">Instytut terminowo złożył sprawozdania finansowe za 2020 r. i 2021 r. do Krajowego Rejestru Sądowego (dalej: KRS), zgodnie z art. 69 ust. 1 ustawy o rachunkowości. </w:t>
      </w:r>
    </w:p>
    <w:p w:rsidR="00AE7A5B" w:rsidRPr="00AE7A5B" w:rsidP="00AE7A5B">
      <w:pPr>
        <w:spacing w:after="120" w:line="240" w:lineRule="auto"/>
        <w:jc w:val="left"/>
        <w:rPr>
          <w:rFonts w:cs="Times New Roman"/>
          <w:szCs w:val="20"/>
          <w:lang w:eastAsia="pl-PL" w:bidi="pl-PL"/>
        </w:rPr>
      </w:pPr>
      <w:r w:rsidRPr="00AE7A5B">
        <w:t xml:space="preserve">W kontrolowanym okresie Instytut posiadał fundusz statutowy, rezerwowy, zakładowy fundusz świadczeń socjalnych, </w:t>
      </w:r>
      <w:r w:rsidRPr="00AE7A5B">
        <w:rPr>
          <w:rFonts w:cs="Times New Roman"/>
          <w:szCs w:val="20"/>
          <w:lang w:eastAsia="pl-PL" w:bidi="pl-PL"/>
        </w:rPr>
        <w:t xml:space="preserve">badań własnych, nagród, stypendialny, </w:t>
      </w:r>
      <w:r w:rsidRPr="00AE7A5B">
        <w:t xml:space="preserve">zgodnie z art. 19 </w:t>
      </w:r>
      <w:r w:rsidRPr="00AE7A5B">
        <w:br/>
        <w:t xml:space="preserve">ust. 1 i 2 ustawy o instytutach badawczych. </w:t>
      </w:r>
    </w:p>
    <w:p w:rsidR="00AE7A5B" w:rsidRPr="00AE7A5B" w:rsidP="00AE7A5B">
      <w:pPr>
        <w:spacing w:after="120" w:line="240" w:lineRule="auto"/>
        <w:jc w:val="left"/>
        <w:rPr>
          <w:rFonts w:cs="Times New Roman"/>
          <w:szCs w:val="20"/>
          <w:lang w:eastAsia="pl-PL" w:bidi="pl-PL"/>
        </w:rPr>
      </w:pPr>
      <w:r w:rsidRPr="00AE7A5B">
        <w:rPr>
          <w:rFonts w:cs="Times New Roman"/>
          <w:szCs w:val="20"/>
        </w:rPr>
        <w:t>[Dowód: akta kontroli str. I</w:t>
      </w:r>
      <w:r w:rsidRPr="00AE7A5B">
        <w:rPr>
          <w:szCs w:val="20"/>
        </w:rPr>
        <w:t>/SP/410-426</w:t>
      </w:r>
      <w:r w:rsidRPr="00AE7A5B">
        <w:rPr>
          <w:rFonts w:cs="Times New Roman"/>
          <w:szCs w:val="20"/>
        </w:rPr>
        <w:t>]</w:t>
      </w:r>
    </w:p>
    <w:p w:rsidR="00AE7A5B" w:rsidRPr="00AE7A5B" w:rsidP="00AE7A5B">
      <w:pPr>
        <w:spacing w:after="120" w:line="240" w:lineRule="auto"/>
        <w:jc w:val="left"/>
        <w:rPr>
          <w:rFonts w:cs="Times New Roman"/>
          <w:b/>
          <w:bCs/>
          <w:szCs w:val="20"/>
        </w:rPr>
      </w:pPr>
      <w:r w:rsidRPr="00AE7A5B">
        <w:rPr>
          <w:rFonts w:cs="Times New Roman"/>
          <w:b/>
          <w:bCs/>
          <w:szCs w:val="20"/>
        </w:rPr>
        <w:t>b) Realizacja źródeł przychodów oraz kosztów</w:t>
      </w:r>
    </w:p>
    <w:p w:rsidR="00AE7A5B" w:rsidRPr="00AE7A5B" w:rsidP="00AE7A5B">
      <w:pPr>
        <w:spacing w:after="0" w:line="240" w:lineRule="auto"/>
        <w:jc w:val="left"/>
        <w:rPr>
          <w:rFonts w:cs="Times New Roman"/>
          <w:szCs w:val="20"/>
        </w:rPr>
      </w:pPr>
      <w:r w:rsidRPr="00AE7A5B">
        <w:rPr>
          <w:rFonts w:cs="Times New Roman"/>
          <w:szCs w:val="20"/>
        </w:rPr>
        <w:t xml:space="preserve">PIG w 2020 r. osiągnął przychody na poziomie 136 187 tys. zł, które były wyższe </w:t>
      </w:r>
      <w:r w:rsidRPr="00AE7A5B">
        <w:rPr>
          <w:rFonts w:cs="Times New Roman"/>
          <w:szCs w:val="20"/>
        </w:rPr>
        <w:br/>
        <w:t xml:space="preserve">o 14 002 tys. zł w stosunku do roku 2019. Przychody w 2021 r. wyniosły 141 879 tys. zł </w:t>
      </w:r>
      <w:r w:rsidRPr="00AE7A5B">
        <w:rPr>
          <w:rFonts w:cs="Times New Roman"/>
          <w:szCs w:val="20"/>
        </w:rPr>
        <w:br/>
        <w:t>i były wyższe o 5 692 tys. zł w stosunku do roku 2020.</w:t>
      </w:r>
      <w:r w:rsidRPr="00AE7A5B">
        <w:rPr>
          <w:bCs/>
          <w:iCs/>
          <w:szCs w:val="20"/>
        </w:rPr>
        <w:t xml:space="preserve"> Największy udział w przychodach stanowiły </w:t>
      </w:r>
      <w:r w:rsidRPr="00AE7A5B">
        <w:rPr>
          <w:rFonts w:cs="Times New Roman"/>
          <w:szCs w:val="20"/>
        </w:rPr>
        <w:t>dotacje na poziomie 114 873 tys. zł w 2020 r.</w:t>
      </w:r>
      <w:r>
        <w:rPr>
          <w:rFonts w:cs="Times New Roman"/>
          <w:szCs w:val="20"/>
          <w:vertAlign w:val="superscript"/>
        </w:rPr>
        <w:footnoteReference w:id="42"/>
      </w:r>
      <w:r w:rsidRPr="00AE7A5B">
        <w:rPr>
          <w:rFonts w:cs="Times New Roman"/>
          <w:szCs w:val="20"/>
        </w:rPr>
        <w:t xml:space="preserve"> i 119 231 tys. zł w 2021 r.</w:t>
      </w:r>
      <w:r>
        <w:rPr>
          <w:rFonts w:cs="Times New Roman"/>
          <w:szCs w:val="20"/>
          <w:vertAlign w:val="superscript"/>
        </w:rPr>
        <w:footnoteReference w:id="43"/>
      </w:r>
    </w:p>
    <w:p w:rsidR="00AE7A5B" w:rsidRPr="00AE7A5B" w:rsidP="00AE7A5B">
      <w:pPr>
        <w:autoSpaceDE w:val="0"/>
        <w:autoSpaceDN w:val="0"/>
        <w:adjustRightInd w:val="0"/>
        <w:spacing w:before="120" w:after="0" w:line="240" w:lineRule="auto"/>
        <w:jc w:val="left"/>
        <w:rPr>
          <w:bCs/>
          <w:iCs/>
          <w:szCs w:val="20"/>
        </w:rPr>
      </w:pPr>
      <w:r w:rsidRPr="00AE7A5B">
        <w:rPr>
          <w:bCs/>
          <w:iCs/>
          <w:szCs w:val="20"/>
        </w:rPr>
        <w:t>W badanym okresie koszty PIG wynosiły 136 587 tys. zł w 2020 r. i 139 209 tys. zł w 2021 r., z czego największy udział stanowiły koszty wynagrodzeń odpowiednio 76 825 tys. zł</w:t>
      </w:r>
      <w:r>
        <w:rPr>
          <w:bCs/>
          <w:iCs/>
          <w:szCs w:val="20"/>
          <w:vertAlign w:val="superscript"/>
        </w:rPr>
        <w:footnoteReference w:id="44"/>
      </w:r>
      <w:r w:rsidRPr="00AE7A5B">
        <w:rPr>
          <w:bCs/>
          <w:iCs/>
          <w:szCs w:val="20"/>
        </w:rPr>
        <w:t xml:space="preserve"> </w:t>
      </w:r>
      <w:r w:rsidRPr="00AE7A5B">
        <w:rPr>
          <w:bCs/>
          <w:iCs/>
          <w:szCs w:val="20"/>
        </w:rPr>
        <w:br/>
        <w:t>i 78 395 tys. zł</w:t>
      </w:r>
      <w:r>
        <w:rPr>
          <w:bCs/>
          <w:iCs/>
          <w:szCs w:val="20"/>
          <w:vertAlign w:val="superscript"/>
        </w:rPr>
        <w:footnoteReference w:id="45"/>
      </w:r>
      <w:r w:rsidRPr="00AE7A5B">
        <w:rPr>
          <w:bCs/>
          <w:iCs/>
          <w:szCs w:val="20"/>
        </w:rPr>
        <w:t>.  Koszty usług obcych wyniosły 21 372 tys. zł</w:t>
      </w:r>
      <w:r w:rsidRPr="00AE7A5B">
        <w:t xml:space="preserve"> w 2020 r. i </w:t>
      </w:r>
      <w:r w:rsidRPr="00AE7A5B">
        <w:rPr>
          <w:bCs/>
          <w:iCs/>
          <w:szCs w:val="20"/>
        </w:rPr>
        <w:t>19 696 tys. zł</w:t>
      </w:r>
      <w:r w:rsidRPr="00AE7A5B">
        <w:t xml:space="preserve"> </w:t>
      </w:r>
      <w:r w:rsidRPr="00AE7A5B">
        <w:br/>
        <w:t xml:space="preserve">w 2021 r., a ubezpieczenia społeczne i inne świadczenia w 2020 r. i 2021 r. kształtowały się odpowiednio na poziomie </w:t>
      </w:r>
      <w:r w:rsidRPr="00AE7A5B">
        <w:rPr>
          <w:bCs/>
          <w:iCs/>
          <w:szCs w:val="20"/>
        </w:rPr>
        <w:t>16 998 tys. zł i 17 572 tys. zł.</w:t>
      </w:r>
    </w:p>
    <w:p w:rsidR="00AE7A5B" w:rsidRPr="00AE7A5B" w:rsidP="00AE7A5B">
      <w:pPr>
        <w:spacing w:before="120" w:after="120" w:line="240" w:lineRule="auto"/>
        <w:jc w:val="left"/>
        <w:rPr>
          <w:rFonts w:cs="Times New Roman"/>
          <w:szCs w:val="20"/>
          <w:lang w:eastAsia="pl-PL" w:bidi="pl-PL"/>
        </w:rPr>
      </w:pPr>
      <w:r w:rsidRPr="00AE7A5B">
        <w:rPr>
          <w:rFonts w:cs="Times New Roman"/>
          <w:szCs w:val="20"/>
        </w:rPr>
        <w:t>[Dowód: akta kontroli str. I</w:t>
      </w:r>
      <w:r w:rsidRPr="00AE7A5B">
        <w:rPr>
          <w:szCs w:val="20"/>
        </w:rPr>
        <w:t>/SP/410-426</w:t>
      </w:r>
      <w:r w:rsidRPr="00AE7A5B">
        <w:rPr>
          <w:rFonts w:cs="Times New Roman"/>
          <w:szCs w:val="20"/>
        </w:rPr>
        <w:t>]</w:t>
      </w:r>
    </w:p>
    <w:p w:rsidR="00AE7A5B" w:rsidRPr="00AE7A5B" w:rsidP="00AE7A5B">
      <w:pPr>
        <w:spacing w:before="120" w:after="0" w:line="240" w:lineRule="auto"/>
        <w:jc w:val="left"/>
      </w:pPr>
      <w:r w:rsidRPr="00AE7A5B">
        <w:t xml:space="preserve">W badanym okresie należności wymagalne PIG uległy zmniejszeniu z 347 tys. zł na 31 grudnia 2020 r. do 335 tys. zł na 31 grudnia 2021 r. </w:t>
      </w:r>
    </w:p>
    <w:p w:rsidR="00AE7A5B" w:rsidRPr="00AE7A5B" w:rsidP="00AE7A5B">
      <w:pPr>
        <w:spacing w:before="120" w:after="120" w:line="240" w:lineRule="auto"/>
        <w:jc w:val="left"/>
        <w:rPr>
          <w:rFonts w:cs="Times New Roman"/>
          <w:szCs w:val="20"/>
          <w:lang w:eastAsia="pl-PL" w:bidi="pl-PL"/>
        </w:rPr>
      </w:pPr>
      <w:r w:rsidRPr="00AE7A5B">
        <w:rPr>
          <w:rFonts w:cs="Times New Roman"/>
          <w:szCs w:val="20"/>
        </w:rPr>
        <w:t>[Dowód: akta kontroli str. I</w:t>
      </w:r>
      <w:r w:rsidRPr="00AE7A5B">
        <w:rPr>
          <w:szCs w:val="20"/>
        </w:rPr>
        <w:t>/SP/410-426</w:t>
      </w:r>
      <w:r w:rsidRPr="00AE7A5B">
        <w:rPr>
          <w:rFonts w:cs="Times New Roman"/>
          <w:szCs w:val="20"/>
        </w:rPr>
        <w:t>]</w:t>
      </w:r>
    </w:p>
    <w:p w:rsidR="00AE7A5B" w:rsidRPr="00AE7A5B" w:rsidP="00AE7A5B">
      <w:pPr>
        <w:spacing w:before="120" w:after="0" w:line="240" w:lineRule="auto"/>
        <w:jc w:val="left"/>
        <w:rPr>
          <w:rFonts w:cs="Times New Roman"/>
          <w:szCs w:val="20"/>
        </w:rPr>
      </w:pPr>
      <w:r w:rsidRPr="00AE7A5B">
        <w:rPr>
          <w:rFonts w:cs="Times New Roman"/>
          <w:szCs w:val="20"/>
        </w:rPr>
        <w:t>W polityce rachunkowości</w:t>
      </w:r>
      <w:r>
        <w:rPr>
          <w:rFonts w:cs="Times New Roman"/>
          <w:szCs w:val="20"/>
          <w:vertAlign w:val="superscript"/>
        </w:rPr>
        <w:footnoteReference w:id="46"/>
      </w:r>
      <w:r w:rsidRPr="00AE7A5B">
        <w:rPr>
          <w:rFonts w:cs="Times New Roman"/>
          <w:szCs w:val="20"/>
        </w:rPr>
        <w:t xml:space="preserve"> uregulowano kwestie dotyczące m.in. kontrolowania terminów płatności, wystawiania not obciążeniowych i naliczania odsetek, natomiast nie uregulowano kwestii dotyczącej wystawiania wezwań do zapłaty.    </w:t>
      </w:r>
    </w:p>
    <w:p w:rsidR="00AE7A5B" w:rsidRPr="00AE7A5B" w:rsidP="00AE7A5B">
      <w:pPr>
        <w:spacing w:before="120" w:after="0" w:line="240" w:lineRule="auto"/>
        <w:jc w:val="left"/>
        <w:rPr>
          <w:rFonts w:cs="Times New Roman"/>
          <w:szCs w:val="20"/>
        </w:rPr>
      </w:pPr>
      <w:r w:rsidRPr="00AE7A5B">
        <w:t>Na próbie 9 należności wymagalnych na dzień 31 grudnia 2021 r.</w:t>
      </w:r>
      <w:r>
        <w:rPr>
          <w:vertAlign w:val="superscript"/>
        </w:rPr>
        <w:footnoteReference w:id="47"/>
      </w:r>
      <w:r w:rsidRPr="00AE7A5B">
        <w:t xml:space="preserve"> na łączną kwotę </w:t>
      </w:r>
      <w:r w:rsidRPr="00AE7A5B">
        <w:rPr>
          <w:rFonts w:eastAsia="Calibri"/>
          <w:szCs w:val="20"/>
        </w:rPr>
        <w:t xml:space="preserve">314 505,66 zł </w:t>
      </w:r>
      <w:r w:rsidRPr="00AE7A5B">
        <w:t xml:space="preserve">ustalono, </w:t>
      </w:r>
      <w:r w:rsidRPr="00AE7A5B">
        <w:rPr>
          <w:rFonts w:cs="Times New Roman"/>
          <w:szCs w:val="20"/>
        </w:rPr>
        <w:t xml:space="preserve">że w przypadku 6 należności wystawiano wezwania do zapłat, </w:t>
      </w:r>
      <w:r w:rsidRPr="00AE7A5B">
        <w:rPr>
          <w:rFonts w:cs="Times New Roman"/>
          <w:szCs w:val="20"/>
        </w:rPr>
        <w:br/>
        <w:t>a następnie dochodzono ich przed sądem. W przypadku 3 pozostałych należności Instytut:</w:t>
      </w:r>
    </w:p>
    <w:p w:rsidR="00AE7A5B" w:rsidRPr="00AE7A5B" w:rsidP="00AE7A5B">
      <w:pPr>
        <w:numPr>
          <w:ilvl w:val="0"/>
          <w:numId w:val="3"/>
        </w:numPr>
        <w:spacing w:before="120" w:after="0" w:line="240" w:lineRule="auto"/>
        <w:ind w:left="284" w:hanging="284"/>
        <w:jc w:val="left"/>
        <w:rPr>
          <w:rFonts w:cs="Times New Roman"/>
          <w:szCs w:val="20"/>
        </w:rPr>
      </w:pPr>
      <w:r w:rsidRPr="00AE7A5B">
        <w:rPr>
          <w:rFonts w:cs="Times New Roman"/>
          <w:szCs w:val="20"/>
        </w:rPr>
        <w:t>w 1 przypadku</w:t>
      </w:r>
      <w:r>
        <w:rPr>
          <w:szCs w:val="20"/>
          <w:vertAlign w:val="superscript"/>
        </w:rPr>
        <w:footnoteReference w:id="48"/>
      </w:r>
      <w:r w:rsidRPr="00AE7A5B">
        <w:rPr>
          <w:rFonts w:cs="Times New Roman"/>
          <w:szCs w:val="20"/>
        </w:rPr>
        <w:t xml:space="preserve"> podpisał z dłużnikiem porozumienie w wyniku którego otrzymał rekompensatę 27 grudnia 2022 r. w wysokości 15 867,00 zł;</w:t>
      </w:r>
    </w:p>
    <w:p w:rsidR="00AE7A5B" w:rsidRPr="00AE7A5B" w:rsidP="00AE7A5B">
      <w:pPr>
        <w:numPr>
          <w:ilvl w:val="0"/>
          <w:numId w:val="3"/>
        </w:numPr>
        <w:spacing w:before="120" w:after="0" w:line="240" w:lineRule="auto"/>
        <w:ind w:left="284" w:hanging="284"/>
        <w:jc w:val="left"/>
        <w:rPr>
          <w:rFonts w:cs="Times New Roman"/>
          <w:szCs w:val="20"/>
        </w:rPr>
      </w:pPr>
      <w:r w:rsidRPr="00AE7A5B">
        <w:rPr>
          <w:rFonts w:cs="Times New Roman"/>
          <w:szCs w:val="20"/>
        </w:rPr>
        <w:t>w 1 przypadku</w:t>
      </w:r>
      <w:r>
        <w:rPr>
          <w:szCs w:val="20"/>
          <w:vertAlign w:val="superscript"/>
        </w:rPr>
        <w:footnoteReference w:id="49"/>
      </w:r>
      <w:r w:rsidRPr="00AE7A5B">
        <w:rPr>
          <w:rFonts w:cs="Times New Roman"/>
          <w:szCs w:val="20"/>
        </w:rPr>
        <w:t xml:space="preserve"> zostało wydane 15 września 2020 r. postanowienie Sądu </w:t>
      </w:r>
      <w:r w:rsidRPr="00AE7A5B">
        <w:rPr>
          <w:rFonts w:cs="Times New Roman"/>
          <w:szCs w:val="20"/>
        </w:rPr>
        <w:br/>
        <w:t>o odmowie przyznania wynagrodzenia PIG n</w:t>
      </w:r>
      <w:r w:rsidRPr="00AE7A5B">
        <w:rPr>
          <w:szCs w:val="20"/>
        </w:rPr>
        <w:t xml:space="preserve">a kwotę 17 835,00 zł, z uwagi na wykonanie ekspertyzy przez Instytut niezgodnie ze zleceniem Sądu; </w:t>
      </w:r>
    </w:p>
    <w:p w:rsidR="00AE7A5B" w:rsidRPr="00AE7A5B" w:rsidP="00AE7A5B">
      <w:pPr>
        <w:numPr>
          <w:ilvl w:val="0"/>
          <w:numId w:val="3"/>
        </w:numPr>
        <w:spacing w:before="120" w:after="120" w:line="240" w:lineRule="auto"/>
        <w:ind w:left="284" w:hanging="284"/>
        <w:jc w:val="left"/>
        <w:rPr>
          <w:rFonts w:cs="Times New Roman"/>
          <w:sz w:val="24"/>
          <w:szCs w:val="20"/>
        </w:rPr>
      </w:pPr>
      <w:r w:rsidRPr="00AE7A5B">
        <w:rPr>
          <w:rFonts w:cs="Times New Roman"/>
          <w:szCs w:val="20"/>
        </w:rPr>
        <w:t>w 1 przypadku</w:t>
      </w:r>
      <w:r>
        <w:rPr>
          <w:szCs w:val="20"/>
          <w:vertAlign w:val="superscript"/>
        </w:rPr>
        <w:footnoteReference w:id="50"/>
      </w:r>
      <w:r w:rsidRPr="00AE7A5B">
        <w:rPr>
          <w:rFonts w:cs="Times New Roman"/>
          <w:szCs w:val="20"/>
        </w:rPr>
        <w:t xml:space="preserve"> kontrahent nie uregulował kwoty 36 900,00 zł z uwagi na brak zatwierdzenia przez </w:t>
      </w:r>
      <w:r w:rsidRPr="00AE7A5B">
        <w:rPr>
          <w:rFonts w:cs="Times New Roman"/>
          <w:szCs w:val="20"/>
        </w:rPr>
        <w:t>MKiŚ</w:t>
      </w:r>
      <w:r w:rsidRPr="00AE7A5B">
        <w:rPr>
          <w:rFonts w:cs="Times New Roman"/>
          <w:szCs w:val="20"/>
        </w:rPr>
        <w:t xml:space="preserve"> dokumentacji</w:t>
      </w:r>
      <w:r>
        <w:rPr>
          <w:rFonts w:cs="Times New Roman"/>
          <w:szCs w:val="20"/>
          <w:vertAlign w:val="superscript"/>
        </w:rPr>
        <w:footnoteReference w:id="51"/>
      </w:r>
      <w:r w:rsidRPr="00AE7A5B">
        <w:rPr>
          <w:rFonts w:cs="Times New Roman"/>
          <w:szCs w:val="20"/>
        </w:rPr>
        <w:t>, która była warunkiem wypłaty ostatniej transzy wynagrodzenia dla PIG</w:t>
      </w:r>
      <w:r>
        <w:rPr>
          <w:rFonts w:cs="Times New Roman"/>
          <w:szCs w:val="20"/>
          <w:vertAlign w:val="superscript"/>
        </w:rPr>
        <w:footnoteReference w:id="52"/>
      </w:r>
      <w:r w:rsidRPr="00AE7A5B">
        <w:rPr>
          <w:rFonts w:cs="Times New Roman"/>
          <w:szCs w:val="20"/>
        </w:rPr>
        <w:t>. W sprawie nie toczy się postępowanie sądowe.</w:t>
      </w:r>
    </w:p>
    <w:p w:rsidR="00AE7A5B" w:rsidRPr="00AE7A5B" w:rsidP="00AE7A5B">
      <w:pPr>
        <w:spacing w:before="120" w:after="120" w:line="240" w:lineRule="auto"/>
        <w:ind w:left="284"/>
        <w:jc w:val="left"/>
        <w:rPr>
          <w:rFonts w:cs="Times New Roman"/>
          <w:szCs w:val="20"/>
          <w:lang w:eastAsia="pl-PL" w:bidi="pl-PL"/>
        </w:rPr>
      </w:pPr>
      <w:r w:rsidRPr="00AE7A5B">
        <w:rPr>
          <w:rFonts w:cs="Times New Roman"/>
          <w:szCs w:val="20"/>
        </w:rPr>
        <w:t>[Dowód: akta kontroli str. 121-122, I</w:t>
      </w:r>
      <w:r w:rsidRPr="00AE7A5B">
        <w:rPr>
          <w:szCs w:val="20"/>
        </w:rPr>
        <w:t>/SP/410-426</w:t>
      </w:r>
      <w:r w:rsidRPr="00AE7A5B">
        <w:rPr>
          <w:rFonts w:cs="Times New Roman"/>
          <w:szCs w:val="20"/>
        </w:rPr>
        <w:t>]</w:t>
      </w:r>
    </w:p>
    <w:p w:rsidR="00AE7A5B" w:rsidRPr="00AE7A5B" w:rsidP="00AE7A5B">
      <w:pPr>
        <w:spacing w:before="120" w:after="0" w:line="240" w:lineRule="auto"/>
        <w:jc w:val="left"/>
        <w:rPr>
          <w:rFonts w:cs="Times New Roman"/>
          <w:b/>
          <w:bCs/>
          <w:szCs w:val="20"/>
        </w:rPr>
      </w:pPr>
      <w:r w:rsidRPr="00AE7A5B">
        <w:rPr>
          <w:rFonts w:cs="Times New Roman"/>
          <w:b/>
          <w:bCs/>
          <w:szCs w:val="20"/>
        </w:rPr>
        <w:t>c) zawieranie umów cywilnoprawnych</w:t>
      </w:r>
    </w:p>
    <w:p w:rsidR="00AE7A5B" w:rsidRPr="00AE7A5B" w:rsidP="00AE7A5B">
      <w:pPr>
        <w:spacing w:before="120" w:after="0" w:line="240" w:lineRule="auto"/>
        <w:jc w:val="left"/>
        <w:rPr>
          <w:rFonts w:cs="Times New Roman"/>
          <w:szCs w:val="20"/>
        </w:rPr>
      </w:pPr>
      <w:r w:rsidRPr="00AE7A5B">
        <w:t xml:space="preserve">W Instytucie obowiązywały </w:t>
      </w:r>
      <w:r w:rsidRPr="00AE7A5B">
        <w:rPr>
          <w:rFonts w:cs="Times New Roman"/>
          <w:szCs w:val="20"/>
        </w:rPr>
        <w:t xml:space="preserve">wzory umów o dzieło i świadczenie usług finansowanych </w:t>
      </w:r>
      <w:r w:rsidRPr="00AE7A5B">
        <w:rPr>
          <w:rFonts w:cs="Times New Roman"/>
          <w:szCs w:val="20"/>
        </w:rPr>
        <w:br/>
        <w:t>z bezosobowego funduszu płac,</w:t>
      </w:r>
      <w:r w:rsidRPr="00AE7A5B">
        <w:rPr>
          <w:szCs w:val="20"/>
        </w:rPr>
        <w:t xml:space="preserve"> wprowadzone zarządzeniem Dyrektora nr 22 z 13 lipca 2020 r.</w:t>
      </w:r>
      <w:r>
        <w:rPr>
          <w:szCs w:val="20"/>
          <w:vertAlign w:val="superscript"/>
        </w:rPr>
        <w:footnoteReference w:id="53"/>
      </w:r>
      <w:r w:rsidRPr="00AE7A5B">
        <w:rPr>
          <w:szCs w:val="20"/>
          <w:vertAlign w:val="superscript"/>
        </w:rPr>
        <w:t xml:space="preserve"> </w:t>
      </w:r>
      <w:r w:rsidRPr="00AE7A5B">
        <w:rPr>
          <w:rFonts w:cs="Times New Roman"/>
          <w:szCs w:val="20"/>
        </w:rPr>
        <w:t xml:space="preserve">oraz </w:t>
      </w:r>
      <w:bookmarkStart w:id="11" w:name="_Hlk146556081"/>
      <w:r w:rsidRPr="00AE7A5B">
        <w:rPr>
          <w:rFonts w:cs="Times New Roman"/>
          <w:szCs w:val="20"/>
        </w:rPr>
        <w:t>Regulamin zamówień</w:t>
      </w:r>
      <w:bookmarkEnd w:id="11"/>
      <w:r w:rsidRPr="00AE7A5B">
        <w:rPr>
          <w:rFonts w:cs="Times New Roman"/>
          <w:szCs w:val="20"/>
        </w:rPr>
        <w:t>.</w:t>
      </w:r>
    </w:p>
    <w:p w:rsidR="00AE7A5B" w:rsidRPr="00AE7A5B" w:rsidP="00AE7A5B">
      <w:pPr>
        <w:spacing w:before="120" w:after="0" w:line="240" w:lineRule="auto"/>
        <w:jc w:val="left"/>
      </w:pPr>
      <w:r w:rsidRPr="00AE7A5B">
        <w:t xml:space="preserve">W 2020 r. PIG zawarł 724 umowy cywilnoprawne na łączną kwotę 4 040 tys. zł, z czego </w:t>
      </w:r>
      <w:r w:rsidRPr="00AE7A5B">
        <w:br/>
        <w:t>18 z pracownikami Instytutu na łączną kwotę 23 tys. zł. W 2021 r. zawarto  668 umów na łączną kwotę 3 643 tys. zł, z czego 26 z pracownikami na łączną kwotę 45 tys. zł.</w:t>
      </w:r>
    </w:p>
    <w:p w:rsidR="00AE7A5B" w:rsidRPr="00AE7A5B" w:rsidP="00AE7A5B">
      <w:pPr>
        <w:autoSpaceDE w:val="0"/>
        <w:autoSpaceDN w:val="0"/>
        <w:adjustRightInd w:val="0"/>
        <w:spacing w:before="120" w:after="0" w:line="240" w:lineRule="auto"/>
        <w:jc w:val="left"/>
        <w:rPr>
          <w:rFonts w:cs="Calibri"/>
          <w:szCs w:val="20"/>
        </w:rPr>
      </w:pPr>
      <w:r w:rsidRPr="00AE7A5B">
        <w:rPr>
          <w:rFonts w:cs="Times New Roman"/>
          <w:szCs w:val="20"/>
        </w:rPr>
        <w:t>Dyrektor wyjaśnił</w:t>
      </w:r>
      <w:r>
        <w:rPr>
          <w:rFonts w:cs="Times New Roman"/>
          <w:szCs w:val="20"/>
          <w:vertAlign w:val="superscript"/>
        </w:rPr>
        <w:footnoteReference w:id="54"/>
      </w:r>
      <w:r w:rsidRPr="00AE7A5B">
        <w:rPr>
          <w:rFonts w:cs="Times New Roman"/>
          <w:szCs w:val="20"/>
        </w:rPr>
        <w:t xml:space="preserve">, że </w:t>
      </w:r>
      <w:r w:rsidRPr="00AE7A5B">
        <w:rPr>
          <w:rFonts w:cs="Calibri"/>
          <w:szCs w:val="20"/>
        </w:rPr>
        <w:t xml:space="preserve">wzrost ilościowy i wartościowy umów cywilnoprawnych </w:t>
      </w:r>
      <w:r w:rsidRPr="00AE7A5B">
        <w:rPr>
          <w:rFonts w:cs="Calibri"/>
          <w:szCs w:val="20"/>
        </w:rPr>
        <w:br/>
        <w:t xml:space="preserve">z pracownikami wynikał z zawarcia 8 umów z członkami/recenzentami komisji doktorskich </w:t>
      </w:r>
      <w:r w:rsidRPr="00AE7A5B">
        <w:rPr>
          <w:rFonts w:cs="Calibri"/>
          <w:szCs w:val="20"/>
        </w:rPr>
        <w:br/>
        <w:t>i habilitacyjnych oraz zawarcia umowy na kontynuację pomiarów wód podziemnych.</w:t>
      </w:r>
    </w:p>
    <w:p w:rsidR="00AE7A5B" w:rsidRPr="00AE7A5B" w:rsidP="00AE7A5B">
      <w:pPr>
        <w:spacing w:before="120" w:after="120" w:line="240" w:lineRule="auto"/>
        <w:jc w:val="left"/>
        <w:rPr>
          <w:rFonts w:cs="Times New Roman"/>
          <w:bCs/>
          <w:szCs w:val="20"/>
        </w:rPr>
      </w:pPr>
      <w:r w:rsidRPr="00AE7A5B">
        <w:rPr>
          <w:rFonts w:cs="Times New Roman"/>
          <w:szCs w:val="20"/>
        </w:rPr>
        <w:t>[Dowód: akta kontroli str. I/SP/397-400, I</w:t>
      </w:r>
      <w:r w:rsidRPr="00AE7A5B">
        <w:rPr>
          <w:szCs w:val="20"/>
        </w:rPr>
        <w:t xml:space="preserve">/SP/410-426, </w:t>
      </w:r>
      <w:r w:rsidRPr="00AE7A5B">
        <w:rPr>
          <w:rFonts w:cs="Times New Roman"/>
          <w:szCs w:val="20"/>
        </w:rPr>
        <w:t>I/SP/432-444]</w:t>
      </w:r>
    </w:p>
    <w:p w:rsidR="00AE7A5B" w:rsidRPr="00AE7A5B" w:rsidP="00AE7A5B">
      <w:pPr>
        <w:spacing w:before="120" w:after="0" w:line="240" w:lineRule="auto"/>
        <w:jc w:val="left"/>
      </w:pPr>
      <w:r w:rsidRPr="00AE7A5B">
        <w:t xml:space="preserve">W wyniki badania </w:t>
      </w:r>
      <w:bookmarkStart w:id="12" w:name="_Hlk138948822"/>
      <w:r w:rsidRPr="00AE7A5B">
        <w:t>27 umów cywilnoprawnych</w:t>
      </w:r>
      <w:r>
        <w:rPr>
          <w:vertAlign w:val="superscript"/>
        </w:rPr>
        <w:footnoteReference w:id="55"/>
      </w:r>
      <w:r w:rsidRPr="00AE7A5B">
        <w:t xml:space="preserve"> na łączną kwotę 597 589,30 zł,  w tym </w:t>
      </w:r>
      <w:r w:rsidRPr="00AE7A5B">
        <w:br/>
        <w:t>3 umowy z pracownikami na łączną kwotę 10 205,00 zł, ustalono następujące nieprawidłowości:</w:t>
      </w:r>
      <w:bookmarkEnd w:id="12"/>
    </w:p>
    <w:p w:rsidR="00AE7A5B" w:rsidRPr="00AE7A5B" w:rsidP="00AE7A5B">
      <w:pPr>
        <w:numPr>
          <w:ilvl w:val="0"/>
          <w:numId w:val="3"/>
        </w:numPr>
        <w:spacing w:before="120" w:after="0" w:line="240" w:lineRule="auto"/>
        <w:ind w:left="357" w:hanging="357"/>
        <w:jc w:val="left"/>
        <w:rPr>
          <w:rFonts w:cs="Times New Roman"/>
          <w:bCs/>
          <w:szCs w:val="20"/>
        </w:rPr>
      </w:pPr>
      <w:bookmarkStart w:id="13" w:name="_Hlk140220347"/>
      <w:r w:rsidRPr="00AE7A5B">
        <w:rPr>
          <w:rFonts w:cs="Times New Roman"/>
          <w:bCs/>
          <w:szCs w:val="20"/>
        </w:rPr>
        <w:t>10 umów</w:t>
      </w:r>
      <w:r>
        <w:rPr>
          <w:rFonts w:cs="Times New Roman"/>
          <w:bCs/>
          <w:szCs w:val="20"/>
          <w:vertAlign w:val="superscript"/>
        </w:rPr>
        <w:footnoteReference w:id="56"/>
      </w:r>
      <w:r w:rsidRPr="00AE7A5B">
        <w:rPr>
          <w:rFonts w:cs="Times New Roman"/>
          <w:bCs/>
          <w:szCs w:val="20"/>
        </w:rPr>
        <w:t xml:space="preserve"> miało znamiona stosunku pracy</w:t>
      </w:r>
      <w:r w:rsidRPr="00AE7A5B">
        <w:rPr>
          <w:rFonts w:cs="Times New Roman"/>
          <w:szCs w:val="20"/>
        </w:rPr>
        <w:t xml:space="preserve"> </w:t>
      </w:r>
      <w:r w:rsidRPr="00AE7A5B">
        <w:rPr>
          <w:rFonts w:cs="Times New Roman"/>
          <w:bCs/>
          <w:szCs w:val="20"/>
        </w:rPr>
        <w:t>w rozumieniu art. 22 § 1 Kodeksu pracy</w:t>
      </w:r>
      <w:bookmarkStart w:id="14" w:name="_Hlk139012037"/>
      <w:bookmarkStart w:id="15" w:name="_Hlk146033310"/>
      <w:r>
        <w:rPr>
          <w:rFonts w:cs="Times New Roman"/>
          <w:bCs/>
          <w:szCs w:val="20"/>
          <w:vertAlign w:val="superscript"/>
        </w:rPr>
        <w:footnoteReference w:id="57"/>
      </w:r>
      <w:bookmarkEnd w:id="14"/>
      <w:r w:rsidRPr="00AE7A5B">
        <w:rPr>
          <w:rFonts w:cs="Times New Roman"/>
          <w:bCs/>
          <w:szCs w:val="20"/>
        </w:rPr>
        <w:t xml:space="preserve"> </w:t>
      </w:r>
      <w:bookmarkEnd w:id="15"/>
      <w:r w:rsidRPr="00AE7A5B">
        <w:rPr>
          <w:rFonts w:cs="Times New Roman"/>
          <w:bCs/>
          <w:szCs w:val="20"/>
        </w:rPr>
        <w:br/>
        <w:t>z uwagi na fakt, że zgodnie z § 2 pkt 3 ww. umów przedmiot miał być wykonywany pod kierownictwem zleceniodawcy.</w:t>
      </w:r>
    </w:p>
    <w:p w:rsidR="00AE7A5B" w:rsidRPr="00AE7A5B" w:rsidP="00AE7A5B">
      <w:pPr>
        <w:spacing w:before="120" w:after="0" w:line="240" w:lineRule="auto"/>
        <w:ind w:left="357"/>
        <w:jc w:val="left"/>
        <w:rPr>
          <w:rFonts w:cs="Times New Roman"/>
          <w:szCs w:val="20"/>
        </w:rPr>
      </w:pPr>
      <w:r w:rsidRPr="00AE7A5B">
        <w:rPr>
          <w:rFonts w:cs="Times New Roman"/>
          <w:szCs w:val="20"/>
        </w:rPr>
        <w:t>Dyrektor wyjaśnił</w:t>
      </w:r>
      <w:r>
        <w:rPr>
          <w:rFonts w:cs="Times New Roman"/>
          <w:szCs w:val="20"/>
          <w:vertAlign w:val="superscript"/>
        </w:rPr>
        <w:footnoteReference w:id="58"/>
      </w:r>
      <w:r w:rsidRPr="00AE7A5B">
        <w:rPr>
          <w:rFonts w:cs="Times New Roman"/>
          <w:szCs w:val="20"/>
        </w:rPr>
        <w:t xml:space="preserve">, że osoby wykonujące swoje usługi dla PIG w ramach umów zleceń w </w:t>
      </w:r>
      <w:r w:rsidRPr="00AE7A5B">
        <w:rPr>
          <w:bCs/>
          <w:szCs w:val="20"/>
        </w:rPr>
        <w:t xml:space="preserve">Narodowym Archiwum Geologicznym (dalej: </w:t>
      </w:r>
      <w:r w:rsidRPr="00AE7A5B">
        <w:rPr>
          <w:rFonts w:cs="Times New Roman"/>
          <w:szCs w:val="20"/>
        </w:rPr>
        <w:t xml:space="preserve">NAG), w taki sposób organizowały swój </w:t>
      </w:r>
      <w:r w:rsidRPr="00AE7A5B">
        <w:rPr>
          <w:rFonts w:cs="Times New Roman"/>
          <w:szCs w:val="20"/>
        </w:rPr>
        <w:t>czas realizacji zadań, aby jednocześnie zapewniona była wówczas obecność pracownika NAG. Dodatkowo poinformował, że w komórce organizacyjnej NAG były prowadzone rozważania celem przyszłego zatrudniania w ramach stosunku pracy, jednak nie znalazły one potwierdzenia w dokumentacji, a jedynie na etapie wstępnego planowania w matrycach do tworzenia planu zatrudnienia, w którym ostatecznie wakatów nie uwzględniono.</w:t>
      </w:r>
    </w:p>
    <w:p w:rsidR="00AE7A5B" w:rsidRPr="00AE7A5B" w:rsidP="00AE7A5B">
      <w:pPr>
        <w:spacing w:before="120" w:after="120" w:line="240" w:lineRule="auto"/>
        <w:ind w:left="357"/>
        <w:jc w:val="left"/>
        <w:rPr>
          <w:rFonts w:cs="Times New Roman"/>
          <w:bCs/>
          <w:szCs w:val="20"/>
        </w:rPr>
      </w:pPr>
      <w:r w:rsidRPr="00AE7A5B">
        <w:rPr>
          <w:rFonts w:cs="Times New Roman"/>
          <w:szCs w:val="20"/>
        </w:rPr>
        <w:t>[Dowód: akta kontroli str. I/SP/11-181, I</w:t>
      </w:r>
      <w:r w:rsidRPr="00AE7A5B">
        <w:rPr>
          <w:szCs w:val="20"/>
        </w:rPr>
        <w:t>/SP/410-426, I/SP/445-446</w:t>
      </w:r>
      <w:r w:rsidRPr="00AE7A5B">
        <w:rPr>
          <w:rFonts w:cs="Times New Roman"/>
          <w:szCs w:val="20"/>
        </w:rPr>
        <w:t>]</w:t>
      </w:r>
    </w:p>
    <w:p w:rsidR="00AE7A5B" w:rsidRPr="00AE7A5B" w:rsidP="00AE7A5B">
      <w:pPr>
        <w:numPr>
          <w:ilvl w:val="0"/>
          <w:numId w:val="3"/>
        </w:numPr>
        <w:spacing w:before="120" w:after="0" w:line="240" w:lineRule="auto"/>
        <w:ind w:left="357" w:hanging="357"/>
        <w:jc w:val="left"/>
        <w:rPr>
          <w:rFonts w:cs="Times New Roman"/>
          <w:bCs/>
          <w:szCs w:val="20"/>
        </w:rPr>
      </w:pPr>
      <w:r w:rsidRPr="00AE7A5B">
        <w:rPr>
          <w:rFonts w:cs="Times New Roman"/>
          <w:bCs/>
          <w:szCs w:val="20"/>
        </w:rPr>
        <w:t xml:space="preserve">pokrywanie się przedmiotu 2 umów z zadaniami komórek organizacyjnych określonymi w Regulaminie organizacyjnym </w:t>
      </w:r>
      <w:bookmarkStart w:id="16" w:name="_Hlk146033746"/>
      <w:r w:rsidRPr="00AE7A5B">
        <w:rPr>
          <w:rFonts w:cs="Times New Roman"/>
          <w:bCs/>
          <w:szCs w:val="20"/>
        </w:rPr>
        <w:t xml:space="preserve">z 2019 r. </w:t>
      </w:r>
      <w:bookmarkEnd w:id="16"/>
      <w:r w:rsidRPr="00AE7A5B">
        <w:rPr>
          <w:rFonts w:cs="Times New Roman"/>
          <w:bCs/>
          <w:szCs w:val="20"/>
        </w:rPr>
        <w:t xml:space="preserve">i </w:t>
      </w:r>
      <w:bookmarkStart w:id="17" w:name="_Hlk146033882"/>
      <w:r w:rsidRPr="00AE7A5B">
        <w:rPr>
          <w:rFonts w:cs="Times New Roman"/>
          <w:bCs/>
          <w:szCs w:val="20"/>
        </w:rPr>
        <w:t>Regulaminie organizacyjnym z 2020 r.</w:t>
      </w:r>
      <w:bookmarkEnd w:id="17"/>
      <w:r w:rsidRPr="00AE7A5B">
        <w:rPr>
          <w:rFonts w:cs="Times New Roman"/>
          <w:bCs/>
          <w:szCs w:val="20"/>
        </w:rPr>
        <w:t xml:space="preserve">,  </w:t>
      </w:r>
      <w:r w:rsidRPr="00AE7A5B">
        <w:rPr>
          <w:rFonts w:cs="Times New Roman"/>
          <w:bCs/>
          <w:szCs w:val="20"/>
        </w:rPr>
        <w:br/>
        <w:t>w tym:</w:t>
      </w:r>
    </w:p>
    <w:p w:rsidR="00AE7A5B" w:rsidRPr="00AE7A5B" w:rsidP="00AE7A5B">
      <w:pPr>
        <w:numPr>
          <w:ilvl w:val="0"/>
          <w:numId w:val="17"/>
        </w:numPr>
        <w:spacing w:before="120" w:after="0" w:line="240" w:lineRule="auto"/>
        <w:ind w:left="709" w:hanging="283"/>
        <w:jc w:val="left"/>
        <w:rPr>
          <w:rFonts w:cs="Times New Roman"/>
          <w:bCs/>
          <w:szCs w:val="20"/>
        </w:rPr>
      </w:pPr>
      <w:r w:rsidRPr="00AE7A5B">
        <w:rPr>
          <w:rFonts w:cs="Times New Roman"/>
          <w:bCs/>
          <w:szCs w:val="20"/>
        </w:rPr>
        <w:t>przedmiot u</w:t>
      </w:r>
      <w:r w:rsidRPr="00AE7A5B">
        <w:rPr>
          <w:szCs w:val="20"/>
        </w:rPr>
        <w:t>mowy nr 245/2020 z 13 listopada 2020 r.</w:t>
      </w:r>
      <w:r>
        <w:rPr>
          <w:szCs w:val="20"/>
          <w:vertAlign w:val="superscript"/>
        </w:rPr>
        <w:footnoteReference w:id="59"/>
      </w:r>
      <w:r w:rsidRPr="00AE7A5B">
        <w:rPr>
          <w:szCs w:val="20"/>
        </w:rPr>
        <w:t xml:space="preserve"> zawartej na kwotę 23 400,00 zł </w:t>
      </w:r>
      <w:r w:rsidRPr="00AE7A5B">
        <w:rPr>
          <w:rFonts w:cs="Times New Roman"/>
          <w:bCs/>
          <w:szCs w:val="20"/>
        </w:rPr>
        <w:t xml:space="preserve">pokrywał się z zadaniami Zespołu Controllingu określonymi w § 3 </w:t>
      </w:r>
      <w:r w:rsidRPr="00AE7A5B">
        <w:rPr>
          <w:rFonts w:cs="Times New Roman"/>
          <w:bCs/>
          <w:szCs w:val="20"/>
        </w:rPr>
        <w:br/>
        <w:t>pkt 21 załącznika nr 3 Regulaminu organizacyjnego z 2020 r.</w:t>
      </w:r>
      <w:r>
        <w:rPr>
          <w:szCs w:val="20"/>
          <w:vertAlign w:val="superscript"/>
        </w:rPr>
        <w:footnoteReference w:id="60"/>
      </w:r>
      <w:r w:rsidRPr="00AE7A5B">
        <w:rPr>
          <w:rFonts w:cs="Times New Roman"/>
          <w:bCs/>
          <w:szCs w:val="20"/>
        </w:rPr>
        <w:t xml:space="preserve">. Dodatkowo ustalono, że w kontrolowanym okresie podpisano z tym zleceniobiorcą jeszcze </w:t>
      </w:r>
      <w:r w:rsidRPr="00AE7A5B">
        <w:rPr>
          <w:rFonts w:cs="Times New Roman"/>
          <w:bCs/>
          <w:szCs w:val="20"/>
        </w:rPr>
        <w:br/>
        <w:t>4 umowy</w:t>
      </w:r>
      <w:r>
        <w:rPr>
          <w:rFonts w:cs="Times New Roman"/>
          <w:bCs/>
          <w:szCs w:val="20"/>
          <w:vertAlign w:val="superscript"/>
        </w:rPr>
        <w:footnoteReference w:id="61"/>
      </w:r>
      <w:r w:rsidRPr="00AE7A5B">
        <w:rPr>
          <w:rFonts w:cs="Times New Roman"/>
          <w:bCs/>
          <w:szCs w:val="20"/>
        </w:rPr>
        <w:t>, których zakres również pokrywał się z zadaniami Zespołu Controllingu określonymi w § 7 pkt 2 załącznika nr 3 Regulaminu organizacyjnego z 2019 r.</w:t>
      </w:r>
      <w:r>
        <w:rPr>
          <w:rFonts w:cs="Times New Roman"/>
          <w:bCs/>
          <w:szCs w:val="20"/>
          <w:vertAlign w:val="superscript"/>
        </w:rPr>
        <w:footnoteReference w:id="62"/>
      </w:r>
      <w:r w:rsidRPr="00AE7A5B">
        <w:rPr>
          <w:rFonts w:cs="Times New Roman"/>
          <w:bCs/>
          <w:szCs w:val="20"/>
        </w:rPr>
        <w:t xml:space="preserve"> </w:t>
      </w:r>
      <w:r w:rsidRPr="00AE7A5B">
        <w:rPr>
          <w:rFonts w:cs="Times New Roman"/>
          <w:bCs/>
          <w:szCs w:val="20"/>
        </w:rPr>
        <w:br/>
        <w:t xml:space="preserve">i § 3 pkt 21 załącznika nr 3 Regulaminu organizacyjnego z 2020 r. </w:t>
      </w:r>
    </w:p>
    <w:p w:rsidR="00AE7A5B" w:rsidRPr="00AE7A5B" w:rsidP="00AE7A5B">
      <w:pPr>
        <w:spacing w:before="120" w:after="0" w:line="240" w:lineRule="auto"/>
        <w:ind w:left="709"/>
        <w:jc w:val="left"/>
        <w:rPr>
          <w:rFonts w:cs="Times New Roman"/>
          <w:bCs/>
          <w:szCs w:val="20"/>
        </w:rPr>
      </w:pPr>
      <w:r w:rsidRPr="00AE7A5B">
        <w:rPr>
          <w:rFonts w:cs="Times New Roman"/>
          <w:bCs/>
          <w:szCs w:val="20"/>
        </w:rPr>
        <w:t>Zastępca Dyrektora ds. Administracyjno-Ekonomicznych wyjaśnił</w:t>
      </w:r>
      <w:r>
        <w:rPr>
          <w:rFonts w:cs="Times New Roman"/>
          <w:bCs/>
          <w:szCs w:val="20"/>
          <w:vertAlign w:val="superscript"/>
        </w:rPr>
        <w:footnoteReference w:id="63"/>
      </w:r>
      <w:r w:rsidRPr="00AE7A5B">
        <w:rPr>
          <w:rFonts w:cs="Times New Roman"/>
          <w:bCs/>
          <w:szCs w:val="20"/>
        </w:rPr>
        <w:t xml:space="preserve">, że nie udało się zbudować zespołu o podobnych kompetencjach i zaszła konieczność wykorzystania wiedzy byłego pracownika. Dodatkowo wskazał, że znalezienie osoby chętnej do zatrudnienia na część etatu było bardzo trudne i to mogło być przyczyną braku pozyskania pracownika o podobnych kompetencjach w ramach umowę o pracę. </w:t>
      </w:r>
    </w:p>
    <w:p w:rsidR="00AE7A5B" w:rsidRPr="00AE7A5B" w:rsidP="00AE7A5B">
      <w:pPr>
        <w:spacing w:before="120" w:after="120" w:line="240" w:lineRule="auto"/>
        <w:ind w:left="709"/>
        <w:jc w:val="left"/>
        <w:rPr>
          <w:rFonts w:cs="Times New Roman"/>
          <w:szCs w:val="20"/>
        </w:rPr>
      </w:pPr>
      <w:r w:rsidRPr="00AE7A5B">
        <w:rPr>
          <w:rFonts w:cs="Times New Roman"/>
          <w:szCs w:val="20"/>
        </w:rPr>
        <w:t>[Dowód: akta kontroli str. I/SP/6-9, I/SP/302-349, I</w:t>
      </w:r>
      <w:r w:rsidRPr="00AE7A5B">
        <w:rPr>
          <w:szCs w:val="20"/>
        </w:rPr>
        <w:t>/SP/410-426, I/SP/445-446, II/56-168</w:t>
      </w:r>
      <w:r w:rsidRPr="00AE7A5B">
        <w:rPr>
          <w:rFonts w:cs="Times New Roman"/>
          <w:szCs w:val="20"/>
        </w:rPr>
        <w:t>]</w:t>
      </w:r>
    </w:p>
    <w:p w:rsidR="00AE7A5B" w:rsidRPr="00AE7A5B" w:rsidP="00AE7A5B">
      <w:pPr>
        <w:numPr>
          <w:ilvl w:val="0"/>
          <w:numId w:val="17"/>
        </w:numPr>
        <w:spacing w:before="120" w:after="0" w:line="240" w:lineRule="auto"/>
        <w:ind w:left="709" w:hanging="283"/>
        <w:jc w:val="left"/>
        <w:rPr>
          <w:rFonts w:cs="Times New Roman"/>
          <w:bCs/>
          <w:szCs w:val="20"/>
        </w:rPr>
      </w:pPr>
      <w:r w:rsidRPr="00AE7A5B">
        <w:rPr>
          <w:rFonts w:cs="Times New Roman"/>
          <w:bCs/>
          <w:szCs w:val="20"/>
        </w:rPr>
        <w:t xml:space="preserve">przedmiot umowy </w:t>
      </w:r>
      <w:r w:rsidRPr="00AE7A5B">
        <w:rPr>
          <w:szCs w:val="20"/>
        </w:rPr>
        <w:t>nr 76/2021 z 1 kwietnia 2021 r.</w:t>
      </w:r>
      <w:r>
        <w:rPr>
          <w:szCs w:val="20"/>
          <w:vertAlign w:val="superscript"/>
        </w:rPr>
        <w:footnoteReference w:id="64"/>
      </w:r>
      <w:r w:rsidRPr="00AE7A5B">
        <w:rPr>
          <w:szCs w:val="20"/>
        </w:rPr>
        <w:t xml:space="preserve"> na kwotę 24 000,00 zł </w:t>
      </w:r>
      <w:r w:rsidRPr="00AE7A5B">
        <w:rPr>
          <w:bCs/>
          <w:szCs w:val="20"/>
        </w:rPr>
        <w:t xml:space="preserve">pokrywał się z zadaniami NAG, określonymi w </w:t>
      </w:r>
      <w:r w:rsidRPr="00AE7A5B">
        <w:rPr>
          <w:rFonts w:cs="Times New Roman"/>
          <w:bCs/>
          <w:szCs w:val="20"/>
        </w:rPr>
        <w:t xml:space="preserve">§ 3 </w:t>
      </w:r>
      <w:r w:rsidRPr="00AE7A5B">
        <w:rPr>
          <w:bCs/>
          <w:szCs w:val="20"/>
        </w:rPr>
        <w:t>pkt 8 załącznika nr 3 Regulaminu organizacyjnego</w:t>
      </w:r>
      <w:r w:rsidRPr="00AE7A5B">
        <w:rPr>
          <w:rFonts w:cs="Times New Roman"/>
          <w:bCs/>
          <w:szCs w:val="20"/>
        </w:rPr>
        <w:t xml:space="preserve"> z 2020 r.</w:t>
      </w:r>
      <w:r>
        <w:rPr>
          <w:szCs w:val="20"/>
          <w:vertAlign w:val="superscript"/>
        </w:rPr>
        <w:footnoteReference w:id="65"/>
      </w:r>
      <w:r w:rsidRPr="00AE7A5B">
        <w:rPr>
          <w:bCs/>
          <w:szCs w:val="20"/>
        </w:rPr>
        <w:t>. Dodatkowo ustalono, że w kontrolowanym okresie podpisano z tym zleceniobiorcą jeszcze 4 umowy</w:t>
      </w:r>
      <w:r>
        <w:rPr>
          <w:bCs/>
          <w:szCs w:val="20"/>
          <w:vertAlign w:val="superscript"/>
        </w:rPr>
        <w:footnoteReference w:id="66"/>
      </w:r>
      <w:r w:rsidRPr="00AE7A5B">
        <w:rPr>
          <w:bCs/>
          <w:szCs w:val="20"/>
        </w:rPr>
        <w:t>,</w:t>
      </w:r>
      <w:r w:rsidRPr="00AE7A5B">
        <w:rPr>
          <w:rFonts w:cs="Times New Roman"/>
          <w:bCs/>
          <w:szCs w:val="20"/>
        </w:rPr>
        <w:t xml:space="preserve"> których zakres również pokrywał się z zadaniami NAG</w:t>
      </w:r>
      <w:r w:rsidRPr="00AE7A5B">
        <w:rPr>
          <w:bCs/>
          <w:szCs w:val="20"/>
        </w:rPr>
        <w:t xml:space="preserve"> </w:t>
      </w:r>
      <w:r w:rsidRPr="00AE7A5B">
        <w:rPr>
          <w:rFonts w:cs="Times New Roman"/>
          <w:bCs/>
          <w:szCs w:val="20"/>
        </w:rPr>
        <w:t xml:space="preserve">określonymi w § 3 pkt 8 </w:t>
      </w:r>
      <w:r w:rsidRPr="00AE7A5B">
        <w:rPr>
          <w:bCs/>
          <w:szCs w:val="20"/>
        </w:rPr>
        <w:t xml:space="preserve">załącznika nr 3 </w:t>
      </w:r>
      <w:r w:rsidRPr="00AE7A5B">
        <w:rPr>
          <w:rFonts w:cs="Times New Roman"/>
          <w:bCs/>
          <w:szCs w:val="20"/>
        </w:rPr>
        <w:t xml:space="preserve">Regulaminu </w:t>
      </w:r>
      <w:r w:rsidRPr="00AE7A5B">
        <w:rPr>
          <w:rFonts w:cs="Times New Roman"/>
          <w:bCs/>
          <w:szCs w:val="20"/>
        </w:rPr>
        <w:t>organizacyjnego z 2019 r.</w:t>
      </w:r>
      <w:r>
        <w:rPr>
          <w:rFonts w:cs="Times New Roman"/>
          <w:bCs/>
          <w:szCs w:val="20"/>
          <w:vertAlign w:val="superscript"/>
        </w:rPr>
        <w:footnoteReference w:id="67"/>
      </w:r>
      <w:r w:rsidRPr="00AE7A5B">
        <w:rPr>
          <w:rFonts w:cs="Times New Roman"/>
          <w:bCs/>
          <w:szCs w:val="20"/>
        </w:rPr>
        <w:t xml:space="preserve"> i § 3 pkt 8 </w:t>
      </w:r>
      <w:r w:rsidRPr="00AE7A5B">
        <w:rPr>
          <w:bCs/>
          <w:szCs w:val="20"/>
        </w:rPr>
        <w:t xml:space="preserve">załącznika nr 3 </w:t>
      </w:r>
      <w:r w:rsidRPr="00AE7A5B">
        <w:rPr>
          <w:rFonts w:cs="Times New Roman"/>
          <w:bCs/>
          <w:szCs w:val="20"/>
        </w:rPr>
        <w:t xml:space="preserve">Regulaminu organizacyjnego z 2020 r. </w:t>
      </w:r>
    </w:p>
    <w:p w:rsidR="00AE7A5B" w:rsidRPr="00AE7A5B" w:rsidP="00AE7A5B">
      <w:pPr>
        <w:spacing w:before="120" w:after="120" w:line="240" w:lineRule="auto"/>
        <w:ind w:left="709"/>
        <w:jc w:val="left"/>
        <w:rPr>
          <w:rFonts w:cs="Times New Roman"/>
          <w:bCs/>
          <w:szCs w:val="20"/>
          <w:highlight w:val="yellow"/>
        </w:rPr>
      </w:pPr>
      <w:r w:rsidRPr="00AE7A5B">
        <w:rPr>
          <w:bCs/>
          <w:szCs w:val="20"/>
        </w:rPr>
        <w:t>Ponadto z inną osobą zawarto 5 umów zlecenia</w:t>
      </w:r>
      <w:r>
        <w:rPr>
          <w:szCs w:val="20"/>
          <w:vertAlign w:val="superscript"/>
        </w:rPr>
        <w:footnoteReference w:id="68"/>
      </w:r>
      <w:r w:rsidRPr="00AE7A5B">
        <w:rPr>
          <w:bCs/>
          <w:szCs w:val="20"/>
        </w:rPr>
        <w:t xml:space="preserve">, których przedmiot pokrywał się </w:t>
      </w:r>
      <w:r w:rsidRPr="00AE7A5B">
        <w:rPr>
          <w:bCs/>
          <w:szCs w:val="20"/>
        </w:rPr>
        <w:br/>
        <w:t>z zadaniami NAG.</w:t>
      </w:r>
    </w:p>
    <w:p w:rsidR="00AE7A5B" w:rsidRPr="00AE7A5B" w:rsidP="00AE7A5B">
      <w:pPr>
        <w:spacing w:before="120" w:after="0" w:line="240" w:lineRule="auto"/>
        <w:ind w:left="709"/>
        <w:jc w:val="left"/>
        <w:rPr>
          <w:rFonts w:cs="Times New Roman"/>
          <w:bCs/>
          <w:szCs w:val="20"/>
        </w:rPr>
      </w:pPr>
      <w:r w:rsidRPr="00AE7A5B">
        <w:rPr>
          <w:rFonts w:cs="Times New Roman"/>
          <w:bCs/>
          <w:szCs w:val="20"/>
        </w:rPr>
        <w:t>Dyrektor wyjaśnił</w:t>
      </w:r>
      <w:r>
        <w:rPr>
          <w:rFonts w:cs="Times New Roman"/>
          <w:bCs/>
          <w:szCs w:val="20"/>
          <w:vertAlign w:val="superscript"/>
        </w:rPr>
        <w:footnoteReference w:id="69"/>
      </w:r>
      <w:r w:rsidRPr="00AE7A5B">
        <w:rPr>
          <w:rFonts w:cs="Times New Roman"/>
          <w:bCs/>
          <w:szCs w:val="20"/>
        </w:rPr>
        <w:t xml:space="preserve">, że czynności przewidziane w tych umowach nie mają przewidywalnie stałego charakteru a zapotrzebowanie na nie wzrosło w wyniku przekazywania materiałów w znacznych ilościach przez przedsiębiorców likwidujących swoje archiwa geologiczne. Dodatkowo wyjaśnił, że NAG nie jest </w:t>
      </w:r>
      <w:r w:rsidRPr="00AE7A5B">
        <w:rPr>
          <w:rFonts w:cs="Times New Roman"/>
          <w:bCs/>
          <w:szCs w:val="20"/>
        </w:rPr>
        <w:br/>
        <w:t>w stanie realizować tego typu zadań</w:t>
      </w:r>
      <w:r w:rsidRPr="00AE7A5B">
        <w:rPr>
          <w:rFonts w:cs="Times New Roman"/>
          <w:szCs w:val="20"/>
        </w:rPr>
        <w:t xml:space="preserve"> ze względu na odmienne zakresy, specyfikę </w:t>
      </w:r>
      <w:r w:rsidRPr="00AE7A5B">
        <w:rPr>
          <w:rFonts w:cs="Times New Roman"/>
          <w:szCs w:val="20"/>
        </w:rPr>
        <w:br/>
        <w:t>i skalę</w:t>
      </w:r>
      <w:r w:rsidRPr="00AE7A5B">
        <w:rPr>
          <w:rFonts w:cs="Times New Roman"/>
          <w:bCs/>
          <w:szCs w:val="20"/>
        </w:rPr>
        <w:t>.</w:t>
      </w:r>
    </w:p>
    <w:p w:rsidR="00AE7A5B" w:rsidRPr="00AE7A5B" w:rsidP="00AE7A5B">
      <w:pPr>
        <w:spacing w:before="120" w:after="0" w:line="240" w:lineRule="auto"/>
        <w:ind w:left="709"/>
        <w:jc w:val="left"/>
        <w:rPr>
          <w:rFonts w:cs="Times New Roman"/>
          <w:bCs/>
          <w:szCs w:val="20"/>
        </w:rPr>
      </w:pPr>
      <w:r w:rsidRPr="00AE7A5B">
        <w:rPr>
          <w:rFonts w:cs="Times New Roman"/>
          <w:bCs/>
          <w:szCs w:val="20"/>
        </w:rPr>
        <w:t>Kontrolujący zwraca uwagę, że umowy nie miały charakteru doraźnego, gdyż były zawierane od 1 czerwca 2020 r. do 31 grudnia 2021 r., a przedmiotem działania PIG zgodnie ze Statutem</w:t>
      </w:r>
      <w:r>
        <w:rPr>
          <w:rFonts w:cs="Times New Roman"/>
          <w:bCs/>
          <w:szCs w:val="20"/>
          <w:vertAlign w:val="superscript"/>
        </w:rPr>
        <w:footnoteReference w:id="70"/>
      </w:r>
      <w:r w:rsidRPr="00AE7A5B">
        <w:rPr>
          <w:rFonts w:cs="Times New Roman"/>
          <w:bCs/>
          <w:szCs w:val="20"/>
        </w:rPr>
        <w:t xml:space="preserve"> jest m.in. gromadzenie, przechowywanie zbiorów archiwalnych. Tym samym do zadań PIG należało przygotowywanie archiwaliów do archiwizacji. </w:t>
      </w:r>
    </w:p>
    <w:p w:rsidR="00AE7A5B" w:rsidRPr="00AE7A5B" w:rsidP="00AE7A5B">
      <w:pPr>
        <w:spacing w:before="120" w:after="120" w:line="240" w:lineRule="auto"/>
        <w:ind w:left="709"/>
        <w:jc w:val="left"/>
        <w:rPr>
          <w:rFonts w:cs="Times New Roman"/>
          <w:bCs/>
          <w:szCs w:val="20"/>
        </w:rPr>
      </w:pPr>
      <w:r w:rsidRPr="00AE7A5B">
        <w:rPr>
          <w:rFonts w:cs="Times New Roman"/>
          <w:szCs w:val="20"/>
        </w:rPr>
        <w:t>[Dowód: akta kontroli str. I/SP/11-181, I</w:t>
      </w:r>
      <w:r w:rsidRPr="00AE7A5B">
        <w:rPr>
          <w:szCs w:val="20"/>
        </w:rPr>
        <w:t>/SP/410-426, I/SP/445-446, II/28-40, II/56-168</w:t>
      </w:r>
      <w:r w:rsidRPr="00AE7A5B">
        <w:rPr>
          <w:rFonts w:cs="Times New Roman"/>
          <w:szCs w:val="20"/>
        </w:rPr>
        <w:t>]</w:t>
      </w:r>
    </w:p>
    <w:p w:rsidR="00AE7A5B" w:rsidRPr="00AE7A5B" w:rsidP="00AE7A5B">
      <w:pPr>
        <w:spacing w:after="0" w:line="240" w:lineRule="auto"/>
        <w:jc w:val="left"/>
        <w:rPr>
          <w:rFonts w:cs="Times New Roman"/>
          <w:bCs/>
          <w:szCs w:val="20"/>
        </w:rPr>
      </w:pPr>
      <w:r w:rsidRPr="00AE7A5B">
        <w:rPr>
          <w:rFonts w:cs="Times New Roman"/>
          <w:bCs/>
          <w:szCs w:val="20"/>
        </w:rPr>
        <w:t>Ponadto stwierdzono następujące uchybienia:</w:t>
      </w:r>
    </w:p>
    <w:p w:rsidR="00AE7A5B" w:rsidRPr="00AE7A5B" w:rsidP="00AE7A5B">
      <w:pPr>
        <w:numPr>
          <w:ilvl w:val="0"/>
          <w:numId w:val="3"/>
        </w:numPr>
        <w:spacing w:before="120" w:after="0" w:line="240" w:lineRule="auto"/>
        <w:ind w:left="357" w:hanging="357"/>
        <w:jc w:val="left"/>
        <w:rPr>
          <w:rFonts w:cs="Times New Roman"/>
          <w:bCs/>
          <w:szCs w:val="20"/>
        </w:rPr>
      </w:pPr>
      <w:r w:rsidRPr="00AE7A5B">
        <w:rPr>
          <w:rFonts w:cs="Times New Roman"/>
          <w:bCs/>
          <w:szCs w:val="20"/>
        </w:rPr>
        <w:t>brak comiesięcznego odbioru prac do umowy nr 386/2021 z 22 marca 2021 r.</w:t>
      </w:r>
      <w:r>
        <w:rPr>
          <w:vertAlign w:val="superscript"/>
        </w:rPr>
        <w:footnoteReference w:id="71"/>
      </w:r>
      <w:r w:rsidRPr="00AE7A5B">
        <w:rPr>
          <w:rFonts w:cs="Times New Roman"/>
          <w:bCs/>
          <w:szCs w:val="20"/>
        </w:rPr>
        <w:t>, o czym świadczy wystawiony w ostatnim miesiącu trwania umowy</w:t>
      </w:r>
      <w:r>
        <w:rPr>
          <w:vertAlign w:val="superscript"/>
        </w:rPr>
        <w:footnoteReference w:id="72"/>
      </w:r>
      <w:r w:rsidRPr="00AE7A5B">
        <w:rPr>
          <w:rFonts w:cs="Times New Roman"/>
          <w:bCs/>
          <w:szCs w:val="20"/>
        </w:rPr>
        <w:t xml:space="preserve"> jeden rachunek za cały okres obowiązywania, a załączone do ww. rachunku 10 protokołów odbioru nie miało dat sporządzenia, co było niezgodne z § 3 pkt 1</w:t>
      </w:r>
      <w:r>
        <w:rPr>
          <w:vertAlign w:val="superscript"/>
        </w:rPr>
        <w:footnoteReference w:id="73"/>
      </w:r>
      <w:r w:rsidRPr="00AE7A5B">
        <w:rPr>
          <w:rFonts w:cs="Times New Roman"/>
          <w:bCs/>
          <w:szCs w:val="20"/>
        </w:rPr>
        <w:t xml:space="preserve">  i § 4 pkt 1</w:t>
      </w:r>
      <w:r>
        <w:rPr>
          <w:vertAlign w:val="superscript"/>
        </w:rPr>
        <w:footnoteReference w:id="74"/>
      </w:r>
      <w:r w:rsidRPr="00AE7A5B">
        <w:rPr>
          <w:rFonts w:cs="Times New Roman"/>
          <w:bCs/>
          <w:szCs w:val="20"/>
        </w:rPr>
        <w:t xml:space="preserve"> ww. umowy . </w:t>
      </w:r>
    </w:p>
    <w:p w:rsidR="00AE7A5B" w:rsidRPr="00AE7A5B" w:rsidP="00AE7A5B">
      <w:pPr>
        <w:spacing w:before="120" w:after="0" w:line="240" w:lineRule="auto"/>
        <w:ind w:left="357"/>
        <w:jc w:val="left"/>
        <w:rPr>
          <w:rFonts w:cs="Times New Roman"/>
          <w:bCs/>
          <w:szCs w:val="20"/>
        </w:rPr>
      </w:pPr>
      <w:bookmarkEnd w:id="13"/>
      <w:r w:rsidRPr="00AE7A5B">
        <w:rPr>
          <w:rFonts w:cs="Times New Roman"/>
          <w:bCs/>
          <w:szCs w:val="20"/>
        </w:rPr>
        <w:t>Kierownik Działu Spraw Personalnych wyjaśnił</w:t>
      </w:r>
      <w:r>
        <w:rPr>
          <w:vertAlign w:val="superscript"/>
        </w:rPr>
        <w:footnoteReference w:id="75"/>
      </w:r>
      <w:r w:rsidRPr="00AE7A5B">
        <w:rPr>
          <w:rFonts w:cs="Times New Roman"/>
          <w:bCs/>
          <w:szCs w:val="20"/>
        </w:rPr>
        <w:t>, że wolą zleceniobiorcy było wystawienie jednego rocznego rachunku po wykonaniu zlecenia. Dodatkowo wyjaśnił, że odbiory prac miały miejsce w okresach miesięcznych, a braki dat na protokołach były przeoczeniem.</w:t>
      </w:r>
      <w:bookmarkStart w:id="18" w:name="_Hlk138950452"/>
    </w:p>
    <w:p w:rsidR="00AE7A5B" w:rsidRPr="00AE7A5B" w:rsidP="00AE7A5B">
      <w:pPr>
        <w:spacing w:before="120" w:after="120" w:line="240" w:lineRule="auto"/>
        <w:ind w:left="357"/>
        <w:jc w:val="left"/>
        <w:rPr>
          <w:rFonts w:cs="Times New Roman"/>
          <w:bCs/>
          <w:szCs w:val="20"/>
        </w:rPr>
      </w:pPr>
      <w:r w:rsidRPr="00AE7A5B">
        <w:rPr>
          <w:rFonts w:cs="Times New Roman"/>
          <w:szCs w:val="20"/>
        </w:rPr>
        <w:t>[Dowód: akta kontroli str. I/SP/199-220, I/SP/275-281, I</w:t>
      </w:r>
      <w:r w:rsidRPr="00AE7A5B">
        <w:rPr>
          <w:szCs w:val="20"/>
        </w:rPr>
        <w:t>/SP/410-426, I/SP/445-446</w:t>
      </w:r>
      <w:r w:rsidRPr="00AE7A5B">
        <w:rPr>
          <w:rFonts w:cs="Times New Roman"/>
          <w:szCs w:val="20"/>
        </w:rPr>
        <w:t>]</w:t>
      </w:r>
    </w:p>
    <w:p w:rsidR="00AE7A5B" w:rsidRPr="00AE7A5B" w:rsidP="00AE7A5B">
      <w:pPr>
        <w:numPr>
          <w:ilvl w:val="0"/>
          <w:numId w:val="3"/>
        </w:numPr>
        <w:spacing w:after="0" w:line="240" w:lineRule="auto"/>
        <w:jc w:val="left"/>
        <w:rPr>
          <w:rFonts w:cs="Times New Roman"/>
          <w:szCs w:val="20"/>
        </w:rPr>
      </w:pPr>
      <w:bookmarkStart w:id="19" w:name="_Hlk140220396"/>
      <w:bookmarkStart w:id="20" w:name="_Hlk138950430"/>
      <w:bookmarkEnd w:id="18"/>
      <w:r w:rsidRPr="00AE7A5B">
        <w:rPr>
          <w:rFonts w:cs="Times New Roman"/>
          <w:szCs w:val="20"/>
        </w:rPr>
        <w:t xml:space="preserve">brak podpisania umowy nr 191/2020 z 11 sierpnia 2020 r. przez Zastępcę Dyrektora </w:t>
      </w:r>
      <w:r w:rsidRPr="00AE7A5B">
        <w:rPr>
          <w:rFonts w:cs="Times New Roman"/>
          <w:szCs w:val="20"/>
        </w:rPr>
        <w:br/>
        <w:t xml:space="preserve">ds. Administracyjno-Ekonomicznych, który został wskazany w umowie jako jedna </w:t>
      </w:r>
      <w:r w:rsidRPr="00AE7A5B">
        <w:rPr>
          <w:rFonts w:cs="Times New Roman"/>
          <w:szCs w:val="20"/>
        </w:rPr>
        <w:br/>
        <w:t>z 2 osób działających w imieniu Instytutu. Zamiast niego podpis złożył Zastępca Dyrektora ds. Służby Geologicznej.</w:t>
      </w:r>
    </w:p>
    <w:p w:rsidR="00AE7A5B" w:rsidRPr="00AE7A5B" w:rsidP="00AE7A5B">
      <w:pPr>
        <w:spacing w:before="120" w:after="0" w:line="240" w:lineRule="auto"/>
        <w:ind w:left="357"/>
        <w:jc w:val="left"/>
        <w:rPr>
          <w:rFonts w:cs="Times New Roman"/>
          <w:szCs w:val="20"/>
        </w:rPr>
      </w:pPr>
      <w:r w:rsidRPr="00AE7A5B">
        <w:rPr>
          <w:rFonts w:cs="Times New Roman"/>
          <w:szCs w:val="20"/>
        </w:rPr>
        <w:t>Kierownik Działu Spraw Personalnych wyjaśnił</w:t>
      </w:r>
      <w:r>
        <w:rPr>
          <w:rFonts w:cs="Times New Roman"/>
          <w:bCs/>
          <w:szCs w:val="20"/>
          <w:vertAlign w:val="superscript"/>
        </w:rPr>
        <w:footnoteReference w:id="76"/>
      </w:r>
      <w:r w:rsidRPr="00AE7A5B">
        <w:rPr>
          <w:rFonts w:cs="Times New Roman"/>
          <w:bCs/>
          <w:szCs w:val="20"/>
        </w:rPr>
        <w:t>,</w:t>
      </w:r>
      <w:r w:rsidRPr="00AE7A5B">
        <w:rPr>
          <w:rFonts w:cs="Times New Roman"/>
          <w:szCs w:val="20"/>
        </w:rPr>
        <w:t xml:space="preserve"> że w okresie pandemii  praca  miała charakter naprzemiennej pracy zdalnej, w związku z czym trafiła do akceptacji obecnych w biurze 2 dyrektorów.</w:t>
      </w:r>
    </w:p>
    <w:p w:rsidR="00AE7A5B" w:rsidRPr="00AE7A5B" w:rsidP="00AE7A5B">
      <w:pPr>
        <w:spacing w:before="120" w:after="120" w:line="240" w:lineRule="auto"/>
        <w:ind w:left="357"/>
        <w:jc w:val="left"/>
        <w:rPr>
          <w:rFonts w:cs="Times New Roman"/>
          <w:bCs/>
          <w:szCs w:val="20"/>
        </w:rPr>
      </w:pPr>
      <w:r w:rsidRPr="00AE7A5B">
        <w:rPr>
          <w:rFonts w:cs="Times New Roman"/>
          <w:szCs w:val="20"/>
        </w:rPr>
        <w:t>[Dowód: akta kontroli str. I/SP/182-301, I</w:t>
      </w:r>
      <w:r w:rsidRPr="00AE7A5B">
        <w:rPr>
          <w:szCs w:val="20"/>
        </w:rPr>
        <w:t xml:space="preserve">/SP/410-426, I/SP/445-446 </w:t>
      </w:r>
      <w:r w:rsidRPr="00AE7A5B">
        <w:rPr>
          <w:rFonts w:cs="Times New Roman"/>
          <w:szCs w:val="20"/>
        </w:rPr>
        <w:t>]</w:t>
      </w:r>
    </w:p>
    <w:p w:rsidR="00AE7A5B" w:rsidRPr="00AE7A5B" w:rsidP="00AE7A5B">
      <w:pPr>
        <w:numPr>
          <w:ilvl w:val="0"/>
          <w:numId w:val="3"/>
        </w:numPr>
        <w:spacing w:after="0" w:line="240" w:lineRule="auto"/>
        <w:jc w:val="left"/>
        <w:rPr>
          <w:rFonts w:cs="Times New Roman"/>
          <w:szCs w:val="20"/>
        </w:rPr>
      </w:pPr>
      <w:r w:rsidRPr="00AE7A5B">
        <w:rPr>
          <w:rFonts w:cs="Times New Roman"/>
          <w:szCs w:val="20"/>
        </w:rPr>
        <w:t>wypłata wynagrodzenia z tytułu umowy nr 52/2021 z 4 marca 2021 r, pomimo braku wskazania numeru konta bankowego na 9 wystawionych w 2021 r. rachunkach</w:t>
      </w:r>
      <w:r>
        <w:rPr>
          <w:rFonts w:cs="Times New Roman"/>
          <w:bCs/>
          <w:szCs w:val="20"/>
          <w:vertAlign w:val="superscript"/>
        </w:rPr>
        <w:footnoteReference w:id="77"/>
      </w:r>
      <w:r w:rsidRPr="00AE7A5B">
        <w:rPr>
          <w:rFonts w:cs="Times New Roman"/>
          <w:szCs w:val="20"/>
        </w:rPr>
        <w:t xml:space="preserve">, </w:t>
      </w:r>
      <w:r w:rsidRPr="00AE7A5B">
        <w:rPr>
          <w:rFonts w:cs="Times New Roman"/>
          <w:szCs w:val="20"/>
        </w:rPr>
        <w:br/>
        <w:t>co było niezgodne z § 4 pkt 4 ww. umowy</w:t>
      </w:r>
      <w:r>
        <w:rPr>
          <w:rFonts w:cs="Times New Roman"/>
          <w:bCs/>
          <w:szCs w:val="20"/>
          <w:vertAlign w:val="superscript"/>
        </w:rPr>
        <w:footnoteReference w:id="78"/>
      </w:r>
      <w:r w:rsidRPr="00AE7A5B">
        <w:rPr>
          <w:rFonts w:cs="Times New Roman"/>
          <w:szCs w:val="20"/>
        </w:rPr>
        <w:t>.</w:t>
      </w:r>
    </w:p>
    <w:p w:rsidR="00AE7A5B" w:rsidRPr="00AE7A5B" w:rsidP="00AE7A5B">
      <w:pPr>
        <w:spacing w:before="120" w:after="0" w:line="240" w:lineRule="auto"/>
        <w:ind w:left="357"/>
        <w:jc w:val="left"/>
        <w:rPr>
          <w:rFonts w:cs="Times New Roman"/>
          <w:szCs w:val="20"/>
        </w:rPr>
      </w:pPr>
      <w:bookmarkEnd w:id="19"/>
      <w:r w:rsidRPr="00AE7A5B">
        <w:rPr>
          <w:rFonts w:cs="Times New Roman"/>
          <w:szCs w:val="20"/>
        </w:rPr>
        <w:t>Kierownik Działu Spraw Personalnych wyjaśnił</w:t>
      </w:r>
      <w:r>
        <w:rPr>
          <w:rFonts w:cs="Times New Roman"/>
          <w:bCs/>
          <w:szCs w:val="20"/>
          <w:vertAlign w:val="superscript"/>
        </w:rPr>
        <w:footnoteReference w:id="79"/>
      </w:r>
      <w:r w:rsidRPr="00AE7A5B">
        <w:rPr>
          <w:rFonts w:cs="Times New Roman"/>
          <w:szCs w:val="20"/>
        </w:rPr>
        <w:t>, że w związku z wieloletnią współpracą ze zleceniobiorcą, konto bankowe wpisane do programu ERP na podstawie wcześniejszych oświadczeń, jest uznawane za aktualne i prawidłowe.</w:t>
      </w:r>
      <w:bookmarkEnd w:id="20"/>
    </w:p>
    <w:p w:rsidR="00AE7A5B" w:rsidRPr="00AE7A5B" w:rsidP="00AE7A5B">
      <w:pPr>
        <w:spacing w:before="120" w:after="120" w:line="240" w:lineRule="auto"/>
        <w:ind w:left="357"/>
        <w:jc w:val="left"/>
        <w:rPr>
          <w:rFonts w:cs="Times New Roman"/>
          <w:szCs w:val="20"/>
        </w:rPr>
      </w:pPr>
      <w:r w:rsidRPr="00AE7A5B">
        <w:rPr>
          <w:rFonts w:cs="Times New Roman"/>
          <w:szCs w:val="20"/>
        </w:rPr>
        <w:t>[Dowód: akta kontroli str. I/SP/182-301, I</w:t>
      </w:r>
      <w:r w:rsidRPr="00AE7A5B">
        <w:rPr>
          <w:szCs w:val="20"/>
        </w:rPr>
        <w:t>/SP/410-426, I/SP/445-446</w:t>
      </w:r>
      <w:r w:rsidRPr="00AE7A5B">
        <w:rPr>
          <w:rFonts w:cs="Times New Roman"/>
          <w:szCs w:val="20"/>
        </w:rPr>
        <w:t>]</w:t>
      </w:r>
    </w:p>
    <w:p w:rsidR="00AE7A5B" w:rsidRPr="00AE7A5B" w:rsidP="00AE7A5B">
      <w:pPr>
        <w:spacing w:after="0" w:line="240" w:lineRule="auto"/>
        <w:jc w:val="left"/>
        <w:rPr>
          <w:rFonts w:cs="Times New Roman"/>
          <w:b/>
          <w:bCs/>
          <w:szCs w:val="20"/>
        </w:rPr>
      </w:pPr>
      <w:r w:rsidRPr="00AE7A5B">
        <w:rPr>
          <w:rFonts w:cs="Times New Roman"/>
          <w:b/>
          <w:bCs/>
          <w:szCs w:val="20"/>
        </w:rPr>
        <w:t>d) udzielanie zamówień publicznych</w:t>
      </w:r>
    </w:p>
    <w:p w:rsidR="00AE7A5B" w:rsidRPr="00AE7A5B" w:rsidP="00AE7A5B">
      <w:pPr>
        <w:spacing w:before="120" w:after="120" w:line="240" w:lineRule="auto"/>
        <w:jc w:val="left"/>
        <w:rPr>
          <w:szCs w:val="20"/>
        </w:rPr>
      </w:pPr>
      <w:r w:rsidRPr="00AE7A5B">
        <w:rPr>
          <w:szCs w:val="20"/>
        </w:rPr>
        <w:t xml:space="preserve">W okresie objętym kontrolą zasady udzielania zamówień publicznych określono </w:t>
      </w:r>
      <w:r w:rsidRPr="00AE7A5B">
        <w:rPr>
          <w:szCs w:val="20"/>
        </w:rPr>
        <w:br/>
        <w:t xml:space="preserve">w </w:t>
      </w:r>
      <w:r w:rsidRPr="00AE7A5B">
        <w:rPr>
          <w:rFonts w:cs="Times New Roman"/>
          <w:szCs w:val="20"/>
        </w:rPr>
        <w:t xml:space="preserve">Regulaminie </w:t>
      </w:r>
      <w:r w:rsidRPr="00AE7A5B">
        <w:rPr>
          <w:szCs w:val="20"/>
        </w:rPr>
        <w:t xml:space="preserve">zamówień. </w:t>
      </w:r>
    </w:p>
    <w:p w:rsidR="00AE7A5B" w:rsidRPr="00AE7A5B" w:rsidP="00AE7A5B">
      <w:pPr>
        <w:spacing w:after="120" w:line="240" w:lineRule="auto"/>
        <w:jc w:val="left"/>
        <w:rPr>
          <w:rFonts w:cs="Times New Roman"/>
          <w:szCs w:val="20"/>
        </w:rPr>
      </w:pPr>
      <w:r w:rsidRPr="00AE7A5B">
        <w:rPr>
          <w:rFonts w:cs="Times New Roman"/>
          <w:szCs w:val="20"/>
        </w:rPr>
        <w:t xml:space="preserve">Zgodnie z </w:t>
      </w:r>
      <w:r w:rsidRPr="00AE7A5B">
        <w:rPr>
          <w:szCs w:val="20"/>
        </w:rPr>
        <w:t xml:space="preserve">§ 8 pkt 1 </w:t>
      </w:r>
      <w:r w:rsidRPr="00AE7A5B">
        <w:rPr>
          <w:rFonts w:cs="Times New Roman"/>
          <w:szCs w:val="20"/>
        </w:rPr>
        <w:t xml:space="preserve">Regulaminu zamówień za przygotowanie i prowadzenie postępowań </w:t>
      </w:r>
      <w:r w:rsidRPr="00AE7A5B">
        <w:rPr>
          <w:rFonts w:cs="Times New Roman"/>
          <w:szCs w:val="20"/>
        </w:rPr>
        <w:br/>
        <w:t xml:space="preserve">o udzielanie zamówień publicznych odpowiedzialna była komórka ds. zamówień publicznych we współpracy z innymi komórkami organizacyjnymi w ramach prac komisji przetargowej.  </w:t>
      </w:r>
    </w:p>
    <w:p w:rsidR="00AE7A5B" w:rsidRPr="00AE7A5B" w:rsidP="00AE7A5B">
      <w:pPr>
        <w:spacing w:after="120" w:line="240" w:lineRule="auto"/>
        <w:jc w:val="left"/>
        <w:rPr>
          <w:rFonts w:cs="Times New Roman"/>
          <w:szCs w:val="20"/>
        </w:rPr>
      </w:pPr>
      <w:r w:rsidRPr="00AE7A5B">
        <w:rPr>
          <w:rFonts w:eastAsia="Calibri"/>
          <w:szCs w:val="20"/>
        </w:rPr>
        <w:t>[Dowód: akta kontroli str.</w:t>
      </w:r>
      <w:r w:rsidRPr="00AE7A5B">
        <w:rPr>
          <w:rFonts w:eastAsia="Calibri"/>
          <w:szCs w:val="20"/>
          <w:lang w:eastAsia="ar-SA"/>
        </w:rPr>
        <w:t xml:space="preserve"> </w:t>
      </w:r>
      <w:r w:rsidRPr="00AE7A5B">
        <w:rPr>
          <w:szCs w:val="20"/>
          <w:lang w:eastAsia="ar-SA"/>
        </w:rPr>
        <w:t>I/1-85/AC</w:t>
      </w:r>
      <w:r w:rsidRPr="00AE7A5B">
        <w:rPr>
          <w:rFonts w:eastAsia="Calibri"/>
          <w:szCs w:val="20"/>
        </w:rPr>
        <w:t>]</w:t>
      </w:r>
    </w:p>
    <w:p w:rsidR="00AE7A5B" w:rsidRPr="00AE7A5B" w:rsidP="00AE7A5B">
      <w:pPr>
        <w:spacing w:after="120" w:line="240" w:lineRule="auto"/>
        <w:jc w:val="left"/>
        <w:rPr>
          <w:szCs w:val="20"/>
        </w:rPr>
      </w:pPr>
      <w:r w:rsidRPr="00AE7A5B">
        <w:rPr>
          <w:szCs w:val="20"/>
        </w:rPr>
        <w:t xml:space="preserve">W Instytucie przygotowano wewnętrzne plany zamówień publicznych na 2020 r. i 2021 r. </w:t>
      </w:r>
    </w:p>
    <w:p w:rsidR="00AE7A5B" w:rsidRPr="00AE7A5B" w:rsidP="00AE7A5B">
      <w:pPr>
        <w:spacing w:after="0" w:line="240" w:lineRule="auto"/>
        <w:jc w:val="left"/>
        <w:rPr>
          <w:szCs w:val="20"/>
        </w:rPr>
      </w:pPr>
      <w:r w:rsidRPr="00AE7A5B">
        <w:rPr>
          <w:szCs w:val="20"/>
        </w:rPr>
        <w:t>Instytut sporządził i przekazał do Prezesa Urzędu Zamówień Publicznych roczne sprawozdania o udzielonych zamówieniach publicznych za 2020 r. i dwa za 2021 r.</w:t>
      </w:r>
      <w:r>
        <w:rPr>
          <w:vertAlign w:val="superscript"/>
        </w:rPr>
        <w:footnoteReference w:id="80"/>
      </w:r>
      <w:r w:rsidRPr="00AE7A5B">
        <w:rPr>
          <w:szCs w:val="20"/>
        </w:rPr>
        <w:t xml:space="preserve">, </w:t>
      </w:r>
      <w:r w:rsidRPr="00AE7A5B">
        <w:rPr>
          <w:szCs w:val="20"/>
        </w:rPr>
        <w:br/>
        <w:t xml:space="preserve">w terminach określonych w art. 98 ust. 2 </w:t>
      </w:r>
      <w:bookmarkStart w:id="21" w:name="_Hlk146555656"/>
      <w:r w:rsidRPr="00AE7A5B">
        <w:rPr>
          <w:szCs w:val="20"/>
        </w:rPr>
        <w:t>Pzp</w:t>
      </w:r>
      <w:r w:rsidRPr="00AE7A5B">
        <w:rPr>
          <w:szCs w:val="20"/>
        </w:rPr>
        <w:t xml:space="preserve"> i art. 82 ust. 2 </w:t>
      </w:r>
      <w:r w:rsidRPr="00AE7A5B">
        <w:rPr>
          <w:szCs w:val="20"/>
        </w:rPr>
        <w:t>nPzp</w:t>
      </w:r>
      <w:r w:rsidRPr="00AE7A5B">
        <w:rPr>
          <w:szCs w:val="20"/>
        </w:rPr>
        <w:t>.</w:t>
      </w:r>
      <w:bookmarkEnd w:id="21"/>
    </w:p>
    <w:p w:rsidR="00AE7A5B" w:rsidRPr="00AE7A5B" w:rsidP="00AE7A5B">
      <w:pPr>
        <w:spacing w:before="120" w:after="120" w:line="240" w:lineRule="auto"/>
        <w:jc w:val="left"/>
        <w:rPr>
          <w:rFonts w:cs="Times New Roman"/>
          <w:szCs w:val="20"/>
        </w:rPr>
      </w:pPr>
      <w:r w:rsidRPr="00AE7A5B">
        <w:rPr>
          <w:rFonts w:eastAsia="Calibri"/>
          <w:szCs w:val="20"/>
        </w:rPr>
        <w:t>[Dowód: akta kontroli str. I/189-211/AC, I/520-521/AC]</w:t>
      </w:r>
    </w:p>
    <w:p w:rsidR="00AE7A5B" w:rsidRPr="00AE7A5B" w:rsidP="00AE7A5B">
      <w:pPr>
        <w:spacing w:after="0" w:line="240" w:lineRule="auto"/>
        <w:jc w:val="left"/>
        <w:rPr>
          <w:b/>
          <w:bCs/>
          <w:szCs w:val="20"/>
        </w:rPr>
      </w:pPr>
      <w:r w:rsidRPr="00AE7A5B">
        <w:rPr>
          <w:b/>
          <w:bCs/>
          <w:szCs w:val="20"/>
        </w:rPr>
        <w:t xml:space="preserve">Zamówienia publiczne powyżej progu stosowania </w:t>
      </w:r>
      <w:r w:rsidRPr="00AE7A5B">
        <w:rPr>
          <w:b/>
          <w:bCs/>
          <w:szCs w:val="20"/>
        </w:rPr>
        <w:t>Pzp</w:t>
      </w:r>
      <w:r w:rsidRPr="00AE7A5B">
        <w:rPr>
          <w:b/>
          <w:bCs/>
          <w:szCs w:val="20"/>
        </w:rPr>
        <w:t xml:space="preserve"> i </w:t>
      </w:r>
      <w:r w:rsidRPr="00AE7A5B">
        <w:rPr>
          <w:b/>
          <w:bCs/>
          <w:szCs w:val="20"/>
        </w:rPr>
        <w:t>nPzp</w:t>
      </w:r>
    </w:p>
    <w:p w:rsidR="00AE7A5B" w:rsidRPr="00AE7A5B" w:rsidP="00AE7A5B">
      <w:pPr>
        <w:spacing w:before="120" w:after="0" w:line="240" w:lineRule="auto"/>
        <w:jc w:val="left"/>
        <w:rPr>
          <w:rFonts w:cs="Times New Roman"/>
          <w:bCs/>
          <w:szCs w:val="20"/>
        </w:rPr>
      </w:pPr>
      <w:bookmarkStart w:id="22" w:name="_Hlk146277699"/>
      <w:r w:rsidRPr="00AE7A5B">
        <w:rPr>
          <w:szCs w:val="20"/>
        </w:rPr>
        <w:t>W latach 2020-2021 Instytut prowadził 281 postępowań o udzielenie zamówienia publicznego</w:t>
      </w:r>
      <w:r w:rsidRPr="00AE7A5B">
        <w:t xml:space="preserve"> </w:t>
      </w:r>
      <w:r w:rsidRPr="00AE7A5B">
        <w:rPr>
          <w:szCs w:val="20"/>
        </w:rPr>
        <w:t>o wartości powyżej 30 tys. euro netto/</w:t>
      </w:r>
      <w:r w:rsidRPr="00AE7A5B">
        <w:t>130 tys. zł netto</w:t>
      </w:r>
      <w:r w:rsidRPr="00AE7A5B">
        <w:rPr>
          <w:szCs w:val="20"/>
        </w:rPr>
        <w:t xml:space="preserve">, a łączna kwota udzielonych zamówień wyniosła </w:t>
      </w:r>
      <w:r w:rsidRPr="00AE7A5B">
        <w:rPr>
          <w:rFonts w:cs="Times New Roman"/>
          <w:szCs w:val="20"/>
        </w:rPr>
        <w:t>77 317 tys. zł</w:t>
      </w:r>
      <w:r>
        <w:rPr>
          <w:vertAlign w:val="superscript"/>
        </w:rPr>
        <w:footnoteReference w:id="81"/>
      </w:r>
      <w:r w:rsidRPr="00AE7A5B">
        <w:rPr>
          <w:szCs w:val="20"/>
        </w:rPr>
        <w:t>.</w:t>
      </w:r>
      <w:bookmarkEnd w:id="22"/>
    </w:p>
    <w:p w:rsidR="00AE7A5B" w:rsidRPr="00AE7A5B" w:rsidP="00AE7A5B">
      <w:pPr>
        <w:spacing w:before="120" w:after="120" w:line="240" w:lineRule="auto"/>
        <w:jc w:val="left"/>
        <w:rPr>
          <w:rFonts w:cs="Times New Roman"/>
          <w:bCs/>
          <w:szCs w:val="20"/>
        </w:rPr>
      </w:pPr>
      <w:r w:rsidRPr="00AE7A5B">
        <w:rPr>
          <w:rFonts w:eastAsia="Calibri"/>
          <w:szCs w:val="20"/>
        </w:rPr>
        <w:t>[Dowód: akta kontroli str.</w:t>
      </w:r>
      <w:r w:rsidRPr="00AE7A5B">
        <w:rPr>
          <w:rFonts w:eastAsia="Calibri"/>
          <w:szCs w:val="20"/>
          <w:lang w:eastAsia="ar-SA"/>
        </w:rPr>
        <w:t xml:space="preserve"> </w:t>
      </w:r>
      <w:r w:rsidRPr="00AE7A5B">
        <w:rPr>
          <w:szCs w:val="20"/>
          <w:lang w:eastAsia="ar-SA"/>
        </w:rPr>
        <w:t>I/134-149/AC, I/167-182/AC</w:t>
      </w:r>
      <w:r w:rsidRPr="00AE7A5B">
        <w:rPr>
          <w:rFonts w:eastAsia="Calibri"/>
          <w:szCs w:val="20"/>
        </w:rPr>
        <w:t>]</w:t>
      </w:r>
    </w:p>
    <w:p w:rsidR="00AE7A5B" w:rsidRPr="00AE7A5B" w:rsidP="00AE7A5B">
      <w:pPr>
        <w:spacing w:after="0" w:line="240" w:lineRule="auto"/>
        <w:jc w:val="left"/>
        <w:rPr>
          <w:rFonts w:cs="Times New Roman"/>
          <w:bCs/>
          <w:szCs w:val="20"/>
        </w:rPr>
      </w:pPr>
      <w:r w:rsidRPr="00AE7A5B">
        <w:rPr>
          <w:rFonts w:cs="Times New Roman"/>
          <w:bCs/>
          <w:szCs w:val="20"/>
        </w:rPr>
        <w:t>Kontroli poddano 4 zamówienia</w:t>
      </w:r>
      <w:r>
        <w:rPr>
          <w:bCs/>
          <w:vertAlign w:val="superscript"/>
        </w:rPr>
        <w:footnoteReference w:id="82"/>
      </w:r>
      <w:r w:rsidRPr="00AE7A5B">
        <w:rPr>
          <w:rFonts w:cs="Times New Roman"/>
          <w:bCs/>
          <w:szCs w:val="20"/>
        </w:rPr>
        <w:t xml:space="preserve"> udzielone na łączną kwotę 13 785 tys. zł, w wyniku której stwierdzono następujące nieprawidłowości:</w:t>
      </w:r>
    </w:p>
    <w:p w:rsidR="00AE7A5B" w:rsidRPr="00AE7A5B" w:rsidP="00AE7A5B">
      <w:pPr>
        <w:numPr>
          <w:ilvl w:val="0"/>
          <w:numId w:val="21"/>
        </w:numPr>
        <w:spacing w:before="120" w:after="0" w:line="240" w:lineRule="auto"/>
        <w:ind w:left="284" w:hanging="284"/>
        <w:jc w:val="left"/>
        <w:rPr>
          <w:szCs w:val="20"/>
        </w:rPr>
      </w:pPr>
      <w:r w:rsidRPr="00AE7A5B">
        <w:rPr>
          <w:szCs w:val="20"/>
        </w:rPr>
        <w:t>nie złożono oświadczenia o braku konfliktu interesów w 2 przypadkach przez osoby udzielające zamówienia</w:t>
      </w:r>
      <w:r>
        <w:rPr>
          <w:szCs w:val="20"/>
          <w:vertAlign w:val="superscript"/>
        </w:rPr>
        <w:footnoteReference w:id="83"/>
      </w:r>
      <w:r w:rsidRPr="00AE7A5B">
        <w:rPr>
          <w:szCs w:val="20"/>
        </w:rPr>
        <w:t xml:space="preserve"> oraz w 2 przypadkach przez osoby mogące mieć wpływ na wynik postępowania</w:t>
      </w:r>
      <w:r>
        <w:rPr>
          <w:szCs w:val="20"/>
          <w:vertAlign w:val="superscript"/>
        </w:rPr>
        <w:footnoteReference w:id="84"/>
      </w:r>
      <w:r w:rsidRPr="00AE7A5B">
        <w:rPr>
          <w:szCs w:val="20"/>
        </w:rPr>
        <w:t xml:space="preserve">, a także 1 przypadek braku daty złożenia oświadczenia przez 1 </w:t>
      </w:r>
      <w:r w:rsidRPr="00AE7A5B">
        <w:rPr>
          <w:szCs w:val="20"/>
        </w:rPr>
        <w:t>członka komisji przetargowej</w:t>
      </w:r>
      <w:r>
        <w:rPr>
          <w:szCs w:val="20"/>
          <w:vertAlign w:val="superscript"/>
        </w:rPr>
        <w:footnoteReference w:id="85"/>
      </w:r>
      <w:r w:rsidRPr="00AE7A5B">
        <w:rPr>
          <w:szCs w:val="20"/>
        </w:rPr>
        <w:t>, co było niezgodne z art. 17 ust. 2</w:t>
      </w:r>
      <w:r>
        <w:rPr>
          <w:szCs w:val="20"/>
          <w:vertAlign w:val="superscript"/>
        </w:rPr>
        <w:footnoteReference w:id="86"/>
      </w:r>
      <w:r w:rsidRPr="00AE7A5B">
        <w:rPr>
          <w:szCs w:val="20"/>
        </w:rPr>
        <w:t xml:space="preserve"> </w:t>
      </w:r>
      <w:r w:rsidRPr="00AE7A5B">
        <w:rPr>
          <w:szCs w:val="20"/>
        </w:rPr>
        <w:t>Pzp</w:t>
      </w:r>
      <w:r w:rsidRPr="00AE7A5B">
        <w:rPr>
          <w:szCs w:val="20"/>
        </w:rPr>
        <w:t xml:space="preserve"> i z art. 56 </w:t>
      </w:r>
      <w:r w:rsidRPr="00AE7A5B">
        <w:rPr>
          <w:szCs w:val="20"/>
        </w:rPr>
        <w:br/>
        <w:t>ust. 4</w:t>
      </w:r>
      <w:r>
        <w:rPr>
          <w:szCs w:val="20"/>
          <w:vertAlign w:val="superscript"/>
        </w:rPr>
        <w:footnoteReference w:id="87"/>
      </w:r>
      <w:r w:rsidRPr="00AE7A5B">
        <w:rPr>
          <w:szCs w:val="20"/>
        </w:rPr>
        <w:t xml:space="preserve"> w związku z ust. 1</w:t>
      </w:r>
      <w:r>
        <w:rPr>
          <w:szCs w:val="20"/>
          <w:vertAlign w:val="superscript"/>
        </w:rPr>
        <w:footnoteReference w:id="88"/>
      </w:r>
      <w:r w:rsidRPr="00AE7A5B">
        <w:rPr>
          <w:szCs w:val="20"/>
        </w:rPr>
        <w:t xml:space="preserve"> i 5</w:t>
      </w:r>
      <w:r>
        <w:rPr>
          <w:szCs w:val="20"/>
          <w:vertAlign w:val="superscript"/>
        </w:rPr>
        <w:footnoteReference w:id="89"/>
      </w:r>
      <w:r w:rsidRPr="00AE7A5B">
        <w:rPr>
          <w:szCs w:val="20"/>
        </w:rPr>
        <w:t xml:space="preserve"> </w:t>
      </w:r>
      <w:r w:rsidRPr="00AE7A5B">
        <w:rPr>
          <w:szCs w:val="20"/>
        </w:rPr>
        <w:t>nPzp</w:t>
      </w:r>
      <w:r w:rsidRPr="00AE7A5B">
        <w:rPr>
          <w:szCs w:val="20"/>
        </w:rPr>
        <w:t xml:space="preserve">. </w:t>
      </w:r>
    </w:p>
    <w:p w:rsidR="00AE7A5B" w:rsidRPr="00AE7A5B" w:rsidP="00AE7A5B">
      <w:pPr>
        <w:spacing w:before="120" w:after="0" w:line="240" w:lineRule="auto"/>
        <w:ind w:left="284"/>
        <w:jc w:val="left"/>
        <w:rPr>
          <w:szCs w:val="20"/>
        </w:rPr>
      </w:pPr>
      <w:r w:rsidRPr="00AE7A5B">
        <w:rPr>
          <w:szCs w:val="20"/>
        </w:rPr>
        <w:t>Ponadto stwierdzono brak złożenia oświadczenia o niekaralności w 3 przypadkach przez osoby udzielające zamówienia</w:t>
      </w:r>
      <w:r>
        <w:rPr>
          <w:szCs w:val="20"/>
          <w:vertAlign w:val="superscript"/>
        </w:rPr>
        <w:footnoteReference w:id="90"/>
      </w:r>
      <w:r w:rsidRPr="00AE7A5B">
        <w:rPr>
          <w:szCs w:val="20"/>
        </w:rPr>
        <w:t>, w 2 przypadkach przez osobę wykonującą inne czynności związane z przeprowadzeniem 2 postępowań o udzielenie zamówienia</w:t>
      </w:r>
      <w:r>
        <w:rPr>
          <w:szCs w:val="20"/>
          <w:vertAlign w:val="superscript"/>
        </w:rPr>
        <w:footnoteReference w:id="91"/>
      </w:r>
      <w:r w:rsidRPr="00AE7A5B">
        <w:rPr>
          <w:szCs w:val="20"/>
        </w:rPr>
        <w:t xml:space="preserve">, </w:t>
      </w:r>
      <w:r w:rsidRPr="00AE7A5B">
        <w:rPr>
          <w:szCs w:val="20"/>
        </w:rPr>
        <w:br/>
        <w:t>w 1 przypadku przez osobę mogącą mieć wpływ na wynik postępowania</w:t>
      </w:r>
      <w:r>
        <w:rPr>
          <w:szCs w:val="20"/>
          <w:vertAlign w:val="superscript"/>
        </w:rPr>
        <w:footnoteReference w:id="92"/>
      </w:r>
      <w:r w:rsidRPr="00AE7A5B">
        <w:rPr>
          <w:szCs w:val="20"/>
        </w:rPr>
        <w:t xml:space="preserve"> oraz </w:t>
      </w:r>
      <w:r w:rsidRPr="00AE7A5B">
        <w:rPr>
          <w:szCs w:val="20"/>
        </w:rPr>
        <w:br/>
        <w:t>w 1 przypadku nieterminowe złożenie przez osobę</w:t>
      </w:r>
      <w:r>
        <w:rPr>
          <w:szCs w:val="20"/>
          <w:vertAlign w:val="superscript"/>
        </w:rPr>
        <w:footnoteReference w:id="93"/>
      </w:r>
      <w:r w:rsidRPr="00AE7A5B">
        <w:rPr>
          <w:szCs w:val="20"/>
        </w:rPr>
        <w:t xml:space="preserve"> oświadczenia o niekaralności, </w:t>
      </w:r>
      <w:r w:rsidRPr="00AE7A5B">
        <w:rPr>
          <w:szCs w:val="20"/>
        </w:rPr>
        <w:br/>
        <w:t>tj. po upływie 21 dni od zakończenia postępowania</w:t>
      </w:r>
      <w:r>
        <w:rPr>
          <w:szCs w:val="20"/>
          <w:vertAlign w:val="superscript"/>
        </w:rPr>
        <w:footnoteReference w:id="94"/>
      </w:r>
      <w:r w:rsidRPr="00AE7A5B">
        <w:rPr>
          <w:szCs w:val="20"/>
        </w:rPr>
        <w:t>, czym naruszono art. 56 ust. 4</w:t>
      </w:r>
      <w:r>
        <w:rPr>
          <w:szCs w:val="20"/>
          <w:vertAlign w:val="superscript"/>
        </w:rPr>
        <w:footnoteReference w:id="95"/>
      </w:r>
      <w:r w:rsidRPr="00AE7A5B">
        <w:rPr>
          <w:szCs w:val="20"/>
        </w:rPr>
        <w:t xml:space="preserve"> </w:t>
      </w:r>
      <w:r w:rsidRPr="00AE7A5B">
        <w:rPr>
          <w:szCs w:val="20"/>
        </w:rPr>
        <w:br/>
        <w:t>w związku z ust. 3</w:t>
      </w:r>
      <w:r>
        <w:rPr>
          <w:szCs w:val="20"/>
          <w:vertAlign w:val="superscript"/>
        </w:rPr>
        <w:footnoteReference w:id="96"/>
      </w:r>
      <w:r w:rsidRPr="00AE7A5B">
        <w:rPr>
          <w:szCs w:val="20"/>
        </w:rPr>
        <w:t xml:space="preserve"> i 6</w:t>
      </w:r>
      <w:r>
        <w:rPr>
          <w:szCs w:val="20"/>
          <w:vertAlign w:val="superscript"/>
        </w:rPr>
        <w:footnoteReference w:id="97"/>
      </w:r>
      <w:r w:rsidRPr="00AE7A5B">
        <w:rPr>
          <w:szCs w:val="20"/>
        </w:rPr>
        <w:t xml:space="preserve"> </w:t>
      </w:r>
      <w:r w:rsidRPr="00AE7A5B">
        <w:rPr>
          <w:szCs w:val="20"/>
        </w:rPr>
        <w:t>nPzp</w:t>
      </w:r>
      <w:r w:rsidRPr="00AE7A5B">
        <w:rPr>
          <w:szCs w:val="20"/>
        </w:rPr>
        <w:t>.</w:t>
      </w:r>
    </w:p>
    <w:p w:rsidR="00AE7A5B" w:rsidRPr="00AE7A5B" w:rsidP="00AE7A5B">
      <w:pPr>
        <w:spacing w:before="120" w:after="120" w:line="240" w:lineRule="auto"/>
        <w:ind w:left="284"/>
        <w:jc w:val="left"/>
        <w:rPr>
          <w:szCs w:val="20"/>
        </w:rPr>
      </w:pPr>
      <w:r w:rsidRPr="00AE7A5B">
        <w:rPr>
          <w:szCs w:val="20"/>
        </w:rPr>
        <w:t>Pracownik Biura Zamówień Publicznych wyjaśnił</w:t>
      </w:r>
      <w:r>
        <w:rPr>
          <w:szCs w:val="20"/>
          <w:vertAlign w:val="superscript"/>
        </w:rPr>
        <w:footnoteReference w:id="98"/>
      </w:r>
      <w:r w:rsidRPr="00AE7A5B">
        <w:rPr>
          <w:szCs w:val="20"/>
        </w:rPr>
        <w:t>, że jedna z osób złożyła oświadczenie o niekaralności do wszystkich postępowań. Dodatkowo Dyrektor wyjaśnił</w:t>
      </w:r>
      <w:r>
        <w:rPr>
          <w:szCs w:val="20"/>
          <w:vertAlign w:val="superscript"/>
        </w:rPr>
        <w:footnoteReference w:id="99"/>
      </w:r>
      <w:r w:rsidRPr="00AE7A5B">
        <w:rPr>
          <w:szCs w:val="20"/>
        </w:rPr>
        <w:t>, że złożenie oświadczenia po zakończeniu postępowania było wynikiem omyłki.</w:t>
      </w:r>
    </w:p>
    <w:p w:rsidR="00AE7A5B" w:rsidRPr="00AE7A5B" w:rsidP="00AE7A5B">
      <w:pPr>
        <w:spacing w:before="120" w:after="120" w:line="240" w:lineRule="auto"/>
        <w:ind w:left="284"/>
        <w:jc w:val="left"/>
        <w:rPr>
          <w:szCs w:val="20"/>
        </w:rPr>
      </w:pPr>
      <w:r w:rsidRPr="00AE7A5B">
        <w:rPr>
          <w:szCs w:val="20"/>
        </w:rPr>
        <w:t xml:space="preserve">Kontrolujący zwraca uwagę, że w świetle art. 56 ust. 6 </w:t>
      </w:r>
      <w:r w:rsidRPr="00AE7A5B">
        <w:rPr>
          <w:szCs w:val="20"/>
        </w:rPr>
        <w:t>nPzp</w:t>
      </w:r>
      <w:r w:rsidRPr="00AE7A5B">
        <w:rPr>
          <w:szCs w:val="20"/>
        </w:rPr>
        <w:t xml:space="preserve"> oświadczenia powinny być złożone przed rozpoczęciem wykonywania czynności związanych z przeprowadzeniem postępowania o udzielenie zamówienia, a tym samym oddzielnie do każdego postępowania. Powyższe wynika również z faktu sporządzania odrębnego protokołu dla każdego postępowania, do którego załącza się złożone w formie pisemnej ww. oświadczenia, stanowiące element dokumentacji danego postępowania.</w:t>
      </w:r>
    </w:p>
    <w:p w:rsidR="00AE7A5B" w:rsidRPr="00AE7A5B" w:rsidP="00AE7A5B">
      <w:pPr>
        <w:spacing w:after="120" w:line="240" w:lineRule="auto"/>
        <w:ind w:left="284"/>
        <w:rPr>
          <w:szCs w:val="20"/>
        </w:rPr>
      </w:pPr>
      <w:r w:rsidRPr="00AE7A5B">
        <w:rPr>
          <w:rFonts w:eastAsia="Calibri"/>
          <w:szCs w:val="20"/>
        </w:rPr>
        <w:t>[Dowód: akta kontroli str. I/238-239/AC, I/AC/518, I/522-555/AC, II/474-483]</w:t>
      </w:r>
    </w:p>
    <w:p w:rsidR="00AE7A5B" w:rsidRPr="00AE7A5B" w:rsidP="00AE7A5B">
      <w:pPr>
        <w:numPr>
          <w:ilvl w:val="0"/>
          <w:numId w:val="22"/>
        </w:numPr>
        <w:spacing w:after="0" w:line="240" w:lineRule="auto"/>
        <w:ind w:left="284" w:hanging="284"/>
        <w:jc w:val="left"/>
        <w:rPr>
          <w:sz w:val="24"/>
          <w:szCs w:val="20"/>
        </w:rPr>
      </w:pPr>
      <w:r w:rsidRPr="00AE7A5B">
        <w:rPr>
          <w:szCs w:val="20"/>
        </w:rPr>
        <w:t>w przypadku 3 postępowań</w:t>
      </w:r>
      <w:r>
        <w:rPr>
          <w:szCs w:val="20"/>
          <w:vertAlign w:val="superscript"/>
        </w:rPr>
        <w:footnoteReference w:id="100"/>
      </w:r>
      <w:r w:rsidRPr="00AE7A5B">
        <w:rPr>
          <w:szCs w:val="20"/>
        </w:rPr>
        <w:t xml:space="preserve"> brak we wnioskach o udzielenie zamówienia publicznego wypełnienia informacji dotyczących ujęcia zamówienia w planie finansowym PIG lub pozycji w tym planie oraz wysokości zabezpieczonych środków, co było niezgodne </w:t>
      </w:r>
      <w:r w:rsidRPr="00AE7A5B">
        <w:rPr>
          <w:szCs w:val="20"/>
        </w:rPr>
        <w:br/>
        <w:t>z pkt III.2 i III.3 wzoru wniosku</w:t>
      </w:r>
      <w:r>
        <w:rPr>
          <w:szCs w:val="20"/>
          <w:vertAlign w:val="superscript"/>
        </w:rPr>
        <w:footnoteReference w:id="101"/>
      </w:r>
      <w:r w:rsidRPr="00AE7A5B">
        <w:rPr>
          <w:szCs w:val="20"/>
        </w:rPr>
        <w:t>;</w:t>
      </w:r>
    </w:p>
    <w:p w:rsidR="00AE7A5B" w:rsidRPr="00AE7A5B" w:rsidP="00AE7A5B">
      <w:pPr>
        <w:spacing w:before="120" w:after="120" w:line="240" w:lineRule="auto"/>
        <w:ind w:left="284"/>
        <w:jc w:val="left"/>
        <w:rPr>
          <w:szCs w:val="20"/>
        </w:rPr>
      </w:pPr>
      <w:r w:rsidRPr="00AE7A5B">
        <w:rPr>
          <w:szCs w:val="20"/>
        </w:rPr>
        <w:t>[Dowód: akta kontroli str. I/484-517/AC, I/556-562/AC]</w:t>
      </w:r>
    </w:p>
    <w:p w:rsidR="00AE7A5B" w:rsidRPr="00AE7A5B" w:rsidP="00AE7A5B">
      <w:pPr>
        <w:numPr>
          <w:ilvl w:val="0"/>
          <w:numId w:val="22"/>
        </w:numPr>
        <w:spacing w:after="0" w:line="240" w:lineRule="auto"/>
        <w:ind w:left="284" w:hanging="284"/>
        <w:jc w:val="left"/>
        <w:rPr>
          <w:szCs w:val="20"/>
        </w:rPr>
      </w:pPr>
      <w:r w:rsidRPr="00AE7A5B">
        <w:rPr>
          <w:szCs w:val="20"/>
        </w:rPr>
        <w:t>w przypadku 1 postępowania</w:t>
      </w:r>
      <w:r>
        <w:rPr>
          <w:szCs w:val="20"/>
          <w:vertAlign w:val="superscript"/>
        </w:rPr>
        <w:footnoteReference w:id="102"/>
      </w:r>
      <w:r w:rsidRPr="00AE7A5B">
        <w:rPr>
          <w:szCs w:val="20"/>
        </w:rPr>
        <w:t xml:space="preserve"> brak powołania przez kierownika zamawiającego komisji przetargowej do przeprowadzenia postępowania, czym naruszono art. 19 ust. 2 </w:t>
      </w:r>
      <w:r w:rsidRPr="00AE7A5B">
        <w:rPr>
          <w:szCs w:val="20"/>
        </w:rPr>
        <w:t>Pzp</w:t>
      </w:r>
      <w:r>
        <w:rPr>
          <w:szCs w:val="20"/>
          <w:vertAlign w:val="superscript"/>
        </w:rPr>
        <w:footnoteReference w:id="103"/>
      </w:r>
      <w:r w:rsidRPr="00AE7A5B">
        <w:rPr>
          <w:szCs w:val="20"/>
        </w:rPr>
        <w:t xml:space="preserve"> </w:t>
      </w:r>
      <w:bookmarkStart w:id="23" w:name="_Hlk148690549"/>
      <w:r w:rsidRPr="00AE7A5B">
        <w:rPr>
          <w:szCs w:val="20"/>
        </w:rPr>
        <w:t xml:space="preserve">oraz </w:t>
      </w:r>
      <w:r w:rsidRPr="00AE7A5B">
        <w:rPr>
          <w:rFonts w:cs="Arial"/>
          <w:szCs w:val="20"/>
        </w:rPr>
        <w:t>§</w:t>
      </w:r>
      <w:r w:rsidRPr="00AE7A5B">
        <w:rPr>
          <w:szCs w:val="20"/>
        </w:rPr>
        <w:t xml:space="preserve"> 9 ust. 1 Regulaminu zamówień</w:t>
      </w:r>
      <w:bookmarkEnd w:id="23"/>
      <w:r>
        <w:rPr>
          <w:szCs w:val="20"/>
          <w:vertAlign w:val="superscript"/>
        </w:rPr>
        <w:footnoteReference w:id="104"/>
      </w:r>
      <w:r w:rsidRPr="00AE7A5B">
        <w:rPr>
          <w:szCs w:val="20"/>
        </w:rPr>
        <w:t>. Z dokumentacji postępowania wynika, że sporządzono projekt decyzji w sprawie powołania komisji przetargowej, niemniej dokument nie został opatrzony podpisem i tym samym na jego podstawie nie można stwierdzić powołania komisji przez osobę uprawnioną;</w:t>
      </w:r>
    </w:p>
    <w:p w:rsidR="00AE7A5B" w:rsidRPr="00AE7A5B" w:rsidP="00AE7A5B">
      <w:pPr>
        <w:spacing w:before="120" w:after="120" w:line="240" w:lineRule="auto"/>
        <w:ind w:left="284"/>
        <w:jc w:val="left"/>
        <w:rPr>
          <w:szCs w:val="20"/>
        </w:rPr>
      </w:pPr>
      <w:r w:rsidRPr="00AE7A5B">
        <w:rPr>
          <w:szCs w:val="20"/>
        </w:rPr>
        <w:t>[Dowód: akta kontroli str. I/519/AC]</w:t>
      </w:r>
    </w:p>
    <w:p w:rsidR="00AE7A5B" w:rsidRPr="00AE7A5B" w:rsidP="00AE7A5B">
      <w:pPr>
        <w:numPr>
          <w:ilvl w:val="0"/>
          <w:numId w:val="22"/>
        </w:numPr>
        <w:spacing w:after="0" w:line="240" w:lineRule="auto"/>
        <w:ind w:left="284" w:hanging="284"/>
        <w:jc w:val="left"/>
        <w:rPr>
          <w:szCs w:val="20"/>
        </w:rPr>
      </w:pPr>
      <w:r w:rsidRPr="00AE7A5B">
        <w:rPr>
          <w:szCs w:val="20"/>
        </w:rPr>
        <w:t>w przypadku 1 postępowania</w:t>
      </w:r>
      <w:r>
        <w:rPr>
          <w:szCs w:val="20"/>
          <w:vertAlign w:val="superscript"/>
        </w:rPr>
        <w:footnoteReference w:id="105"/>
      </w:r>
      <w:r w:rsidRPr="00AE7A5B">
        <w:rPr>
          <w:szCs w:val="20"/>
        </w:rPr>
        <w:t xml:space="preserve"> brak udokumentowania przesłania zawiadomienia </w:t>
      </w:r>
      <w:r w:rsidRPr="00AE7A5B">
        <w:rPr>
          <w:szCs w:val="20"/>
        </w:rPr>
        <w:br/>
        <w:t xml:space="preserve">o wyborze najkorzystniejszej oferty do wszystkich wykonawców biorących udział </w:t>
      </w:r>
      <w:r w:rsidRPr="00AE7A5B">
        <w:rPr>
          <w:szCs w:val="20"/>
        </w:rPr>
        <w:br/>
        <w:t xml:space="preserve">w postępowaniu, czym naruszono art. 92 ust. 1 pkt 1 </w:t>
      </w:r>
      <w:r w:rsidRPr="00AE7A5B">
        <w:rPr>
          <w:szCs w:val="20"/>
        </w:rPr>
        <w:t>Pzp</w:t>
      </w:r>
      <w:r>
        <w:rPr>
          <w:szCs w:val="20"/>
          <w:vertAlign w:val="superscript"/>
        </w:rPr>
        <w:footnoteReference w:id="106"/>
      </w:r>
      <w:r w:rsidRPr="00AE7A5B">
        <w:rPr>
          <w:szCs w:val="20"/>
        </w:rPr>
        <w:t>.</w:t>
      </w:r>
    </w:p>
    <w:p w:rsidR="00AE7A5B" w:rsidRPr="00AE7A5B" w:rsidP="00AE7A5B">
      <w:pPr>
        <w:spacing w:before="120" w:after="120" w:line="240" w:lineRule="auto"/>
        <w:ind w:left="284"/>
        <w:jc w:val="left"/>
        <w:rPr>
          <w:szCs w:val="20"/>
        </w:rPr>
      </w:pPr>
      <w:r w:rsidRPr="00AE7A5B">
        <w:rPr>
          <w:szCs w:val="20"/>
        </w:rPr>
        <w:t>[Dowód: akta kontroli str. I/376-408/AC]</w:t>
      </w:r>
    </w:p>
    <w:p w:rsidR="00AE7A5B" w:rsidRPr="00AE7A5B" w:rsidP="00AE7A5B">
      <w:pPr>
        <w:spacing w:before="120" w:after="120" w:line="240" w:lineRule="auto"/>
        <w:jc w:val="left"/>
        <w:rPr>
          <w:szCs w:val="20"/>
        </w:rPr>
      </w:pPr>
      <w:r w:rsidRPr="00AE7A5B">
        <w:rPr>
          <w:szCs w:val="20"/>
        </w:rPr>
        <w:t xml:space="preserve">Ponadto stwierdzono uchybienie formalne polegające na braku wskazania w pkt 21 protokołu z postępowania nr EZP-240-71/2020 daty zawiadomienia wykonawców </w:t>
      </w:r>
      <w:r w:rsidRPr="00AE7A5B">
        <w:rPr>
          <w:szCs w:val="20"/>
        </w:rPr>
        <w:br/>
        <w:t xml:space="preserve">o wyborze najkorzystniejszej oferty. </w:t>
      </w:r>
    </w:p>
    <w:p w:rsidR="00AE7A5B" w:rsidRPr="00AE7A5B" w:rsidP="00AE7A5B">
      <w:pPr>
        <w:spacing w:after="120" w:line="240" w:lineRule="auto"/>
        <w:jc w:val="left"/>
        <w:rPr>
          <w:szCs w:val="20"/>
        </w:rPr>
      </w:pPr>
      <w:r w:rsidRPr="00AE7A5B">
        <w:rPr>
          <w:szCs w:val="20"/>
        </w:rPr>
        <w:t>[Dowód: akta kontroli str. I/563-573/AC]</w:t>
      </w:r>
    </w:p>
    <w:p w:rsidR="00AE7A5B" w:rsidRPr="00AE7A5B" w:rsidP="00AE7A5B">
      <w:pPr>
        <w:spacing w:after="120" w:line="240" w:lineRule="auto"/>
        <w:jc w:val="left"/>
        <w:rPr>
          <w:rFonts w:cs="Times New Roman"/>
          <w:b/>
          <w:bCs/>
          <w:szCs w:val="20"/>
        </w:rPr>
      </w:pPr>
      <w:r w:rsidRPr="00AE7A5B">
        <w:rPr>
          <w:rFonts w:cs="Times New Roman"/>
          <w:b/>
          <w:bCs/>
          <w:szCs w:val="20"/>
        </w:rPr>
        <w:t xml:space="preserve">Zamówienia publiczne wyłączone lub poniżej progu stosowania </w:t>
      </w:r>
      <w:r w:rsidRPr="00AE7A5B">
        <w:rPr>
          <w:rFonts w:cs="Times New Roman"/>
          <w:b/>
          <w:bCs/>
          <w:szCs w:val="20"/>
        </w:rPr>
        <w:t>Pzp</w:t>
      </w:r>
      <w:r w:rsidRPr="00AE7A5B">
        <w:rPr>
          <w:rFonts w:cs="Times New Roman"/>
          <w:b/>
          <w:bCs/>
          <w:szCs w:val="20"/>
        </w:rPr>
        <w:t xml:space="preserve"> i </w:t>
      </w:r>
      <w:r w:rsidRPr="00AE7A5B">
        <w:rPr>
          <w:rFonts w:cs="Times New Roman"/>
          <w:b/>
          <w:bCs/>
          <w:szCs w:val="20"/>
        </w:rPr>
        <w:t>nPzp</w:t>
      </w:r>
    </w:p>
    <w:p w:rsidR="00AE7A5B" w:rsidRPr="00AE7A5B" w:rsidP="00AE7A5B">
      <w:pPr>
        <w:spacing w:after="0" w:line="240" w:lineRule="auto"/>
        <w:jc w:val="left"/>
        <w:rPr>
          <w:rFonts w:cs="Times New Roman"/>
          <w:bCs/>
          <w:szCs w:val="20"/>
        </w:rPr>
      </w:pPr>
      <w:r w:rsidRPr="00AE7A5B">
        <w:rPr>
          <w:rFonts w:cs="Times New Roman"/>
          <w:szCs w:val="20"/>
        </w:rPr>
        <w:t xml:space="preserve">W latach 2020-2021 PIG prowadził </w:t>
      </w:r>
      <w:r w:rsidRPr="00AE7A5B">
        <w:rPr>
          <w:szCs w:val="20"/>
        </w:rPr>
        <w:t xml:space="preserve">309 postępowań wyłączonych ze stosowania </w:t>
      </w:r>
      <w:r w:rsidRPr="00AE7A5B">
        <w:rPr>
          <w:szCs w:val="20"/>
        </w:rPr>
        <w:t>Pzp</w:t>
      </w:r>
      <w:r w:rsidRPr="00AE7A5B">
        <w:rPr>
          <w:szCs w:val="20"/>
        </w:rPr>
        <w:t xml:space="preserve"> </w:t>
      </w:r>
      <w:r w:rsidRPr="00AE7A5B">
        <w:rPr>
          <w:szCs w:val="20"/>
        </w:rPr>
        <w:br/>
        <w:t xml:space="preserve">i </w:t>
      </w:r>
      <w:r w:rsidRPr="00AE7A5B">
        <w:rPr>
          <w:szCs w:val="20"/>
        </w:rPr>
        <w:t>nPzp</w:t>
      </w:r>
      <w:r w:rsidRPr="00AE7A5B">
        <w:rPr>
          <w:szCs w:val="20"/>
        </w:rPr>
        <w:t xml:space="preserve"> lub o wartości poniżej 30 tys. euro netto/</w:t>
      </w:r>
      <w:r w:rsidRPr="00AE7A5B">
        <w:t>130 tys. zł netto</w:t>
      </w:r>
      <w:r w:rsidRPr="00AE7A5B">
        <w:rPr>
          <w:szCs w:val="20"/>
        </w:rPr>
        <w:t xml:space="preserve">, a łączna kwota udzielonych zamówień wyniosła </w:t>
      </w:r>
      <w:r w:rsidRPr="00AE7A5B">
        <w:rPr>
          <w:rFonts w:cs="Times New Roman"/>
          <w:szCs w:val="20"/>
        </w:rPr>
        <w:t>7 615 tys. zł</w:t>
      </w:r>
      <w:r w:rsidRPr="00AE7A5B">
        <w:rPr>
          <w:rFonts w:cs="Times New Roman"/>
          <w:bCs/>
          <w:szCs w:val="20"/>
        </w:rPr>
        <w:t>, 31 tys. euro i 18 tys. USD</w:t>
      </w:r>
      <w:r>
        <w:rPr>
          <w:rFonts w:cs="Times New Roman"/>
          <w:szCs w:val="20"/>
          <w:vertAlign w:val="superscript"/>
        </w:rPr>
        <w:footnoteReference w:id="107"/>
      </w:r>
      <w:r w:rsidRPr="00AE7A5B">
        <w:rPr>
          <w:rFonts w:cs="Times New Roman"/>
          <w:bCs/>
          <w:szCs w:val="20"/>
        </w:rPr>
        <w:t>.</w:t>
      </w:r>
    </w:p>
    <w:p w:rsidR="00AE7A5B" w:rsidRPr="00AE7A5B" w:rsidP="00AE7A5B">
      <w:pPr>
        <w:spacing w:before="120" w:after="120" w:line="240" w:lineRule="auto"/>
        <w:jc w:val="left"/>
        <w:rPr>
          <w:rFonts w:cs="Times New Roman"/>
          <w:bCs/>
          <w:szCs w:val="20"/>
        </w:rPr>
      </w:pPr>
      <w:r w:rsidRPr="00AE7A5B">
        <w:rPr>
          <w:rFonts w:cs="Times New Roman"/>
          <w:bCs/>
          <w:szCs w:val="20"/>
        </w:rPr>
        <w:t>Kontroli poddano 6 zamówień</w:t>
      </w:r>
      <w:r>
        <w:rPr>
          <w:rFonts w:cs="Times New Roman"/>
          <w:bCs/>
          <w:szCs w:val="20"/>
          <w:vertAlign w:val="superscript"/>
        </w:rPr>
        <w:footnoteReference w:id="108"/>
      </w:r>
      <w:r w:rsidRPr="00AE7A5B">
        <w:rPr>
          <w:rFonts w:cs="Times New Roman"/>
          <w:bCs/>
          <w:szCs w:val="20"/>
        </w:rPr>
        <w:t xml:space="preserve"> na łączną kwotę 992 tys. zł, w wyniku której stwierdzono następujące nieprawidłowości:</w:t>
      </w:r>
    </w:p>
    <w:p w:rsidR="00AE7A5B" w:rsidRPr="00AE7A5B" w:rsidP="00AE7A5B">
      <w:pPr>
        <w:numPr>
          <w:ilvl w:val="0"/>
          <w:numId w:val="3"/>
        </w:numPr>
        <w:spacing w:after="120" w:line="240" w:lineRule="auto"/>
        <w:jc w:val="left"/>
        <w:rPr>
          <w:rFonts w:cs="Times New Roman"/>
          <w:szCs w:val="20"/>
        </w:rPr>
      </w:pPr>
      <w:r w:rsidRPr="00AE7A5B">
        <w:rPr>
          <w:rFonts w:cs="Times New Roman"/>
          <w:szCs w:val="20"/>
        </w:rPr>
        <w:t>w przypadku 1 zamówienia</w:t>
      </w:r>
      <w:r>
        <w:rPr>
          <w:rFonts w:cs="Times New Roman"/>
          <w:szCs w:val="20"/>
          <w:vertAlign w:val="superscript"/>
        </w:rPr>
        <w:footnoteReference w:id="109"/>
      </w:r>
      <w:r w:rsidRPr="00AE7A5B">
        <w:rPr>
          <w:rFonts w:cs="Times New Roman"/>
          <w:szCs w:val="20"/>
        </w:rPr>
        <w:t xml:space="preserve"> na przygotowanie dwóch opracowań naukowo - badawczych stwierdzono nieprawidłowe określenie w zapytaniu ofertowym kryteriów oceny ofert, w którym za </w:t>
      </w:r>
      <w:r w:rsidRPr="00AE7A5B">
        <w:rPr>
          <w:rFonts w:cs="Times New Roman"/>
          <w:bCs/>
          <w:szCs w:val="20"/>
        </w:rPr>
        <w:t>najwyżej punktowane kryterium</w:t>
      </w:r>
      <w:r>
        <w:rPr>
          <w:rFonts w:cs="Times New Roman"/>
          <w:bCs/>
          <w:szCs w:val="20"/>
          <w:vertAlign w:val="superscript"/>
        </w:rPr>
        <w:footnoteReference w:id="110"/>
      </w:r>
      <w:r w:rsidRPr="00AE7A5B">
        <w:rPr>
          <w:rFonts w:cs="Times New Roman"/>
          <w:bCs/>
          <w:szCs w:val="20"/>
        </w:rPr>
        <w:t xml:space="preserve"> przyjęto </w:t>
      </w:r>
      <w:r w:rsidRPr="00AE7A5B">
        <w:rPr>
          <w:szCs w:val="20"/>
        </w:rPr>
        <w:t xml:space="preserve">posiadanie autorskiej bazy danych gospodarki surowcami mineralnymi, które nie odnosi się do przedmiotu zamówienia, a do właściwości wykonawcy. W ocenie kontrolującego ustalenie kryterium autorskiej bazy danych nie ma wpływu na jakość wykonywanych usług, będących jednym z możliwych kryteriów oceny ofert, zgodnie z art. 91 ust. 2 </w:t>
      </w:r>
      <w:r w:rsidRPr="00AE7A5B">
        <w:rPr>
          <w:szCs w:val="20"/>
        </w:rPr>
        <w:t>Pzp</w:t>
      </w:r>
      <w:r>
        <w:rPr>
          <w:szCs w:val="20"/>
          <w:vertAlign w:val="superscript"/>
        </w:rPr>
        <w:footnoteReference w:id="111"/>
      </w:r>
      <w:r w:rsidRPr="00AE7A5B">
        <w:rPr>
          <w:szCs w:val="20"/>
        </w:rPr>
        <w:t xml:space="preserve">, a jedynie mogło faworyzować wykonawców posiadających prawa autorskie do bazy danych względem wykonawców, którzy korzystają z baz danych na podstawie innych praw, np. licencji. Tym samym naruszono zasadę przejrzystości i równego </w:t>
      </w:r>
      <w:r w:rsidRPr="00AE7A5B">
        <w:rPr>
          <w:szCs w:val="20"/>
        </w:rPr>
        <w:t xml:space="preserve">traktowania wykonawców, co było niezgodne z </w:t>
      </w:r>
      <w:r w:rsidRPr="00AE7A5B">
        <w:rPr>
          <w:rFonts w:cs="Times New Roman"/>
          <w:szCs w:val="20"/>
        </w:rPr>
        <w:t>§ 17 ust. 4</w:t>
      </w:r>
      <w:r>
        <w:rPr>
          <w:rFonts w:cs="Times New Roman"/>
          <w:bCs/>
          <w:szCs w:val="20"/>
          <w:vertAlign w:val="superscript"/>
        </w:rPr>
        <w:footnoteReference w:id="112"/>
      </w:r>
      <w:r w:rsidRPr="00AE7A5B">
        <w:rPr>
          <w:rFonts w:cs="Times New Roman"/>
          <w:szCs w:val="20"/>
        </w:rPr>
        <w:t xml:space="preserve"> i </w:t>
      </w:r>
      <w:r w:rsidRPr="00AE7A5B">
        <w:rPr>
          <w:rFonts w:cs="Arial"/>
          <w:szCs w:val="20"/>
        </w:rPr>
        <w:t>§</w:t>
      </w:r>
      <w:r w:rsidRPr="00AE7A5B">
        <w:rPr>
          <w:szCs w:val="20"/>
        </w:rPr>
        <w:t xml:space="preserve"> 21 ust. 5</w:t>
      </w:r>
      <w:r>
        <w:rPr>
          <w:szCs w:val="20"/>
          <w:vertAlign w:val="superscript"/>
        </w:rPr>
        <w:footnoteReference w:id="113"/>
      </w:r>
      <w:r w:rsidRPr="00AE7A5B">
        <w:rPr>
          <w:szCs w:val="20"/>
        </w:rPr>
        <w:t xml:space="preserve"> Regulaminu zamówień. </w:t>
      </w:r>
    </w:p>
    <w:p w:rsidR="00AE7A5B" w:rsidRPr="00AE7A5B" w:rsidP="00AE7A5B">
      <w:pPr>
        <w:spacing w:before="120" w:after="120" w:line="240" w:lineRule="auto"/>
        <w:ind w:left="357"/>
        <w:jc w:val="left"/>
        <w:rPr>
          <w:rFonts w:cs="Times New Roman"/>
          <w:szCs w:val="20"/>
        </w:rPr>
      </w:pPr>
      <w:bookmarkStart w:id="24" w:name="_Hlk146281532"/>
      <w:r w:rsidRPr="00AE7A5B">
        <w:rPr>
          <w:rFonts w:cs="Times New Roman"/>
          <w:szCs w:val="20"/>
        </w:rPr>
        <w:t>[Dowód: akta kontroli str. I/3-14/AC, l/265-308/AC, II/474-483]</w:t>
      </w:r>
    </w:p>
    <w:p w:rsidR="00AE7A5B" w:rsidRPr="00AE7A5B" w:rsidP="00AE7A5B">
      <w:pPr>
        <w:numPr>
          <w:ilvl w:val="0"/>
          <w:numId w:val="3"/>
        </w:numPr>
        <w:spacing w:before="120" w:after="120" w:line="240" w:lineRule="auto"/>
        <w:ind w:left="357" w:hanging="357"/>
        <w:jc w:val="left"/>
        <w:rPr>
          <w:sz w:val="24"/>
          <w:szCs w:val="20"/>
        </w:rPr>
      </w:pPr>
      <w:bookmarkEnd w:id="24"/>
      <w:r w:rsidRPr="00AE7A5B">
        <w:rPr>
          <w:szCs w:val="20"/>
        </w:rPr>
        <w:t>w przypadku wszystkich badanych zamówień</w:t>
      </w:r>
      <w:r>
        <w:rPr>
          <w:szCs w:val="20"/>
          <w:vertAlign w:val="superscript"/>
        </w:rPr>
        <w:footnoteReference w:id="114"/>
      </w:r>
      <w:r w:rsidRPr="00AE7A5B">
        <w:rPr>
          <w:szCs w:val="20"/>
        </w:rPr>
        <w:t xml:space="preserve"> brak we wnioskach o udzielenie zamówienia publicznego wypełnienia informacji dotyczących ujęcia zamówienia </w:t>
      </w:r>
      <w:r w:rsidRPr="00AE7A5B">
        <w:rPr>
          <w:szCs w:val="20"/>
        </w:rPr>
        <w:br/>
        <w:t>w planie finansowym PIG lub pozycji w tym planie lub wysokości zabezpieczonych środków, co było niezgodne z pkt III.2 i III.3 wzoru wniosku</w:t>
      </w:r>
      <w:r>
        <w:rPr>
          <w:szCs w:val="20"/>
          <w:vertAlign w:val="superscript"/>
        </w:rPr>
        <w:footnoteReference w:id="115"/>
      </w:r>
      <w:r w:rsidRPr="00AE7A5B">
        <w:rPr>
          <w:szCs w:val="20"/>
        </w:rPr>
        <w:t>;</w:t>
      </w:r>
    </w:p>
    <w:p w:rsidR="00AE7A5B" w:rsidRPr="00AE7A5B" w:rsidP="00AE7A5B">
      <w:pPr>
        <w:spacing w:before="120" w:after="120" w:line="240" w:lineRule="auto"/>
        <w:ind w:left="357"/>
        <w:jc w:val="left"/>
        <w:rPr>
          <w:rFonts w:cs="Times New Roman"/>
          <w:szCs w:val="20"/>
        </w:rPr>
      </w:pPr>
      <w:r w:rsidRPr="00AE7A5B">
        <w:rPr>
          <w:rFonts w:cs="Times New Roman"/>
          <w:szCs w:val="20"/>
        </w:rPr>
        <w:t>[Dowód: akta kontroli str. I/4-85/AC, I/484-517/AC]</w:t>
      </w:r>
    </w:p>
    <w:p w:rsidR="00AE7A5B" w:rsidRPr="00AE7A5B" w:rsidP="00AE7A5B">
      <w:pPr>
        <w:numPr>
          <w:ilvl w:val="0"/>
          <w:numId w:val="3"/>
        </w:numPr>
        <w:spacing w:after="0" w:line="240" w:lineRule="auto"/>
        <w:ind w:left="357" w:hanging="357"/>
        <w:jc w:val="left"/>
        <w:rPr>
          <w:rFonts w:cs="Times New Roman"/>
          <w:szCs w:val="20"/>
        </w:rPr>
      </w:pPr>
      <w:r w:rsidRPr="00AE7A5B">
        <w:rPr>
          <w:rFonts w:cs="Times New Roman"/>
          <w:bCs/>
          <w:szCs w:val="20"/>
        </w:rPr>
        <w:t>w przypadku 3 zamówień</w:t>
      </w:r>
      <w:r>
        <w:rPr>
          <w:rFonts w:cs="Times New Roman"/>
          <w:bCs/>
          <w:szCs w:val="20"/>
          <w:vertAlign w:val="superscript"/>
        </w:rPr>
        <w:footnoteReference w:id="116"/>
      </w:r>
      <w:r w:rsidRPr="00AE7A5B">
        <w:rPr>
          <w:rFonts w:cs="Times New Roman"/>
          <w:szCs w:val="20"/>
        </w:rPr>
        <w:t xml:space="preserve"> brak złożenia przez członków komisji przetargowej oświadczeń </w:t>
      </w:r>
      <w:r w:rsidRPr="00AE7A5B">
        <w:rPr>
          <w:szCs w:val="20"/>
        </w:rPr>
        <w:t>co do okoliczności wskazanych w art. 17 ust. 1</w:t>
      </w:r>
      <w:r>
        <w:rPr>
          <w:rFonts w:cs="Times New Roman"/>
          <w:bCs/>
          <w:szCs w:val="20"/>
          <w:vertAlign w:val="superscript"/>
        </w:rPr>
        <w:footnoteReference w:id="117"/>
      </w:r>
      <w:r w:rsidRPr="00AE7A5B">
        <w:rPr>
          <w:szCs w:val="20"/>
        </w:rPr>
        <w:t xml:space="preserve"> </w:t>
      </w:r>
      <w:r w:rsidRPr="00AE7A5B">
        <w:rPr>
          <w:szCs w:val="20"/>
        </w:rPr>
        <w:t>Pzp</w:t>
      </w:r>
      <w:r>
        <w:rPr>
          <w:rFonts w:cs="Times New Roman"/>
          <w:bCs/>
          <w:szCs w:val="20"/>
          <w:vertAlign w:val="superscript"/>
        </w:rPr>
        <w:footnoteReference w:id="118"/>
      </w:r>
      <w:r w:rsidRPr="00AE7A5B">
        <w:rPr>
          <w:rFonts w:cs="Times New Roman"/>
          <w:szCs w:val="20"/>
        </w:rPr>
        <w:t xml:space="preserve"> i  </w:t>
      </w:r>
      <w:r w:rsidRPr="00AE7A5B">
        <w:rPr>
          <w:szCs w:val="20"/>
        </w:rPr>
        <w:t>art. 56 ust. 2</w:t>
      </w:r>
      <w:r>
        <w:rPr>
          <w:rFonts w:cs="Times New Roman"/>
          <w:bCs/>
          <w:szCs w:val="20"/>
          <w:vertAlign w:val="superscript"/>
        </w:rPr>
        <w:footnoteReference w:id="119"/>
      </w:r>
      <w:r w:rsidRPr="00AE7A5B">
        <w:rPr>
          <w:szCs w:val="20"/>
        </w:rPr>
        <w:t xml:space="preserve"> </w:t>
      </w:r>
      <w:r w:rsidRPr="00AE7A5B">
        <w:rPr>
          <w:szCs w:val="20"/>
        </w:rPr>
        <w:t>nPzp</w:t>
      </w:r>
      <w:r>
        <w:rPr>
          <w:rFonts w:cs="Times New Roman"/>
          <w:bCs/>
          <w:szCs w:val="20"/>
          <w:vertAlign w:val="superscript"/>
        </w:rPr>
        <w:footnoteReference w:id="120"/>
      </w:r>
      <w:r w:rsidRPr="00AE7A5B">
        <w:rPr>
          <w:szCs w:val="20"/>
        </w:rPr>
        <w:t>, co było niezgodne z </w:t>
      </w:r>
      <w:r w:rsidRPr="00AE7A5B">
        <w:rPr>
          <w:rFonts w:cs="Arial"/>
          <w:szCs w:val="20"/>
        </w:rPr>
        <w:t>§ </w:t>
      </w:r>
      <w:r w:rsidRPr="00AE7A5B">
        <w:rPr>
          <w:rFonts w:cs="Times New Roman"/>
          <w:szCs w:val="20"/>
        </w:rPr>
        <w:t>11 ust. 1</w:t>
      </w:r>
      <w:r>
        <w:rPr>
          <w:rFonts w:cs="Times New Roman"/>
          <w:bCs/>
          <w:szCs w:val="20"/>
          <w:vertAlign w:val="superscript"/>
        </w:rPr>
        <w:footnoteReference w:id="121"/>
      </w:r>
      <w:r w:rsidRPr="00AE7A5B">
        <w:rPr>
          <w:rFonts w:cs="Times New Roman"/>
          <w:szCs w:val="20"/>
        </w:rPr>
        <w:t>,</w:t>
      </w:r>
      <w:r w:rsidRPr="00AE7A5B">
        <w:rPr>
          <w:rFonts w:cs="Times New Roman"/>
          <w:bCs/>
          <w:szCs w:val="20"/>
        </w:rPr>
        <w:t xml:space="preserve"> w związku z </w:t>
      </w:r>
      <w:r w:rsidRPr="00AE7A5B">
        <w:rPr>
          <w:rFonts w:cs="Times New Roman"/>
          <w:szCs w:val="20"/>
        </w:rPr>
        <w:t>§ 18 ust. 1</w:t>
      </w:r>
      <w:r w:rsidRPr="00AE7A5B">
        <w:rPr>
          <w:rFonts w:cs="Times New Roman"/>
          <w:bCs/>
          <w:szCs w:val="20"/>
        </w:rPr>
        <w:t xml:space="preserve"> pkt 4</w:t>
      </w:r>
      <w:r>
        <w:rPr>
          <w:rFonts w:cs="Times New Roman"/>
          <w:bCs/>
          <w:szCs w:val="20"/>
          <w:vertAlign w:val="superscript"/>
        </w:rPr>
        <w:footnoteReference w:id="122"/>
      </w:r>
      <w:r w:rsidRPr="00AE7A5B">
        <w:rPr>
          <w:rFonts w:cs="Times New Roman"/>
          <w:bCs/>
          <w:szCs w:val="20"/>
        </w:rPr>
        <w:t xml:space="preserve"> Regulaminu zamówień.</w:t>
      </w:r>
      <w:r w:rsidRPr="00AE7A5B">
        <w:rPr>
          <w:rFonts w:cs="Times New Roman"/>
          <w:szCs w:val="20"/>
        </w:rPr>
        <w:t xml:space="preserve"> </w:t>
      </w:r>
    </w:p>
    <w:p w:rsidR="00AE7A5B" w:rsidRPr="00AE7A5B" w:rsidP="00AE7A5B">
      <w:pPr>
        <w:spacing w:before="120" w:after="120" w:line="240" w:lineRule="auto"/>
        <w:ind w:left="357"/>
        <w:jc w:val="left"/>
        <w:rPr>
          <w:rFonts w:cs="Times New Roman"/>
          <w:szCs w:val="20"/>
          <w:lang w:eastAsia="pl-PL"/>
        </w:rPr>
      </w:pPr>
      <w:r w:rsidRPr="00AE7A5B">
        <w:rPr>
          <w:rFonts w:eastAsia="Calibri" w:cs="Calibri"/>
          <w:szCs w:val="20"/>
        </w:rPr>
        <w:t>Dyrektor wyjaśnił</w:t>
      </w:r>
      <w:r>
        <w:rPr>
          <w:rFonts w:cs="Times New Roman"/>
          <w:bCs/>
          <w:szCs w:val="20"/>
          <w:vertAlign w:val="superscript"/>
        </w:rPr>
        <w:footnoteReference w:id="123"/>
      </w:r>
      <w:r w:rsidRPr="00AE7A5B">
        <w:rPr>
          <w:rFonts w:eastAsia="Calibri" w:cs="Calibri"/>
          <w:szCs w:val="20"/>
        </w:rPr>
        <w:t>, że w</w:t>
      </w:r>
      <w:r w:rsidRPr="00AE7A5B">
        <w:rPr>
          <w:rFonts w:cs="Arial"/>
          <w:szCs w:val="20"/>
        </w:rPr>
        <w:t>skazane postępowania procedowane były w trybie zapytania ofertowego wyłączonego z obowiązku stosowania przepisów ustawy, a tym samym nie było obowiązku składania oświadczeń.</w:t>
      </w:r>
      <w:r w:rsidRPr="00AE7A5B">
        <w:rPr>
          <w:rFonts w:cs="Times New Roman"/>
          <w:szCs w:val="20"/>
          <w:lang w:eastAsia="pl-PL"/>
        </w:rPr>
        <w:t xml:space="preserve"> </w:t>
      </w:r>
    </w:p>
    <w:p w:rsidR="00AE7A5B" w:rsidRPr="00AE7A5B" w:rsidP="00AE7A5B">
      <w:pPr>
        <w:spacing w:after="120" w:line="240" w:lineRule="auto"/>
        <w:ind w:left="357"/>
        <w:jc w:val="left"/>
        <w:rPr>
          <w:rFonts w:cs="Times New Roman"/>
          <w:sz w:val="24"/>
          <w:szCs w:val="20"/>
          <w:lang w:eastAsia="pl-PL"/>
        </w:rPr>
      </w:pPr>
      <w:r w:rsidRPr="00AE7A5B">
        <w:rPr>
          <w:rFonts w:cs="Times New Roman"/>
          <w:szCs w:val="20"/>
        </w:rPr>
        <w:t>Kontrolujący nie podziela stanowiska Dyrektora, gdyż w § 18 ust. 1</w:t>
      </w:r>
      <w:r w:rsidRPr="00AE7A5B">
        <w:rPr>
          <w:rFonts w:cs="Times New Roman"/>
          <w:bCs/>
          <w:szCs w:val="20"/>
        </w:rPr>
        <w:t xml:space="preserve"> pkt 4 </w:t>
      </w:r>
      <w:r w:rsidRPr="00AE7A5B">
        <w:rPr>
          <w:rFonts w:cs="Times New Roman"/>
          <w:szCs w:val="20"/>
        </w:rPr>
        <w:t>Regulaminu zamówień określono, że kierownik zamawiającego w uzasadnionych przypadkach może powołać komisje  do przeprowadzenia postępowania o udzielenie zamówienia publicznego w trybie zapytania ofertowego; do prac komisji przetargowej stosuje się postanowienia rozdziału IX, gdzie w § 11 ust. 1 wskazano na obowiązek składania pisemnych oświadczeń przez członków komisji.  W badanych przypadkach komisja przetargowa została powołana, w związku z czym jej członkowie byli zobowiązani złożyć stosowne oświadczenia.</w:t>
      </w:r>
    </w:p>
    <w:p w:rsidR="00AE7A5B" w:rsidRPr="00AE7A5B" w:rsidP="00AE7A5B">
      <w:pPr>
        <w:spacing w:after="120" w:line="240" w:lineRule="auto"/>
        <w:ind w:left="357"/>
        <w:jc w:val="left"/>
        <w:rPr>
          <w:rFonts w:cs="Times New Roman"/>
          <w:szCs w:val="20"/>
        </w:rPr>
      </w:pPr>
      <w:r w:rsidRPr="00AE7A5B">
        <w:rPr>
          <w:rFonts w:eastAsia="Calibri"/>
          <w:szCs w:val="20"/>
        </w:rPr>
        <w:t>[Dowód: akta kontroli str. I/3-14/AC,</w:t>
      </w:r>
      <w:r w:rsidRPr="00AE7A5B">
        <w:rPr>
          <w:rFonts w:eastAsia="Calibri"/>
          <w:szCs w:val="20"/>
          <w:lang w:eastAsia="ar-SA"/>
        </w:rPr>
        <w:t xml:space="preserve"> </w:t>
      </w:r>
      <w:r w:rsidRPr="00AE7A5B">
        <w:rPr>
          <w:szCs w:val="20"/>
          <w:lang w:eastAsia="ar-SA"/>
        </w:rPr>
        <w:t>I/242-263/AC,</w:t>
      </w:r>
      <w:r w:rsidRPr="00AE7A5B">
        <w:rPr>
          <w:rFonts w:cs="Times New Roman"/>
          <w:bCs/>
          <w:szCs w:val="20"/>
        </w:rPr>
        <w:t xml:space="preserve"> II/474-483</w:t>
      </w:r>
      <w:r w:rsidRPr="00AE7A5B">
        <w:rPr>
          <w:szCs w:val="20"/>
          <w:lang w:eastAsia="ar-SA"/>
        </w:rPr>
        <w:t>]</w:t>
      </w:r>
    </w:p>
    <w:p w:rsidR="00AE7A5B" w:rsidRPr="00AE7A5B" w:rsidP="00AE7A5B">
      <w:pPr>
        <w:numPr>
          <w:ilvl w:val="0"/>
          <w:numId w:val="3"/>
        </w:numPr>
        <w:spacing w:after="0" w:line="240" w:lineRule="auto"/>
        <w:jc w:val="left"/>
        <w:rPr>
          <w:rFonts w:cs="Times New Roman"/>
          <w:bCs/>
          <w:szCs w:val="20"/>
        </w:rPr>
      </w:pPr>
      <w:r w:rsidRPr="00AE7A5B">
        <w:rPr>
          <w:rFonts w:cs="Times New Roman"/>
          <w:bCs/>
          <w:szCs w:val="20"/>
        </w:rPr>
        <w:t>w przypadku 1 zamówienia</w:t>
      </w:r>
      <w:r>
        <w:rPr>
          <w:rFonts w:cs="Times New Roman"/>
          <w:bCs/>
          <w:szCs w:val="20"/>
          <w:vertAlign w:val="superscript"/>
        </w:rPr>
        <w:footnoteReference w:id="124"/>
      </w:r>
      <w:r w:rsidRPr="00AE7A5B">
        <w:rPr>
          <w:rFonts w:cs="Times New Roman"/>
          <w:szCs w:val="20"/>
        </w:rPr>
        <w:t xml:space="preserve"> </w:t>
      </w:r>
      <w:r w:rsidRPr="00AE7A5B">
        <w:rPr>
          <w:rFonts w:cs="Times New Roman"/>
          <w:bCs/>
          <w:szCs w:val="20"/>
        </w:rPr>
        <w:t>nie przedłożono dokumentów potwierdzających stosowną akceptację przez radcę prawnego umowy</w:t>
      </w:r>
      <w:r w:rsidRPr="00AE7A5B">
        <w:rPr>
          <w:szCs w:val="20"/>
        </w:rPr>
        <w:t>,</w:t>
      </w:r>
      <w:r w:rsidRPr="00AE7A5B">
        <w:rPr>
          <w:rFonts w:cs="Times New Roman"/>
          <w:szCs w:val="20"/>
        </w:rPr>
        <w:t xml:space="preserve"> co było niezgodne </w:t>
      </w:r>
      <w:r w:rsidRPr="00AE7A5B">
        <w:rPr>
          <w:rFonts w:cs="Times New Roman"/>
          <w:bCs/>
          <w:szCs w:val="20"/>
        </w:rPr>
        <w:t>z</w:t>
      </w:r>
      <w:r w:rsidRPr="00AE7A5B">
        <w:rPr>
          <w:rFonts w:cs="Times New Roman"/>
          <w:szCs w:val="20"/>
        </w:rPr>
        <w:t xml:space="preserve"> § 15 ust. 2</w:t>
      </w:r>
      <w:r w:rsidRPr="00AE7A5B">
        <w:rPr>
          <w:rFonts w:cs="Times New Roman"/>
          <w:bCs/>
          <w:szCs w:val="20"/>
        </w:rPr>
        <w:t xml:space="preserve"> Regulaminu zamówień</w:t>
      </w:r>
      <w:r>
        <w:rPr>
          <w:rFonts w:cs="Times New Roman"/>
          <w:bCs/>
          <w:szCs w:val="20"/>
          <w:vertAlign w:val="superscript"/>
        </w:rPr>
        <w:footnoteReference w:id="125"/>
      </w:r>
      <w:r w:rsidRPr="00AE7A5B">
        <w:rPr>
          <w:rFonts w:cs="Times New Roman"/>
          <w:bCs/>
          <w:szCs w:val="20"/>
        </w:rPr>
        <w:t xml:space="preserve">. </w:t>
      </w:r>
    </w:p>
    <w:p w:rsidR="00AE7A5B" w:rsidRPr="00AE7A5B" w:rsidP="00AE7A5B">
      <w:pPr>
        <w:spacing w:before="120" w:after="120" w:line="240" w:lineRule="auto"/>
        <w:ind w:left="357"/>
        <w:jc w:val="left"/>
        <w:rPr>
          <w:rFonts w:cs="Arial"/>
          <w:szCs w:val="20"/>
        </w:rPr>
      </w:pPr>
      <w:r w:rsidRPr="00AE7A5B">
        <w:rPr>
          <w:szCs w:val="20"/>
        </w:rPr>
        <w:t>Dyrektor wyjaśnił</w:t>
      </w:r>
      <w:r>
        <w:rPr>
          <w:rFonts w:cs="Times New Roman"/>
          <w:bCs/>
          <w:szCs w:val="20"/>
          <w:vertAlign w:val="superscript"/>
        </w:rPr>
        <w:footnoteReference w:id="126"/>
      </w:r>
      <w:r w:rsidRPr="00AE7A5B">
        <w:rPr>
          <w:szCs w:val="20"/>
        </w:rPr>
        <w:t xml:space="preserve">, że </w:t>
      </w:r>
      <w:r w:rsidRPr="00AE7A5B">
        <w:rPr>
          <w:rFonts w:cs="Arial"/>
          <w:szCs w:val="20"/>
        </w:rPr>
        <w:t>prawdopodobnie ze względu na pilny termin na zawarcie umowy, decyzją ówczesnego kierownika Biura Zamówień Publicznych, umowa zaopiniowana została przez pracownika tej komórki.</w:t>
      </w:r>
    </w:p>
    <w:p w:rsidR="00AE7A5B" w:rsidRPr="00AE7A5B" w:rsidP="00AE7A5B">
      <w:pPr>
        <w:spacing w:after="120" w:line="240" w:lineRule="auto"/>
        <w:ind w:left="357"/>
        <w:jc w:val="left"/>
        <w:rPr>
          <w:rFonts w:cs="Times New Roman"/>
          <w:b/>
          <w:bCs/>
          <w:szCs w:val="20"/>
        </w:rPr>
      </w:pPr>
      <w:r w:rsidRPr="00AE7A5B">
        <w:rPr>
          <w:rFonts w:eastAsia="Calibri"/>
          <w:szCs w:val="20"/>
        </w:rPr>
        <w:t>[Dowód: akta kontroli</w:t>
      </w:r>
      <w:r w:rsidRPr="00AE7A5B">
        <w:rPr>
          <w:szCs w:val="20"/>
          <w:lang w:eastAsia="ar-SA"/>
        </w:rPr>
        <w:t xml:space="preserve"> </w:t>
      </w:r>
      <w:r w:rsidRPr="00AE7A5B">
        <w:rPr>
          <w:rFonts w:cs="Times New Roman"/>
          <w:bCs/>
          <w:szCs w:val="20"/>
        </w:rPr>
        <w:t>str. I/4-36/AC, I/522-555/AC, I/586-605/AC, II/474-483]</w:t>
      </w:r>
    </w:p>
    <w:p w:rsidR="00AE7A5B" w:rsidRPr="00AE7A5B" w:rsidP="00AE7A5B">
      <w:pPr>
        <w:spacing w:after="0" w:line="240" w:lineRule="auto"/>
        <w:jc w:val="left"/>
        <w:rPr>
          <w:rFonts w:cs="Times New Roman"/>
          <w:b/>
          <w:bCs/>
          <w:szCs w:val="20"/>
        </w:rPr>
      </w:pPr>
      <w:r w:rsidRPr="00AE7A5B">
        <w:rPr>
          <w:rFonts w:cs="Times New Roman"/>
          <w:b/>
          <w:bCs/>
          <w:szCs w:val="20"/>
        </w:rPr>
        <w:t>Ocena cząstkowa</w:t>
      </w:r>
    </w:p>
    <w:p w:rsidR="00AE7A5B" w:rsidRPr="00AE7A5B" w:rsidP="00AE7A5B">
      <w:pPr>
        <w:spacing w:before="120" w:after="120" w:line="240" w:lineRule="auto"/>
        <w:jc w:val="left"/>
      </w:pPr>
      <w:r w:rsidRPr="00AE7A5B">
        <w:t xml:space="preserve">Działalność Instytutu w badanym obszarze oceniono negatywnie. Dyrektor PIG nie podjął działań prowadzących do </w:t>
      </w:r>
      <w:r w:rsidRPr="00AE7A5B">
        <w:rPr>
          <w:szCs w:val="20"/>
        </w:rPr>
        <w:t xml:space="preserve">zaopiniowania przez Radę Naukową korekty planu finansowego na 2020 r. </w:t>
      </w:r>
      <w:r w:rsidRPr="00AE7A5B">
        <w:rPr>
          <w:rFonts w:cs="Times New Roman"/>
          <w:szCs w:val="20"/>
        </w:rPr>
        <w:t xml:space="preserve">co było niezgodne z art. 18 ust. 12 ustawy o instytutach badawczych oraz </w:t>
      </w:r>
      <w:r w:rsidRPr="00AE7A5B">
        <w:rPr>
          <w:rFonts w:eastAsia="Times New Roman" w:cs="Times New Roman"/>
          <w:szCs w:val="20"/>
          <w:shd w:val="clear" w:color="auto" w:fill="FFFFFF"/>
          <w:lang w:eastAsia="pl-PL"/>
        </w:rPr>
        <w:t xml:space="preserve">§ 6 </w:t>
      </w:r>
      <w:r w:rsidRPr="00AE7A5B">
        <w:rPr>
          <w:rFonts w:eastAsia="Times New Roman" w:cs="Times New Roman"/>
          <w:szCs w:val="20"/>
          <w:shd w:val="clear" w:color="auto" w:fill="FFFFFF"/>
          <w:lang w:eastAsia="pl-PL"/>
        </w:rPr>
        <w:br/>
        <w:t>pkt 7 Instrukcji sporządzania i realizacji planu finansowego PIG.</w:t>
      </w:r>
    </w:p>
    <w:p w:rsidR="00AE7A5B" w:rsidRPr="00AE7A5B" w:rsidP="00AE7A5B">
      <w:pPr>
        <w:spacing w:before="120" w:after="0" w:line="240" w:lineRule="auto"/>
        <w:jc w:val="left"/>
        <w:rPr>
          <w:rFonts w:cs="Times New Roman"/>
          <w:bCs/>
          <w:szCs w:val="20"/>
        </w:rPr>
      </w:pPr>
      <w:r w:rsidRPr="00AE7A5B">
        <w:rPr>
          <w:rFonts w:cs="Times New Roman"/>
          <w:bCs/>
          <w:szCs w:val="20"/>
        </w:rPr>
        <w:t xml:space="preserve">Dopuścił do zawarcia 10 umów cywilnoprawnych noszących znamiona stosunku pracy </w:t>
      </w:r>
      <w:r w:rsidRPr="00AE7A5B">
        <w:rPr>
          <w:rFonts w:cs="Times New Roman"/>
          <w:bCs/>
          <w:szCs w:val="20"/>
        </w:rPr>
        <w:br/>
        <w:t>w rozumieniu art. 22 § 1 Kodeksu pracy z uwagi na wprowadzenie w ich treści wymogu wykonywania pracy pod kierownictwem zleceniodawcy. 15 umów cywilnoprawnych zawarto na zadania pokrywające się z zadaniami komórek organizacyjnych PIG określonymi w Regulaminie organizacyjnym z 2019 r. i Regulaminie organizacyjnym z 2020 r.</w:t>
      </w:r>
    </w:p>
    <w:p w:rsidR="00AE7A5B" w:rsidRPr="00AE7A5B" w:rsidP="00AE7A5B">
      <w:pPr>
        <w:spacing w:before="120" w:after="0" w:line="240" w:lineRule="auto"/>
        <w:jc w:val="left"/>
        <w:rPr>
          <w:rFonts w:cs="Times New Roman"/>
          <w:bCs/>
          <w:szCs w:val="20"/>
        </w:rPr>
      </w:pPr>
      <w:r w:rsidRPr="00AE7A5B">
        <w:rPr>
          <w:rFonts w:cs="Times New Roman"/>
          <w:bCs/>
          <w:szCs w:val="20"/>
        </w:rPr>
        <w:t xml:space="preserve">Postępowania o udzielenia zamówienia publicznego były prowadzone niezgodnie z </w:t>
      </w:r>
      <w:r w:rsidRPr="00AE7A5B">
        <w:rPr>
          <w:rFonts w:cs="Times New Roman"/>
          <w:bCs/>
          <w:szCs w:val="20"/>
        </w:rPr>
        <w:t>Pzp</w:t>
      </w:r>
      <w:r w:rsidRPr="00AE7A5B">
        <w:rPr>
          <w:rFonts w:cs="Times New Roman"/>
          <w:bCs/>
          <w:szCs w:val="20"/>
        </w:rPr>
        <w:t xml:space="preserve"> </w:t>
      </w:r>
      <w:r w:rsidRPr="00AE7A5B">
        <w:rPr>
          <w:rFonts w:cs="Times New Roman"/>
          <w:bCs/>
          <w:szCs w:val="20"/>
        </w:rPr>
        <w:br/>
        <w:t xml:space="preserve">i </w:t>
      </w:r>
      <w:r w:rsidRPr="00AE7A5B">
        <w:rPr>
          <w:rFonts w:cs="Times New Roman"/>
          <w:bCs/>
          <w:szCs w:val="20"/>
        </w:rPr>
        <w:t>nPzp</w:t>
      </w:r>
      <w:r w:rsidRPr="00AE7A5B">
        <w:rPr>
          <w:rFonts w:cs="Times New Roman"/>
          <w:bCs/>
          <w:szCs w:val="20"/>
        </w:rPr>
        <w:t xml:space="preserve"> poprzez: niezłożenie przez osoby udzielające zamówienia/mające wpływ na wynik postępowania/wykonujące inne czynności związane z przeprowadzeniem postępowania </w:t>
      </w:r>
      <w:r w:rsidRPr="00AE7A5B">
        <w:rPr>
          <w:rFonts w:cs="Times New Roman"/>
          <w:bCs/>
          <w:szCs w:val="20"/>
        </w:rPr>
        <w:br/>
        <w:t xml:space="preserve">w 4 przypadkach oświadczenia o braku konfliktu interesów oraz w 7 przypadkach oświadczenia o niekaralności, a także w 1 przypadku nieterminowe złożenie oświadczenia </w:t>
      </w:r>
      <w:r w:rsidRPr="00AE7A5B">
        <w:rPr>
          <w:rFonts w:cs="Times New Roman"/>
          <w:bCs/>
          <w:szCs w:val="20"/>
        </w:rPr>
        <w:br/>
        <w:t xml:space="preserve">o niekaralności, czym naruszono art. 17 ust. 2 ustawy </w:t>
      </w:r>
      <w:r w:rsidRPr="00AE7A5B">
        <w:rPr>
          <w:rFonts w:cs="Times New Roman"/>
          <w:bCs/>
          <w:szCs w:val="20"/>
        </w:rPr>
        <w:t>Pzp</w:t>
      </w:r>
      <w:r w:rsidRPr="00AE7A5B">
        <w:rPr>
          <w:rFonts w:cs="Times New Roman"/>
          <w:bCs/>
          <w:szCs w:val="20"/>
        </w:rPr>
        <w:t xml:space="preserve"> i art. 56 ust. 1-6  ustawy </w:t>
      </w:r>
      <w:r w:rsidRPr="00AE7A5B">
        <w:rPr>
          <w:rFonts w:cs="Times New Roman"/>
          <w:bCs/>
          <w:szCs w:val="20"/>
        </w:rPr>
        <w:t>nPzp</w:t>
      </w:r>
      <w:r w:rsidRPr="00AE7A5B">
        <w:rPr>
          <w:rFonts w:cs="Times New Roman"/>
          <w:bCs/>
          <w:szCs w:val="20"/>
        </w:rPr>
        <w:t xml:space="preserve">. Stwierdzono brak powołania komisji przetargowej do przeprowadzenia 1 badanego postępowania, co było niezgodne z art. 19 ust. 2 </w:t>
      </w:r>
      <w:r w:rsidRPr="00AE7A5B">
        <w:rPr>
          <w:rFonts w:cs="Times New Roman"/>
          <w:bCs/>
          <w:szCs w:val="20"/>
        </w:rPr>
        <w:t>Pzp</w:t>
      </w:r>
      <w:r w:rsidRPr="00AE7A5B">
        <w:rPr>
          <w:szCs w:val="20"/>
        </w:rPr>
        <w:t xml:space="preserve"> oraz </w:t>
      </w:r>
      <w:r w:rsidRPr="00AE7A5B">
        <w:rPr>
          <w:rFonts w:cs="Arial"/>
          <w:szCs w:val="20"/>
        </w:rPr>
        <w:t>§</w:t>
      </w:r>
      <w:r w:rsidRPr="00AE7A5B">
        <w:rPr>
          <w:szCs w:val="20"/>
        </w:rPr>
        <w:t xml:space="preserve"> 9 ust. 1 Regulaminu zamówień</w:t>
      </w:r>
      <w:r w:rsidRPr="00AE7A5B">
        <w:rPr>
          <w:rFonts w:cs="Times New Roman"/>
          <w:bCs/>
          <w:szCs w:val="20"/>
        </w:rPr>
        <w:t xml:space="preserve">.  Brak udokumentowania przesłania zawiadomienia o wyborze najkorzystniejszej oferty do wszystkich wykonawców biorących udział w 1 badanym postępowaniu, co było niezgodne z art. 92 ust. 1 pkt 1 </w:t>
      </w:r>
      <w:r w:rsidRPr="00AE7A5B">
        <w:rPr>
          <w:rFonts w:cs="Times New Roman"/>
          <w:bCs/>
          <w:szCs w:val="20"/>
        </w:rPr>
        <w:t>Pzp</w:t>
      </w:r>
      <w:r w:rsidRPr="00AE7A5B">
        <w:rPr>
          <w:rFonts w:cs="Times New Roman"/>
          <w:bCs/>
          <w:szCs w:val="20"/>
        </w:rPr>
        <w:t>;</w:t>
      </w:r>
    </w:p>
    <w:p w:rsidR="00AE7A5B" w:rsidRPr="00AE7A5B" w:rsidP="00AE7A5B">
      <w:pPr>
        <w:spacing w:before="120" w:after="120" w:line="240" w:lineRule="auto"/>
        <w:jc w:val="left"/>
        <w:rPr>
          <w:rFonts w:cs="Times New Roman"/>
          <w:bCs/>
          <w:szCs w:val="20"/>
        </w:rPr>
      </w:pPr>
      <w:r w:rsidRPr="00AE7A5B">
        <w:rPr>
          <w:rFonts w:cs="Times New Roman"/>
          <w:bCs/>
          <w:szCs w:val="20"/>
        </w:rPr>
        <w:t xml:space="preserve">Poddane kontroli zamówienia publiczne były również udzielone niezgodnie z  Regulaminem zamówień, o czym świadczą następujące nieprawidłowości: </w:t>
      </w:r>
    </w:p>
    <w:p w:rsidR="00AE7A5B" w:rsidRPr="00AE7A5B" w:rsidP="00AE7A5B">
      <w:pPr>
        <w:numPr>
          <w:ilvl w:val="0"/>
          <w:numId w:val="25"/>
        </w:numPr>
        <w:spacing w:after="0" w:line="240" w:lineRule="auto"/>
        <w:ind w:left="284" w:hanging="284"/>
        <w:jc w:val="left"/>
        <w:rPr>
          <w:rFonts w:cs="Times New Roman"/>
          <w:bCs/>
          <w:sz w:val="24"/>
          <w:szCs w:val="20"/>
        </w:rPr>
      </w:pPr>
      <w:r w:rsidRPr="00AE7A5B">
        <w:rPr>
          <w:rFonts w:cs="Times New Roman"/>
          <w:bCs/>
          <w:szCs w:val="20"/>
        </w:rPr>
        <w:t xml:space="preserve">brak złożenia przez członków komisji przetargowej oświadczeń co do okoliczności wskazanych w art. 17 ust. 1  </w:t>
      </w:r>
      <w:r w:rsidRPr="00AE7A5B">
        <w:rPr>
          <w:rFonts w:cs="Times New Roman"/>
          <w:bCs/>
          <w:szCs w:val="20"/>
        </w:rPr>
        <w:t>Pzp</w:t>
      </w:r>
      <w:r w:rsidRPr="00AE7A5B">
        <w:rPr>
          <w:rFonts w:cs="Times New Roman"/>
          <w:bCs/>
          <w:szCs w:val="20"/>
        </w:rPr>
        <w:t xml:space="preserve">  i  art. 56 ust. 2  </w:t>
      </w:r>
      <w:r w:rsidRPr="00AE7A5B">
        <w:rPr>
          <w:rFonts w:cs="Times New Roman"/>
          <w:bCs/>
          <w:szCs w:val="20"/>
        </w:rPr>
        <w:t>nPzp</w:t>
      </w:r>
      <w:r w:rsidRPr="00AE7A5B">
        <w:rPr>
          <w:rFonts w:cs="Times New Roman"/>
          <w:bCs/>
          <w:szCs w:val="20"/>
        </w:rPr>
        <w:t xml:space="preserve"> , co było niezgodne z § 11 ust. 1 </w:t>
      </w:r>
      <w:r w:rsidRPr="00AE7A5B">
        <w:rPr>
          <w:rFonts w:cs="Times New Roman"/>
          <w:bCs/>
          <w:szCs w:val="20"/>
        </w:rPr>
        <w:br/>
        <w:t xml:space="preserve">w związku z § 18 ust. 1 pkt 4 Regulaminu zamówień; </w:t>
      </w:r>
    </w:p>
    <w:p w:rsidR="00AE7A5B" w:rsidRPr="00AE7A5B" w:rsidP="00AE7A5B">
      <w:pPr>
        <w:numPr>
          <w:ilvl w:val="0"/>
          <w:numId w:val="25"/>
        </w:numPr>
        <w:spacing w:after="0" w:line="240" w:lineRule="auto"/>
        <w:ind w:left="284" w:hanging="284"/>
        <w:jc w:val="left"/>
        <w:rPr>
          <w:rFonts w:cs="Times New Roman"/>
          <w:bCs/>
          <w:sz w:val="24"/>
          <w:szCs w:val="20"/>
        </w:rPr>
      </w:pPr>
      <w:r w:rsidRPr="00AE7A5B">
        <w:rPr>
          <w:rFonts w:cs="Times New Roman"/>
          <w:bCs/>
          <w:szCs w:val="20"/>
        </w:rPr>
        <w:t xml:space="preserve">brak we wnioskach o udzielenie zamówień publicznych wypełnienia informacji dotyczących ujęcia zamówień w planie finansowym PIG lub pozycji w tym planie oraz wysokości zabezpieczonych środków, co było niezgodne z pkt III.2 i III.3 wzoru wniosku; </w:t>
      </w:r>
    </w:p>
    <w:p w:rsidR="00AE7A5B" w:rsidRPr="00AE7A5B" w:rsidP="00AE7A5B">
      <w:pPr>
        <w:numPr>
          <w:ilvl w:val="0"/>
          <w:numId w:val="25"/>
        </w:numPr>
        <w:spacing w:after="0" w:line="240" w:lineRule="auto"/>
        <w:ind w:left="284" w:hanging="284"/>
        <w:jc w:val="left"/>
        <w:rPr>
          <w:rFonts w:cs="Times New Roman"/>
          <w:bCs/>
          <w:sz w:val="24"/>
          <w:szCs w:val="20"/>
        </w:rPr>
      </w:pPr>
      <w:r w:rsidRPr="00AE7A5B">
        <w:rPr>
          <w:rFonts w:cs="Times New Roman"/>
          <w:bCs/>
          <w:szCs w:val="20"/>
        </w:rPr>
        <w:t>w 1 przypadku nie przedłożono dokumentów potwierdzających stosowną akceptację umowy kończącej to postępowanie, co było niezgodne z</w:t>
      </w:r>
      <w:r w:rsidRPr="00AE7A5B">
        <w:rPr>
          <w:rFonts w:cs="Times New Roman"/>
          <w:szCs w:val="20"/>
        </w:rPr>
        <w:t xml:space="preserve"> § 15 ust. 2</w:t>
      </w:r>
      <w:r w:rsidRPr="00AE7A5B">
        <w:rPr>
          <w:rFonts w:cs="Times New Roman"/>
          <w:bCs/>
          <w:szCs w:val="20"/>
        </w:rPr>
        <w:t xml:space="preserve"> Regulaminu zamówień; </w:t>
      </w:r>
    </w:p>
    <w:p w:rsidR="00AE7A5B" w:rsidRPr="00AE7A5B" w:rsidP="00AE7A5B">
      <w:pPr>
        <w:numPr>
          <w:ilvl w:val="0"/>
          <w:numId w:val="25"/>
        </w:numPr>
        <w:spacing w:after="0" w:line="240" w:lineRule="auto"/>
        <w:ind w:left="284" w:hanging="284"/>
        <w:jc w:val="left"/>
        <w:rPr>
          <w:rFonts w:cs="Times New Roman"/>
          <w:bCs/>
          <w:sz w:val="24"/>
          <w:szCs w:val="20"/>
        </w:rPr>
      </w:pPr>
      <w:r w:rsidRPr="00AE7A5B">
        <w:rPr>
          <w:rFonts w:cs="Times New Roman"/>
          <w:bCs/>
          <w:szCs w:val="20"/>
        </w:rPr>
        <w:t>w 1 przypadku naruszono zasadę przejrzystości i równego traktowania wykonawców poprzez określenie w zapytaniu ofertowym kryterium oceny ofert odnoszącego się do właściwości wykonawcy, co było niezgodne z § 17 ust. 4 i § 21 ust. 5 Regulaminu zamówień.</w:t>
      </w:r>
    </w:p>
    <w:p w:rsidR="00AE7A5B" w:rsidRPr="00AE7A5B" w:rsidP="00AE7A5B">
      <w:pPr>
        <w:spacing w:before="120" w:after="0" w:line="240" w:lineRule="auto"/>
        <w:jc w:val="left"/>
        <w:rPr>
          <w:rFonts w:cs="Times New Roman"/>
          <w:szCs w:val="20"/>
        </w:rPr>
      </w:pPr>
      <w:r w:rsidRPr="00AE7A5B">
        <w:rPr>
          <w:rFonts w:cs="Times New Roman"/>
          <w:szCs w:val="20"/>
        </w:rPr>
        <w:t>Ponadto w wyniku kontroli stwierdzono następujące uchybienia:</w:t>
      </w:r>
    </w:p>
    <w:p w:rsidR="00AE7A5B" w:rsidRPr="00AE7A5B" w:rsidP="00AE7A5B">
      <w:pPr>
        <w:numPr>
          <w:ilvl w:val="0"/>
          <w:numId w:val="26"/>
        </w:numPr>
        <w:spacing w:after="0" w:line="240" w:lineRule="auto"/>
        <w:ind w:left="284" w:hanging="284"/>
        <w:jc w:val="left"/>
        <w:rPr>
          <w:rFonts w:cs="Times New Roman"/>
          <w:bCs/>
          <w:szCs w:val="20"/>
        </w:rPr>
      </w:pPr>
      <w:r w:rsidRPr="00AE7A5B">
        <w:rPr>
          <w:rFonts w:cs="Times New Roman"/>
          <w:bCs/>
          <w:szCs w:val="20"/>
        </w:rPr>
        <w:t>brak comiesięcznego odbioru prac oraz brak wskazania dat na 10 protokołach odbioru w przypadku 1 umowy cywilnoprawnej;</w:t>
      </w:r>
    </w:p>
    <w:p w:rsidR="00AE7A5B" w:rsidRPr="00AE7A5B" w:rsidP="00AE7A5B">
      <w:pPr>
        <w:numPr>
          <w:ilvl w:val="0"/>
          <w:numId w:val="26"/>
        </w:numPr>
        <w:spacing w:after="0" w:line="240" w:lineRule="auto"/>
        <w:ind w:left="284" w:hanging="284"/>
        <w:jc w:val="left"/>
        <w:rPr>
          <w:rFonts w:cs="Times New Roman"/>
          <w:szCs w:val="20"/>
        </w:rPr>
      </w:pPr>
      <w:r w:rsidRPr="00AE7A5B">
        <w:rPr>
          <w:rFonts w:cs="Times New Roman"/>
          <w:szCs w:val="20"/>
        </w:rPr>
        <w:t>podpisanie 1 umowy cywilnoprawnej przez Zastępcę Dyrektora ds. Służby Geologicznej, niewymienionego w umowie jako jedna z 2 osób działających w imieniu Instytutu;</w:t>
      </w:r>
    </w:p>
    <w:p w:rsidR="00AE7A5B" w:rsidRPr="00AE7A5B" w:rsidP="00AE7A5B">
      <w:pPr>
        <w:numPr>
          <w:ilvl w:val="0"/>
          <w:numId w:val="26"/>
        </w:numPr>
        <w:spacing w:after="0" w:line="240" w:lineRule="auto"/>
        <w:ind w:left="284" w:hanging="284"/>
        <w:jc w:val="left"/>
        <w:rPr>
          <w:rFonts w:cs="Times New Roman"/>
          <w:szCs w:val="20"/>
        </w:rPr>
      </w:pPr>
      <w:r w:rsidRPr="00AE7A5B">
        <w:rPr>
          <w:rFonts w:cs="Times New Roman"/>
          <w:szCs w:val="20"/>
        </w:rPr>
        <w:t>brak wskazania numeru konta bankowego na 9 wystawionych rachunkach;</w:t>
      </w:r>
    </w:p>
    <w:p w:rsidR="00AE7A5B" w:rsidRPr="00AE7A5B" w:rsidP="00AE7A5B">
      <w:pPr>
        <w:numPr>
          <w:ilvl w:val="0"/>
          <w:numId w:val="26"/>
        </w:numPr>
        <w:spacing w:after="0" w:line="240" w:lineRule="auto"/>
        <w:ind w:left="284" w:hanging="284"/>
        <w:jc w:val="left"/>
        <w:rPr>
          <w:rFonts w:cs="Times New Roman"/>
          <w:szCs w:val="20"/>
        </w:rPr>
      </w:pPr>
      <w:r w:rsidRPr="00AE7A5B">
        <w:rPr>
          <w:rFonts w:cs="Times New Roman"/>
          <w:szCs w:val="20"/>
        </w:rPr>
        <w:t xml:space="preserve">braku wskazania w protokole z postępowania daty zawiadomienia wykonawców </w:t>
      </w:r>
      <w:r w:rsidRPr="00AE7A5B">
        <w:rPr>
          <w:rFonts w:cs="Times New Roman"/>
          <w:szCs w:val="20"/>
        </w:rPr>
        <w:br/>
        <w:t>o wyborze najkorzystniejszej oferty.</w:t>
      </w:r>
    </w:p>
    <w:p w:rsidR="00AE7A5B" w:rsidRPr="00AE7A5B" w:rsidP="00AE7A5B">
      <w:pPr>
        <w:spacing w:before="120" w:after="0" w:line="240" w:lineRule="auto"/>
        <w:jc w:val="left"/>
      </w:pPr>
      <w:r w:rsidRPr="00AE7A5B">
        <w:t xml:space="preserve">Negatywnej oceny nie zmienia fakt, że Dyrektor w okresie objętym kontrolą realizował zasady gospodarki finansowej na podstawie Polityki rachunkowości z 24 lipca 2019 r.  Wykonanie planu finansowego na 2020 r. w zakresie przychodów i kosztów było na poziomie 104 %, a na 2021 r. w zakresie przychodów na poziomie 95 %, zaś kosztów 93 %. </w:t>
      </w:r>
      <w:r w:rsidRPr="00AE7A5B">
        <w:t>Sprawozdania finansowe za rok 2020 i 2021 zostały sporządzone zgodnie z przepisami rozdziału 5 ustawy o rachunkowości i podlegały badaniu przez biegłego rewidenta.</w:t>
      </w:r>
    </w:p>
    <w:p w:rsidR="00AE7A5B" w:rsidRPr="00AE7A5B" w:rsidP="00AE7A5B">
      <w:pPr>
        <w:spacing w:after="0" w:line="240" w:lineRule="auto"/>
        <w:jc w:val="left"/>
      </w:pPr>
    </w:p>
    <w:p w:rsidR="00AE7A5B" w:rsidRPr="00AE7A5B" w:rsidP="00AE7A5B">
      <w:pPr>
        <w:spacing w:after="0" w:line="240" w:lineRule="auto"/>
        <w:ind w:left="284" w:hanging="284"/>
        <w:jc w:val="left"/>
        <w:rPr>
          <w:rFonts w:cs="Times New Roman"/>
          <w:b/>
          <w:bCs/>
          <w:szCs w:val="20"/>
        </w:rPr>
      </w:pPr>
      <w:r w:rsidRPr="00AE7A5B">
        <w:rPr>
          <w:rFonts w:cs="Times New Roman"/>
          <w:b/>
          <w:bCs/>
          <w:szCs w:val="20"/>
        </w:rPr>
        <w:t>2.</w:t>
      </w:r>
      <w:r w:rsidRPr="00AE7A5B">
        <w:rPr>
          <w:rFonts w:cs="Times New Roman"/>
          <w:b/>
          <w:bCs/>
          <w:szCs w:val="20"/>
        </w:rPr>
        <w:tab/>
        <w:t xml:space="preserve"> Organizacja i jakość pracy Instytutu</w:t>
      </w:r>
    </w:p>
    <w:p w:rsidR="00AE7A5B" w:rsidRPr="00AE7A5B" w:rsidP="00AE7A5B">
      <w:pPr>
        <w:spacing w:before="120" w:after="120" w:line="240" w:lineRule="auto"/>
        <w:jc w:val="left"/>
        <w:rPr>
          <w:rFonts w:cs="Times New Roman"/>
          <w:b/>
          <w:szCs w:val="20"/>
        </w:rPr>
      </w:pPr>
      <w:r w:rsidRPr="00AE7A5B">
        <w:rPr>
          <w:rFonts w:cs="Times New Roman"/>
          <w:b/>
          <w:szCs w:val="20"/>
        </w:rPr>
        <w:t>a) organizacja Instytutu</w:t>
      </w:r>
    </w:p>
    <w:p w:rsidR="00AE7A5B" w:rsidRPr="00AE7A5B" w:rsidP="00AE7A5B">
      <w:pPr>
        <w:spacing w:after="0" w:line="240" w:lineRule="auto"/>
        <w:jc w:val="left"/>
        <w:rPr>
          <w:rFonts w:cs="Times New Roman"/>
          <w:bCs/>
          <w:szCs w:val="20"/>
        </w:rPr>
      </w:pPr>
      <w:r w:rsidRPr="00AE7A5B">
        <w:t xml:space="preserve">W okresie objętym kontrolą Instytut działał na podstawie m.in. Statutu </w:t>
      </w:r>
      <w:r w:rsidRPr="00AE7A5B">
        <w:rPr>
          <w:rFonts w:cs="Times New Roman"/>
          <w:szCs w:val="20"/>
        </w:rPr>
        <w:t xml:space="preserve">nadanego </w:t>
      </w:r>
      <w:r w:rsidRPr="00AE7A5B">
        <w:t xml:space="preserve">przez </w:t>
      </w:r>
      <w:r w:rsidRPr="00AE7A5B">
        <w:rPr>
          <w:rFonts w:cs="Times New Roman"/>
          <w:szCs w:val="20"/>
        </w:rPr>
        <w:t>Ministra Środowiska</w:t>
      </w:r>
      <w:r>
        <w:rPr>
          <w:rFonts w:cs="Times New Roman"/>
          <w:szCs w:val="20"/>
          <w:vertAlign w:val="superscript"/>
        </w:rPr>
        <w:footnoteReference w:id="127"/>
      </w:r>
      <w:r w:rsidRPr="00AE7A5B">
        <w:rPr>
          <w:rFonts w:cs="Times New Roman"/>
          <w:szCs w:val="20"/>
        </w:rPr>
        <w:t>,  ustawy z 9 czerwca 2011 r. Prawo geologiczne i górnicze</w:t>
      </w:r>
      <w:r>
        <w:rPr>
          <w:rFonts w:cs="Times New Roman"/>
          <w:szCs w:val="20"/>
          <w:vertAlign w:val="superscript"/>
        </w:rPr>
        <w:footnoteReference w:id="128"/>
      </w:r>
      <w:r w:rsidRPr="00AE7A5B">
        <w:rPr>
          <w:rFonts w:cs="Times New Roman"/>
          <w:szCs w:val="20"/>
        </w:rPr>
        <w:t>, ustawy z 20 lipca 2017 r. Prawo wodne</w:t>
      </w:r>
      <w:r>
        <w:rPr>
          <w:rFonts w:cs="Times New Roman"/>
          <w:szCs w:val="20"/>
          <w:vertAlign w:val="superscript"/>
        </w:rPr>
        <w:footnoteReference w:id="129"/>
      </w:r>
      <w:r w:rsidRPr="00AE7A5B">
        <w:rPr>
          <w:rFonts w:cs="Times New Roman"/>
          <w:szCs w:val="20"/>
        </w:rPr>
        <w:t xml:space="preserve">. </w:t>
      </w:r>
      <w:r w:rsidRPr="00AE7A5B">
        <w:rPr>
          <w:rFonts w:cs="Times New Roman"/>
          <w:bCs/>
          <w:szCs w:val="20"/>
        </w:rPr>
        <w:t>Statut określał przedmiot i zakres działalności Instytutu, organy i przedstawicielstwo PIG, kryteria i tryb przeprowadzania oraz ogłaszania konkursów na stanowiska naukowe oraz tryb wyboru komisji dyscyplinarnej, zgodnie z wymogami art. 6 ust. 2, art. 23, art. 43 ust. 6, art. 55 ust. 1 ustawy o instytutach badawczych.</w:t>
      </w:r>
    </w:p>
    <w:p w:rsidR="00AE7A5B" w:rsidRPr="00AE7A5B" w:rsidP="00AE7A5B">
      <w:pPr>
        <w:spacing w:before="120" w:after="120" w:line="240" w:lineRule="auto"/>
        <w:jc w:val="left"/>
        <w:rPr>
          <w:rFonts w:cs="Times New Roman"/>
          <w:bCs/>
          <w:szCs w:val="20"/>
        </w:rPr>
      </w:pPr>
      <w:r w:rsidRPr="00AE7A5B">
        <w:rPr>
          <w:rFonts w:eastAsia="Calibri"/>
          <w:szCs w:val="20"/>
        </w:rPr>
        <w:t>[Dowód: akta kontroli str.</w:t>
      </w:r>
      <w:r w:rsidRPr="00AE7A5B">
        <w:rPr>
          <w:rFonts w:eastAsia="Calibri"/>
          <w:szCs w:val="20"/>
          <w:lang w:eastAsia="ar-SA"/>
        </w:rPr>
        <w:t xml:space="preserve"> </w:t>
      </w:r>
      <w:r w:rsidRPr="00AE7A5B">
        <w:rPr>
          <w:szCs w:val="20"/>
          <w:lang w:eastAsia="ar-SA"/>
        </w:rPr>
        <w:t>II/1-40, II/484</w:t>
      </w:r>
      <w:r w:rsidRPr="00AE7A5B">
        <w:rPr>
          <w:rFonts w:eastAsia="Calibri"/>
          <w:szCs w:val="20"/>
        </w:rPr>
        <w:t>]</w:t>
      </w:r>
    </w:p>
    <w:p w:rsidR="00AE7A5B" w:rsidRPr="00AE7A5B" w:rsidP="00AE7A5B">
      <w:pPr>
        <w:spacing w:after="0" w:line="240" w:lineRule="auto"/>
        <w:jc w:val="left"/>
      </w:pPr>
      <w:r w:rsidRPr="00AE7A5B">
        <w:rPr>
          <w:rFonts w:cs="Times New Roman"/>
          <w:bCs/>
          <w:szCs w:val="20"/>
        </w:rPr>
        <w:t>Strukturę organizacyjną Instytutu określały regulaminy organizacyjne</w:t>
      </w:r>
      <w:r>
        <w:rPr>
          <w:rFonts w:cs="Times New Roman"/>
          <w:bCs/>
          <w:szCs w:val="20"/>
          <w:vertAlign w:val="superscript"/>
        </w:rPr>
        <w:footnoteReference w:id="130"/>
      </w:r>
      <w:r w:rsidRPr="00AE7A5B">
        <w:rPr>
          <w:rFonts w:cs="Times New Roman"/>
          <w:bCs/>
          <w:szCs w:val="20"/>
        </w:rPr>
        <w:t xml:space="preserve"> zaopiniowane przez </w:t>
      </w:r>
      <w:r w:rsidRPr="00AE7A5B">
        <w:t>Radę Naukową</w:t>
      </w:r>
      <w:r>
        <w:rPr>
          <w:vertAlign w:val="superscript"/>
        </w:rPr>
        <w:footnoteReference w:id="131"/>
      </w:r>
      <w:r w:rsidRPr="00AE7A5B">
        <w:t xml:space="preserve">, które odzwierciedlały zadania wskazane w Statucie. Natomiast ustalono, że regulaminy te oraz zmiana </w:t>
      </w:r>
      <w:bookmarkStart w:id="27" w:name="_Hlk152835489"/>
      <w:r w:rsidRPr="00AE7A5B">
        <w:rPr>
          <w:szCs w:val="20"/>
        </w:rPr>
        <w:t xml:space="preserve">regulaminu z 5 czerwca 2019 r. nie były </w:t>
      </w:r>
      <w:bookmarkEnd w:id="27"/>
      <w:r w:rsidRPr="00AE7A5B">
        <w:rPr>
          <w:szCs w:val="20"/>
        </w:rPr>
        <w:t>opiniowane</w:t>
      </w:r>
      <w:r w:rsidRPr="00AE7A5B">
        <w:t xml:space="preserve"> </w:t>
      </w:r>
      <w:r w:rsidRPr="00AE7A5B">
        <w:t xml:space="preserve">przez </w:t>
      </w:r>
      <w:r w:rsidRPr="00AE7A5B">
        <w:rPr>
          <w:rFonts w:cs="Times New Roman"/>
          <w:bCs/>
          <w:szCs w:val="20"/>
        </w:rPr>
        <w:t>zakładowe organizacje związkowe, czym naruszono art. 6 ust. 4 ustawy o instytutach badawczych</w:t>
      </w:r>
      <w:r>
        <w:rPr>
          <w:rFonts w:cs="Times New Roman"/>
          <w:bCs/>
          <w:szCs w:val="20"/>
          <w:vertAlign w:val="superscript"/>
        </w:rPr>
        <w:footnoteReference w:id="132"/>
      </w:r>
      <w:r w:rsidRPr="00AE7A5B">
        <w:rPr>
          <w:rFonts w:cs="Times New Roman"/>
          <w:bCs/>
          <w:szCs w:val="20"/>
        </w:rPr>
        <w:t>.</w:t>
      </w:r>
    </w:p>
    <w:p w:rsidR="00AE7A5B" w:rsidRPr="00AE7A5B" w:rsidP="00AE7A5B">
      <w:pPr>
        <w:spacing w:before="120" w:after="0" w:line="240" w:lineRule="auto"/>
        <w:jc w:val="left"/>
        <w:rPr>
          <w:rFonts w:cs="Times New Roman"/>
          <w:bCs/>
          <w:szCs w:val="20"/>
        </w:rPr>
      </w:pPr>
      <w:r w:rsidRPr="00AE7A5B">
        <w:rPr>
          <w:rFonts w:cs="Times New Roman"/>
          <w:bCs/>
          <w:szCs w:val="20"/>
        </w:rPr>
        <w:t>Dyrektor wyjaśnił</w:t>
      </w:r>
      <w:r>
        <w:rPr>
          <w:rFonts w:cs="Times New Roman"/>
          <w:bCs/>
          <w:szCs w:val="20"/>
          <w:vertAlign w:val="superscript"/>
        </w:rPr>
        <w:footnoteReference w:id="133"/>
      </w:r>
      <w:r w:rsidRPr="00AE7A5B">
        <w:rPr>
          <w:rFonts w:cs="Times New Roman"/>
          <w:bCs/>
          <w:szCs w:val="20"/>
        </w:rPr>
        <w:t xml:space="preserve">, że organizacje związkowe zostały poinformowane o zmianach poprzez informacje ogólne, a skoro posiadały wiedzę o planowanych zmianach regulaminu </w:t>
      </w:r>
      <w:r w:rsidRPr="00AE7A5B">
        <w:rPr>
          <w:rFonts w:cs="Times New Roman"/>
          <w:bCs/>
          <w:szCs w:val="20"/>
        </w:rPr>
        <w:br/>
        <w:t>i nie zgłaszały uwag, to je akceptowały.</w:t>
      </w:r>
    </w:p>
    <w:p w:rsidR="00AE7A5B" w:rsidRPr="00AE7A5B" w:rsidP="00AE7A5B">
      <w:pPr>
        <w:spacing w:before="120" w:after="0" w:line="240" w:lineRule="auto"/>
        <w:jc w:val="left"/>
      </w:pPr>
      <w:r w:rsidRPr="00AE7A5B">
        <w:t xml:space="preserve">W Instytucie </w:t>
      </w:r>
      <w:r w:rsidRPr="00AE7A5B">
        <w:rPr>
          <w:rFonts w:cs="Times New Roman"/>
          <w:bCs/>
          <w:szCs w:val="20"/>
        </w:rPr>
        <w:t>obowiązywało również zarządzenie nr 45 z 28 grudnia 2018 r.</w:t>
      </w:r>
      <w:r w:rsidRPr="00AE7A5B">
        <w:rPr>
          <w:sz w:val="16"/>
          <w:szCs w:val="16"/>
        </w:rPr>
        <w:t xml:space="preserve"> </w:t>
      </w:r>
      <w:r w:rsidRPr="00AE7A5B">
        <w:rPr>
          <w:rFonts w:cs="Times New Roman"/>
          <w:bCs/>
          <w:szCs w:val="20"/>
        </w:rPr>
        <w:t>w sprawie podziału podstawowych komórek organizacyjnych PIG</w:t>
      </w:r>
      <w:r>
        <w:rPr>
          <w:rFonts w:cs="Times New Roman"/>
          <w:bCs/>
          <w:szCs w:val="20"/>
          <w:vertAlign w:val="superscript"/>
        </w:rPr>
        <w:footnoteReference w:id="134"/>
      </w:r>
      <w:r w:rsidRPr="00AE7A5B">
        <w:rPr>
          <w:rFonts w:cs="Times New Roman"/>
          <w:bCs/>
          <w:szCs w:val="20"/>
        </w:rPr>
        <w:t xml:space="preserve">. </w:t>
      </w:r>
    </w:p>
    <w:p w:rsidR="00AE7A5B" w:rsidRPr="00AE7A5B" w:rsidP="00AE7A5B">
      <w:pPr>
        <w:spacing w:before="120" w:after="120" w:line="240" w:lineRule="auto"/>
        <w:jc w:val="left"/>
        <w:rPr>
          <w:rFonts w:cs="Times New Roman"/>
          <w:bCs/>
          <w:szCs w:val="20"/>
        </w:rPr>
      </w:pPr>
      <w:r w:rsidRPr="00AE7A5B">
        <w:rPr>
          <w:rFonts w:cs="Times New Roman"/>
          <w:bCs/>
          <w:szCs w:val="20"/>
        </w:rPr>
        <w:t xml:space="preserve">[Dowód: akta kontroli str. </w:t>
      </w:r>
      <w:r w:rsidRPr="00AE7A5B">
        <w:rPr>
          <w:rFonts w:eastAsia="Calibri"/>
          <w:szCs w:val="20"/>
        </w:rPr>
        <w:t xml:space="preserve">II/46-168, </w:t>
      </w:r>
      <w:r w:rsidRPr="00AE7A5B">
        <w:rPr>
          <w:rFonts w:cs="Times New Roman"/>
          <w:bCs/>
          <w:szCs w:val="20"/>
        </w:rPr>
        <w:t>II/399-400, II/474-483, II/485-487]</w:t>
      </w:r>
    </w:p>
    <w:p w:rsidR="00AE7A5B" w:rsidRPr="00AE7A5B" w:rsidP="00AE7A5B">
      <w:pPr>
        <w:spacing w:after="0" w:line="240" w:lineRule="auto"/>
        <w:jc w:val="left"/>
      </w:pPr>
      <w:r w:rsidRPr="00AE7A5B">
        <w:t xml:space="preserve">W okresie objętym kontrolą w PIG działała Rada Naukowa na kadencję 2017-2021, a następnie na kadencję 2021-2025. </w:t>
      </w:r>
    </w:p>
    <w:p w:rsidR="00AE7A5B" w:rsidRPr="00AE7A5B" w:rsidP="00AE7A5B">
      <w:pPr>
        <w:spacing w:before="120" w:after="120" w:line="240" w:lineRule="auto"/>
        <w:jc w:val="left"/>
        <w:rPr>
          <w:szCs w:val="20"/>
        </w:rPr>
      </w:pPr>
      <w:r w:rsidRPr="00AE7A5B">
        <w:t xml:space="preserve">Ustalono, że wybory do Rady Naukowej na kadencję 2021-2025 zostały przeprowadzone zgodnie z Regulaminem wyborów członków Rady Naukowej spośród pracowników PIG </w:t>
      </w:r>
      <w:r w:rsidRPr="00AE7A5B">
        <w:br/>
        <w:t>(na lata 2021-2025)</w:t>
      </w:r>
      <w:r>
        <w:rPr>
          <w:vertAlign w:val="superscript"/>
        </w:rPr>
        <w:footnoteReference w:id="135"/>
      </w:r>
      <w:r w:rsidRPr="00AE7A5B">
        <w:t xml:space="preserve">. </w:t>
      </w:r>
      <w:r w:rsidRPr="00AE7A5B">
        <w:rPr>
          <w:bCs/>
        </w:rPr>
        <w:t>N</w:t>
      </w:r>
      <w:r w:rsidRPr="00AE7A5B">
        <w:rPr>
          <w:szCs w:val="20"/>
        </w:rPr>
        <w:t>atomiast stwierdzono, że od 1 stycznia 2020 r. do 30 sierpnia 2020 r., skład Rady Naukowej był mniejszy o 1 pracownika nieposiadającego tytułu naukowego lub stopnia naukowego doktora habilitowanego, co było niezgodne z § 7 ust. 3 pkt 2 Statutu</w:t>
      </w:r>
      <w:r>
        <w:rPr>
          <w:rFonts w:cs="Times New Roman"/>
          <w:bCs/>
          <w:szCs w:val="20"/>
          <w:vertAlign w:val="superscript"/>
        </w:rPr>
        <w:footnoteReference w:id="136"/>
      </w:r>
      <w:r w:rsidRPr="00AE7A5B">
        <w:rPr>
          <w:szCs w:val="20"/>
        </w:rPr>
        <w:t>.</w:t>
      </w:r>
    </w:p>
    <w:p w:rsidR="00AE7A5B" w:rsidRPr="00AE7A5B" w:rsidP="00AE7A5B">
      <w:pPr>
        <w:spacing w:after="120" w:line="240" w:lineRule="auto"/>
        <w:jc w:val="left"/>
        <w:rPr>
          <w:szCs w:val="20"/>
        </w:rPr>
      </w:pPr>
      <w:r w:rsidRPr="00AE7A5B">
        <w:rPr>
          <w:rFonts w:cs="Times New Roman"/>
          <w:bCs/>
          <w:szCs w:val="20"/>
        </w:rPr>
        <w:t>Dyrektor wyjaśnił</w:t>
      </w:r>
      <w:r>
        <w:rPr>
          <w:rFonts w:cs="Times New Roman"/>
          <w:bCs/>
          <w:szCs w:val="20"/>
          <w:vertAlign w:val="superscript"/>
        </w:rPr>
        <w:footnoteReference w:id="137"/>
      </w:r>
      <w:r w:rsidRPr="00AE7A5B">
        <w:rPr>
          <w:rFonts w:cs="Times New Roman"/>
          <w:bCs/>
          <w:szCs w:val="20"/>
        </w:rPr>
        <w:t xml:space="preserve">, że </w:t>
      </w:r>
      <w:r w:rsidRPr="00AE7A5B">
        <w:rPr>
          <w:szCs w:val="20"/>
        </w:rPr>
        <w:t>wyborów nie można było przeprowadzić wcześniej z powodu sytuacji pandemicznej w kraju</w:t>
      </w:r>
      <w:r w:rsidRPr="00AE7A5B">
        <w:rPr>
          <w:rFonts w:cs="Times New Roman"/>
          <w:bCs/>
          <w:szCs w:val="20"/>
        </w:rPr>
        <w:t>.</w:t>
      </w:r>
    </w:p>
    <w:p w:rsidR="00AE7A5B" w:rsidRPr="00AE7A5B" w:rsidP="00AE7A5B">
      <w:pPr>
        <w:spacing w:after="0" w:line="240" w:lineRule="auto"/>
        <w:jc w:val="left"/>
      </w:pPr>
      <w:r w:rsidRPr="00AE7A5B">
        <w:t>Rada Naukowa przyjęła Regulamin Rady Naukowej</w:t>
      </w:r>
      <w:r>
        <w:rPr>
          <w:szCs w:val="20"/>
          <w:vertAlign w:val="superscript"/>
        </w:rPr>
        <w:footnoteReference w:id="138"/>
      </w:r>
      <w:r w:rsidRPr="00AE7A5B">
        <w:t xml:space="preserve">, co było zgodne z art. 30 ust. 9 ustawy o instytutach badawczych. Zgodnie z </w:t>
      </w:r>
      <w:r w:rsidRPr="00AE7A5B">
        <w:rPr>
          <w:szCs w:val="20"/>
        </w:rPr>
        <w:t>§ 5 ust. 1 pkt 1</w:t>
      </w:r>
      <w:r w:rsidRPr="00AE7A5B">
        <w:t xml:space="preserve"> Regulaminu Rady Naukowej dokonano w</w:t>
      </w:r>
      <w:r w:rsidRPr="00AE7A5B">
        <w:rPr>
          <w:szCs w:val="20"/>
        </w:rPr>
        <w:t>yboru przewodniczącego Rady Naukowej</w:t>
      </w:r>
      <w:r w:rsidRPr="00AE7A5B">
        <w:t>.</w:t>
      </w:r>
    </w:p>
    <w:p w:rsidR="00AE7A5B" w:rsidRPr="00AE7A5B" w:rsidP="00AE7A5B">
      <w:pPr>
        <w:spacing w:before="120" w:after="120" w:line="240" w:lineRule="auto"/>
        <w:jc w:val="left"/>
        <w:rPr>
          <w:szCs w:val="20"/>
        </w:rPr>
      </w:pPr>
      <w:r w:rsidRPr="00AE7A5B">
        <w:rPr>
          <w:szCs w:val="20"/>
        </w:rPr>
        <w:t>[Dowód: akta kontroli str. II/42-45, II/203-207, II/236-249, II/437-438, II/474-483, II/491-499]</w:t>
      </w:r>
    </w:p>
    <w:p w:rsidR="00AE7A5B" w:rsidRPr="00AE7A5B" w:rsidP="00AE7A5B">
      <w:pPr>
        <w:autoSpaceDE w:val="0"/>
        <w:autoSpaceDN w:val="0"/>
        <w:adjustRightInd w:val="0"/>
        <w:spacing w:after="0" w:line="240" w:lineRule="auto"/>
        <w:jc w:val="left"/>
        <w:rPr>
          <w:szCs w:val="20"/>
        </w:rPr>
      </w:pPr>
      <w:r w:rsidRPr="00AE7A5B">
        <w:rPr>
          <w:bCs/>
        </w:rPr>
        <w:t xml:space="preserve">W okresie objętym kontrolą wszystkie 15 protokołów z posiedzeń Rady Naukowej sporządzono zgodnie z § 14 ust. 2, 4-5 Regulaminu Rady Naukowej. </w:t>
      </w:r>
    </w:p>
    <w:p w:rsidR="00AE7A5B" w:rsidRPr="00AE7A5B" w:rsidP="00AE7A5B">
      <w:pPr>
        <w:autoSpaceDE w:val="0"/>
        <w:autoSpaceDN w:val="0"/>
        <w:adjustRightInd w:val="0"/>
        <w:spacing w:before="120" w:after="0" w:line="240" w:lineRule="auto"/>
        <w:jc w:val="left"/>
        <w:rPr>
          <w:szCs w:val="20"/>
        </w:rPr>
      </w:pPr>
      <w:r w:rsidRPr="00AE7A5B">
        <w:rPr>
          <w:szCs w:val="20"/>
        </w:rPr>
        <w:t>Ustalono, że w badanym okresie 11 podjętych przez Radę Naukową uchwał, o których mowa w art. 29 ust 2 pkt 5-6, 8-11 i 17</w:t>
      </w:r>
      <w:r w:rsidRPr="00AE7A5B">
        <w:rPr>
          <w:bCs/>
        </w:rPr>
        <w:t xml:space="preserve"> ustawy o instytutach badawczych, zostało przekazanych terminowo</w:t>
      </w:r>
      <w:r w:rsidRPr="00AE7A5B">
        <w:t xml:space="preserve"> do </w:t>
      </w:r>
      <w:r w:rsidRPr="00AE7A5B">
        <w:rPr>
          <w:bCs/>
        </w:rPr>
        <w:t>ministra nadzorującego, z wyjątkiem 1 uchwały</w:t>
      </w:r>
      <w:r>
        <w:rPr>
          <w:bCs/>
          <w:vertAlign w:val="superscript"/>
        </w:rPr>
        <w:footnoteReference w:id="139"/>
      </w:r>
      <w:r w:rsidRPr="00AE7A5B">
        <w:rPr>
          <w:szCs w:val="20"/>
        </w:rPr>
        <w:t xml:space="preserve"> przekazanej z opóźnieniem 17 miesięcy</w:t>
      </w:r>
      <w:r>
        <w:rPr>
          <w:szCs w:val="20"/>
          <w:vertAlign w:val="superscript"/>
        </w:rPr>
        <w:footnoteReference w:id="140"/>
      </w:r>
      <w:r w:rsidRPr="00AE7A5B">
        <w:rPr>
          <w:szCs w:val="20"/>
        </w:rPr>
        <w:t xml:space="preserve">. Tym samym naruszony został art. 35a ust. 1 ustawy </w:t>
      </w:r>
      <w:r w:rsidRPr="00AE7A5B">
        <w:rPr>
          <w:szCs w:val="20"/>
        </w:rPr>
        <w:br/>
        <w:t>o instytutach badawczych</w:t>
      </w:r>
      <w:r>
        <w:rPr>
          <w:szCs w:val="20"/>
          <w:vertAlign w:val="superscript"/>
        </w:rPr>
        <w:footnoteReference w:id="141"/>
      </w:r>
      <w:r w:rsidRPr="00AE7A5B">
        <w:rPr>
          <w:szCs w:val="20"/>
        </w:rPr>
        <w:t>.</w:t>
      </w:r>
    </w:p>
    <w:p w:rsidR="00AE7A5B" w:rsidRPr="00AE7A5B" w:rsidP="00AE7A5B">
      <w:pPr>
        <w:autoSpaceDE w:val="0"/>
        <w:autoSpaceDN w:val="0"/>
        <w:adjustRightInd w:val="0"/>
        <w:spacing w:before="120" w:after="120" w:line="240" w:lineRule="auto"/>
        <w:jc w:val="left"/>
        <w:rPr>
          <w:szCs w:val="20"/>
        </w:rPr>
      </w:pPr>
      <w:r w:rsidRPr="00AE7A5B">
        <w:rPr>
          <w:rFonts w:eastAsia="Calibri" w:cs="Calibri"/>
          <w:szCs w:val="20"/>
          <w:lang w:eastAsia="ar-SA"/>
        </w:rPr>
        <w:t>Dyrektor wyjaśnił</w:t>
      </w:r>
      <w:r>
        <w:rPr>
          <w:rFonts w:cs="Times New Roman"/>
          <w:bCs/>
          <w:szCs w:val="20"/>
          <w:vertAlign w:val="superscript"/>
        </w:rPr>
        <w:footnoteReference w:id="142"/>
      </w:r>
      <w:r w:rsidRPr="00AE7A5B">
        <w:rPr>
          <w:rFonts w:eastAsia="Calibri" w:cs="Calibri"/>
          <w:szCs w:val="20"/>
          <w:lang w:eastAsia="ar-SA"/>
        </w:rPr>
        <w:t>, że przekazanie uchwały nastąpiło z opóźnieniem na skutek przeoczenia pracownika obsługującego Radę Naukową.</w:t>
      </w:r>
    </w:p>
    <w:p w:rsidR="00AE7A5B" w:rsidRPr="00AE7A5B" w:rsidP="00AE7A5B">
      <w:pPr>
        <w:spacing w:after="120" w:line="240" w:lineRule="auto"/>
        <w:jc w:val="left"/>
        <w:rPr>
          <w:rFonts w:cs="Times New Roman"/>
          <w:bCs/>
          <w:szCs w:val="20"/>
        </w:rPr>
      </w:pPr>
      <w:r w:rsidRPr="00AE7A5B">
        <w:rPr>
          <w:rFonts w:cs="Times New Roman"/>
          <w:bCs/>
          <w:szCs w:val="20"/>
        </w:rPr>
        <w:t>[Dowód: akta kontroli str. II/203-207, II/387, II/397-398, II/474-483]</w:t>
      </w:r>
    </w:p>
    <w:p w:rsidR="00AE7A5B" w:rsidRPr="00AE7A5B" w:rsidP="00AE7A5B">
      <w:pPr>
        <w:spacing w:after="0" w:line="240" w:lineRule="auto"/>
        <w:jc w:val="left"/>
        <w:rPr>
          <w:szCs w:val="20"/>
        </w:rPr>
      </w:pPr>
      <w:r w:rsidRPr="00AE7A5B">
        <w:rPr>
          <w:rFonts w:cs="Times New Roman"/>
          <w:bCs/>
          <w:szCs w:val="20"/>
        </w:rPr>
        <w:t>W latach 2020-2021 Dyrektor sporządził roczne sprawozdania z wykonania zadań,  które zostały pozytywnie zaopiniowane przez Radę Naukową</w:t>
      </w:r>
      <w:r>
        <w:rPr>
          <w:szCs w:val="20"/>
          <w:vertAlign w:val="superscript"/>
        </w:rPr>
        <w:footnoteReference w:id="143"/>
      </w:r>
      <w:r w:rsidRPr="00AE7A5B">
        <w:rPr>
          <w:szCs w:val="20"/>
        </w:rPr>
        <w:t>.</w:t>
      </w:r>
    </w:p>
    <w:p w:rsidR="00AE7A5B" w:rsidRPr="00AE7A5B" w:rsidP="00AE7A5B">
      <w:pPr>
        <w:spacing w:before="120" w:after="0" w:line="240" w:lineRule="auto"/>
        <w:jc w:val="left"/>
        <w:rPr>
          <w:szCs w:val="20"/>
        </w:rPr>
      </w:pPr>
      <w:r w:rsidRPr="00AE7A5B">
        <w:rPr>
          <w:rFonts w:cs="Times New Roman"/>
          <w:bCs/>
          <w:szCs w:val="20"/>
        </w:rPr>
        <w:t>[Dowód: akta kontroli str. II/274, II/450]</w:t>
      </w:r>
    </w:p>
    <w:p w:rsidR="00AE7A5B" w:rsidRPr="00AE7A5B" w:rsidP="00AE7A5B">
      <w:pPr>
        <w:spacing w:after="0" w:line="240" w:lineRule="auto"/>
        <w:jc w:val="left"/>
        <w:rPr>
          <w:rFonts w:cs="Times New Roman"/>
          <w:bCs/>
          <w:szCs w:val="20"/>
        </w:rPr>
      </w:pPr>
    </w:p>
    <w:p w:rsidR="00AE7A5B" w:rsidRPr="00AE7A5B" w:rsidP="00AE7A5B">
      <w:pPr>
        <w:spacing w:after="0" w:line="240" w:lineRule="auto"/>
        <w:jc w:val="left"/>
        <w:rPr>
          <w:rFonts w:cs="Times New Roman"/>
          <w:b/>
          <w:szCs w:val="20"/>
        </w:rPr>
      </w:pPr>
      <w:r w:rsidRPr="00AE7A5B">
        <w:rPr>
          <w:rFonts w:cs="Times New Roman"/>
          <w:b/>
          <w:szCs w:val="20"/>
        </w:rPr>
        <w:t>b) realizacja przez Instytut podstawowych zadań określonych w art. 2 ustawy o instytutach badawczych</w:t>
      </w:r>
    </w:p>
    <w:p w:rsidR="00AE7A5B" w:rsidRPr="00AE7A5B" w:rsidP="00AE7A5B">
      <w:pPr>
        <w:spacing w:before="120" w:after="120" w:line="240" w:lineRule="auto"/>
        <w:jc w:val="left"/>
      </w:pPr>
      <w:r w:rsidRPr="00AE7A5B">
        <w:t xml:space="preserve">W latach 2020-2021 Instytut prowadził </w:t>
      </w:r>
      <w:r w:rsidRPr="00AE7A5B">
        <w:rPr>
          <w:szCs w:val="20"/>
        </w:rPr>
        <w:t xml:space="preserve">badania naukowe i prace rozwojowe m.in. </w:t>
      </w:r>
      <w:r w:rsidRPr="00AE7A5B">
        <w:rPr>
          <w:szCs w:val="20"/>
        </w:rPr>
        <w:br/>
        <w:t>w dziedzinie geologii, geofizyki, hydrogeologii, geotermii i geodynamiki.</w:t>
      </w:r>
    </w:p>
    <w:p w:rsidR="00AE7A5B" w:rsidRPr="00AE7A5B" w:rsidP="00AE7A5B">
      <w:pPr>
        <w:spacing w:after="0" w:line="240" w:lineRule="auto"/>
        <w:jc w:val="left"/>
        <w:rPr>
          <w:rFonts w:cs="Times New Roman"/>
          <w:bCs/>
          <w:szCs w:val="20"/>
        </w:rPr>
      </w:pPr>
      <w:r w:rsidRPr="00AE7A5B">
        <w:rPr>
          <w:rFonts w:cs="Times New Roman"/>
          <w:bCs/>
          <w:szCs w:val="20"/>
        </w:rPr>
        <w:t xml:space="preserve"> W okresie objętym kontrolą Instytut realizował projekty</w:t>
      </w:r>
      <w:r>
        <w:rPr>
          <w:rFonts w:cs="Times New Roman"/>
          <w:bCs/>
          <w:szCs w:val="20"/>
          <w:vertAlign w:val="superscript"/>
        </w:rPr>
        <w:footnoteReference w:id="144"/>
      </w:r>
      <w:r w:rsidRPr="00AE7A5B">
        <w:rPr>
          <w:rFonts w:cs="Times New Roman"/>
          <w:bCs/>
          <w:szCs w:val="20"/>
        </w:rPr>
        <w:t>, w tym:</w:t>
      </w:r>
    </w:p>
    <w:p w:rsidR="00AE7A5B" w:rsidRPr="00AE7A5B" w:rsidP="00AE7A5B">
      <w:pPr>
        <w:numPr>
          <w:ilvl w:val="0"/>
          <w:numId w:val="3"/>
        </w:numPr>
        <w:spacing w:after="0" w:line="240" w:lineRule="auto"/>
        <w:jc w:val="left"/>
        <w:rPr>
          <w:rFonts w:cs="Times New Roman"/>
          <w:bCs/>
          <w:szCs w:val="20"/>
        </w:rPr>
      </w:pPr>
      <w:r w:rsidRPr="00AE7A5B">
        <w:rPr>
          <w:rFonts w:cs="Times New Roman"/>
          <w:bCs/>
          <w:szCs w:val="20"/>
        </w:rPr>
        <w:t xml:space="preserve">224 projekty w 2020 r., w tym </w:t>
      </w:r>
      <w:r w:rsidRPr="00AE7A5B">
        <w:rPr>
          <w:szCs w:val="20"/>
        </w:rPr>
        <w:t>222 badawczo-rozwojowe i 2 celowe</w:t>
      </w:r>
      <w:r w:rsidRPr="00AE7A5B">
        <w:rPr>
          <w:rFonts w:cs="Times New Roman"/>
          <w:bCs/>
          <w:szCs w:val="20"/>
        </w:rPr>
        <w:t>;</w:t>
      </w:r>
    </w:p>
    <w:p w:rsidR="00AE7A5B" w:rsidRPr="00AE7A5B" w:rsidP="00AE7A5B">
      <w:pPr>
        <w:numPr>
          <w:ilvl w:val="0"/>
          <w:numId w:val="3"/>
        </w:numPr>
        <w:spacing w:after="0" w:line="240" w:lineRule="auto"/>
        <w:jc w:val="left"/>
        <w:rPr>
          <w:rFonts w:cs="Times New Roman"/>
          <w:bCs/>
          <w:szCs w:val="20"/>
        </w:rPr>
      </w:pPr>
      <w:r w:rsidRPr="00AE7A5B">
        <w:rPr>
          <w:rFonts w:cs="Times New Roman"/>
          <w:bCs/>
          <w:szCs w:val="20"/>
        </w:rPr>
        <w:t xml:space="preserve">320 projektów w 2021 r., w tym </w:t>
      </w:r>
      <w:r w:rsidRPr="00AE7A5B">
        <w:rPr>
          <w:szCs w:val="20"/>
        </w:rPr>
        <w:t>318 badawczo-rozwojowych i 2 celowe</w:t>
      </w:r>
      <w:r w:rsidRPr="00AE7A5B">
        <w:rPr>
          <w:rFonts w:cs="Times New Roman"/>
          <w:bCs/>
          <w:szCs w:val="20"/>
        </w:rPr>
        <w:t>.</w:t>
      </w:r>
    </w:p>
    <w:p w:rsidR="00AE7A5B" w:rsidRPr="00AE7A5B" w:rsidP="00AE7A5B">
      <w:pPr>
        <w:spacing w:after="0" w:line="240" w:lineRule="auto"/>
        <w:jc w:val="left"/>
        <w:rPr>
          <w:rFonts w:cs="Times New Roman"/>
          <w:bCs/>
          <w:szCs w:val="20"/>
        </w:rPr>
      </w:pPr>
      <w:r w:rsidRPr="00AE7A5B">
        <w:rPr>
          <w:rFonts w:cs="Times New Roman"/>
          <w:bCs/>
          <w:szCs w:val="20"/>
        </w:rPr>
        <w:t>Koszty ww. projektów wynosiły:</w:t>
      </w:r>
    </w:p>
    <w:p w:rsidR="00AE7A5B" w:rsidRPr="00AE7A5B" w:rsidP="00AE7A5B">
      <w:pPr>
        <w:numPr>
          <w:ilvl w:val="0"/>
          <w:numId w:val="10"/>
        </w:numPr>
        <w:spacing w:after="0" w:line="240" w:lineRule="auto"/>
        <w:jc w:val="left"/>
        <w:rPr>
          <w:rFonts w:cs="Times New Roman"/>
          <w:bCs/>
          <w:szCs w:val="20"/>
        </w:rPr>
      </w:pPr>
      <w:r w:rsidRPr="00AE7A5B">
        <w:rPr>
          <w:rFonts w:cs="Times New Roman"/>
          <w:bCs/>
          <w:szCs w:val="20"/>
        </w:rPr>
        <w:t>w 2020 r. 9 367 tys. zł, z tego 5 954 tys. zł przypadło na projekty badawczo-rozwojowe, a 3 413 tys. zł na projekty celowe;</w:t>
      </w:r>
    </w:p>
    <w:p w:rsidR="00AE7A5B" w:rsidRPr="00AE7A5B" w:rsidP="00AE7A5B">
      <w:pPr>
        <w:numPr>
          <w:ilvl w:val="0"/>
          <w:numId w:val="10"/>
        </w:numPr>
        <w:spacing w:after="120" w:line="240" w:lineRule="auto"/>
        <w:ind w:left="357" w:hanging="357"/>
        <w:jc w:val="left"/>
        <w:rPr>
          <w:rFonts w:cs="Times New Roman"/>
          <w:bCs/>
          <w:szCs w:val="20"/>
        </w:rPr>
      </w:pPr>
      <w:r w:rsidRPr="00AE7A5B">
        <w:rPr>
          <w:rFonts w:cs="Times New Roman"/>
          <w:bCs/>
          <w:szCs w:val="20"/>
        </w:rPr>
        <w:t>w 2021 r. 18 129 tys. zł, z tego 16 170 tys. zł przypadło na projekty badawczo-rozwojowe, a 1 960 tys. zł na projekty celowe.</w:t>
      </w:r>
    </w:p>
    <w:p w:rsidR="00AE7A5B" w:rsidRPr="00AE7A5B" w:rsidP="00AE7A5B">
      <w:pPr>
        <w:spacing w:after="120" w:line="240" w:lineRule="auto"/>
        <w:jc w:val="left"/>
        <w:rPr>
          <w:szCs w:val="20"/>
        </w:rPr>
      </w:pPr>
      <w:r w:rsidRPr="00AE7A5B">
        <w:rPr>
          <w:szCs w:val="20"/>
        </w:rPr>
        <w:t>Głównym źródłem finansowania projektów badawczych w latach 2020-2021 były środki zagraniczne</w:t>
      </w:r>
      <w:r>
        <w:rPr>
          <w:szCs w:val="20"/>
          <w:vertAlign w:val="superscript"/>
        </w:rPr>
        <w:footnoteReference w:id="145"/>
      </w:r>
      <w:r w:rsidRPr="00AE7A5B">
        <w:rPr>
          <w:szCs w:val="20"/>
        </w:rPr>
        <w:t xml:space="preserve"> odpowiednio w wysokości 247 tys. zł i 2 276 tys. zł oraz środki krajowe</w:t>
      </w:r>
      <w:r>
        <w:rPr>
          <w:szCs w:val="20"/>
          <w:vertAlign w:val="superscript"/>
        </w:rPr>
        <w:footnoteReference w:id="146"/>
      </w:r>
      <w:r w:rsidRPr="00AE7A5B">
        <w:rPr>
          <w:szCs w:val="20"/>
        </w:rPr>
        <w:t xml:space="preserve"> odpowiednio w wysokości 9 139 tys. zł i 9 468 tys. zł.</w:t>
      </w:r>
    </w:p>
    <w:p w:rsidR="00AE7A5B" w:rsidRPr="00AE7A5B" w:rsidP="00AE7A5B">
      <w:pPr>
        <w:spacing w:after="120" w:line="240" w:lineRule="auto"/>
        <w:jc w:val="left"/>
        <w:rPr>
          <w:szCs w:val="20"/>
        </w:rPr>
      </w:pPr>
      <w:r w:rsidRPr="00AE7A5B">
        <w:rPr>
          <w:szCs w:val="20"/>
        </w:rPr>
        <w:t xml:space="preserve">Projekty realizowane były w ramach działalności statutowej, programów krajowych </w:t>
      </w:r>
      <w:r w:rsidRPr="00AE7A5B">
        <w:rPr>
          <w:szCs w:val="20"/>
        </w:rPr>
        <w:br/>
        <w:t xml:space="preserve">i zagranicznych oraz działalności komercyjnej. </w:t>
      </w:r>
    </w:p>
    <w:p w:rsidR="00AE7A5B" w:rsidRPr="00AE7A5B" w:rsidP="00AE7A5B">
      <w:pPr>
        <w:autoSpaceDE w:val="0"/>
        <w:autoSpaceDN w:val="0"/>
        <w:adjustRightInd w:val="0"/>
        <w:spacing w:after="120" w:line="240" w:lineRule="auto"/>
        <w:jc w:val="left"/>
        <w:rPr>
          <w:szCs w:val="20"/>
        </w:rPr>
      </w:pPr>
      <w:r w:rsidRPr="00AE7A5B">
        <w:rPr>
          <w:szCs w:val="20"/>
        </w:rPr>
        <w:t>[Dowód: akta kontroli str. II/401-406, II/417, II/488-490]</w:t>
      </w:r>
    </w:p>
    <w:p w:rsidR="00AE7A5B" w:rsidRPr="00AE7A5B" w:rsidP="00AE7A5B">
      <w:pPr>
        <w:spacing w:after="120" w:line="240" w:lineRule="auto"/>
        <w:jc w:val="left"/>
        <w:rPr>
          <w:rFonts w:cs="Times New Roman"/>
          <w:bCs/>
          <w:szCs w:val="20"/>
        </w:rPr>
      </w:pPr>
      <w:r w:rsidRPr="00AE7A5B">
        <w:rPr>
          <w:bCs/>
          <w:szCs w:val="20"/>
        </w:rPr>
        <w:t xml:space="preserve">W okresie objętym kontrolą w PIG obowiązywały następujące dokumenty, spełniające </w:t>
      </w:r>
      <w:r w:rsidRPr="00AE7A5B">
        <w:rPr>
          <w:bCs/>
          <w:szCs w:val="20"/>
        </w:rPr>
        <w:br/>
        <w:t xml:space="preserve">m.in. funkcję perspektywicznych kierunków działalności naukowej, rozwojowej </w:t>
      </w:r>
      <w:r w:rsidRPr="00AE7A5B">
        <w:rPr>
          <w:bCs/>
          <w:szCs w:val="20"/>
        </w:rPr>
        <w:br/>
        <w:t xml:space="preserve">i wdrożeniowej  zgodnie z </w:t>
      </w:r>
      <w:r w:rsidRPr="00AE7A5B">
        <w:rPr>
          <w:szCs w:val="20"/>
        </w:rPr>
        <w:t>art. 29 ust. 2 pkt 6</w:t>
      </w:r>
      <w:r w:rsidRPr="00AE7A5B">
        <w:rPr>
          <w:bCs/>
          <w:szCs w:val="20"/>
        </w:rPr>
        <w:t xml:space="preserve"> ustawy o instytutach badawczych</w:t>
      </w:r>
      <w:r w:rsidRPr="00AE7A5B">
        <w:rPr>
          <w:szCs w:val="20"/>
        </w:rPr>
        <w:t>:</w:t>
      </w:r>
      <w:r w:rsidRPr="00AE7A5B">
        <w:rPr>
          <w:bCs/>
          <w:szCs w:val="20"/>
        </w:rPr>
        <w:t xml:space="preserve"> </w:t>
      </w:r>
      <w:r w:rsidRPr="00AE7A5B">
        <w:rPr>
          <w:rFonts w:cs="Times New Roman"/>
          <w:bCs/>
          <w:szCs w:val="20"/>
        </w:rPr>
        <w:t>Strategia 2020-2021 PIG, Strategia rozwoju PIG do roku 2026 z perspektywą do roku 2030, zatwierdzone przez Radę Naukową PIG.</w:t>
      </w:r>
      <w:r>
        <w:rPr>
          <w:rFonts w:cs="Times New Roman"/>
          <w:bCs/>
          <w:szCs w:val="20"/>
          <w:vertAlign w:val="superscript"/>
        </w:rPr>
        <w:footnoteReference w:id="147"/>
      </w:r>
    </w:p>
    <w:p w:rsidR="00AE7A5B" w:rsidRPr="00AE7A5B" w:rsidP="00AE7A5B">
      <w:pPr>
        <w:autoSpaceDE w:val="0"/>
        <w:autoSpaceDN w:val="0"/>
        <w:adjustRightInd w:val="0"/>
        <w:spacing w:after="120" w:line="240" w:lineRule="auto"/>
        <w:jc w:val="left"/>
        <w:rPr>
          <w:szCs w:val="20"/>
        </w:rPr>
      </w:pPr>
      <w:r w:rsidRPr="00AE7A5B">
        <w:rPr>
          <w:szCs w:val="20"/>
        </w:rPr>
        <w:t xml:space="preserve">W 2020 r. jako cel strategiczny wyznaczono odzyskanie pełnego potencjału naukowo-badawczego i sprawności funkcjonowania oraz pozycji instytucji wyznaczającej standardy w polskiej geologii. Wyznaczono również 8 obszarów działania oraz cele do ich realizacji. </w:t>
      </w:r>
      <w:r w:rsidRPr="00AE7A5B">
        <w:rPr>
          <w:szCs w:val="20"/>
        </w:rPr>
        <w:br/>
        <w:t>W każdym z obszarów wyznaczone zostały cele strategiczne, kierunki działań oraz kluczowe zadania realizowane w latach 2020-2021. W ramach działalności naukowej wyznaczone zostały 4 cele strategiczne oraz wskazane kluczowe zadania.</w:t>
      </w:r>
    </w:p>
    <w:p w:rsidR="00AE7A5B" w:rsidRPr="00AE7A5B" w:rsidP="00AE7A5B">
      <w:pPr>
        <w:spacing w:after="120" w:line="240" w:lineRule="auto"/>
        <w:jc w:val="left"/>
        <w:rPr>
          <w:szCs w:val="20"/>
        </w:rPr>
      </w:pPr>
      <w:r w:rsidRPr="00AE7A5B">
        <w:rPr>
          <w:szCs w:val="20"/>
        </w:rPr>
        <w:t>W 2021 r. jako cel główny określono</w:t>
      </w:r>
      <w:r w:rsidRPr="00AE7A5B">
        <w:rPr>
          <w:szCs w:val="20"/>
        </w:rPr>
        <w:t xml:space="preserve"> </w:t>
      </w:r>
      <w:r w:rsidRPr="00AE7A5B">
        <w:rPr>
          <w:rFonts w:cs="Jost"/>
          <w:bCs/>
          <w:szCs w:val="20"/>
        </w:rPr>
        <w:t xml:space="preserve">wsparcie dla pozyskania nowych źródeł energii </w:t>
      </w:r>
      <w:r w:rsidRPr="00AE7A5B">
        <w:rPr>
          <w:rFonts w:cs="Jost"/>
          <w:bCs/>
          <w:szCs w:val="20"/>
        </w:rPr>
        <w:br/>
        <w:t>i surowców do transformacji energetycznej w celu realizacji założeń zrównoważonego rozwoju</w:t>
      </w:r>
      <w:r w:rsidRPr="00AE7A5B">
        <w:rPr>
          <w:szCs w:val="20"/>
        </w:rPr>
        <w:t xml:space="preserve"> oraz główne pola działań: energię, surowce i środowisko. Wokół nich określono </w:t>
      </w:r>
      <w:r w:rsidRPr="00AE7A5B">
        <w:rPr>
          <w:szCs w:val="20"/>
        </w:rPr>
        <w:br/>
        <w:t>5 celów strategicznych, opisano 14 obszarów działania Instytutu i zdefiniowano w ich ramach 39 celów szczegółowych, wspierających wdrażanie celów strategicznych.</w:t>
      </w:r>
    </w:p>
    <w:p w:rsidR="00AE7A5B" w:rsidRPr="00AE7A5B" w:rsidP="00AE7A5B">
      <w:pPr>
        <w:spacing w:after="0" w:line="240" w:lineRule="auto"/>
        <w:jc w:val="left"/>
        <w:rPr>
          <w:szCs w:val="20"/>
        </w:rPr>
      </w:pPr>
      <w:r w:rsidRPr="00AE7A5B">
        <w:rPr>
          <w:bCs/>
          <w:szCs w:val="20"/>
        </w:rPr>
        <w:t>W okresie podlegającym kontroli nie sporządzono kierunkowych planów tematycznych badań naukowych i prac rozwojowych, zgodnie z art. 29 ust. 2 pkt 5 ustawy o instytutach badawczych.</w:t>
      </w:r>
      <w:r w:rsidRPr="00AE7A5B">
        <w:rPr>
          <w:szCs w:val="20"/>
        </w:rPr>
        <w:t xml:space="preserve"> </w:t>
      </w:r>
    </w:p>
    <w:p w:rsidR="00AE7A5B" w:rsidRPr="00AE7A5B" w:rsidP="00AE7A5B">
      <w:pPr>
        <w:autoSpaceDE w:val="0"/>
        <w:autoSpaceDN w:val="0"/>
        <w:adjustRightInd w:val="0"/>
        <w:spacing w:before="120" w:after="120" w:line="240" w:lineRule="auto"/>
        <w:jc w:val="left"/>
        <w:rPr>
          <w:rFonts w:cs="Arial-ItalicMT"/>
          <w:iCs/>
          <w:szCs w:val="20"/>
        </w:rPr>
      </w:pPr>
      <w:r w:rsidRPr="00AE7A5B">
        <w:rPr>
          <w:rFonts w:cs="Times New Roman"/>
          <w:szCs w:val="20"/>
        </w:rPr>
        <w:t>Dyrektor wyjaśnił</w:t>
      </w:r>
      <w:r>
        <w:rPr>
          <w:rFonts w:cs="Times New Roman"/>
          <w:szCs w:val="20"/>
          <w:vertAlign w:val="superscript"/>
        </w:rPr>
        <w:footnoteReference w:id="148"/>
      </w:r>
      <w:r w:rsidRPr="00AE7A5B">
        <w:rPr>
          <w:rFonts w:cs="Times New Roman"/>
          <w:szCs w:val="20"/>
        </w:rPr>
        <w:t xml:space="preserve">, że </w:t>
      </w:r>
      <w:r w:rsidRPr="00AE7A5B">
        <w:rPr>
          <w:rFonts w:cs="Arial-ItalicMT"/>
          <w:iCs/>
          <w:szCs w:val="20"/>
        </w:rPr>
        <w:t>opracowane zostały perspektywiczne kierunki działalności naukowej, rozwojowej i wdrożeniowej, które zawierały w swej treści zagadnienia pokrywające się z planami tematycznymi, dlatego by nie dublować procedowania poszczególnych zagadnień, opracowano i przekazano Radzie Naukowej jeden dokument.</w:t>
      </w:r>
    </w:p>
    <w:p w:rsidR="00AE7A5B" w:rsidRPr="00AE7A5B" w:rsidP="00AE7A5B">
      <w:pPr>
        <w:spacing w:before="120" w:after="120" w:line="240" w:lineRule="auto"/>
        <w:jc w:val="left"/>
        <w:rPr>
          <w:szCs w:val="20"/>
        </w:rPr>
      </w:pPr>
      <w:r w:rsidRPr="00AE7A5B">
        <w:rPr>
          <w:szCs w:val="20"/>
        </w:rPr>
        <w:t>[Dowód: akta kontroli str. II/308-311, II/474-483, II/488-490]</w:t>
      </w:r>
    </w:p>
    <w:p w:rsidR="00AE7A5B" w:rsidRPr="00AE7A5B" w:rsidP="00AE7A5B">
      <w:pPr>
        <w:autoSpaceDE w:val="0"/>
        <w:autoSpaceDN w:val="0"/>
        <w:adjustRightInd w:val="0"/>
        <w:spacing w:after="120" w:line="240" w:lineRule="auto"/>
        <w:jc w:val="left"/>
        <w:rPr>
          <w:rFonts w:eastAsia="Times New Roman" w:cs="Times New Roman"/>
          <w:szCs w:val="20"/>
          <w:lang w:eastAsia="pl-PL"/>
        </w:rPr>
      </w:pPr>
      <w:r w:rsidRPr="00AE7A5B">
        <w:rPr>
          <w:rFonts w:eastAsia="Times New Roman" w:cs="Times New Roman"/>
          <w:szCs w:val="20"/>
          <w:lang w:eastAsia="pl-PL"/>
        </w:rPr>
        <w:t>W latach 2020-2021 Instytut nie zgłosił żadnego patentu, nie dokonał wdrożeń oraz nie uzyskał żadnych praw ochronnych na wzory użytkowe, praw z rejestracji wzorów przemysłowych i praw autorskich.</w:t>
      </w:r>
    </w:p>
    <w:p w:rsidR="00AE7A5B" w:rsidRPr="00AE7A5B" w:rsidP="00AE7A5B">
      <w:pPr>
        <w:spacing w:before="120" w:after="120" w:line="240" w:lineRule="auto"/>
        <w:jc w:val="left"/>
        <w:rPr>
          <w:rFonts w:eastAsia="Times New Roman" w:cs="Times New Roman"/>
          <w:szCs w:val="20"/>
          <w:lang w:eastAsia="pl-PL"/>
        </w:rPr>
      </w:pPr>
      <w:r w:rsidRPr="00AE7A5B">
        <w:rPr>
          <w:rFonts w:eastAsia="Times New Roman" w:cs="Times New Roman"/>
          <w:szCs w:val="20"/>
          <w:lang w:eastAsia="pl-PL"/>
        </w:rPr>
        <w:t>[Dowód: akta kontroli str. II/406, II/408, II/488-490]</w:t>
      </w:r>
    </w:p>
    <w:p w:rsidR="00AE7A5B" w:rsidRPr="00AE7A5B" w:rsidP="00AE7A5B">
      <w:pPr>
        <w:spacing w:before="120" w:after="120" w:line="240" w:lineRule="auto"/>
        <w:jc w:val="left"/>
        <w:rPr>
          <w:rFonts w:eastAsia="Times New Roman" w:cs="Times New Roman"/>
          <w:szCs w:val="20"/>
          <w:lang w:eastAsia="pl-PL"/>
        </w:rPr>
      </w:pPr>
      <w:r w:rsidRPr="00AE7A5B">
        <w:rPr>
          <w:rFonts w:eastAsia="Times New Roman" w:cs="Times New Roman"/>
          <w:szCs w:val="20"/>
          <w:lang w:eastAsia="pl-PL"/>
        </w:rPr>
        <w:t>Ustalono, że nastąpił wzrost o 19 % liczby publikacji naukowych pracowników PIG</w:t>
      </w:r>
      <w:r>
        <w:rPr>
          <w:rFonts w:eastAsia="Times New Roman" w:cs="Times New Roman"/>
          <w:szCs w:val="20"/>
          <w:vertAlign w:val="superscript"/>
          <w:lang w:eastAsia="pl-PL"/>
        </w:rPr>
        <w:footnoteReference w:id="149"/>
      </w:r>
      <w:r w:rsidRPr="00AE7A5B">
        <w:rPr>
          <w:rFonts w:eastAsia="Times New Roman" w:cs="Times New Roman"/>
          <w:szCs w:val="20"/>
          <w:lang w:eastAsia="pl-PL"/>
        </w:rPr>
        <w:t xml:space="preserve"> </w:t>
      </w:r>
      <w:r w:rsidRPr="00AE7A5B">
        <w:rPr>
          <w:rFonts w:eastAsia="Times New Roman" w:cs="Times New Roman"/>
          <w:szCs w:val="20"/>
          <w:lang w:eastAsia="pl-PL"/>
        </w:rPr>
        <w:br/>
        <w:t xml:space="preserve">i o 26% </w:t>
      </w:r>
      <w:r w:rsidRPr="00AE7A5B">
        <w:rPr>
          <w:rFonts w:eastAsia="Times New Roman" w:cs="Times New Roman"/>
          <w:szCs w:val="20"/>
          <w:lang w:eastAsia="pl-PL"/>
        </w:rPr>
        <w:t>cytowań</w:t>
      </w:r>
      <w:r w:rsidRPr="00AE7A5B">
        <w:rPr>
          <w:rFonts w:eastAsia="Times New Roman" w:cs="Times New Roman"/>
          <w:szCs w:val="20"/>
          <w:lang w:eastAsia="pl-PL"/>
        </w:rPr>
        <w:t xml:space="preserve"> publikacji</w:t>
      </w:r>
      <w:r>
        <w:rPr>
          <w:rFonts w:eastAsia="Times New Roman" w:cs="Times New Roman"/>
          <w:szCs w:val="20"/>
          <w:vertAlign w:val="superscript"/>
          <w:lang w:eastAsia="pl-PL"/>
        </w:rPr>
        <w:footnoteReference w:id="150"/>
      </w:r>
      <w:r w:rsidRPr="00AE7A5B">
        <w:rPr>
          <w:rFonts w:eastAsia="Times New Roman" w:cs="Times New Roman"/>
          <w:szCs w:val="20"/>
          <w:lang w:eastAsia="pl-PL"/>
        </w:rPr>
        <w:t xml:space="preserve">. </w:t>
      </w:r>
    </w:p>
    <w:p w:rsidR="00AE7A5B" w:rsidRPr="00AE7A5B" w:rsidP="00AE7A5B">
      <w:pPr>
        <w:spacing w:before="120" w:after="120" w:line="240" w:lineRule="auto"/>
        <w:jc w:val="left"/>
        <w:rPr>
          <w:bCs/>
          <w:szCs w:val="20"/>
        </w:rPr>
      </w:pPr>
      <w:r w:rsidRPr="00AE7A5B">
        <w:rPr>
          <w:rFonts w:eastAsia="Times New Roman" w:cs="Times New Roman"/>
          <w:szCs w:val="20"/>
          <w:lang w:eastAsia="pl-PL"/>
        </w:rPr>
        <w:t>[Dowód: akta kontroli str. II/307, II/401, II/415, II/488-490]</w:t>
      </w:r>
    </w:p>
    <w:p w:rsidR="00AE7A5B" w:rsidRPr="00AE7A5B" w:rsidP="00AE7A5B">
      <w:pPr>
        <w:spacing w:after="0" w:line="240" w:lineRule="auto"/>
        <w:jc w:val="left"/>
        <w:rPr>
          <w:rFonts w:cs="Times New Roman"/>
          <w:bCs/>
          <w:szCs w:val="20"/>
        </w:rPr>
      </w:pPr>
      <w:r w:rsidRPr="00AE7A5B">
        <w:rPr>
          <w:rFonts w:cs="Times New Roman"/>
          <w:bCs/>
          <w:szCs w:val="20"/>
        </w:rPr>
        <w:t>W okresie objętym kontrolą</w:t>
      </w:r>
      <w:r w:rsidRPr="00AE7A5B">
        <w:rPr>
          <w:rFonts w:eastAsia="Times New Roman" w:cs="Times New Roman"/>
          <w:szCs w:val="20"/>
          <w:lang w:eastAsia="pl-PL"/>
        </w:rPr>
        <w:t xml:space="preserve"> </w:t>
      </w:r>
      <w:r w:rsidRPr="00AE7A5B">
        <w:rPr>
          <w:rFonts w:cs="Times New Roman"/>
          <w:bCs/>
          <w:szCs w:val="20"/>
        </w:rPr>
        <w:t xml:space="preserve">Instytut nie prowadził studiów podyplomowych </w:t>
      </w:r>
      <w:r w:rsidRPr="00AE7A5B">
        <w:rPr>
          <w:rFonts w:cs="Times New Roman"/>
          <w:bCs/>
          <w:szCs w:val="20"/>
        </w:rPr>
        <w:br/>
        <w:t xml:space="preserve">i doktoranckich. </w:t>
      </w:r>
    </w:p>
    <w:p w:rsidR="00AE7A5B" w:rsidRPr="00AE7A5B" w:rsidP="00AE7A5B">
      <w:pPr>
        <w:spacing w:before="120" w:after="120" w:line="240" w:lineRule="auto"/>
        <w:jc w:val="left"/>
        <w:rPr>
          <w:rFonts w:cs="Times New Roman"/>
          <w:bCs/>
          <w:szCs w:val="20"/>
        </w:rPr>
      </w:pPr>
      <w:r w:rsidRPr="00AE7A5B">
        <w:rPr>
          <w:rFonts w:cs="Times New Roman"/>
          <w:bCs/>
          <w:szCs w:val="20"/>
        </w:rPr>
        <w:t>Zastępca Dyrektora ds. Badań i Rozwoju wyjaśnił</w:t>
      </w:r>
      <w:r>
        <w:rPr>
          <w:rFonts w:cs="Times New Roman"/>
          <w:bCs/>
          <w:szCs w:val="20"/>
          <w:vertAlign w:val="superscript"/>
        </w:rPr>
        <w:footnoteReference w:id="151"/>
      </w:r>
      <w:r w:rsidRPr="00AE7A5B">
        <w:rPr>
          <w:rFonts w:cs="Times New Roman"/>
          <w:bCs/>
          <w:szCs w:val="20"/>
        </w:rPr>
        <w:t xml:space="preserve">, że warunkiem prowadzenia szkoły doktorskiej było posiadanie kategorii naukowej nie niższej niż B+ w co najmniej </w:t>
      </w:r>
      <w:r w:rsidRPr="00AE7A5B">
        <w:rPr>
          <w:rFonts w:cs="Times New Roman"/>
          <w:bCs/>
          <w:szCs w:val="20"/>
        </w:rPr>
        <w:br/>
        <w:t>2 dyscyplinach. Natomiast instytut posiadał ten poziom kategorii w jednej dyscyplinie. Planowano natomiast współprowadzenie szkoły doktorskiej.</w:t>
      </w:r>
    </w:p>
    <w:p w:rsidR="00AE7A5B" w:rsidRPr="00AE7A5B" w:rsidP="00AE7A5B">
      <w:pPr>
        <w:spacing w:before="120" w:after="120" w:line="240" w:lineRule="auto"/>
        <w:jc w:val="left"/>
        <w:rPr>
          <w:rFonts w:cs="Times New Roman"/>
          <w:bCs/>
          <w:szCs w:val="20"/>
        </w:rPr>
      </w:pPr>
      <w:r w:rsidRPr="00AE7A5B">
        <w:rPr>
          <w:rFonts w:eastAsia="Calibri"/>
          <w:szCs w:val="20"/>
        </w:rPr>
        <w:t>[Dowód: akta kontroli str.</w:t>
      </w:r>
      <w:r w:rsidRPr="00AE7A5B">
        <w:rPr>
          <w:rFonts w:eastAsia="Calibri"/>
          <w:szCs w:val="20"/>
          <w:lang w:eastAsia="ar-SA"/>
        </w:rPr>
        <w:t xml:space="preserve"> </w:t>
      </w:r>
      <w:r w:rsidRPr="00AE7A5B">
        <w:rPr>
          <w:szCs w:val="20"/>
        </w:rPr>
        <w:t>II/369, II/232, II/410-411</w:t>
      </w:r>
      <w:r w:rsidRPr="00AE7A5B">
        <w:rPr>
          <w:rFonts w:eastAsia="Calibri"/>
          <w:szCs w:val="20"/>
        </w:rPr>
        <w:t>]</w:t>
      </w:r>
    </w:p>
    <w:p w:rsidR="00AE7A5B" w:rsidRPr="00AE7A5B" w:rsidP="00AE7A5B">
      <w:pPr>
        <w:spacing w:after="120" w:line="240" w:lineRule="auto"/>
        <w:jc w:val="left"/>
        <w:rPr>
          <w:rFonts w:cs="Times New Roman"/>
          <w:bCs/>
          <w:szCs w:val="20"/>
        </w:rPr>
      </w:pPr>
      <w:r w:rsidRPr="00AE7A5B">
        <w:rPr>
          <w:rFonts w:cs="Times New Roman"/>
          <w:bCs/>
          <w:szCs w:val="20"/>
        </w:rPr>
        <w:t>W okresie objętym kontrolą Rada Naukowa nadała 9 stopni doktora</w:t>
      </w:r>
      <w:r>
        <w:rPr>
          <w:rFonts w:cs="Times New Roman"/>
          <w:bCs/>
          <w:szCs w:val="20"/>
          <w:vertAlign w:val="superscript"/>
        </w:rPr>
        <w:footnoteReference w:id="152"/>
      </w:r>
      <w:r w:rsidRPr="00AE7A5B">
        <w:rPr>
          <w:rFonts w:cs="Times New Roman"/>
          <w:bCs/>
          <w:szCs w:val="20"/>
        </w:rPr>
        <w:t xml:space="preserve"> oraz 4 stopnie doktora habilitowanego</w:t>
      </w:r>
      <w:r>
        <w:rPr>
          <w:rFonts w:cs="Times New Roman"/>
          <w:bCs/>
          <w:szCs w:val="20"/>
          <w:vertAlign w:val="superscript"/>
        </w:rPr>
        <w:footnoteReference w:id="153"/>
      </w:r>
      <w:r w:rsidRPr="00AE7A5B">
        <w:rPr>
          <w:rFonts w:cs="Times New Roman"/>
          <w:bCs/>
          <w:szCs w:val="20"/>
        </w:rPr>
        <w:t>.</w:t>
      </w:r>
    </w:p>
    <w:p w:rsidR="00AE7A5B" w:rsidRPr="00AE7A5B" w:rsidP="00AE7A5B">
      <w:pPr>
        <w:spacing w:after="120" w:line="240" w:lineRule="auto"/>
        <w:jc w:val="left"/>
        <w:rPr>
          <w:rFonts w:cs="Times New Roman"/>
          <w:bCs/>
          <w:szCs w:val="20"/>
        </w:rPr>
      </w:pPr>
      <w:r w:rsidRPr="00AE7A5B">
        <w:rPr>
          <w:rFonts w:eastAsia="Calibri"/>
          <w:szCs w:val="20"/>
        </w:rPr>
        <w:t>[Dowód: akta kontroli str.</w:t>
      </w:r>
      <w:r w:rsidRPr="00AE7A5B">
        <w:rPr>
          <w:szCs w:val="20"/>
          <w:lang w:eastAsia="ar-SA"/>
        </w:rPr>
        <w:t xml:space="preserve"> II/232, II/439-440]</w:t>
      </w:r>
    </w:p>
    <w:p w:rsidR="00AE7A5B" w:rsidRPr="00AE7A5B" w:rsidP="00AE7A5B">
      <w:pPr>
        <w:spacing w:after="0" w:line="240" w:lineRule="auto"/>
        <w:ind w:left="142" w:hanging="142"/>
        <w:jc w:val="left"/>
        <w:rPr>
          <w:rFonts w:cs="Times New Roman"/>
          <w:b/>
          <w:szCs w:val="20"/>
        </w:rPr>
      </w:pPr>
      <w:r w:rsidRPr="00AE7A5B">
        <w:rPr>
          <w:rFonts w:cs="Times New Roman"/>
          <w:b/>
          <w:szCs w:val="20"/>
        </w:rPr>
        <w:t xml:space="preserve">c) ocena poziomu naukowego Instytutu i jakości prowadzonych w nim badań naukowych </w:t>
      </w:r>
      <w:r w:rsidRPr="00AE7A5B">
        <w:rPr>
          <w:rFonts w:cs="Times New Roman"/>
          <w:b/>
          <w:szCs w:val="20"/>
        </w:rPr>
        <w:br/>
        <w:t>i prac rozwojowych oraz zgodności działalności Instytutu z zadaniami podstawowymi</w:t>
      </w:r>
    </w:p>
    <w:p w:rsidR="00AE7A5B" w:rsidRPr="00AE7A5B" w:rsidP="00AE7A5B">
      <w:pPr>
        <w:spacing w:before="120" w:after="120" w:line="240" w:lineRule="auto"/>
        <w:jc w:val="left"/>
      </w:pPr>
      <w:r w:rsidRPr="00AE7A5B">
        <w:rPr>
          <w:rFonts w:cs="Times New Roman"/>
          <w:bCs/>
          <w:szCs w:val="20"/>
        </w:rPr>
        <w:t xml:space="preserve">Ocena parametryczna Instytutu za lata 2017-2021 została przyznana </w:t>
      </w:r>
      <w:r w:rsidRPr="00AE7A5B">
        <w:rPr>
          <w:rFonts w:cs="Times New Roman"/>
          <w:bCs/>
          <w:szCs w:val="20"/>
          <w:lang w:bidi="pl-PL"/>
        </w:rPr>
        <w:t>29 lipca 2022 r. przez Ministra Edukacji i Nauki</w:t>
      </w:r>
      <w:r>
        <w:rPr>
          <w:rFonts w:cs="Times New Roman"/>
          <w:bCs/>
          <w:szCs w:val="20"/>
          <w:vertAlign w:val="superscript"/>
          <w:lang w:bidi="pl-PL"/>
        </w:rPr>
        <w:footnoteReference w:id="154"/>
      </w:r>
      <w:r w:rsidRPr="00AE7A5B">
        <w:rPr>
          <w:rFonts w:cs="Times New Roman"/>
          <w:bCs/>
          <w:szCs w:val="20"/>
          <w:lang w:bidi="pl-PL"/>
        </w:rPr>
        <w:t xml:space="preserve"> na poziomie „B+”. </w:t>
      </w:r>
      <w:r w:rsidRPr="00AE7A5B">
        <w:t>Tym samym wzrosła ocena parametryczna Instytutu w porównaniu do poprzedniej, która była na poziomie „B”</w:t>
      </w:r>
      <w:r>
        <w:rPr>
          <w:vertAlign w:val="superscript"/>
        </w:rPr>
        <w:footnoteReference w:id="155"/>
      </w:r>
      <w:r w:rsidRPr="00AE7A5B">
        <w:t xml:space="preserve">. </w:t>
      </w:r>
    </w:p>
    <w:p w:rsidR="00AE7A5B" w:rsidRPr="00AE7A5B" w:rsidP="00AE7A5B">
      <w:pPr>
        <w:spacing w:after="120" w:line="240" w:lineRule="auto"/>
        <w:jc w:val="left"/>
        <w:rPr>
          <w:rFonts w:cs="Times New Roman"/>
          <w:bCs/>
          <w:szCs w:val="20"/>
          <w:lang w:bidi="pl-PL"/>
        </w:rPr>
      </w:pPr>
      <w:r w:rsidRPr="00AE7A5B">
        <w:rPr>
          <w:rFonts w:eastAsia="Calibri"/>
          <w:szCs w:val="20"/>
        </w:rPr>
        <w:t>[Dowód: akta kontroli str. II/235,</w:t>
      </w:r>
      <w:r w:rsidRPr="00AE7A5B">
        <w:rPr>
          <w:szCs w:val="20"/>
          <w:lang w:eastAsia="ar-SA"/>
        </w:rPr>
        <w:t xml:space="preserve"> II/441-456]</w:t>
      </w:r>
    </w:p>
    <w:p w:rsidR="00AE7A5B" w:rsidRPr="00AE7A5B" w:rsidP="00AE7A5B">
      <w:pPr>
        <w:spacing w:after="0" w:line="240" w:lineRule="auto"/>
        <w:jc w:val="left"/>
        <w:rPr>
          <w:rFonts w:cs="Times New Roman"/>
          <w:b/>
          <w:szCs w:val="20"/>
        </w:rPr>
      </w:pPr>
      <w:r w:rsidRPr="00AE7A5B">
        <w:rPr>
          <w:rFonts w:cs="Times New Roman"/>
          <w:b/>
          <w:szCs w:val="20"/>
        </w:rPr>
        <w:t>d) prawa autorskie</w:t>
      </w:r>
    </w:p>
    <w:p w:rsidR="00AE7A5B" w:rsidRPr="00AE7A5B" w:rsidP="00AE7A5B">
      <w:pPr>
        <w:spacing w:before="120" w:after="120" w:line="240" w:lineRule="auto"/>
        <w:jc w:val="left"/>
        <w:rPr>
          <w:rFonts w:cs="Times New Roman"/>
          <w:szCs w:val="20"/>
          <w:lang w:bidi="pl-PL"/>
        </w:rPr>
      </w:pPr>
      <w:r w:rsidRPr="00AE7A5B">
        <w:t xml:space="preserve">W okresie objętym kontrolą w Instytucie obowiązywał </w:t>
      </w:r>
      <w:r w:rsidRPr="00AE7A5B">
        <w:rPr>
          <w:rFonts w:cs="Times New Roman"/>
          <w:szCs w:val="20"/>
        </w:rPr>
        <w:t>Regulamin zarządzania prawami autorskimi i prawami własności przemysłowej oraz zasad komercjalizacji wyników badań naukowych i prac rozwojowych w PIG</w:t>
      </w:r>
      <w:r>
        <w:rPr>
          <w:rFonts w:cs="Times New Roman"/>
          <w:iCs/>
          <w:szCs w:val="20"/>
          <w:vertAlign w:val="superscript"/>
        </w:rPr>
        <w:footnoteReference w:id="156"/>
      </w:r>
      <w:r w:rsidRPr="00AE7A5B">
        <w:rPr>
          <w:rFonts w:cs="Times New Roman"/>
          <w:szCs w:val="20"/>
        </w:rPr>
        <w:t xml:space="preserve">. </w:t>
      </w:r>
      <w:r w:rsidRPr="00AE7A5B">
        <w:rPr>
          <w:szCs w:val="20"/>
        </w:rPr>
        <w:t>Regulamin z 2015 r. oraz jego zmiana w 2021 r.  zostały zaopiniowane przez Radę Naukową</w:t>
      </w:r>
      <w:r>
        <w:rPr>
          <w:rFonts w:cs="Times New Roman"/>
          <w:bCs/>
          <w:szCs w:val="20"/>
          <w:vertAlign w:val="superscript"/>
          <w:lang w:bidi="pl-PL"/>
        </w:rPr>
        <w:footnoteReference w:id="157"/>
      </w:r>
      <w:r w:rsidRPr="00AE7A5B">
        <w:rPr>
          <w:szCs w:val="20"/>
        </w:rPr>
        <w:t xml:space="preserve"> i</w:t>
      </w:r>
      <w:r w:rsidRPr="00AE7A5B">
        <w:rPr>
          <w:rFonts w:cs="Times New Roman"/>
          <w:szCs w:val="20"/>
        </w:rPr>
        <w:t xml:space="preserve"> </w:t>
      </w:r>
      <w:r w:rsidRPr="00AE7A5B">
        <w:rPr>
          <w:rFonts w:cs="Times New Roman"/>
          <w:szCs w:val="20"/>
          <w:lang w:bidi="pl-PL"/>
        </w:rPr>
        <w:t>zawierały wszystkie niezbędne elementy wymienione w art. 24 ust. 1a ustawy o instytutach badawczych.</w:t>
      </w:r>
    </w:p>
    <w:p w:rsidR="00AE7A5B" w:rsidRPr="00AE7A5B" w:rsidP="00AE7A5B">
      <w:pPr>
        <w:spacing w:before="120" w:after="120" w:line="240" w:lineRule="auto"/>
        <w:jc w:val="left"/>
        <w:rPr>
          <w:rFonts w:cs="Times New Roman"/>
          <w:szCs w:val="20"/>
          <w:lang w:bidi="pl-PL"/>
        </w:rPr>
      </w:pPr>
      <w:r w:rsidRPr="00AE7A5B">
        <w:rPr>
          <w:rFonts w:eastAsia="Calibri"/>
          <w:szCs w:val="20"/>
        </w:rPr>
        <w:t>[Dowód: akta kontroli str.</w:t>
      </w:r>
      <w:r w:rsidRPr="00AE7A5B">
        <w:rPr>
          <w:szCs w:val="20"/>
          <w:lang w:eastAsia="ar-SA"/>
        </w:rPr>
        <w:t xml:space="preserve"> II/233-234, II/370-394, II/457-463]</w:t>
      </w:r>
    </w:p>
    <w:p w:rsidR="00AE7A5B" w:rsidRPr="00AE7A5B" w:rsidP="00AE7A5B">
      <w:pPr>
        <w:spacing w:after="120" w:line="240" w:lineRule="auto"/>
        <w:jc w:val="left"/>
        <w:rPr>
          <w:b/>
          <w:bCs/>
          <w:i/>
          <w:iCs/>
          <w:szCs w:val="20"/>
        </w:rPr>
      </w:pPr>
      <w:bookmarkStart w:id="28" w:name="_Hlk138839475"/>
      <w:r w:rsidRPr="00AE7A5B">
        <w:rPr>
          <w:b/>
          <w:bCs/>
          <w:szCs w:val="20"/>
        </w:rPr>
        <w:t>Ocena cząstkowa</w:t>
      </w:r>
    </w:p>
    <w:p w:rsidR="00AE7A5B" w:rsidRPr="00AE7A5B" w:rsidP="00AE7A5B">
      <w:pPr>
        <w:spacing w:after="0" w:line="240" w:lineRule="auto"/>
        <w:jc w:val="left"/>
        <w:rPr>
          <w:szCs w:val="20"/>
        </w:rPr>
      </w:pPr>
      <w:bookmarkEnd w:id="28"/>
      <w:r w:rsidRPr="00AE7A5B">
        <w:rPr>
          <w:szCs w:val="20"/>
        </w:rPr>
        <w:t>Działalność Instytutu w kontrolowanym obszarze została oceniona pozytywnie z zastrzeżeniami.</w:t>
      </w:r>
    </w:p>
    <w:p w:rsidR="00AE7A5B" w:rsidRPr="00AE7A5B" w:rsidP="00AE7A5B">
      <w:pPr>
        <w:spacing w:before="120" w:after="120" w:line="240" w:lineRule="auto"/>
        <w:jc w:val="left"/>
      </w:pPr>
      <w:r w:rsidRPr="00AE7A5B">
        <w:rPr>
          <w:rFonts w:cs="Times New Roman"/>
          <w:szCs w:val="20"/>
        </w:rPr>
        <w:t xml:space="preserve">Formułując pozytywną ocenę wzięto pod uwagę </w:t>
      </w:r>
      <w:r w:rsidRPr="00AE7A5B">
        <w:rPr>
          <w:rFonts w:cs="Times New Roman"/>
          <w:bCs/>
          <w:szCs w:val="20"/>
        </w:rPr>
        <w:t xml:space="preserve">określenie w Statucie przedmiotu, zakresu działalności, organów i przedstawicielstwa PIG, kryteriów, trybu przeprowadzania oraz ogłaszania konkursów na stanowiska naukowe oraz trybu wyboru komisji dyscyplinarnej; </w:t>
      </w:r>
      <w:r w:rsidRPr="00AE7A5B">
        <w:rPr>
          <w:rFonts w:cs="Times New Roman"/>
          <w:szCs w:val="20"/>
        </w:rPr>
        <w:t xml:space="preserve">przeprowadzenie </w:t>
      </w:r>
      <w:r w:rsidRPr="00AE7A5B">
        <w:t xml:space="preserve">wyborów do Rady Naukowej zgodnie z regulaminem; sporządzenie </w:t>
      </w:r>
      <w:r w:rsidRPr="00AE7A5B">
        <w:rPr>
          <w:bCs/>
        </w:rPr>
        <w:t xml:space="preserve">wszystkich protokołów z posiedzeń Rady Naukowej zgodnie regulaminem; </w:t>
      </w:r>
      <w:r w:rsidRPr="00AE7A5B">
        <w:rPr>
          <w:rFonts w:eastAsia="Times New Roman" w:cs="Times New Roman"/>
          <w:szCs w:val="20"/>
          <w:lang w:eastAsia="pl-PL"/>
        </w:rPr>
        <w:t xml:space="preserve">wzrost liczby publikacji naukowych pracowników PIG oraz ich </w:t>
      </w:r>
      <w:r w:rsidRPr="00AE7A5B">
        <w:rPr>
          <w:rFonts w:eastAsia="Times New Roman" w:cs="Times New Roman"/>
          <w:szCs w:val="20"/>
          <w:lang w:eastAsia="pl-PL"/>
        </w:rPr>
        <w:t>cytowań</w:t>
      </w:r>
      <w:r w:rsidRPr="00AE7A5B">
        <w:rPr>
          <w:rFonts w:eastAsia="Times New Roman" w:cs="Times New Roman"/>
          <w:szCs w:val="20"/>
          <w:lang w:eastAsia="pl-PL"/>
        </w:rPr>
        <w:t xml:space="preserve">; wzrost oceny parametrycznej Instytutu; zawarcie w </w:t>
      </w:r>
      <w:r w:rsidRPr="00AE7A5B">
        <w:rPr>
          <w:rFonts w:cs="Times New Roman"/>
          <w:szCs w:val="20"/>
        </w:rPr>
        <w:t xml:space="preserve">regulaminie dotyczącym praw autorskich i zasad komercjalizacji wyników badań naukowych </w:t>
      </w:r>
      <w:r w:rsidRPr="00AE7A5B">
        <w:rPr>
          <w:rFonts w:cs="Times New Roman"/>
          <w:szCs w:val="20"/>
          <w:lang w:bidi="pl-PL"/>
        </w:rPr>
        <w:t>wszystkich niezbędnych elementów wymienionych w art. 24 ust. 1a ustawy o instytutach badawczych</w:t>
      </w:r>
      <w:r w:rsidRPr="00AE7A5B">
        <w:rPr>
          <w:rFonts w:cs="Times New Roman"/>
          <w:szCs w:val="20"/>
        </w:rPr>
        <w:t>.</w:t>
      </w:r>
    </w:p>
    <w:p w:rsidR="00AE7A5B" w:rsidRPr="00AE7A5B" w:rsidP="00AE7A5B">
      <w:pPr>
        <w:spacing w:after="0" w:line="240" w:lineRule="auto"/>
        <w:jc w:val="left"/>
        <w:rPr>
          <w:szCs w:val="20"/>
        </w:rPr>
      </w:pPr>
      <w:r w:rsidRPr="00AE7A5B">
        <w:rPr>
          <w:szCs w:val="20"/>
        </w:rPr>
        <w:t>Stwierdzone nieprawidłowości dotyczyły:</w:t>
      </w:r>
    </w:p>
    <w:p w:rsidR="00AE7A5B" w:rsidRPr="00AE7A5B" w:rsidP="00AE7A5B">
      <w:pPr>
        <w:numPr>
          <w:ilvl w:val="0"/>
          <w:numId w:val="14"/>
        </w:numPr>
        <w:autoSpaceDE w:val="0"/>
        <w:autoSpaceDN w:val="0"/>
        <w:adjustRightInd w:val="0"/>
        <w:spacing w:after="0" w:line="240" w:lineRule="auto"/>
        <w:ind w:left="284" w:hanging="284"/>
        <w:jc w:val="left"/>
        <w:rPr>
          <w:szCs w:val="20"/>
        </w:rPr>
      </w:pPr>
      <w:bookmarkStart w:id="29" w:name="_Hlk146027602"/>
      <w:r w:rsidRPr="00AE7A5B">
        <w:rPr>
          <w:rFonts w:cs="TimesNewRomanPSMT"/>
          <w:szCs w:val="20"/>
        </w:rPr>
        <w:t xml:space="preserve">w okresie </w:t>
      </w:r>
      <w:r w:rsidRPr="00AE7A5B">
        <w:rPr>
          <w:bCs/>
          <w:szCs w:val="20"/>
        </w:rPr>
        <w:t>od 1 stycznia 2020 r. do 30 sierpnia 2020 r.</w:t>
      </w:r>
      <w:r w:rsidRPr="00AE7A5B">
        <w:rPr>
          <w:rFonts w:cs="Times New Roman"/>
          <w:bCs/>
          <w:szCs w:val="20"/>
        </w:rPr>
        <w:t xml:space="preserve"> brakowało</w:t>
      </w:r>
      <w:r w:rsidRPr="00AE7A5B">
        <w:rPr>
          <w:bCs/>
          <w:szCs w:val="20"/>
        </w:rPr>
        <w:t xml:space="preserve"> 1 pracownika nieposiadającego tytułu naukowego lub stopnia naukowego doktora habilitowanego</w:t>
      </w:r>
      <w:r w:rsidRPr="00AE7A5B">
        <w:rPr>
          <w:rFonts w:cs="Times New Roman"/>
          <w:bCs/>
          <w:szCs w:val="20"/>
        </w:rPr>
        <w:t xml:space="preserve"> w składzie Rady Naukowej</w:t>
      </w:r>
      <w:r w:rsidRPr="00AE7A5B">
        <w:rPr>
          <w:bCs/>
          <w:szCs w:val="20"/>
        </w:rPr>
        <w:t xml:space="preserve">, czym naruszono </w:t>
      </w:r>
      <w:r w:rsidRPr="00AE7A5B">
        <w:rPr>
          <w:szCs w:val="20"/>
        </w:rPr>
        <w:t>§ 7 ust. 3 pkt 2 Statutu;</w:t>
      </w:r>
    </w:p>
    <w:p w:rsidR="00AE7A5B" w:rsidRPr="00AE7A5B" w:rsidP="00AE7A5B">
      <w:pPr>
        <w:numPr>
          <w:ilvl w:val="0"/>
          <w:numId w:val="14"/>
        </w:numPr>
        <w:spacing w:after="0" w:line="240" w:lineRule="auto"/>
        <w:ind w:left="284" w:hanging="284"/>
        <w:jc w:val="left"/>
        <w:rPr>
          <w:szCs w:val="20"/>
        </w:rPr>
      </w:pPr>
      <w:r w:rsidRPr="00AE7A5B">
        <w:rPr>
          <w:szCs w:val="20"/>
        </w:rPr>
        <w:t xml:space="preserve">nieterminowe przekazanie ministrowi nadzorującemu uchwały Rady Naukowej, </w:t>
      </w:r>
      <w:r w:rsidRPr="00AE7A5B">
        <w:rPr>
          <w:szCs w:val="20"/>
        </w:rPr>
        <w:br/>
        <w:t>tj. z opóźnieniem 17 miesięcy, czym naruszono art. 35a ust. 1 ustawy o instytutach badawczych;</w:t>
      </w:r>
    </w:p>
    <w:p w:rsidR="00AE7A5B" w:rsidRPr="00AE7A5B" w:rsidP="00AE7A5B">
      <w:pPr>
        <w:numPr>
          <w:ilvl w:val="0"/>
          <w:numId w:val="14"/>
        </w:numPr>
        <w:spacing w:after="0" w:line="240" w:lineRule="auto"/>
        <w:ind w:left="284" w:hanging="284"/>
        <w:jc w:val="left"/>
        <w:rPr>
          <w:szCs w:val="20"/>
        </w:rPr>
      </w:pPr>
      <w:r w:rsidRPr="00AE7A5B">
        <w:rPr>
          <w:szCs w:val="20"/>
        </w:rPr>
        <w:t>nieprzedstawienie do opiniowania związkom zawodowym regulaminów organizacyjnych oraz zmiany regulaminu, czym naruszono art. 6 ust. 4 ustawy o instytutach badawczych;</w:t>
      </w:r>
    </w:p>
    <w:p w:rsidR="00AE7A5B" w:rsidRPr="00AE7A5B" w:rsidP="00AE7A5B">
      <w:pPr>
        <w:numPr>
          <w:ilvl w:val="0"/>
          <w:numId w:val="14"/>
        </w:numPr>
        <w:spacing w:after="0" w:line="240" w:lineRule="auto"/>
        <w:ind w:left="284" w:hanging="284"/>
        <w:jc w:val="left"/>
        <w:rPr>
          <w:szCs w:val="20"/>
        </w:rPr>
      </w:pPr>
      <w:bookmarkStart w:id="30" w:name="_Hlk146730785"/>
      <w:r w:rsidRPr="00AE7A5B">
        <w:rPr>
          <w:szCs w:val="20"/>
        </w:rPr>
        <w:t>nieopracowanie kierunkowych planów tematycznych badań naukowych i prac rozwojowych, wskazanych w art. 29 ust. 2 pkt 5 ustawy o instytutach badawczych.</w:t>
      </w:r>
    </w:p>
    <w:p w:rsidR="00AE7A5B" w:rsidRPr="00AE7A5B" w:rsidP="00AE7A5B">
      <w:pPr>
        <w:spacing w:after="0" w:line="240" w:lineRule="auto"/>
        <w:ind w:left="284"/>
        <w:jc w:val="left"/>
        <w:rPr>
          <w:szCs w:val="20"/>
        </w:rPr>
      </w:pPr>
    </w:p>
    <w:p w:rsidR="00AE7A5B" w:rsidRPr="00AE7A5B" w:rsidP="00AE7A5B">
      <w:pPr>
        <w:spacing w:after="0" w:line="240" w:lineRule="auto"/>
        <w:ind w:left="284"/>
        <w:jc w:val="left"/>
        <w:rPr>
          <w:szCs w:val="20"/>
        </w:rPr>
      </w:pPr>
    </w:p>
    <w:p w:rsidR="00AE7A5B" w:rsidRPr="00AE7A5B" w:rsidP="00AE7A5B">
      <w:pPr>
        <w:spacing w:after="0" w:line="240" w:lineRule="auto"/>
        <w:ind w:left="284" w:hanging="284"/>
        <w:jc w:val="left"/>
        <w:rPr>
          <w:rFonts w:cs="Times New Roman"/>
          <w:szCs w:val="20"/>
          <w:u w:val="single"/>
        </w:rPr>
      </w:pPr>
      <w:bookmarkEnd w:id="29"/>
      <w:bookmarkEnd w:id="30"/>
      <w:r w:rsidRPr="00AE7A5B">
        <w:rPr>
          <w:rFonts w:cs="Times New Roman"/>
          <w:b/>
          <w:szCs w:val="20"/>
        </w:rPr>
        <w:t>3.</w:t>
      </w:r>
      <w:r w:rsidRPr="00AE7A5B">
        <w:rPr>
          <w:rFonts w:cs="Times New Roman"/>
          <w:b/>
          <w:szCs w:val="20"/>
        </w:rPr>
        <w:tab/>
        <w:t>Jakość zarządzania Instytutem</w:t>
      </w:r>
    </w:p>
    <w:p w:rsidR="00AE7A5B" w:rsidRPr="00AE7A5B" w:rsidP="00AE7A5B">
      <w:pPr>
        <w:spacing w:before="120" w:after="0" w:line="240" w:lineRule="auto"/>
        <w:jc w:val="left"/>
        <w:rPr>
          <w:rFonts w:cs="Times New Roman"/>
          <w:b/>
          <w:bCs/>
          <w:szCs w:val="20"/>
        </w:rPr>
      </w:pPr>
      <w:r w:rsidRPr="00AE7A5B">
        <w:rPr>
          <w:rFonts w:cs="Times New Roman"/>
          <w:b/>
          <w:bCs/>
          <w:szCs w:val="20"/>
        </w:rPr>
        <w:t>a) instrumenty wspierające zarządzanie organizacją oraz dokumenty strategiczne</w:t>
      </w:r>
    </w:p>
    <w:p w:rsidR="00AE7A5B" w:rsidRPr="00AE7A5B" w:rsidP="00AE7A5B">
      <w:pPr>
        <w:spacing w:before="120" w:after="120" w:line="240" w:lineRule="auto"/>
        <w:jc w:val="left"/>
        <w:rPr>
          <w:rFonts w:cs="Times New Roman"/>
          <w:szCs w:val="20"/>
        </w:rPr>
      </w:pPr>
      <w:r w:rsidRPr="00AE7A5B">
        <w:rPr>
          <w:rFonts w:cs="Times New Roman"/>
          <w:szCs w:val="20"/>
        </w:rPr>
        <w:t>W Instytucie nie wdrożono systemu wspierającego zarządzanie, ani standaryzującego działania w ramach procesu zarządzania</w:t>
      </w:r>
      <w:r>
        <w:rPr>
          <w:rFonts w:cs="Times New Roman"/>
          <w:szCs w:val="20"/>
          <w:vertAlign w:val="superscript"/>
        </w:rPr>
        <w:footnoteReference w:id="158"/>
      </w:r>
      <w:r w:rsidRPr="00AE7A5B">
        <w:rPr>
          <w:rFonts w:cs="Times New Roman"/>
          <w:szCs w:val="20"/>
        </w:rPr>
        <w:t>.</w:t>
      </w:r>
    </w:p>
    <w:p w:rsidR="00AE7A5B" w:rsidRPr="00AE7A5B" w:rsidP="00AE7A5B">
      <w:pPr>
        <w:spacing w:after="120" w:line="240" w:lineRule="auto"/>
        <w:jc w:val="left"/>
        <w:rPr>
          <w:rFonts w:cs="Times New Roman"/>
          <w:szCs w:val="20"/>
          <w:lang w:bidi="pl-PL"/>
        </w:rPr>
      </w:pPr>
      <w:r w:rsidRPr="00AE7A5B">
        <w:rPr>
          <w:rFonts w:eastAsia="Calibri"/>
          <w:szCs w:val="20"/>
        </w:rPr>
        <w:t>[Dowód: akta kontroli str.</w:t>
      </w:r>
      <w:r w:rsidRPr="00AE7A5B">
        <w:rPr>
          <w:szCs w:val="20"/>
          <w:lang w:eastAsia="ar-SA"/>
        </w:rPr>
        <w:t xml:space="preserve"> 139]</w:t>
      </w:r>
    </w:p>
    <w:p w:rsidR="00AE7A5B" w:rsidRPr="00AE7A5B" w:rsidP="00AE7A5B">
      <w:pPr>
        <w:spacing w:after="120" w:line="240" w:lineRule="auto"/>
        <w:jc w:val="left"/>
        <w:rPr>
          <w:rFonts w:cs="Times New Roman"/>
          <w:b/>
          <w:bCs/>
          <w:szCs w:val="20"/>
        </w:rPr>
      </w:pPr>
      <w:r w:rsidRPr="00AE7A5B">
        <w:rPr>
          <w:rFonts w:cs="Times New Roman"/>
          <w:b/>
          <w:bCs/>
          <w:szCs w:val="20"/>
        </w:rPr>
        <w:t>b) Krajowy Rejestr Sądowy</w:t>
      </w:r>
    </w:p>
    <w:p w:rsidR="00AE7A5B" w:rsidRPr="00AE7A5B" w:rsidP="00AE7A5B">
      <w:pPr>
        <w:spacing w:after="0" w:line="240" w:lineRule="auto"/>
        <w:jc w:val="left"/>
        <w:rPr>
          <w:rFonts w:cs="Times New Roman"/>
          <w:strike/>
          <w:szCs w:val="20"/>
        </w:rPr>
      </w:pPr>
      <w:r w:rsidRPr="00AE7A5B">
        <w:rPr>
          <w:rFonts w:cs="Times New Roman"/>
          <w:szCs w:val="20"/>
        </w:rPr>
        <w:t>Na podstawie wpisów w Rejestrze Przedsiębiorców w KRS</w:t>
      </w:r>
      <w:r>
        <w:rPr>
          <w:rFonts w:cs="Times New Roman"/>
          <w:szCs w:val="20"/>
          <w:vertAlign w:val="superscript"/>
        </w:rPr>
        <w:footnoteReference w:id="159"/>
      </w:r>
      <w:r w:rsidRPr="00AE7A5B">
        <w:rPr>
          <w:rFonts w:cs="Times New Roman"/>
          <w:szCs w:val="20"/>
        </w:rPr>
        <w:t xml:space="preserve">, według stanu na 7 grudnia 2022 r.  stwierdzono, że w rubryce 7 działu I była nieaktualna nazwa ministra nadzorującego Instytut. </w:t>
      </w:r>
    </w:p>
    <w:p w:rsidR="00AE7A5B" w:rsidRPr="00AE7A5B" w:rsidP="00AE7A5B">
      <w:pPr>
        <w:spacing w:before="120" w:after="120" w:line="240" w:lineRule="auto"/>
        <w:jc w:val="left"/>
        <w:rPr>
          <w:rFonts w:cs="Times New Roman"/>
          <w:szCs w:val="20"/>
        </w:rPr>
      </w:pPr>
      <w:r w:rsidRPr="00AE7A5B">
        <w:rPr>
          <w:rFonts w:cs="Times New Roman"/>
          <w:szCs w:val="20"/>
        </w:rPr>
        <w:t>Dyrektor wyjaśnił</w:t>
      </w:r>
      <w:r>
        <w:rPr>
          <w:vertAlign w:val="superscript"/>
        </w:rPr>
        <w:footnoteReference w:id="160"/>
      </w:r>
      <w:r w:rsidRPr="00AE7A5B">
        <w:rPr>
          <w:rFonts w:cs="Times New Roman"/>
          <w:szCs w:val="20"/>
        </w:rPr>
        <w:t xml:space="preserve">, że nieaktualna nazwa wynikała prawdopodobnie z niedopatrzenia. </w:t>
      </w:r>
    </w:p>
    <w:p w:rsidR="00AE7A5B" w:rsidRPr="00AE7A5B" w:rsidP="00AE7A5B">
      <w:pPr>
        <w:spacing w:before="120" w:after="120" w:line="240" w:lineRule="auto"/>
        <w:jc w:val="left"/>
        <w:rPr>
          <w:rFonts w:cs="Times New Roman"/>
          <w:szCs w:val="20"/>
          <w:lang w:bidi="pl-PL"/>
        </w:rPr>
      </w:pPr>
      <w:r w:rsidRPr="00AE7A5B">
        <w:rPr>
          <w:rFonts w:eastAsia="Calibri"/>
          <w:szCs w:val="20"/>
        </w:rPr>
        <w:t>[Dowód: akta kontroli str.</w:t>
      </w:r>
      <w:r w:rsidRPr="00AE7A5B">
        <w:rPr>
          <w:szCs w:val="20"/>
          <w:lang w:eastAsia="ar-SA"/>
        </w:rPr>
        <w:t xml:space="preserve"> II/474-483, III/1-8]</w:t>
      </w:r>
    </w:p>
    <w:p w:rsidR="00AE7A5B" w:rsidRPr="00AE7A5B" w:rsidP="00AE7A5B">
      <w:pPr>
        <w:spacing w:after="120" w:line="240" w:lineRule="auto"/>
        <w:jc w:val="left"/>
        <w:rPr>
          <w:rFonts w:cs="Times New Roman"/>
          <w:highlight w:val="yellow"/>
          <w:lang w:bidi="pl-PL"/>
        </w:rPr>
      </w:pPr>
      <w:r w:rsidRPr="00AE7A5B">
        <w:rPr>
          <w:rFonts w:cs="Times New Roman"/>
          <w:b/>
          <w:bCs/>
          <w:szCs w:val="20"/>
        </w:rPr>
        <w:t>c) polityka kadrowa – zatrudnienie</w:t>
      </w:r>
    </w:p>
    <w:p w:rsidR="00AE7A5B" w:rsidRPr="00AE7A5B" w:rsidP="00AE7A5B">
      <w:pPr>
        <w:spacing w:before="120" w:after="0" w:line="240" w:lineRule="auto"/>
        <w:jc w:val="left"/>
        <w:rPr>
          <w:rFonts w:cs="Times New Roman"/>
          <w:szCs w:val="20"/>
          <w:lang w:bidi="pl-PL"/>
        </w:rPr>
      </w:pPr>
      <w:r w:rsidRPr="00AE7A5B">
        <w:rPr>
          <w:rFonts w:cs="Times New Roman"/>
          <w:szCs w:val="20"/>
          <w:lang w:bidi="pl-PL"/>
        </w:rPr>
        <w:t>W badanym okresie zatrudnienie w Instytucie wzrosło z 865,81 etatów na początku 2020 r. do 874,76 na koniec 2021 r., głównie na stanowiskach inżynieryjno-technicznych</w:t>
      </w:r>
      <w:r>
        <w:rPr>
          <w:rFonts w:cs="Times New Roman"/>
          <w:szCs w:val="20"/>
          <w:vertAlign w:val="superscript"/>
          <w:lang w:bidi="pl-PL"/>
        </w:rPr>
        <w:footnoteReference w:id="161"/>
      </w:r>
      <w:r w:rsidRPr="00AE7A5B">
        <w:rPr>
          <w:rFonts w:cs="Times New Roman"/>
          <w:szCs w:val="20"/>
          <w:lang w:bidi="pl-PL"/>
        </w:rPr>
        <w:t xml:space="preserve">. Spadła natomiast </w:t>
      </w:r>
      <w:r w:rsidRPr="00AE7A5B">
        <w:rPr>
          <w:rFonts w:cs="Times New Roman"/>
          <w:szCs w:val="20"/>
        </w:rPr>
        <w:t xml:space="preserve">liczba etatów naukowych </w:t>
      </w:r>
      <w:r w:rsidRPr="00AE7A5B">
        <w:rPr>
          <w:rFonts w:cs="Times New Roman"/>
          <w:szCs w:val="20"/>
          <w:lang w:bidi="pl-PL"/>
        </w:rPr>
        <w:t>o 5,5</w:t>
      </w:r>
      <w:r>
        <w:rPr>
          <w:vertAlign w:val="superscript"/>
        </w:rPr>
        <w:footnoteReference w:id="162"/>
      </w:r>
      <w:r w:rsidRPr="00AE7A5B">
        <w:rPr>
          <w:rFonts w:cs="Times New Roman"/>
          <w:szCs w:val="20"/>
          <w:lang w:bidi="pl-PL"/>
        </w:rPr>
        <w:t>, administracyjno-ekonomicznych o 3,5</w:t>
      </w:r>
      <w:r>
        <w:rPr>
          <w:vertAlign w:val="superscript"/>
        </w:rPr>
        <w:footnoteReference w:id="163"/>
      </w:r>
      <w:r w:rsidRPr="00AE7A5B">
        <w:rPr>
          <w:rFonts w:cs="Times New Roman"/>
          <w:szCs w:val="20"/>
          <w:lang w:bidi="pl-PL"/>
        </w:rPr>
        <w:t xml:space="preserve"> </w:t>
      </w:r>
      <w:r w:rsidRPr="00AE7A5B">
        <w:rPr>
          <w:rFonts w:cs="Times New Roman"/>
          <w:szCs w:val="20"/>
          <w:lang w:bidi="pl-PL"/>
        </w:rPr>
        <w:br/>
        <w:t xml:space="preserve">i </w:t>
      </w:r>
      <w:r w:rsidRPr="00AE7A5B">
        <w:rPr>
          <w:rFonts w:cs="Times New Roman"/>
          <w:szCs w:val="20"/>
        </w:rPr>
        <w:t xml:space="preserve">stanowisk robotniczych </w:t>
      </w:r>
      <w:r w:rsidRPr="00AE7A5B">
        <w:rPr>
          <w:rFonts w:cs="Times New Roman"/>
          <w:szCs w:val="20"/>
          <w:lang w:bidi="pl-PL"/>
        </w:rPr>
        <w:t>o 3</w:t>
      </w:r>
      <w:r>
        <w:rPr>
          <w:vertAlign w:val="superscript"/>
        </w:rPr>
        <w:footnoteReference w:id="164"/>
      </w:r>
      <w:r w:rsidRPr="00AE7A5B">
        <w:rPr>
          <w:rFonts w:cs="Times New Roman"/>
          <w:szCs w:val="20"/>
          <w:lang w:bidi="pl-PL"/>
        </w:rPr>
        <w:t xml:space="preserve">. </w:t>
      </w:r>
    </w:p>
    <w:p w:rsidR="00AE7A5B" w:rsidRPr="00AE7A5B" w:rsidP="00AE7A5B">
      <w:pPr>
        <w:spacing w:after="0" w:line="240" w:lineRule="auto"/>
        <w:jc w:val="left"/>
      </w:pPr>
      <w:r w:rsidRPr="00AE7A5B">
        <w:t>Według stanu na 31 grudnia 2021 r. Instytut zatrudniał 891 pracowników, w tym 37 pracowników naukowych</w:t>
      </w:r>
      <w:r>
        <w:rPr>
          <w:vertAlign w:val="superscript"/>
        </w:rPr>
        <w:footnoteReference w:id="165"/>
      </w:r>
      <w:r w:rsidRPr="00AE7A5B">
        <w:t>.</w:t>
      </w:r>
    </w:p>
    <w:p w:rsidR="00AE7A5B" w:rsidRPr="00AE7A5B" w:rsidP="00AE7A5B">
      <w:pPr>
        <w:spacing w:before="120" w:after="120" w:line="240" w:lineRule="auto"/>
        <w:jc w:val="left"/>
        <w:rPr>
          <w:rFonts w:cs="Times New Roman"/>
          <w:szCs w:val="20"/>
          <w:lang w:bidi="pl-PL"/>
        </w:rPr>
      </w:pPr>
      <w:r w:rsidRPr="00AE7A5B">
        <w:rPr>
          <w:rFonts w:eastAsia="Calibri"/>
          <w:szCs w:val="20"/>
        </w:rPr>
        <w:t>[Dowód: akta kontroli str.</w:t>
      </w:r>
      <w:r w:rsidRPr="00AE7A5B">
        <w:rPr>
          <w:szCs w:val="20"/>
          <w:lang w:eastAsia="ar-SA"/>
        </w:rPr>
        <w:t xml:space="preserve"> 148-149, III/509]</w:t>
      </w:r>
    </w:p>
    <w:p w:rsidR="00AE7A5B" w:rsidRPr="00AE7A5B" w:rsidP="00AE7A5B">
      <w:pPr>
        <w:spacing w:before="120" w:after="0" w:line="240" w:lineRule="auto"/>
        <w:jc w:val="left"/>
        <w:rPr>
          <w:rFonts w:cs="Times New Roman"/>
          <w:szCs w:val="20"/>
          <w:lang w:bidi="pl-PL"/>
        </w:rPr>
      </w:pPr>
      <w:r w:rsidRPr="00AE7A5B">
        <w:rPr>
          <w:rFonts w:cs="Times New Roman"/>
          <w:bCs/>
          <w:szCs w:val="20"/>
        </w:rPr>
        <w:t>Na próbie 15 pracowników</w:t>
      </w:r>
      <w:r>
        <w:rPr>
          <w:vertAlign w:val="superscript"/>
        </w:rPr>
        <w:footnoteReference w:id="166"/>
      </w:r>
      <w:r w:rsidRPr="00AE7A5B">
        <w:rPr>
          <w:rFonts w:cs="Times New Roman"/>
          <w:bCs/>
          <w:szCs w:val="20"/>
        </w:rPr>
        <w:t xml:space="preserve"> ustalono, że w </w:t>
      </w:r>
      <w:r w:rsidRPr="00AE7A5B">
        <w:rPr>
          <w:rFonts w:cs="Times New Roman"/>
          <w:szCs w:val="20"/>
          <w:lang w:bidi="pl-PL"/>
        </w:rPr>
        <w:t xml:space="preserve">porozumieniu zmieniającym warunki umowy </w:t>
      </w:r>
      <w:r w:rsidRPr="00AE7A5B">
        <w:rPr>
          <w:rFonts w:cs="Times New Roman"/>
          <w:szCs w:val="20"/>
          <w:lang w:bidi="pl-PL"/>
        </w:rPr>
        <w:br/>
        <w:t>o pracę z 11 sierpnia 2021 r.</w:t>
      </w:r>
      <w:r>
        <w:rPr>
          <w:rFonts w:cs="Times New Roman"/>
          <w:szCs w:val="20"/>
          <w:vertAlign w:val="superscript"/>
          <w:lang w:bidi="pl-PL"/>
        </w:rPr>
        <w:footnoteReference w:id="167"/>
      </w:r>
      <w:r w:rsidRPr="00AE7A5B">
        <w:rPr>
          <w:rFonts w:cs="Times New Roman"/>
          <w:szCs w:val="20"/>
          <w:lang w:bidi="pl-PL"/>
        </w:rPr>
        <w:t xml:space="preserve"> wskazano datę zmiany stanowiska na technika ds. archiwum geologicznego od 1 września 2020 r. Natomiast zakres obowiązków pracownika na ww. stanowisku</w:t>
      </w:r>
      <w:r>
        <w:rPr>
          <w:rFonts w:cs="Times New Roman"/>
          <w:szCs w:val="20"/>
          <w:vertAlign w:val="superscript"/>
          <w:lang w:bidi="pl-PL"/>
        </w:rPr>
        <w:footnoteReference w:id="168"/>
      </w:r>
      <w:r w:rsidRPr="00AE7A5B">
        <w:rPr>
          <w:rFonts w:cs="Times New Roman"/>
          <w:szCs w:val="20"/>
          <w:lang w:bidi="pl-PL"/>
        </w:rPr>
        <w:t xml:space="preserve"> z 2 sierpnia 2021 r. został podpisany przez pracownika z datą 13 sierpnia 2018 r. Powyższe ustalenia świadczą o braku spójności prowadzonej przez Instytut dokumentacji pracowniczej. </w:t>
      </w:r>
    </w:p>
    <w:p w:rsidR="00AE7A5B" w:rsidRPr="00AE7A5B" w:rsidP="00AE7A5B">
      <w:pPr>
        <w:autoSpaceDE w:val="0"/>
        <w:autoSpaceDN w:val="0"/>
        <w:adjustRightInd w:val="0"/>
        <w:spacing w:before="120" w:after="0" w:line="240" w:lineRule="auto"/>
        <w:jc w:val="left"/>
        <w:rPr>
          <w:rFonts w:cs="Times New Roman"/>
          <w:szCs w:val="20"/>
          <w:lang w:bidi="pl-PL"/>
        </w:rPr>
      </w:pPr>
      <w:r w:rsidRPr="00AE7A5B">
        <w:rPr>
          <w:rFonts w:cs="Times New Roman"/>
          <w:szCs w:val="20"/>
          <w:lang w:bidi="pl-PL"/>
        </w:rPr>
        <w:t>Kierownik Działu Spraw Personalnych nie wyjaśnił przyczyn ww. uchybień</w:t>
      </w:r>
      <w:r>
        <w:rPr>
          <w:rFonts w:cs="Times New Roman"/>
          <w:szCs w:val="20"/>
          <w:vertAlign w:val="superscript"/>
          <w:lang w:bidi="pl-PL"/>
        </w:rPr>
        <w:footnoteReference w:id="169"/>
      </w:r>
      <w:r w:rsidRPr="00AE7A5B">
        <w:rPr>
          <w:rFonts w:cs="Times New Roman"/>
          <w:szCs w:val="20"/>
          <w:lang w:bidi="pl-PL"/>
        </w:rPr>
        <w:t>.</w:t>
      </w:r>
    </w:p>
    <w:p w:rsidR="00AE7A5B" w:rsidRPr="00AE7A5B" w:rsidP="00AE7A5B">
      <w:pPr>
        <w:spacing w:before="120" w:after="120" w:line="240" w:lineRule="auto"/>
        <w:jc w:val="left"/>
        <w:rPr>
          <w:rFonts w:cs="Times New Roman"/>
          <w:szCs w:val="20"/>
          <w:lang w:bidi="pl-PL"/>
        </w:rPr>
      </w:pPr>
      <w:r w:rsidRPr="00AE7A5B">
        <w:rPr>
          <w:rFonts w:eastAsia="Calibri"/>
          <w:szCs w:val="20"/>
        </w:rPr>
        <w:t>[Dowód: akta kontroli str.</w:t>
      </w:r>
      <w:r w:rsidRPr="00AE7A5B">
        <w:rPr>
          <w:szCs w:val="20"/>
          <w:lang w:eastAsia="ar-SA"/>
        </w:rPr>
        <w:t xml:space="preserve"> III/9-20, III/82-99, III/510-525, IV/430-431]</w:t>
      </w:r>
    </w:p>
    <w:p w:rsidR="00AE7A5B" w:rsidRPr="00AE7A5B" w:rsidP="00AE7A5B">
      <w:pPr>
        <w:autoSpaceDE w:val="0"/>
        <w:autoSpaceDN w:val="0"/>
        <w:adjustRightInd w:val="0"/>
        <w:spacing w:after="0" w:line="240" w:lineRule="auto"/>
        <w:jc w:val="left"/>
      </w:pPr>
      <w:r w:rsidRPr="00AE7A5B">
        <w:rPr>
          <w:rFonts w:cs="Times New Roman"/>
          <w:szCs w:val="20"/>
          <w:lang w:bidi="pl-PL"/>
        </w:rPr>
        <w:t xml:space="preserve">W Instytucie przyjętą praktyką </w:t>
      </w:r>
      <w:r w:rsidRPr="00AE7A5B">
        <w:t xml:space="preserve">umożliwiającą zidentyfikowanie przypadków podległości służbowej było składanie przez kierowników/dyrektorów oddziałów oświadczeń </w:t>
      </w:r>
      <w:r w:rsidRPr="00AE7A5B">
        <w:br/>
        <w:t xml:space="preserve">m.in. o braku stosunku podległości służbowej osób </w:t>
      </w:r>
      <w:r w:rsidRPr="00AE7A5B">
        <w:rPr>
          <w:rFonts w:cs="Times New Roman"/>
          <w:szCs w:val="20"/>
          <w:lang w:bidi="pl-PL"/>
        </w:rPr>
        <w:t xml:space="preserve">o których mowa w art. 39 ust. 2 ustawy </w:t>
      </w:r>
      <w:r w:rsidRPr="00AE7A5B">
        <w:rPr>
          <w:rFonts w:cs="Times New Roman"/>
          <w:szCs w:val="20"/>
          <w:lang w:bidi="pl-PL"/>
        </w:rPr>
        <w:br/>
        <w:t>o instytutach badawczych</w:t>
      </w:r>
      <w:r w:rsidRPr="00AE7A5B">
        <w:t xml:space="preserve">.   </w:t>
      </w:r>
    </w:p>
    <w:p w:rsidR="00AE7A5B" w:rsidRPr="00AE7A5B" w:rsidP="00AE7A5B">
      <w:pPr>
        <w:autoSpaceDE w:val="0"/>
        <w:autoSpaceDN w:val="0"/>
        <w:adjustRightInd w:val="0"/>
        <w:spacing w:after="0" w:line="240" w:lineRule="auto"/>
        <w:jc w:val="left"/>
      </w:pPr>
      <w:r w:rsidRPr="00AE7A5B">
        <w:t xml:space="preserve">Na próbie 22 pracowników, którzy w okresie objętym kontrolą awansowali na stanowisko kierownika/dyrektora oddziału ustalono, że 11 nie złożyło oświadczeń o braku stosunku </w:t>
      </w:r>
      <w:r w:rsidRPr="00AE7A5B">
        <w:t>podległości służbowej</w:t>
      </w:r>
      <w:r>
        <w:rPr>
          <w:rFonts w:cs="Times New Roman"/>
          <w:szCs w:val="20"/>
          <w:vertAlign w:val="superscript"/>
          <w:lang w:bidi="pl-PL"/>
        </w:rPr>
        <w:footnoteReference w:id="170"/>
      </w:r>
      <w:r w:rsidRPr="00AE7A5B">
        <w:t>. Tym samym mechanizm zapobiegający podległości służbowej osób powiązanych nie był w pełni egzekwowany.</w:t>
      </w:r>
    </w:p>
    <w:p w:rsidR="00AE7A5B" w:rsidRPr="00AE7A5B" w:rsidP="00AE7A5B">
      <w:pPr>
        <w:spacing w:before="120" w:after="120" w:line="240" w:lineRule="auto"/>
        <w:rPr>
          <w:szCs w:val="20"/>
        </w:rPr>
      </w:pPr>
      <w:r w:rsidRPr="00AE7A5B">
        <w:rPr>
          <w:szCs w:val="20"/>
        </w:rPr>
        <w:t>Pracownik Działu Spraw Personalnych potwierdził</w:t>
      </w:r>
      <w:r>
        <w:rPr>
          <w:szCs w:val="20"/>
          <w:vertAlign w:val="superscript"/>
        </w:rPr>
        <w:footnoteReference w:id="171"/>
      </w:r>
      <w:r w:rsidRPr="00AE7A5B">
        <w:rPr>
          <w:szCs w:val="20"/>
        </w:rPr>
        <w:t xml:space="preserve"> brak złożenia oświadczeń. </w:t>
      </w:r>
    </w:p>
    <w:p w:rsidR="00AE7A5B" w:rsidRPr="00AE7A5B" w:rsidP="00AE7A5B">
      <w:pPr>
        <w:spacing w:after="120" w:line="240" w:lineRule="auto"/>
        <w:jc w:val="left"/>
        <w:rPr>
          <w:rFonts w:cs="Times New Roman"/>
          <w:szCs w:val="20"/>
          <w:lang w:bidi="pl-PL"/>
        </w:rPr>
      </w:pPr>
      <w:r w:rsidRPr="00AE7A5B">
        <w:rPr>
          <w:rFonts w:eastAsia="Calibri"/>
          <w:szCs w:val="20"/>
        </w:rPr>
        <w:t>[Dowód: akta kontroli str.</w:t>
      </w:r>
      <w:r w:rsidRPr="00AE7A5B">
        <w:rPr>
          <w:szCs w:val="20"/>
          <w:lang w:eastAsia="ar-SA"/>
        </w:rPr>
        <w:t xml:space="preserve"> III/21-24, III/437-440, III/475-476, III/500]</w:t>
      </w:r>
    </w:p>
    <w:p w:rsidR="00AE7A5B" w:rsidRPr="00AE7A5B" w:rsidP="00AE7A5B">
      <w:pPr>
        <w:spacing w:before="120" w:after="120" w:line="240" w:lineRule="auto"/>
        <w:jc w:val="left"/>
      </w:pPr>
      <w:r w:rsidRPr="00AE7A5B">
        <w:rPr>
          <w:szCs w:val="20"/>
        </w:rPr>
        <w:t>Na próbie 15 pracowników</w:t>
      </w:r>
      <w:r>
        <w:rPr>
          <w:szCs w:val="20"/>
          <w:vertAlign w:val="superscript"/>
        </w:rPr>
        <w:footnoteReference w:id="172"/>
      </w:r>
      <w:r w:rsidRPr="00AE7A5B">
        <w:rPr>
          <w:szCs w:val="20"/>
        </w:rPr>
        <w:t xml:space="preserve"> Instytutu ustalono, że 2</w:t>
      </w:r>
      <w:r>
        <w:rPr>
          <w:szCs w:val="20"/>
          <w:vertAlign w:val="superscript"/>
        </w:rPr>
        <w:footnoteReference w:id="173"/>
      </w:r>
      <w:r w:rsidRPr="00AE7A5B">
        <w:t xml:space="preserve"> </w:t>
      </w:r>
      <w:r w:rsidRPr="00AE7A5B">
        <w:rPr>
          <w:szCs w:val="20"/>
        </w:rPr>
        <w:t xml:space="preserve">nie posiadało aktualnych zakresów czynności </w:t>
      </w:r>
      <w:r w:rsidRPr="00AE7A5B">
        <w:t>po zmianie stanowiska pracy, a w przypadku jednego pracownika</w:t>
      </w:r>
      <w:r>
        <w:rPr>
          <w:vertAlign w:val="superscript"/>
        </w:rPr>
        <w:footnoteReference w:id="174"/>
      </w:r>
      <w:r w:rsidRPr="00AE7A5B">
        <w:t xml:space="preserve"> </w:t>
      </w:r>
      <w:r w:rsidRPr="00AE7A5B">
        <w:br/>
        <w:t xml:space="preserve">w zakresie obowiązków z 1 września 2020 r. nie wskazano nazwy stanowiska. </w:t>
      </w:r>
    </w:p>
    <w:p w:rsidR="00AE7A5B" w:rsidRPr="00AE7A5B" w:rsidP="00AE7A5B">
      <w:pPr>
        <w:spacing w:before="120" w:after="120" w:line="240" w:lineRule="auto"/>
        <w:jc w:val="left"/>
      </w:pPr>
      <w:r w:rsidRPr="00AE7A5B">
        <w:rPr>
          <w:rFonts w:cs="Times New Roman"/>
          <w:szCs w:val="20"/>
          <w:lang w:bidi="pl-PL"/>
        </w:rPr>
        <w:t>Kierownik Działu Spraw Personalnych nie wyjaśnił przyczyny braku wskazania nazwy stanowiska</w:t>
      </w:r>
      <w:r>
        <w:rPr>
          <w:rFonts w:cs="Times New Roman"/>
          <w:szCs w:val="20"/>
          <w:vertAlign w:val="superscript"/>
          <w:lang w:bidi="pl-PL"/>
        </w:rPr>
        <w:footnoteReference w:id="175"/>
      </w:r>
      <w:r w:rsidRPr="00AE7A5B">
        <w:rPr>
          <w:rFonts w:cs="Times New Roman"/>
          <w:szCs w:val="20"/>
          <w:lang w:bidi="pl-PL"/>
        </w:rPr>
        <w:t>.</w:t>
      </w:r>
    </w:p>
    <w:p w:rsidR="00AE7A5B" w:rsidRPr="00AE7A5B" w:rsidP="00AE7A5B">
      <w:pPr>
        <w:spacing w:before="120" w:after="120" w:line="240" w:lineRule="auto"/>
        <w:jc w:val="left"/>
        <w:rPr>
          <w:rFonts w:cs="Times New Roman"/>
          <w:szCs w:val="20"/>
          <w:lang w:bidi="pl-PL"/>
        </w:rPr>
      </w:pPr>
      <w:r w:rsidRPr="00AE7A5B">
        <w:rPr>
          <w:rFonts w:cs="Times New Roman"/>
          <w:szCs w:val="20"/>
        </w:rPr>
        <w:t>[Dowód: akta kontroli str. III/15-16, III/20, III/82-99, III/178, III/181-182, III/510-525, IV/180-182, IV/430-431</w:t>
      </w:r>
      <w:r w:rsidRPr="00AE7A5B">
        <w:rPr>
          <w:szCs w:val="20"/>
          <w:lang w:eastAsia="ar-SA"/>
        </w:rPr>
        <w:t>]</w:t>
      </w:r>
    </w:p>
    <w:p w:rsidR="00AE7A5B" w:rsidRPr="00AE7A5B" w:rsidP="00AE7A5B">
      <w:pPr>
        <w:spacing w:before="120" w:after="0" w:line="240" w:lineRule="auto"/>
        <w:jc w:val="left"/>
        <w:rPr>
          <w:szCs w:val="20"/>
        </w:rPr>
      </w:pPr>
      <w:r w:rsidRPr="00AE7A5B">
        <w:t>Ponadto ustalono, że wszystkich 9 pracowników</w:t>
      </w:r>
      <w:r>
        <w:rPr>
          <w:vertAlign w:val="superscript"/>
        </w:rPr>
        <w:footnoteReference w:id="176"/>
      </w:r>
      <w:r w:rsidRPr="00AE7A5B">
        <w:t xml:space="preserve"> pełniących w okresie 2020-2021 funkcje kierownika projektu/budżetu</w:t>
      </w:r>
      <w:r>
        <w:rPr>
          <w:vertAlign w:val="superscript"/>
        </w:rPr>
        <w:footnoteReference w:id="177"/>
      </w:r>
      <w:r w:rsidRPr="00AE7A5B">
        <w:t xml:space="preserve"> nie miało w zakresach obowiązków zadań związanych z pełnieniem tych funkcji. </w:t>
      </w:r>
    </w:p>
    <w:p w:rsidR="00AE7A5B" w:rsidRPr="00AE7A5B" w:rsidP="00AE7A5B">
      <w:pPr>
        <w:spacing w:before="120" w:after="120" w:line="240" w:lineRule="auto"/>
        <w:jc w:val="left"/>
        <w:rPr>
          <w:rFonts w:cs="Times New Roman"/>
          <w:szCs w:val="20"/>
        </w:rPr>
      </w:pPr>
      <w:r w:rsidRPr="00AE7A5B">
        <w:rPr>
          <w:rFonts w:cs="Times New Roman"/>
          <w:szCs w:val="20"/>
        </w:rPr>
        <w:t>[Dowód: akta kontroli str. III/510-525, IV/238-284, IV/430-431]</w:t>
      </w:r>
    </w:p>
    <w:p w:rsidR="00AE7A5B" w:rsidRPr="00AE7A5B" w:rsidP="00AE7A5B">
      <w:pPr>
        <w:spacing w:after="0" w:line="240" w:lineRule="auto"/>
        <w:jc w:val="left"/>
        <w:rPr>
          <w:rFonts w:cs="Times New Roman"/>
          <w:b/>
          <w:bCs/>
          <w:szCs w:val="20"/>
        </w:rPr>
      </w:pPr>
      <w:r w:rsidRPr="00AE7A5B">
        <w:rPr>
          <w:rFonts w:cs="Times New Roman"/>
          <w:b/>
          <w:bCs/>
          <w:szCs w:val="20"/>
        </w:rPr>
        <w:t>Rekrutacja</w:t>
      </w:r>
    </w:p>
    <w:p w:rsidR="00AE7A5B" w:rsidRPr="00AE7A5B" w:rsidP="00AE7A5B">
      <w:pPr>
        <w:spacing w:before="120" w:after="120" w:line="240" w:lineRule="auto"/>
        <w:jc w:val="left"/>
        <w:rPr>
          <w:rFonts w:cs="Times New Roman"/>
          <w:szCs w:val="20"/>
          <w:lang w:bidi="pl-PL"/>
        </w:rPr>
      </w:pPr>
      <w:r w:rsidRPr="00AE7A5B">
        <w:rPr>
          <w:szCs w:val="20"/>
        </w:rPr>
        <w:t xml:space="preserve">Zasady zatrudnienia pracowników PIG określał m.in.: </w:t>
      </w:r>
      <w:bookmarkStart w:id="31" w:name="_Hlk146036599"/>
      <w:r w:rsidRPr="00AE7A5B">
        <w:rPr>
          <w:rFonts w:cs="Times New Roman"/>
          <w:szCs w:val="20"/>
          <w:lang w:bidi="pl-PL"/>
        </w:rPr>
        <w:t>Regulamin konkursu na stanowiska naukowe</w:t>
      </w:r>
      <w:bookmarkEnd w:id="31"/>
      <w:r w:rsidRPr="00AE7A5B">
        <w:rPr>
          <w:rFonts w:cs="Times New Roman"/>
          <w:szCs w:val="20"/>
          <w:lang w:bidi="pl-PL"/>
        </w:rPr>
        <w:t xml:space="preserve"> i </w:t>
      </w:r>
      <w:bookmarkStart w:id="32" w:name="_Hlk146037020"/>
      <w:r w:rsidRPr="00AE7A5B">
        <w:rPr>
          <w:rFonts w:cs="Times New Roman"/>
          <w:szCs w:val="20"/>
          <w:lang w:bidi="pl-PL"/>
        </w:rPr>
        <w:t xml:space="preserve">Regulamin konkursu na stanowiska nienaukowe. </w:t>
      </w:r>
      <w:bookmarkEnd w:id="32"/>
    </w:p>
    <w:p w:rsidR="00AE7A5B" w:rsidRPr="00AE7A5B" w:rsidP="00AE7A5B">
      <w:pPr>
        <w:spacing w:after="0" w:line="240" w:lineRule="auto"/>
        <w:jc w:val="left"/>
        <w:rPr>
          <w:rFonts w:cs="Times New Roman"/>
          <w:szCs w:val="20"/>
          <w:lang w:bidi="pl-PL"/>
        </w:rPr>
      </w:pPr>
      <w:r w:rsidRPr="00AE7A5B">
        <w:rPr>
          <w:rFonts w:cs="Times New Roman"/>
          <w:szCs w:val="20"/>
          <w:lang w:bidi="pl-PL"/>
        </w:rPr>
        <w:t xml:space="preserve">Ustalono, że Statut PIG określał kryteria, tryb przeprowadzania i ogłaszania konkursu na pracownika naukowego, </w:t>
      </w:r>
      <w:r w:rsidRPr="00AE7A5B">
        <w:rPr>
          <w:szCs w:val="20"/>
        </w:rPr>
        <w:t xml:space="preserve">tym samym spełniony został wymóg </w:t>
      </w:r>
      <w:r w:rsidRPr="00AE7A5B">
        <w:rPr>
          <w:rFonts w:cs="Times New Roman"/>
          <w:szCs w:val="20"/>
          <w:lang w:bidi="pl-PL"/>
        </w:rPr>
        <w:t xml:space="preserve">art. 43 ust. 6 ustawy </w:t>
      </w:r>
      <w:r w:rsidRPr="00AE7A5B">
        <w:rPr>
          <w:rFonts w:cs="Times New Roman"/>
          <w:szCs w:val="20"/>
          <w:lang w:bidi="pl-PL"/>
        </w:rPr>
        <w:br/>
        <w:t xml:space="preserve">o instytutach badawczych.   </w:t>
      </w:r>
    </w:p>
    <w:p w:rsidR="00AE7A5B" w:rsidRPr="00AE7A5B" w:rsidP="00AE7A5B">
      <w:pPr>
        <w:spacing w:before="120" w:after="120" w:line="240" w:lineRule="auto"/>
        <w:jc w:val="left"/>
        <w:rPr>
          <w:rFonts w:cs="Times New Roman"/>
          <w:szCs w:val="20"/>
        </w:rPr>
      </w:pPr>
      <w:r w:rsidRPr="00AE7A5B">
        <w:rPr>
          <w:rFonts w:cs="Times New Roman"/>
          <w:szCs w:val="20"/>
        </w:rPr>
        <w:t>[Dowód: akta kontroli str. II/17-23, II/30-36, III/148-151, III/441-450, III/495-496]</w:t>
      </w:r>
    </w:p>
    <w:p w:rsidR="00AE7A5B" w:rsidRPr="00AE7A5B" w:rsidP="00AE7A5B">
      <w:pPr>
        <w:spacing w:after="0" w:line="240" w:lineRule="auto"/>
        <w:jc w:val="left"/>
        <w:rPr>
          <w:rFonts w:cs="Times New Roman"/>
          <w:szCs w:val="20"/>
          <w:lang w:bidi="pl-PL"/>
        </w:rPr>
      </w:pPr>
      <w:r w:rsidRPr="00AE7A5B">
        <w:rPr>
          <w:rFonts w:cs="Times New Roman"/>
          <w:szCs w:val="20"/>
          <w:lang w:bidi="pl-PL"/>
        </w:rPr>
        <w:t xml:space="preserve">W okresie objętym kontrolą Instytut przeprowadził 157 postępowań rekrutacyjnych, </w:t>
      </w:r>
      <w:r w:rsidRPr="00AE7A5B">
        <w:rPr>
          <w:rFonts w:cs="Times New Roman"/>
          <w:szCs w:val="20"/>
          <w:lang w:bidi="pl-PL"/>
        </w:rPr>
        <w:br/>
        <w:t>z czego badaniu poddano 3 postępowania na stanowiska naukowe</w:t>
      </w:r>
      <w:r>
        <w:rPr>
          <w:rFonts w:cs="Times New Roman"/>
          <w:szCs w:val="20"/>
          <w:vertAlign w:val="superscript"/>
          <w:lang w:bidi="pl-PL"/>
        </w:rPr>
        <w:footnoteReference w:id="178"/>
      </w:r>
      <w:r w:rsidRPr="00AE7A5B">
        <w:rPr>
          <w:rFonts w:cs="Times New Roman"/>
          <w:szCs w:val="20"/>
          <w:lang w:bidi="pl-PL"/>
        </w:rPr>
        <w:t xml:space="preserve"> oraz 1 na stanowisko nienaukowe</w:t>
      </w:r>
      <w:r>
        <w:rPr>
          <w:rFonts w:cs="Times New Roman"/>
          <w:szCs w:val="20"/>
          <w:vertAlign w:val="superscript"/>
          <w:lang w:bidi="pl-PL"/>
        </w:rPr>
        <w:footnoteReference w:id="179"/>
      </w:r>
      <w:r w:rsidRPr="00AE7A5B">
        <w:rPr>
          <w:rFonts w:cs="Times New Roman"/>
          <w:szCs w:val="20"/>
          <w:lang w:bidi="pl-PL"/>
        </w:rPr>
        <w:t>.</w:t>
      </w:r>
    </w:p>
    <w:p w:rsidR="00AE7A5B" w:rsidRPr="00AE7A5B" w:rsidP="00AE7A5B">
      <w:pPr>
        <w:spacing w:before="120" w:after="0" w:line="240" w:lineRule="auto"/>
        <w:jc w:val="left"/>
        <w:rPr>
          <w:rFonts w:cs="Times New Roman"/>
          <w:bCs/>
          <w:szCs w:val="20"/>
        </w:rPr>
      </w:pPr>
      <w:r w:rsidRPr="00AE7A5B">
        <w:rPr>
          <w:rFonts w:cs="Times New Roman"/>
          <w:bCs/>
          <w:szCs w:val="20"/>
        </w:rPr>
        <w:t xml:space="preserve">Ustalono w badanym obszarze następujące nieprawidłowości: </w:t>
      </w:r>
    </w:p>
    <w:p w:rsidR="00AE7A5B" w:rsidRPr="00AE7A5B" w:rsidP="00AE7A5B">
      <w:pPr>
        <w:numPr>
          <w:ilvl w:val="0"/>
          <w:numId w:val="11"/>
        </w:numPr>
        <w:spacing w:before="120" w:after="0" w:line="240" w:lineRule="auto"/>
        <w:ind w:left="284" w:hanging="284"/>
        <w:jc w:val="left"/>
        <w:rPr>
          <w:rFonts w:cs="Times New Roman"/>
          <w:szCs w:val="20"/>
        </w:rPr>
      </w:pPr>
      <w:r w:rsidRPr="00AE7A5B">
        <w:rPr>
          <w:szCs w:val="20"/>
        </w:rPr>
        <w:t xml:space="preserve">nie udokumentowano opublikowania ogłoszenia na </w:t>
      </w:r>
      <w:r w:rsidRPr="00AE7A5B">
        <w:rPr>
          <w:rFonts w:cs="Times New Roman"/>
          <w:bCs/>
          <w:szCs w:val="20"/>
        </w:rPr>
        <w:t xml:space="preserve">stanowisko profesora instytutu </w:t>
      </w:r>
      <w:r w:rsidRPr="00AE7A5B">
        <w:rPr>
          <w:rFonts w:cs="Times New Roman"/>
          <w:bCs/>
          <w:szCs w:val="20"/>
        </w:rPr>
        <w:br/>
        <w:t>w Oddziale Dolnośląskim we Wrocławiu</w:t>
      </w:r>
      <w:r>
        <w:rPr>
          <w:szCs w:val="20"/>
          <w:vertAlign w:val="superscript"/>
        </w:rPr>
        <w:footnoteReference w:id="180"/>
      </w:r>
      <w:r w:rsidRPr="00AE7A5B">
        <w:rPr>
          <w:szCs w:val="20"/>
        </w:rPr>
        <w:t xml:space="preserve"> na stronie internetowej Komisji Europejskiej w europejskim portalu dla mobilnych naukowców przeznaczonym do publikacji ofert pracy naukowców, o którym mowa w art. 43 ust. 6 ustawy o instytutach badawczych</w:t>
      </w:r>
      <w:r>
        <w:rPr>
          <w:szCs w:val="20"/>
          <w:vertAlign w:val="superscript"/>
        </w:rPr>
        <w:footnoteReference w:id="181"/>
      </w:r>
      <w:r w:rsidRPr="00AE7A5B">
        <w:rPr>
          <w:szCs w:val="20"/>
        </w:rPr>
        <w:t xml:space="preserve">. </w:t>
      </w:r>
    </w:p>
    <w:p w:rsidR="00AE7A5B" w:rsidRPr="00AE7A5B" w:rsidP="00AE7A5B">
      <w:pPr>
        <w:spacing w:before="120" w:after="120" w:line="240" w:lineRule="auto"/>
        <w:ind w:left="284"/>
        <w:jc w:val="left"/>
        <w:rPr>
          <w:rFonts w:cs="Times New Roman"/>
          <w:szCs w:val="20"/>
          <w:lang w:bidi="pl-PL"/>
        </w:rPr>
      </w:pPr>
      <w:r w:rsidRPr="00AE7A5B">
        <w:rPr>
          <w:rFonts w:cs="Times New Roman"/>
          <w:szCs w:val="20"/>
          <w:lang w:bidi="pl-PL"/>
        </w:rPr>
        <w:t>Kierownik Działu Spraw Personalnych wyjaśnił</w:t>
      </w:r>
      <w:r>
        <w:rPr>
          <w:rFonts w:cs="Times New Roman"/>
          <w:szCs w:val="20"/>
          <w:vertAlign w:val="superscript"/>
          <w:lang w:bidi="pl-PL"/>
        </w:rPr>
        <w:footnoteReference w:id="182"/>
      </w:r>
      <w:r w:rsidRPr="00AE7A5B">
        <w:rPr>
          <w:rFonts w:cs="Times New Roman"/>
          <w:szCs w:val="20"/>
          <w:lang w:bidi="pl-PL"/>
        </w:rPr>
        <w:t>, że ogłoszenie zostało opublikowane, przekazując kontrolującym  wyciąg publikacji ogłoszenia z numerem ID 647540.</w:t>
      </w:r>
    </w:p>
    <w:p w:rsidR="00AE7A5B" w:rsidRPr="00AE7A5B" w:rsidP="00AE7A5B">
      <w:pPr>
        <w:spacing w:before="120" w:after="0" w:line="240" w:lineRule="auto"/>
        <w:ind w:left="284"/>
        <w:jc w:val="left"/>
        <w:rPr>
          <w:rFonts w:eastAsia="Calibri"/>
          <w:szCs w:val="20"/>
        </w:rPr>
      </w:pPr>
      <w:r w:rsidRPr="00AE7A5B">
        <w:rPr>
          <w:rFonts w:cs="Times New Roman"/>
          <w:szCs w:val="20"/>
          <w:lang w:bidi="pl-PL"/>
        </w:rPr>
        <w:t xml:space="preserve">Kontrolujący ustalił, że załączony do ww. wyjaśnień wyciąg publikacji nie dotyczył przedmiotowego </w:t>
      </w:r>
      <w:r w:rsidRPr="00AE7A5B">
        <w:rPr>
          <w:szCs w:val="20"/>
        </w:rPr>
        <w:t xml:space="preserve">ogłoszenia na </w:t>
      </w:r>
      <w:r w:rsidRPr="00AE7A5B">
        <w:rPr>
          <w:rFonts w:cs="Times New Roman"/>
          <w:bCs/>
          <w:szCs w:val="20"/>
        </w:rPr>
        <w:t xml:space="preserve">stanowisko profesora instytutu w Oddziale Dolnośląskim we Wrocławiu. Tym samym nie udokumentowano spełnienia wymogu </w:t>
      </w:r>
      <w:r w:rsidRPr="00AE7A5B">
        <w:rPr>
          <w:rFonts w:cs="Times New Roman"/>
          <w:bCs/>
          <w:szCs w:val="20"/>
        </w:rPr>
        <w:br/>
        <w:t>art. 43 ust. 6 ustawy o instytutach badawczych.</w:t>
      </w:r>
    </w:p>
    <w:p w:rsidR="00AE7A5B" w:rsidRPr="00AE7A5B" w:rsidP="00AE7A5B">
      <w:pPr>
        <w:spacing w:before="120" w:after="120" w:line="240" w:lineRule="auto"/>
        <w:ind w:left="426" w:hanging="142"/>
        <w:jc w:val="left"/>
        <w:rPr>
          <w:rFonts w:cs="Times New Roman"/>
          <w:bCs/>
          <w:sz w:val="24"/>
          <w:szCs w:val="20"/>
        </w:rPr>
      </w:pPr>
      <w:r w:rsidRPr="00AE7A5B">
        <w:rPr>
          <w:rFonts w:eastAsia="Calibri"/>
          <w:szCs w:val="20"/>
        </w:rPr>
        <w:t xml:space="preserve">[Dowód: akta kontroli str. </w:t>
      </w:r>
      <w:r w:rsidRPr="00AE7A5B">
        <w:rPr>
          <w:szCs w:val="20"/>
          <w:lang w:eastAsia="ar-SA"/>
        </w:rPr>
        <w:t>III/104-106, III/167-176, III/495-496]</w:t>
      </w:r>
    </w:p>
    <w:p w:rsidR="00AE7A5B" w:rsidRPr="00AE7A5B" w:rsidP="00AE7A5B">
      <w:pPr>
        <w:numPr>
          <w:ilvl w:val="0"/>
          <w:numId w:val="11"/>
        </w:numPr>
        <w:spacing w:before="120" w:after="0" w:line="240" w:lineRule="auto"/>
        <w:ind w:left="284" w:hanging="284"/>
        <w:jc w:val="left"/>
        <w:rPr>
          <w:sz w:val="24"/>
          <w:szCs w:val="20"/>
          <w:lang w:eastAsia="ar-SA"/>
        </w:rPr>
      </w:pPr>
      <w:r w:rsidRPr="00AE7A5B">
        <w:rPr>
          <w:rFonts w:cs="Times New Roman"/>
          <w:bCs/>
          <w:szCs w:val="20"/>
        </w:rPr>
        <w:t>w naborze na stanowisko specjalisty ds. administracyjnych w Dziale Administracyjnym</w:t>
      </w:r>
      <w:r>
        <w:rPr>
          <w:szCs w:val="20"/>
          <w:vertAlign w:val="superscript"/>
        </w:rPr>
        <w:footnoteReference w:id="183"/>
      </w:r>
      <w:r w:rsidRPr="00AE7A5B">
        <w:rPr>
          <w:rFonts w:cs="Times New Roman"/>
          <w:szCs w:val="20"/>
          <w:lang w:eastAsia="ar-SA"/>
        </w:rPr>
        <w:t xml:space="preserve"> przyjęto do pracy osobę, która nie spełniała wymogu doświadczenia zawodowego powyżej 2 lat, co było niezgodne z załącznikiem </w:t>
      </w:r>
      <w:r w:rsidRPr="00AE7A5B">
        <w:rPr>
          <w:rFonts w:cs="Times New Roman"/>
          <w:szCs w:val="20"/>
          <w:lang w:eastAsia="ar-SA"/>
        </w:rPr>
        <w:br/>
        <w:t xml:space="preserve">2 do </w:t>
      </w:r>
      <w:r w:rsidRPr="00AE7A5B">
        <w:rPr>
          <w:rFonts w:cs="Times New Roman"/>
          <w:szCs w:val="20"/>
          <w:lang w:bidi="pl-PL"/>
        </w:rPr>
        <w:t>ZUZP</w:t>
      </w:r>
      <w:r>
        <w:rPr>
          <w:rFonts w:cs="Times New Roman"/>
          <w:szCs w:val="20"/>
          <w:vertAlign w:val="superscript"/>
          <w:lang w:eastAsia="ar-SA"/>
        </w:rPr>
        <w:footnoteReference w:id="184"/>
      </w:r>
      <w:r w:rsidRPr="00AE7A5B">
        <w:rPr>
          <w:rFonts w:cs="Times New Roman"/>
          <w:szCs w:val="20"/>
          <w:lang w:eastAsia="ar-SA"/>
        </w:rPr>
        <w:t xml:space="preserve">. </w:t>
      </w:r>
    </w:p>
    <w:p w:rsidR="00AE7A5B" w:rsidRPr="00AE7A5B" w:rsidP="00AE7A5B">
      <w:pPr>
        <w:autoSpaceDE w:val="0"/>
        <w:autoSpaceDN w:val="0"/>
        <w:adjustRightInd w:val="0"/>
        <w:spacing w:before="120" w:after="0" w:line="240" w:lineRule="auto"/>
        <w:ind w:left="284"/>
        <w:jc w:val="left"/>
        <w:rPr>
          <w:rFonts w:cs="Times New Roman"/>
          <w:szCs w:val="20"/>
          <w:lang w:eastAsia="ar-SA"/>
        </w:rPr>
      </w:pPr>
      <w:r w:rsidRPr="00AE7A5B">
        <w:rPr>
          <w:rFonts w:cs="Times New Roman"/>
          <w:szCs w:val="20"/>
          <w:lang w:eastAsia="ar-SA"/>
        </w:rPr>
        <w:t>Kierownik Działu Spraw Personalnych potwierdził</w:t>
      </w:r>
      <w:r>
        <w:rPr>
          <w:rFonts w:cs="Times New Roman"/>
          <w:szCs w:val="20"/>
          <w:vertAlign w:val="superscript"/>
          <w:lang w:eastAsia="ar-SA"/>
        </w:rPr>
        <w:footnoteReference w:id="185"/>
      </w:r>
      <w:r w:rsidRPr="00AE7A5B">
        <w:rPr>
          <w:rFonts w:cs="Times New Roman"/>
          <w:szCs w:val="20"/>
          <w:lang w:eastAsia="ar-SA"/>
        </w:rPr>
        <w:t xml:space="preserve"> brak spełnienia wymogu doświadczenia zatrudnionego ww. pracownika. </w:t>
      </w:r>
    </w:p>
    <w:p w:rsidR="00AE7A5B" w:rsidRPr="00AE7A5B" w:rsidP="00AE7A5B">
      <w:pPr>
        <w:autoSpaceDE w:val="0"/>
        <w:autoSpaceDN w:val="0"/>
        <w:adjustRightInd w:val="0"/>
        <w:spacing w:before="120" w:after="120" w:line="240" w:lineRule="auto"/>
        <w:ind w:left="284"/>
        <w:jc w:val="left"/>
        <w:rPr>
          <w:szCs w:val="20"/>
          <w:lang w:eastAsia="ar-SA"/>
        </w:rPr>
      </w:pPr>
      <w:r w:rsidRPr="00AE7A5B">
        <w:rPr>
          <w:rFonts w:eastAsia="Calibri"/>
          <w:szCs w:val="20"/>
        </w:rPr>
        <w:t>[Dowód: akta kontroli str.</w:t>
      </w:r>
      <w:r w:rsidRPr="00AE7A5B">
        <w:rPr>
          <w:szCs w:val="20"/>
          <w:lang w:eastAsia="ar-SA"/>
        </w:rPr>
        <w:t xml:space="preserve"> III/104-110, III/112-147, III/495-496]</w:t>
      </w:r>
    </w:p>
    <w:p w:rsidR="00AE7A5B" w:rsidRPr="00AE7A5B" w:rsidP="00AE7A5B">
      <w:pPr>
        <w:numPr>
          <w:ilvl w:val="0"/>
          <w:numId w:val="11"/>
        </w:numPr>
        <w:spacing w:after="120" w:line="240" w:lineRule="auto"/>
        <w:ind w:left="284" w:hanging="284"/>
        <w:jc w:val="left"/>
        <w:rPr>
          <w:bCs/>
          <w:szCs w:val="20"/>
          <w:lang w:bidi="pl-PL"/>
        </w:rPr>
      </w:pPr>
      <w:r w:rsidRPr="00AE7A5B">
        <w:rPr>
          <w:bCs/>
          <w:szCs w:val="20"/>
          <w:lang w:bidi="pl-PL"/>
        </w:rPr>
        <w:t xml:space="preserve">brak dostosowania </w:t>
      </w:r>
      <w:bookmarkStart w:id="33" w:name="_Hlk153287602"/>
      <w:r w:rsidRPr="00AE7A5B">
        <w:rPr>
          <w:bCs/>
          <w:szCs w:val="20"/>
          <w:lang w:bidi="pl-PL"/>
        </w:rPr>
        <w:t xml:space="preserve">Regulaminu konkursu na stanowiska naukowe </w:t>
      </w:r>
      <w:bookmarkEnd w:id="33"/>
      <w:r w:rsidRPr="00AE7A5B">
        <w:rPr>
          <w:bCs/>
          <w:szCs w:val="20"/>
          <w:lang w:bidi="pl-PL"/>
        </w:rPr>
        <w:t xml:space="preserve">do Statutu. Zgodnie z § 5 ust. 3-4 ww. regulaminu w skład komisji konkursowej wchodzi zastępca dyrektora ds. naukowych, pełniąc funkcję przewodniczącego tej komisji. Natomiast § 6 Statutu nie przewidywał stanowiska zastępcy dyrektora ds. naukowych. Ponadto </w:t>
      </w:r>
      <w:bookmarkStart w:id="34" w:name="_Hlk153290322"/>
      <w:r w:rsidRPr="00AE7A5B">
        <w:rPr>
          <w:bCs/>
          <w:szCs w:val="20"/>
          <w:lang w:bidi="pl-PL"/>
        </w:rPr>
        <w:t>w podstawach prawnych zarządzeń Dyrektora nr 22-24 z 2 czerwca 2021 r. w sprawie ogłoszeń konkursów we wszystkich 3 naborach na stanowiska naukowe powołano się jedynie na regulaminy organizacyjne, Statut i ustawę o instytutach badawczych, pomimo że obowiązywał Regulamin konkursu na stanowiska naukowe</w:t>
      </w:r>
      <w:bookmarkEnd w:id="34"/>
      <w:r w:rsidRPr="00AE7A5B">
        <w:rPr>
          <w:bCs/>
          <w:szCs w:val="20"/>
          <w:lang w:bidi="pl-PL"/>
        </w:rPr>
        <w:t xml:space="preserve">, jako regulacja szczegółowo określająca zasady naborów. Powyższy regulamin, zgodnie z mailem pracownika Działu Spraw Personalnych z 11 kwietnia 2023 r., obowiązywał w latach 2020-2021. </w:t>
      </w:r>
    </w:p>
    <w:p w:rsidR="00AE7A5B" w:rsidRPr="00AE7A5B" w:rsidP="00AE7A5B">
      <w:pPr>
        <w:spacing w:after="0" w:line="240" w:lineRule="auto"/>
        <w:ind w:left="284"/>
        <w:jc w:val="left"/>
        <w:rPr>
          <w:bCs/>
          <w:szCs w:val="20"/>
          <w:lang w:bidi="pl-PL"/>
        </w:rPr>
      </w:pPr>
      <w:r w:rsidRPr="00AE7A5B">
        <w:rPr>
          <w:bCs/>
          <w:szCs w:val="20"/>
          <w:lang w:bidi="pl-PL"/>
        </w:rPr>
        <w:t>Dyrektor pismem nr NPA.091.4/1.2023 z 16 listopada 2023 r. wyjaśnił, że w latach 2020 – 2021 nie było funkcji zastępcy dyrektora ds. naukowych, była natomiast funkcja Zastępcy Dyrektora ds. Badań i Rozwoju. W procesach rekrutacyjnych na stanowiska naukowe do składu komisji powoływany był albo Zastępca Dyrektora ds. Badań i Rozwoju albo Sekretarz Naukowy.</w:t>
      </w:r>
    </w:p>
    <w:p w:rsidR="00AE7A5B" w:rsidRPr="00AE7A5B" w:rsidP="00AE7A5B">
      <w:pPr>
        <w:autoSpaceDE w:val="0"/>
        <w:autoSpaceDN w:val="0"/>
        <w:adjustRightInd w:val="0"/>
        <w:spacing w:before="120" w:after="120" w:line="240" w:lineRule="auto"/>
        <w:ind w:left="284"/>
        <w:jc w:val="left"/>
        <w:rPr>
          <w:szCs w:val="20"/>
          <w:lang w:eastAsia="ar-SA"/>
        </w:rPr>
      </w:pPr>
      <w:r w:rsidRPr="00AE7A5B">
        <w:rPr>
          <w:rFonts w:eastAsia="Calibri"/>
          <w:szCs w:val="20"/>
        </w:rPr>
        <w:t>[Dowód: akta kontroli str.</w:t>
      </w:r>
      <w:r w:rsidRPr="00AE7A5B">
        <w:rPr>
          <w:szCs w:val="20"/>
          <w:lang w:eastAsia="ar-SA"/>
        </w:rPr>
        <w:t xml:space="preserve"> III/104-106, III/148-156, III/495-496]</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bookmarkStart w:id="35" w:name="_Hlk143186419"/>
      <w:r w:rsidRPr="00AE7A5B">
        <w:rPr>
          <w:rFonts w:cs="Times New Roman"/>
          <w:bCs/>
          <w:szCs w:val="20"/>
        </w:rPr>
        <w:t>w przypadku naboru na stanowisko specjalisty ds. administracyjnych w Dziale Administracyjnym</w:t>
      </w:r>
      <w:bookmarkStart w:id="36" w:name="_Hlk143503141"/>
      <w:r>
        <w:rPr>
          <w:szCs w:val="20"/>
          <w:vertAlign w:val="superscript"/>
        </w:rPr>
        <w:footnoteReference w:id="186"/>
      </w:r>
      <w:bookmarkEnd w:id="36"/>
      <w:r w:rsidRPr="00AE7A5B">
        <w:rPr>
          <w:rFonts w:cs="Times New Roman"/>
          <w:szCs w:val="20"/>
          <w:lang w:eastAsia="ar-SA"/>
        </w:rPr>
        <w:t xml:space="preserve"> </w:t>
      </w:r>
      <w:r w:rsidRPr="00AE7A5B">
        <w:rPr>
          <w:rFonts w:cs="Times New Roman"/>
          <w:bCs/>
          <w:szCs w:val="20"/>
        </w:rPr>
        <w:t xml:space="preserve">nie przedłożono dokumentów potwierdzających powołanie komisji konkursowej. Tym samym nie można potwierdzić, czy został spełniony wymóg </w:t>
      </w:r>
      <w:r w:rsidRPr="00AE7A5B">
        <w:rPr>
          <w:rFonts w:cs="Times New Roman"/>
          <w:bCs/>
          <w:szCs w:val="20"/>
        </w:rPr>
        <w:br/>
        <w:t xml:space="preserve">§ 6 </w:t>
      </w:r>
      <w:r w:rsidRPr="00AE7A5B">
        <w:rPr>
          <w:rFonts w:cs="Times New Roman"/>
          <w:szCs w:val="20"/>
          <w:lang w:bidi="pl-PL"/>
        </w:rPr>
        <w:t>Regulaminu konkursu na stanowiska nienaukowe</w:t>
      </w:r>
      <w:r>
        <w:rPr>
          <w:rFonts w:cs="Times New Roman"/>
          <w:szCs w:val="20"/>
          <w:vertAlign w:val="superscript"/>
          <w:lang w:bidi="pl-PL"/>
        </w:rPr>
        <w:footnoteReference w:id="187"/>
      </w:r>
      <w:r w:rsidRPr="00AE7A5B">
        <w:rPr>
          <w:rFonts w:cs="Times New Roman"/>
          <w:bCs/>
          <w:szCs w:val="20"/>
        </w:rPr>
        <w:t>.</w:t>
      </w:r>
    </w:p>
    <w:p w:rsidR="00AE7A5B" w:rsidRPr="00AE7A5B" w:rsidP="00AE7A5B">
      <w:pPr>
        <w:autoSpaceDE w:val="0"/>
        <w:autoSpaceDN w:val="0"/>
        <w:adjustRightInd w:val="0"/>
        <w:spacing w:before="120" w:after="120" w:line="240" w:lineRule="auto"/>
        <w:ind w:left="284"/>
        <w:jc w:val="left"/>
        <w:rPr>
          <w:rFonts w:cs="Times New Roman"/>
          <w:bCs/>
          <w:szCs w:val="20"/>
        </w:rPr>
      </w:pPr>
      <w:bookmarkEnd w:id="35"/>
      <w:r w:rsidRPr="00AE7A5B">
        <w:rPr>
          <w:rFonts w:eastAsia="Calibri"/>
          <w:szCs w:val="20"/>
        </w:rPr>
        <w:t>[Dowód: akta kontroli str. III/20, III/104-106, III/144-146, III/442-445, III/477, III/495-496]</w:t>
      </w:r>
    </w:p>
    <w:p w:rsidR="00AE7A5B" w:rsidRPr="00AE7A5B" w:rsidP="00AE7A5B">
      <w:pPr>
        <w:autoSpaceDE w:val="0"/>
        <w:autoSpaceDN w:val="0"/>
        <w:adjustRightInd w:val="0"/>
        <w:spacing w:before="120" w:after="0" w:line="240" w:lineRule="auto"/>
        <w:jc w:val="left"/>
        <w:rPr>
          <w:rFonts w:cs="Times New Roman"/>
          <w:bCs/>
          <w:szCs w:val="20"/>
        </w:rPr>
      </w:pPr>
      <w:r w:rsidRPr="00AE7A5B">
        <w:rPr>
          <w:rFonts w:cs="Times New Roman"/>
          <w:bCs/>
          <w:szCs w:val="20"/>
        </w:rPr>
        <w:t>Ponadto stwierdzono, że ogłoszenia dotyczące 3 naborów na stanowiska naukowe</w:t>
      </w:r>
      <w:r>
        <w:rPr>
          <w:rFonts w:cs="Times New Roman"/>
          <w:bCs/>
          <w:szCs w:val="20"/>
          <w:vertAlign w:val="superscript"/>
        </w:rPr>
        <w:footnoteReference w:id="188"/>
      </w:r>
      <w:r w:rsidRPr="00AE7A5B">
        <w:rPr>
          <w:rFonts w:cs="Times New Roman"/>
          <w:bCs/>
          <w:szCs w:val="20"/>
        </w:rPr>
        <w:t xml:space="preserve"> nie zawierały obowiązkowych elementów tj.: oznaczenia konkursu; informacji o możliwości zaproszenia kandydatów na rozmowy kwalifikacyjne; planowanych dat zatrudnienia i okresu trwania umowy o pracę;  terminu rozstrzygnięcia konkursów oraz danych kontaktowych do osób udzielających informacji o konkursach, co było niezgodne z </w:t>
      </w:r>
      <w:r w:rsidRPr="00AE7A5B">
        <w:rPr>
          <w:rFonts w:cs="Times New Roman"/>
          <w:szCs w:val="20"/>
          <w:lang w:eastAsia="ar-SA"/>
        </w:rPr>
        <w:t>§ 7 pkt 2, 8-11 Regulaminu konkursu na stanowiska naukowe</w:t>
      </w:r>
      <w:r>
        <w:rPr>
          <w:rFonts w:cs="Times New Roman"/>
          <w:szCs w:val="20"/>
          <w:vertAlign w:val="superscript"/>
          <w:lang w:eastAsia="ar-SA"/>
        </w:rPr>
        <w:footnoteReference w:id="189"/>
      </w:r>
      <w:r w:rsidRPr="00AE7A5B">
        <w:rPr>
          <w:rFonts w:cs="Times New Roman"/>
          <w:szCs w:val="20"/>
          <w:lang w:eastAsia="ar-SA"/>
        </w:rPr>
        <w:t>.</w:t>
      </w:r>
    </w:p>
    <w:p w:rsidR="00AE7A5B" w:rsidRPr="00AE7A5B" w:rsidP="00AE7A5B">
      <w:pPr>
        <w:tabs>
          <w:tab w:val="left" w:pos="2235"/>
          <w:tab w:val="right" w:pos="7936"/>
        </w:tabs>
        <w:autoSpaceDE w:val="0"/>
        <w:autoSpaceDN w:val="0"/>
        <w:adjustRightInd w:val="0"/>
        <w:spacing w:before="120" w:after="120" w:line="240" w:lineRule="auto"/>
        <w:jc w:val="left"/>
        <w:rPr>
          <w:rFonts w:cs="Times New Roman"/>
          <w:bCs/>
          <w:szCs w:val="20"/>
        </w:rPr>
      </w:pPr>
      <w:r w:rsidRPr="00AE7A5B">
        <w:rPr>
          <w:rFonts w:eastAsia="Calibri"/>
          <w:szCs w:val="20"/>
        </w:rPr>
        <w:t>[Dowód: akta kontroli str.</w:t>
      </w:r>
      <w:r w:rsidRPr="00AE7A5B">
        <w:rPr>
          <w:szCs w:val="20"/>
          <w:lang w:eastAsia="ar-SA"/>
        </w:rPr>
        <w:t xml:space="preserve"> III/104-106, III/149-151, III/154-156, III/159-161, III/164-166, III/495-496]</w:t>
      </w:r>
    </w:p>
    <w:p w:rsidR="00AE7A5B" w:rsidRPr="00AE7A5B" w:rsidP="00AE7A5B">
      <w:pPr>
        <w:spacing w:before="120" w:after="120" w:line="240" w:lineRule="auto"/>
        <w:jc w:val="left"/>
        <w:rPr>
          <w:rFonts w:cs="Times New Roman"/>
          <w:b/>
          <w:bCs/>
          <w:szCs w:val="20"/>
        </w:rPr>
      </w:pPr>
      <w:r w:rsidRPr="00AE7A5B">
        <w:rPr>
          <w:rFonts w:cs="Times New Roman"/>
          <w:b/>
          <w:bCs/>
          <w:szCs w:val="20"/>
        </w:rPr>
        <w:t>Wynagrodzenia</w:t>
      </w:r>
    </w:p>
    <w:p w:rsidR="00AE7A5B" w:rsidRPr="00AE7A5B" w:rsidP="00AE7A5B">
      <w:pPr>
        <w:spacing w:before="120" w:after="0" w:line="240" w:lineRule="auto"/>
        <w:jc w:val="left"/>
        <w:rPr>
          <w:szCs w:val="20"/>
        </w:rPr>
      </w:pPr>
      <w:r w:rsidRPr="00AE7A5B">
        <w:rPr>
          <w:rFonts w:cs="Times New Roman"/>
          <w:szCs w:val="20"/>
          <w:lang w:bidi="pl-PL"/>
        </w:rPr>
        <w:t>Zasady dotyczące wynagradzania pracowników Instytutu określał ZUZP</w:t>
      </w:r>
      <w:r w:rsidRPr="00AE7A5B">
        <w:rPr>
          <w:szCs w:val="20"/>
        </w:rPr>
        <w:t xml:space="preserve"> wraz </w:t>
      </w:r>
      <w:r w:rsidRPr="00AE7A5B">
        <w:rPr>
          <w:szCs w:val="20"/>
        </w:rPr>
        <w:br/>
        <w:t xml:space="preserve">z protokołem dodatkowym nr 1, które były każdorazowo uzgadniane z zakładowymi organizacjami związkowymi. </w:t>
      </w:r>
      <w:r w:rsidRPr="00AE7A5B">
        <w:rPr>
          <w:rFonts w:cs="Times New Roman"/>
          <w:szCs w:val="20"/>
          <w:lang w:bidi="pl-PL"/>
        </w:rPr>
        <w:t xml:space="preserve">W ZUZP określono m.in. </w:t>
      </w:r>
      <w:r w:rsidRPr="00AE7A5B">
        <w:rPr>
          <w:szCs w:val="20"/>
        </w:rPr>
        <w:t>stawki miesięcznego wynagrodzenia zasadniczego dla poszczególnych kategorii zaszeregowania.</w:t>
      </w:r>
    </w:p>
    <w:p w:rsidR="00AE7A5B" w:rsidRPr="00AE7A5B" w:rsidP="00AE7A5B">
      <w:pPr>
        <w:spacing w:before="120" w:after="120" w:line="240" w:lineRule="auto"/>
        <w:jc w:val="left"/>
        <w:rPr>
          <w:rFonts w:cs="Times New Roman"/>
          <w:bCs/>
          <w:sz w:val="24"/>
          <w:szCs w:val="20"/>
        </w:rPr>
      </w:pPr>
      <w:r w:rsidRPr="00AE7A5B">
        <w:rPr>
          <w:rFonts w:eastAsia="Calibri"/>
          <w:szCs w:val="20"/>
        </w:rPr>
        <w:t>[Dowód: akta kontroli str.</w:t>
      </w:r>
      <w:r w:rsidRPr="00AE7A5B">
        <w:rPr>
          <w:szCs w:val="20"/>
          <w:lang w:eastAsia="ar-SA"/>
        </w:rPr>
        <w:t xml:space="preserve"> III/112-143, III/177-185, III/451-454, III/504-505]</w:t>
      </w:r>
    </w:p>
    <w:p w:rsidR="00AE7A5B" w:rsidRPr="00AE7A5B" w:rsidP="00AE7A5B">
      <w:pPr>
        <w:spacing w:before="120" w:after="0" w:line="240" w:lineRule="auto"/>
        <w:jc w:val="left"/>
        <w:rPr>
          <w:rFonts w:cs="Times New Roman"/>
          <w:szCs w:val="20"/>
          <w:lang w:bidi="pl-PL"/>
        </w:rPr>
      </w:pPr>
      <w:r w:rsidRPr="00AE7A5B">
        <w:rPr>
          <w:rFonts w:cs="Times New Roman"/>
          <w:szCs w:val="20"/>
          <w:lang w:bidi="pl-PL"/>
        </w:rPr>
        <w:t xml:space="preserve">W badanym okresie nastąpił wzrost kosztów wynagrodzeń o 2% z 76 825 tys. zł w 2020 r. do 78 395 tys. zł w 2021 r. </w:t>
      </w:r>
    </w:p>
    <w:p w:rsidR="00AE7A5B" w:rsidRPr="00AE7A5B" w:rsidP="00AE7A5B">
      <w:pPr>
        <w:spacing w:before="120" w:after="120" w:line="240" w:lineRule="auto"/>
        <w:jc w:val="left"/>
        <w:rPr>
          <w:rFonts w:cs="Times New Roman"/>
          <w:bCs/>
          <w:sz w:val="24"/>
          <w:szCs w:val="20"/>
        </w:rPr>
      </w:pPr>
      <w:r w:rsidRPr="00AE7A5B">
        <w:rPr>
          <w:rFonts w:eastAsia="Calibri"/>
          <w:szCs w:val="20"/>
        </w:rPr>
        <w:t>[Dowód: akta kontroli str. 84</w:t>
      </w:r>
      <w:r w:rsidRPr="00AE7A5B">
        <w:rPr>
          <w:szCs w:val="20"/>
          <w:lang w:eastAsia="ar-SA"/>
        </w:rPr>
        <w:t>]</w:t>
      </w:r>
    </w:p>
    <w:p w:rsidR="00AE7A5B" w:rsidRPr="00AE7A5B" w:rsidP="00AE7A5B">
      <w:pPr>
        <w:spacing w:before="120" w:after="0" w:line="240" w:lineRule="auto"/>
        <w:jc w:val="left"/>
        <w:rPr>
          <w:rFonts w:cs="Times New Roman"/>
          <w:bCs/>
          <w:szCs w:val="20"/>
        </w:rPr>
      </w:pPr>
      <w:r w:rsidRPr="00AE7A5B">
        <w:rPr>
          <w:szCs w:val="20"/>
        </w:rPr>
        <w:t>Na wybranej próbie 45</w:t>
      </w:r>
      <w:r>
        <w:rPr>
          <w:szCs w:val="20"/>
          <w:vertAlign w:val="superscript"/>
        </w:rPr>
        <w:footnoteReference w:id="190"/>
      </w:r>
      <w:r w:rsidRPr="00AE7A5B">
        <w:rPr>
          <w:szCs w:val="20"/>
        </w:rPr>
        <w:t xml:space="preserve"> z </w:t>
      </w:r>
      <w:r w:rsidRPr="00AE7A5B">
        <w:rPr>
          <w:rFonts w:cs="Times New Roman"/>
          <w:bCs/>
          <w:szCs w:val="20"/>
        </w:rPr>
        <w:t>891</w:t>
      </w:r>
      <w:r w:rsidRPr="00AE7A5B">
        <w:rPr>
          <w:szCs w:val="20"/>
        </w:rPr>
        <w:t xml:space="preserve"> zatrudnionych pracowników stwierdzono, że wynagrodzenie zasadnicze było zgodne z </w:t>
      </w:r>
      <w:r w:rsidRPr="00AE7A5B">
        <w:rPr>
          <w:rFonts w:cs="Times New Roman"/>
          <w:szCs w:val="20"/>
          <w:lang w:eastAsia="ar-SA"/>
        </w:rPr>
        <w:t xml:space="preserve">§ 24 ust. 4 </w:t>
      </w:r>
      <w:r w:rsidRPr="00AE7A5B">
        <w:rPr>
          <w:szCs w:val="20"/>
        </w:rPr>
        <w:t>ZUZP</w:t>
      </w:r>
      <w:r>
        <w:rPr>
          <w:szCs w:val="20"/>
          <w:vertAlign w:val="superscript"/>
        </w:rPr>
        <w:footnoteReference w:id="191"/>
      </w:r>
      <w:r w:rsidRPr="00AE7A5B">
        <w:rPr>
          <w:szCs w:val="20"/>
        </w:rPr>
        <w:t xml:space="preserve">, </w:t>
      </w:r>
      <w:r w:rsidRPr="00AE7A5B">
        <w:rPr>
          <w:rFonts w:cs="Times New Roman"/>
          <w:szCs w:val="20"/>
          <w:lang w:eastAsia="ar-SA"/>
        </w:rPr>
        <w:t xml:space="preserve">w związku z § 1 załącznika </w:t>
      </w:r>
      <w:r w:rsidRPr="00AE7A5B">
        <w:rPr>
          <w:rFonts w:cs="Times New Roman"/>
          <w:szCs w:val="20"/>
          <w:lang w:eastAsia="ar-SA"/>
        </w:rPr>
        <w:br/>
        <w:t xml:space="preserve">nr 5 do ZUZP, </w:t>
      </w:r>
      <w:r w:rsidRPr="00AE7A5B">
        <w:rPr>
          <w:szCs w:val="20"/>
        </w:rPr>
        <w:t>z wyjątkiem 1 pracownika</w:t>
      </w:r>
      <w:r>
        <w:rPr>
          <w:rFonts w:cs="Times New Roman"/>
          <w:bCs/>
          <w:szCs w:val="20"/>
          <w:vertAlign w:val="superscript"/>
        </w:rPr>
        <w:footnoteReference w:id="192"/>
      </w:r>
      <w:r w:rsidRPr="00AE7A5B">
        <w:rPr>
          <w:szCs w:val="20"/>
        </w:rPr>
        <w:t>,</w:t>
      </w:r>
      <w:r w:rsidRPr="00AE7A5B">
        <w:rPr>
          <w:rFonts w:cs="Times New Roman"/>
          <w:bCs/>
          <w:szCs w:val="20"/>
        </w:rPr>
        <w:t xml:space="preserve"> którego wynagrodzenie zasadnicze było wyższe o 500,00 zł od maksymalnej</w:t>
      </w:r>
      <w:r w:rsidRPr="00AE7A5B">
        <w:rPr>
          <w:szCs w:val="20"/>
        </w:rPr>
        <w:t xml:space="preserve"> kwoty wynagrodzenia przewidzianej na tym stanowisku</w:t>
      </w:r>
      <w:r>
        <w:rPr>
          <w:szCs w:val="20"/>
          <w:vertAlign w:val="superscript"/>
        </w:rPr>
        <w:footnoteReference w:id="193"/>
      </w:r>
      <w:r w:rsidRPr="00AE7A5B">
        <w:rPr>
          <w:rFonts w:cs="Times New Roman"/>
          <w:bCs/>
          <w:szCs w:val="20"/>
        </w:rPr>
        <w:t>.</w:t>
      </w:r>
    </w:p>
    <w:p w:rsidR="00AE7A5B" w:rsidRPr="00AE7A5B" w:rsidP="00AE7A5B">
      <w:pPr>
        <w:spacing w:before="120" w:after="120" w:line="240" w:lineRule="auto"/>
        <w:jc w:val="left"/>
        <w:rPr>
          <w:rFonts w:cs="Times New Roman"/>
          <w:bCs/>
          <w:szCs w:val="20"/>
        </w:rPr>
      </w:pPr>
      <w:bookmarkStart w:id="38" w:name="_Hlk142405128"/>
      <w:r w:rsidRPr="00AE7A5B">
        <w:rPr>
          <w:rFonts w:eastAsia="Calibri"/>
          <w:szCs w:val="20"/>
        </w:rPr>
        <w:t>[Dowód: akta kontroli str.</w:t>
      </w:r>
      <w:r w:rsidRPr="00AE7A5B">
        <w:rPr>
          <w:szCs w:val="20"/>
          <w:lang w:eastAsia="ar-SA"/>
        </w:rPr>
        <w:t xml:space="preserve"> III/82-99, </w:t>
      </w:r>
      <w:bookmarkStart w:id="39" w:name="_Hlk142407051"/>
      <w:r w:rsidRPr="00AE7A5B">
        <w:rPr>
          <w:szCs w:val="20"/>
          <w:lang w:eastAsia="ar-SA"/>
        </w:rPr>
        <w:t>III/112-143</w:t>
      </w:r>
      <w:bookmarkEnd w:id="39"/>
      <w:r w:rsidRPr="00AE7A5B">
        <w:rPr>
          <w:szCs w:val="20"/>
          <w:lang w:eastAsia="ar-SA"/>
        </w:rPr>
        <w:t>, III/177-185, III/504-505, III/510-525]</w:t>
      </w:r>
    </w:p>
    <w:p w:rsidR="00AE7A5B" w:rsidRPr="00AE7A5B" w:rsidP="00AE7A5B">
      <w:pPr>
        <w:spacing w:after="120" w:line="240" w:lineRule="auto"/>
        <w:jc w:val="left"/>
        <w:rPr>
          <w:lang w:eastAsia="ar-SA"/>
        </w:rPr>
      </w:pPr>
      <w:bookmarkEnd w:id="38"/>
      <w:r w:rsidRPr="00AE7A5B">
        <w:rPr>
          <w:rFonts w:cs="Times New Roman"/>
          <w:bCs/>
          <w:szCs w:val="20"/>
        </w:rPr>
        <w:t xml:space="preserve">Dodatkowo ustalono, że </w:t>
      </w:r>
      <w:r w:rsidRPr="00AE7A5B">
        <w:t>2</w:t>
      </w:r>
      <w:r>
        <w:rPr>
          <w:rFonts w:cs="Times New Roman"/>
          <w:bCs/>
          <w:szCs w:val="20"/>
          <w:vertAlign w:val="superscript"/>
        </w:rPr>
        <w:footnoteReference w:id="194"/>
      </w:r>
      <w:r w:rsidRPr="00AE7A5B">
        <w:t xml:space="preserve"> pracowników PIG nie było zakwalifikowanych do żadnej </w:t>
      </w:r>
      <w:r w:rsidRPr="00AE7A5B">
        <w:br/>
        <w:t xml:space="preserve">z kategorii zaszeregowania, stanowiących podstawę do ustalenia wynagrodzenia zasadniczego, co było niezgodne z </w:t>
      </w:r>
      <w:r w:rsidRPr="00AE7A5B">
        <w:rPr>
          <w:lang w:eastAsia="ar-SA"/>
        </w:rPr>
        <w:t>§ 24 ust. 4 ZUZP</w:t>
      </w:r>
      <w:r>
        <w:rPr>
          <w:rFonts w:cs="Times New Roman"/>
          <w:szCs w:val="20"/>
          <w:vertAlign w:val="superscript"/>
          <w:lang w:eastAsia="ar-SA"/>
        </w:rPr>
        <w:footnoteReference w:id="195"/>
      </w:r>
      <w:r w:rsidRPr="00AE7A5B">
        <w:rPr>
          <w:lang w:eastAsia="ar-SA"/>
        </w:rPr>
        <w:t xml:space="preserve">. </w:t>
      </w:r>
    </w:p>
    <w:p w:rsidR="00AE7A5B" w:rsidRPr="00AE7A5B" w:rsidP="00AE7A5B">
      <w:pPr>
        <w:autoSpaceDE w:val="0"/>
        <w:autoSpaceDN w:val="0"/>
        <w:adjustRightInd w:val="0"/>
        <w:spacing w:before="120" w:after="0" w:line="240" w:lineRule="auto"/>
        <w:jc w:val="left"/>
        <w:rPr>
          <w:rFonts w:cs="Times New Roman"/>
          <w:szCs w:val="20"/>
          <w:lang w:eastAsia="ar-SA"/>
        </w:rPr>
      </w:pPr>
      <w:r w:rsidRPr="00AE7A5B">
        <w:rPr>
          <w:rFonts w:cs="Times New Roman"/>
          <w:szCs w:val="20"/>
          <w:lang w:eastAsia="ar-SA"/>
        </w:rPr>
        <w:t>Kierownik Działu Spraw Personalnych wyjaśnił</w:t>
      </w:r>
      <w:r>
        <w:rPr>
          <w:rFonts w:cs="Times New Roman"/>
          <w:szCs w:val="20"/>
          <w:vertAlign w:val="superscript"/>
          <w:lang w:eastAsia="ar-SA"/>
        </w:rPr>
        <w:footnoteReference w:id="196"/>
      </w:r>
      <w:r w:rsidRPr="00AE7A5B">
        <w:rPr>
          <w:rFonts w:cs="Times New Roman"/>
          <w:szCs w:val="20"/>
          <w:lang w:eastAsia="ar-SA"/>
        </w:rPr>
        <w:t>, że pracownicy powinni mieć przyporządkowaną grupę C, ale w obliczu wzrostu płacy minimalnej zaszeregowanie ich do tej grupy oznaczałoby, że ich wynagrodzenia przekroczyłyby limit. Dyrektor zaś wyjaśnił</w:t>
      </w:r>
      <w:r>
        <w:rPr>
          <w:rFonts w:cs="Times New Roman"/>
          <w:szCs w:val="20"/>
          <w:vertAlign w:val="superscript"/>
          <w:lang w:eastAsia="ar-SA"/>
        </w:rPr>
        <w:footnoteReference w:id="197"/>
      </w:r>
      <w:r w:rsidRPr="00AE7A5B">
        <w:rPr>
          <w:rFonts w:cs="Times New Roman"/>
          <w:szCs w:val="20"/>
          <w:lang w:eastAsia="ar-SA"/>
        </w:rPr>
        <w:t>, że pracownicy powinni zostać przyporządkowani do grupy 2A oraz poinformował, że omyłka zostanie usunięta.</w:t>
      </w:r>
    </w:p>
    <w:p w:rsidR="00AE7A5B" w:rsidRPr="00AE7A5B" w:rsidP="00AE7A5B">
      <w:pPr>
        <w:autoSpaceDE w:val="0"/>
        <w:autoSpaceDN w:val="0"/>
        <w:adjustRightInd w:val="0"/>
        <w:spacing w:before="120" w:after="0" w:line="240" w:lineRule="auto"/>
        <w:jc w:val="left"/>
        <w:rPr>
          <w:rFonts w:cs="Times New Roman"/>
          <w:szCs w:val="20"/>
          <w:lang w:eastAsia="ar-SA"/>
        </w:rPr>
      </w:pPr>
      <w:r w:rsidRPr="00AE7A5B">
        <w:rPr>
          <w:rFonts w:cs="Times New Roman"/>
          <w:szCs w:val="20"/>
          <w:lang w:eastAsia="ar-SA"/>
        </w:rPr>
        <w:t>Biorąc pod uwagę powyższe wyjaśnienia Dyrektora ustalono, że wynagrodzenie zasadnicze jednego pracownika</w:t>
      </w:r>
      <w:r>
        <w:rPr>
          <w:rFonts w:cs="Times New Roman"/>
          <w:szCs w:val="20"/>
          <w:vertAlign w:val="superscript"/>
          <w:lang w:eastAsia="ar-SA"/>
        </w:rPr>
        <w:footnoteReference w:id="198"/>
      </w:r>
      <w:r w:rsidRPr="00AE7A5B">
        <w:rPr>
          <w:rFonts w:cs="Times New Roman"/>
          <w:szCs w:val="20"/>
          <w:lang w:eastAsia="ar-SA"/>
        </w:rPr>
        <w:t xml:space="preserve"> było wyższe o 900,00 zł, a drugiego pracownika</w:t>
      </w:r>
      <w:r>
        <w:rPr>
          <w:rFonts w:cs="Times New Roman"/>
          <w:szCs w:val="20"/>
          <w:vertAlign w:val="superscript"/>
          <w:lang w:eastAsia="ar-SA"/>
        </w:rPr>
        <w:footnoteReference w:id="199"/>
      </w:r>
      <w:r w:rsidRPr="00AE7A5B">
        <w:rPr>
          <w:rFonts w:cs="Times New Roman"/>
          <w:szCs w:val="20"/>
          <w:lang w:eastAsia="ar-SA"/>
        </w:rPr>
        <w:t xml:space="preserve"> było wyższe </w:t>
      </w:r>
      <w:r w:rsidRPr="00AE7A5B">
        <w:rPr>
          <w:rFonts w:cs="Times New Roman"/>
          <w:szCs w:val="20"/>
          <w:lang w:eastAsia="ar-SA"/>
        </w:rPr>
        <w:br/>
        <w:t xml:space="preserve">o 1 000,00 zł </w:t>
      </w:r>
      <w:r w:rsidRPr="00AE7A5B">
        <w:rPr>
          <w:rFonts w:cs="Times New Roman"/>
          <w:bCs/>
          <w:szCs w:val="20"/>
        </w:rPr>
        <w:t>od maksymalnej</w:t>
      </w:r>
      <w:r w:rsidRPr="00AE7A5B">
        <w:rPr>
          <w:szCs w:val="20"/>
        </w:rPr>
        <w:t xml:space="preserve"> kwoty wynagrodzenia przewidzianej dla grupy A kategorii </w:t>
      </w:r>
      <w:r w:rsidRPr="00AE7A5B">
        <w:rPr>
          <w:szCs w:val="20"/>
        </w:rPr>
        <w:br/>
        <w:t xml:space="preserve">2 tabeli płac określonej w </w:t>
      </w:r>
      <w:r w:rsidRPr="00AE7A5B">
        <w:rPr>
          <w:rFonts w:cs="Times New Roman"/>
          <w:szCs w:val="20"/>
          <w:lang w:eastAsia="ar-SA"/>
        </w:rPr>
        <w:t xml:space="preserve">§ 1 załącznika nr 5 do ZUZP. </w:t>
      </w:r>
    </w:p>
    <w:p w:rsidR="00AE7A5B" w:rsidRPr="00AE7A5B" w:rsidP="00AE7A5B">
      <w:pPr>
        <w:autoSpaceDE w:val="0"/>
        <w:autoSpaceDN w:val="0"/>
        <w:adjustRightInd w:val="0"/>
        <w:spacing w:before="120" w:after="120" w:line="240" w:lineRule="auto"/>
        <w:jc w:val="left"/>
        <w:rPr>
          <w:rFonts w:cs="Times New Roman"/>
          <w:szCs w:val="20"/>
          <w:lang w:eastAsia="ar-SA"/>
        </w:rPr>
      </w:pPr>
      <w:bookmarkStart w:id="41" w:name="_Hlk142406794"/>
      <w:r w:rsidRPr="00AE7A5B">
        <w:rPr>
          <w:rFonts w:eastAsia="Calibri"/>
          <w:szCs w:val="20"/>
        </w:rPr>
        <w:t>[Dowód: akta kontroli str.</w:t>
      </w:r>
      <w:r w:rsidRPr="00AE7A5B">
        <w:rPr>
          <w:szCs w:val="20"/>
          <w:lang w:eastAsia="ar-SA"/>
        </w:rPr>
        <w:t xml:space="preserve"> III/82-99, III/112-143, III/186-187</w:t>
      </w:r>
      <w:r w:rsidRPr="00AE7A5B">
        <w:rPr>
          <w:rFonts w:eastAsia="Calibri"/>
          <w:szCs w:val="20"/>
        </w:rPr>
        <w:t>, III/211-212, III/473-474, III/504-505</w:t>
      </w:r>
      <w:r w:rsidRPr="00AE7A5B">
        <w:rPr>
          <w:szCs w:val="20"/>
          <w:lang w:eastAsia="ar-SA"/>
        </w:rPr>
        <w:t>]</w:t>
      </w:r>
    </w:p>
    <w:p w:rsidR="00AE7A5B" w:rsidRPr="00AE7A5B" w:rsidP="00AE7A5B">
      <w:pPr>
        <w:spacing w:after="0" w:line="240" w:lineRule="auto"/>
        <w:jc w:val="left"/>
        <w:rPr>
          <w:rFonts w:cs="Times New Roman"/>
          <w:szCs w:val="20"/>
          <w:lang w:bidi="pl-PL"/>
        </w:rPr>
      </w:pPr>
      <w:bookmarkEnd w:id="41"/>
      <w:r w:rsidRPr="00AE7A5B">
        <w:rPr>
          <w:rFonts w:cs="Times New Roman"/>
          <w:szCs w:val="20"/>
          <w:lang w:bidi="pl-PL"/>
        </w:rPr>
        <w:t xml:space="preserve">Wynagrodzenie </w:t>
      </w:r>
      <w:r w:rsidRPr="00AE7A5B">
        <w:rPr>
          <w:rFonts w:cs="Times New Roman"/>
          <w:iCs/>
          <w:szCs w:val="20"/>
          <w:lang w:bidi="pl-PL"/>
        </w:rPr>
        <w:t xml:space="preserve">Dyrektora, Zastępców Dyrektora, a także Głównej Księgowej mieściło się </w:t>
      </w:r>
      <w:r w:rsidRPr="00AE7A5B">
        <w:rPr>
          <w:rFonts w:cs="Times New Roman"/>
          <w:iCs/>
          <w:szCs w:val="20"/>
          <w:lang w:bidi="pl-PL"/>
        </w:rPr>
        <w:br/>
        <w:t>w limitach określonych w ustawie z 3 marca 2000 r. o wynagradzaniu osób kierujących niektórymi podmiotami prawnymi</w:t>
      </w:r>
      <w:r>
        <w:rPr>
          <w:rFonts w:cs="Times New Roman"/>
          <w:iCs/>
          <w:szCs w:val="20"/>
          <w:vertAlign w:val="superscript"/>
          <w:lang w:bidi="pl-PL"/>
        </w:rPr>
        <w:footnoteReference w:id="200"/>
      </w:r>
      <w:r w:rsidRPr="00AE7A5B">
        <w:rPr>
          <w:rFonts w:cs="Times New Roman"/>
          <w:iCs/>
          <w:szCs w:val="20"/>
          <w:lang w:bidi="pl-PL"/>
        </w:rPr>
        <w:t>.</w:t>
      </w:r>
      <w:r w:rsidRPr="00AE7A5B">
        <w:rPr>
          <w:rFonts w:cs="Times New Roman"/>
          <w:szCs w:val="20"/>
          <w:lang w:bidi="pl-PL"/>
        </w:rPr>
        <w:t xml:space="preserve"> </w:t>
      </w:r>
    </w:p>
    <w:p w:rsidR="00AE7A5B" w:rsidRPr="00AE7A5B" w:rsidP="00AE7A5B">
      <w:pPr>
        <w:spacing w:before="120" w:after="120" w:line="240" w:lineRule="auto"/>
        <w:jc w:val="left"/>
        <w:rPr>
          <w:rFonts w:cs="Times New Roman"/>
          <w:szCs w:val="20"/>
        </w:rPr>
      </w:pPr>
      <w:r w:rsidRPr="00AE7A5B">
        <w:rPr>
          <w:rFonts w:eastAsia="Calibri"/>
          <w:szCs w:val="20"/>
        </w:rPr>
        <w:t>[Dowód: akta kontroli str.</w:t>
      </w:r>
      <w:r w:rsidRPr="00AE7A5B">
        <w:rPr>
          <w:szCs w:val="20"/>
          <w:lang w:eastAsia="ar-SA"/>
        </w:rPr>
        <w:t xml:space="preserve"> III/455-461, III/504-505, III/510-525]</w:t>
      </w:r>
    </w:p>
    <w:p w:rsidR="00AE7A5B" w:rsidRPr="00AE7A5B" w:rsidP="00AE7A5B">
      <w:pPr>
        <w:spacing w:before="120" w:after="0" w:line="240" w:lineRule="auto"/>
        <w:jc w:val="left"/>
        <w:rPr>
          <w:rFonts w:cs="Times New Roman"/>
          <w:b/>
          <w:bCs/>
          <w:szCs w:val="20"/>
        </w:rPr>
      </w:pPr>
      <w:r w:rsidRPr="00AE7A5B">
        <w:rPr>
          <w:rFonts w:cs="Times New Roman"/>
          <w:b/>
          <w:bCs/>
          <w:szCs w:val="20"/>
        </w:rPr>
        <w:t>Zakaz konkurencji oraz dodatkowe zatrudnienie</w:t>
      </w:r>
    </w:p>
    <w:p w:rsidR="00AE7A5B" w:rsidRPr="00AE7A5B" w:rsidP="00AE7A5B">
      <w:pPr>
        <w:spacing w:before="120" w:after="0" w:line="240" w:lineRule="auto"/>
        <w:jc w:val="left"/>
        <w:rPr>
          <w:szCs w:val="20"/>
        </w:rPr>
      </w:pPr>
      <w:r w:rsidRPr="00AE7A5B">
        <w:rPr>
          <w:rFonts w:cs="Times New Roman"/>
          <w:szCs w:val="20"/>
        </w:rPr>
        <w:t>Na próbie 10</w:t>
      </w:r>
      <w:r>
        <w:rPr>
          <w:rFonts w:cs="Times New Roman"/>
          <w:szCs w:val="20"/>
          <w:vertAlign w:val="superscript"/>
        </w:rPr>
        <w:footnoteReference w:id="201"/>
      </w:r>
      <w:r w:rsidRPr="00AE7A5B">
        <w:rPr>
          <w:rFonts w:cs="Times New Roman"/>
          <w:szCs w:val="20"/>
        </w:rPr>
        <w:t xml:space="preserve"> z 610 pracowników naukowych, badawczo-technicznych i inżynieryjno-technicznych</w:t>
      </w:r>
      <w:r>
        <w:rPr>
          <w:rFonts w:cs="Times New Roman"/>
          <w:szCs w:val="20"/>
          <w:vertAlign w:val="superscript"/>
        </w:rPr>
        <w:footnoteReference w:id="202"/>
      </w:r>
      <w:r w:rsidRPr="00AE7A5B">
        <w:rPr>
          <w:rFonts w:cs="Times New Roman"/>
          <w:szCs w:val="20"/>
        </w:rPr>
        <w:t xml:space="preserve"> </w:t>
      </w:r>
      <w:r w:rsidRPr="00AE7A5B">
        <w:rPr>
          <w:szCs w:val="20"/>
        </w:rPr>
        <w:t>ustalono, że z pracownikami zawarto umowy o zakazie prowadzenia działalności konkurencyjnej w trakcie trwania stosunku pracy, zgodnie z art. 47 ust. 5 i 7 ustawy o instytutach badawczych. Umowy o zakazie konkurencji zostały zawarte również z Dyrektorem, Zastępcami Dyrektora oraz Główną Księgową, stosownie do art. 28 ust. 3 i 5 ustawy o instytutach badawczych.</w:t>
      </w:r>
    </w:p>
    <w:p w:rsidR="00AE7A5B" w:rsidRPr="00AE7A5B" w:rsidP="00AE7A5B">
      <w:pPr>
        <w:spacing w:before="120" w:after="120" w:line="240" w:lineRule="auto"/>
        <w:jc w:val="left"/>
        <w:rPr>
          <w:rFonts w:cs="Times New Roman"/>
          <w:szCs w:val="20"/>
        </w:rPr>
      </w:pPr>
      <w:r w:rsidRPr="00AE7A5B">
        <w:rPr>
          <w:rFonts w:eastAsia="Calibri"/>
          <w:szCs w:val="20"/>
        </w:rPr>
        <w:t>[Dowód: akta kontroli str.</w:t>
      </w:r>
      <w:r w:rsidRPr="00AE7A5B">
        <w:rPr>
          <w:szCs w:val="20"/>
          <w:lang w:eastAsia="ar-SA"/>
        </w:rPr>
        <w:t xml:space="preserve"> 149, III/492-493, III/510-525]</w:t>
      </w:r>
    </w:p>
    <w:p w:rsidR="00AE7A5B" w:rsidRPr="00AE7A5B" w:rsidP="00AE7A5B">
      <w:pPr>
        <w:spacing w:before="120" w:after="0" w:line="240" w:lineRule="auto"/>
        <w:jc w:val="left"/>
        <w:rPr>
          <w:rFonts w:eastAsia="Calibri" w:cs="Times New Roman"/>
          <w:szCs w:val="20"/>
        </w:rPr>
      </w:pPr>
      <w:r w:rsidRPr="00AE7A5B">
        <w:rPr>
          <w:rFonts w:eastAsia="Calibri" w:cs="Times New Roman"/>
          <w:szCs w:val="20"/>
        </w:rPr>
        <w:t xml:space="preserve">Zasady dotyczące podejmowania dodatkowego zatrudnienia lub prowadzenia działalności gospodarczej zostały określone w </w:t>
      </w:r>
      <w:bookmarkStart w:id="42" w:name="_Hlk146093267"/>
      <w:r w:rsidRPr="00AE7A5B">
        <w:rPr>
          <w:rFonts w:eastAsia="Calibri" w:cs="Times New Roman"/>
          <w:szCs w:val="20"/>
        </w:rPr>
        <w:t>zarządzeniu o dodatkowym zatrudnieniu</w:t>
      </w:r>
      <w:bookmarkEnd w:id="42"/>
      <w:r>
        <w:rPr>
          <w:rFonts w:eastAsia="Calibri" w:cs="Times New Roman"/>
          <w:szCs w:val="20"/>
          <w:vertAlign w:val="superscript"/>
        </w:rPr>
        <w:footnoteReference w:id="203"/>
      </w:r>
      <w:r w:rsidRPr="00AE7A5B">
        <w:rPr>
          <w:rFonts w:eastAsia="Calibri" w:cs="Times New Roman"/>
          <w:szCs w:val="20"/>
        </w:rPr>
        <w:t xml:space="preserve">. </w:t>
      </w:r>
    </w:p>
    <w:p w:rsidR="00AE7A5B" w:rsidRPr="00AE7A5B" w:rsidP="00AE7A5B">
      <w:pPr>
        <w:spacing w:before="120" w:after="120" w:line="240" w:lineRule="auto"/>
        <w:jc w:val="left"/>
        <w:rPr>
          <w:rFonts w:cs="Times New Roman"/>
          <w:szCs w:val="20"/>
          <w:lang w:bidi="pl-PL"/>
        </w:rPr>
      </w:pPr>
      <w:r w:rsidRPr="00AE7A5B">
        <w:rPr>
          <w:rFonts w:cs="Times New Roman"/>
          <w:szCs w:val="20"/>
          <w:lang w:bidi="pl-PL"/>
        </w:rPr>
        <w:t>Na próbie 4 osób nowozatrudnionych</w:t>
      </w:r>
      <w:r>
        <w:rPr>
          <w:szCs w:val="20"/>
          <w:vertAlign w:val="superscript"/>
        </w:rPr>
        <w:footnoteReference w:id="204"/>
      </w:r>
      <w:r w:rsidRPr="00AE7A5B">
        <w:rPr>
          <w:rFonts w:cs="Times New Roman"/>
          <w:szCs w:val="20"/>
          <w:lang w:bidi="pl-PL"/>
        </w:rPr>
        <w:t xml:space="preserve"> ustalono brak złożenia przez pracowników oświadczeń o zapoznaniu m. in.  z Regulaminem pracy, co było niezgodne z </w:t>
      </w:r>
      <w:r w:rsidRPr="00AE7A5B">
        <w:rPr>
          <w:bCs/>
          <w:iCs/>
          <w:szCs w:val="20"/>
        </w:rPr>
        <w:t xml:space="preserve">§ 3 pkt 2 </w:t>
      </w:r>
      <w:r w:rsidRPr="00AE7A5B">
        <w:rPr>
          <w:bCs/>
          <w:iCs/>
          <w:szCs w:val="20"/>
        </w:rPr>
        <w:br/>
      </w:r>
      <w:r w:rsidRPr="00AE7A5B">
        <w:rPr>
          <w:bCs/>
          <w:iCs/>
          <w:szCs w:val="20"/>
        </w:rPr>
        <w:t>ppkt</w:t>
      </w:r>
      <w:r w:rsidRPr="00AE7A5B">
        <w:rPr>
          <w:bCs/>
          <w:iCs/>
          <w:szCs w:val="20"/>
        </w:rPr>
        <w:t xml:space="preserve"> e)</w:t>
      </w:r>
      <w:r>
        <w:rPr>
          <w:bCs/>
          <w:iCs/>
          <w:szCs w:val="20"/>
          <w:vertAlign w:val="superscript"/>
        </w:rPr>
        <w:footnoteReference w:id="205"/>
      </w:r>
      <w:r w:rsidRPr="00AE7A5B">
        <w:rPr>
          <w:bCs/>
          <w:iCs/>
          <w:szCs w:val="20"/>
        </w:rPr>
        <w:t xml:space="preserve"> rozporządzenia </w:t>
      </w:r>
      <w:r w:rsidRPr="00AE7A5B">
        <w:rPr>
          <w:bCs/>
          <w:iCs/>
          <w:szCs w:val="20"/>
        </w:rPr>
        <w:t>ws</w:t>
      </w:r>
      <w:r w:rsidRPr="00AE7A5B">
        <w:rPr>
          <w:bCs/>
          <w:iCs/>
          <w:szCs w:val="20"/>
        </w:rPr>
        <w:t xml:space="preserve">. dokumentacji pracowniczej.   </w:t>
      </w:r>
    </w:p>
    <w:p w:rsidR="00AE7A5B" w:rsidRPr="00AE7A5B" w:rsidP="00AE7A5B">
      <w:pPr>
        <w:spacing w:before="120" w:after="120" w:line="240" w:lineRule="auto"/>
        <w:jc w:val="left"/>
        <w:rPr>
          <w:rFonts w:cs="Times New Roman"/>
          <w:szCs w:val="20"/>
        </w:rPr>
      </w:pPr>
      <w:r w:rsidRPr="00AE7A5B">
        <w:rPr>
          <w:rFonts w:eastAsia="Calibri"/>
          <w:szCs w:val="20"/>
        </w:rPr>
        <w:t>[Dowód: akta kontroli str.</w:t>
      </w:r>
      <w:r w:rsidRPr="00AE7A5B">
        <w:rPr>
          <w:szCs w:val="20"/>
          <w:lang w:eastAsia="ar-SA"/>
        </w:rPr>
        <w:t xml:space="preserve"> III/104-106, III/215, III/478-485, III/492-493, IV/229-237]</w:t>
      </w:r>
    </w:p>
    <w:p w:rsidR="00AE7A5B" w:rsidRPr="00AE7A5B" w:rsidP="00AE7A5B">
      <w:pPr>
        <w:spacing w:after="0" w:line="240" w:lineRule="auto"/>
        <w:jc w:val="left"/>
        <w:rPr>
          <w:rFonts w:eastAsia="Times New Roman" w:cs="Times New Roman"/>
          <w:szCs w:val="20"/>
          <w:lang w:eastAsia="pl-PL"/>
        </w:rPr>
      </w:pPr>
      <w:r w:rsidRPr="00AE7A5B">
        <w:rPr>
          <w:rFonts w:eastAsia="Times New Roman" w:cs="Times New Roman"/>
          <w:szCs w:val="20"/>
          <w:lang w:eastAsia="pl-PL"/>
        </w:rPr>
        <w:t>Zgodnie z wykazem z 7 lutego 2023 r., pracowników, którzy uzyskali zgodę na dodatkowe zatrudnienie lub działalność gospodarczą w okresie objętym kontrolą było 44. Jak ustalono, 43 osoby miały obowiązującą zgodę na dodatkowe zatrudnienie w kontrolowanym okresie, zaś 1</w:t>
      </w:r>
      <w:r>
        <w:rPr>
          <w:rFonts w:eastAsia="Times New Roman" w:cs="Times New Roman"/>
          <w:szCs w:val="20"/>
          <w:vertAlign w:val="superscript"/>
          <w:lang w:eastAsia="pl-PL"/>
        </w:rPr>
        <w:footnoteReference w:id="206"/>
      </w:r>
      <w:r w:rsidRPr="00AE7A5B">
        <w:rPr>
          <w:rFonts w:eastAsia="Times New Roman" w:cs="Times New Roman"/>
          <w:szCs w:val="20"/>
          <w:lang w:eastAsia="pl-PL"/>
        </w:rPr>
        <w:t xml:space="preserve"> pracownik takiej zgody nie miał, a przedłożona kontrolującym zgoda na wniosku obowiązywała tylko do 30 czerwca 2011 r. </w:t>
      </w:r>
    </w:p>
    <w:p w:rsidR="00AE7A5B" w:rsidRPr="00AE7A5B" w:rsidP="00AE7A5B">
      <w:pPr>
        <w:spacing w:before="120" w:after="0" w:line="240" w:lineRule="auto"/>
        <w:jc w:val="left"/>
        <w:rPr>
          <w:szCs w:val="20"/>
        </w:rPr>
      </w:pPr>
      <w:r w:rsidRPr="00AE7A5B">
        <w:rPr>
          <w:rFonts w:cs="Times New Roman"/>
          <w:szCs w:val="20"/>
        </w:rPr>
        <w:t>W świetle art. 47 ust. 1, w związku z ust. 7 ustawy o instytutach badawczych</w:t>
      </w:r>
      <w:r w:rsidRPr="00AE7A5B">
        <w:rPr>
          <w:szCs w:val="20"/>
        </w:rPr>
        <w:t xml:space="preserve">, </w:t>
      </w:r>
      <w:r w:rsidRPr="00AE7A5B">
        <w:rPr>
          <w:rFonts w:cs="Times New Roman"/>
          <w:szCs w:val="20"/>
        </w:rPr>
        <w:t xml:space="preserve">wykonywanie dodatkowego zatrudnienia bez zgody Dyrektora </w:t>
      </w:r>
      <w:r w:rsidRPr="00AE7A5B">
        <w:rPr>
          <w:szCs w:val="20"/>
        </w:rPr>
        <w:t xml:space="preserve">stanowi podstawę do rozwiązania stosunku pracy za wypowiedzeniem w Instytucie będącym podstawowym miejscem pracy. Zgodnie z § 2 ust. 1 zarządzenia o dodatkowym zatrudnieniu, w przypadku podjęcia dodatkowego zatrudnienia lub prowadzenia działalności gospodarczej pracownicy Instytutu zatrudnieni m.in. na stanowisku inżynieryjno-technicznym zobowiązani byli do uzyskania zgody Dyrektora na dodatkowe zatrudnienie. </w:t>
      </w:r>
    </w:p>
    <w:p w:rsidR="00AE7A5B" w:rsidRPr="00AE7A5B" w:rsidP="00AE7A5B">
      <w:pPr>
        <w:spacing w:before="120" w:after="120" w:line="240" w:lineRule="auto"/>
        <w:jc w:val="left"/>
        <w:rPr>
          <w:rFonts w:cs="Times New Roman"/>
          <w:szCs w:val="20"/>
        </w:rPr>
      </w:pPr>
      <w:bookmarkStart w:id="43" w:name="_Hlk142410516"/>
      <w:r w:rsidRPr="00AE7A5B">
        <w:rPr>
          <w:rFonts w:eastAsia="Calibri"/>
          <w:szCs w:val="20"/>
        </w:rPr>
        <w:t>[Dowód: akta kontroli str.</w:t>
      </w:r>
      <w:r w:rsidRPr="00AE7A5B">
        <w:rPr>
          <w:szCs w:val="20"/>
          <w:lang w:eastAsia="ar-SA"/>
        </w:rPr>
        <w:t xml:space="preserve"> III/82-99, III/213-216, III/492-493]</w:t>
      </w:r>
    </w:p>
    <w:p w:rsidR="00AE7A5B" w:rsidRPr="00AE7A5B" w:rsidP="00AE7A5B">
      <w:pPr>
        <w:spacing w:before="120" w:after="0" w:line="240" w:lineRule="auto"/>
        <w:jc w:val="left"/>
        <w:rPr>
          <w:rFonts w:cs="Times New Roman"/>
          <w:szCs w:val="20"/>
        </w:rPr>
      </w:pPr>
      <w:bookmarkEnd w:id="43"/>
      <w:r w:rsidRPr="00AE7A5B">
        <w:rPr>
          <w:szCs w:val="20"/>
        </w:rPr>
        <w:t xml:space="preserve">Na próbie </w:t>
      </w:r>
      <w:r w:rsidRPr="00AE7A5B">
        <w:rPr>
          <w:rFonts w:cs="Times New Roman"/>
          <w:szCs w:val="20"/>
        </w:rPr>
        <w:t>10 pracowników</w:t>
      </w:r>
      <w:r>
        <w:rPr>
          <w:rFonts w:cs="Times New Roman"/>
          <w:szCs w:val="20"/>
          <w:vertAlign w:val="superscript"/>
        </w:rPr>
        <w:footnoteReference w:id="207"/>
      </w:r>
      <w:r w:rsidRPr="00AE7A5B">
        <w:rPr>
          <w:rFonts w:cs="Times New Roman"/>
          <w:szCs w:val="20"/>
        </w:rPr>
        <w:t>, którzy uzyskali zgodę na dodatkowe zatrudnienie ustalono, że 5</w:t>
      </w:r>
      <w:r>
        <w:rPr>
          <w:rFonts w:cs="Times New Roman"/>
          <w:szCs w:val="20"/>
          <w:vertAlign w:val="superscript"/>
        </w:rPr>
        <w:footnoteReference w:id="208"/>
      </w:r>
      <w:r w:rsidRPr="00AE7A5B">
        <w:rPr>
          <w:rFonts w:cs="Times New Roman"/>
          <w:szCs w:val="20"/>
        </w:rPr>
        <w:t xml:space="preserve"> wniosków o dodatkowe zatrudnienia nie było zgodnych z wzorem stanowiącym załącznik nr 7 do zarządzenia o dodatkowym zatrudnieniu, tj. brak było informacji w jakim okresie będzie wykonywane dodatkowe zatrudnienie</w:t>
      </w:r>
      <w:r>
        <w:rPr>
          <w:rFonts w:cs="Times New Roman"/>
          <w:szCs w:val="20"/>
          <w:vertAlign w:val="superscript"/>
        </w:rPr>
        <w:footnoteReference w:id="209"/>
      </w:r>
      <w:r w:rsidRPr="00AE7A5B">
        <w:rPr>
          <w:rFonts w:cs="Times New Roman"/>
          <w:szCs w:val="20"/>
        </w:rPr>
        <w:t>, brak było informacji o numerze ORCID i dziedzinie nauki</w:t>
      </w:r>
      <w:r>
        <w:rPr>
          <w:rFonts w:cs="Times New Roman"/>
          <w:szCs w:val="20"/>
          <w:vertAlign w:val="superscript"/>
        </w:rPr>
        <w:footnoteReference w:id="210"/>
      </w:r>
      <w:r w:rsidRPr="00AE7A5B">
        <w:rPr>
          <w:rFonts w:cs="Times New Roman"/>
          <w:szCs w:val="20"/>
        </w:rPr>
        <w:t>. Ponadto na wniosku z 4 października 2021 r.</w:t>
      </w:r>
      <w:r>
        <w:rPr>
          <w:rFonts w:cs="Times New Roman"/>
          <w:szCs w:val="20"/>
          <w:vertAlign w:val="superscript"/>
        </w:rPr>
        <w:footnoteReference w:id="211"/>
      </w:r>
      <w:r w:rsidRPr="00AE7A5B">
        <w:rPr>
          <w:rFonts w:cs="Times New Roman"/>
          <w:szCs w:val="20"/>
        </w:rPr>
        <w:t xml:space="preserve"> brak było </w:t>
      </w:r>
      <w:r w:rsidRPr="00AE7A5B">
        <w:rPr>
          <w:rFonts w:cs="Times New Roman"/>
          <w:szCs w:val="20"/>
        </w:rPr>
        <w:t xml:space="preserve">jednoznacznej informacji, czy Dyrektor wyraził lub nie wyraził zgody na prowadzenie działalności gospodarczej. </w:t>
      </w:r>
    </w:p>
    <w:p w:rsidR="00AE7A5B" w:rsidRPr="00AE7A5B" w:rsidP="00AE7A5B">
      <w:pPr>
        <w:spacing w:before="120" w:after="120" w:line="240" w:lineRule="auto"/>
        <w:jc w:val="left"/>
        <w:rPr>
          <w:rFonts w:cs="Times New Roman"/>
          <w:szCs w:val="20"/>
        </w:rPr>
      </w:pPr>
      <w:bookmarkStart w:id="44" w:name="_Hlk142408470"/>
      <w:r w:rsidRPr="00AE7A5B">
        <w:rPr>
          <w:rFonts w:eastAsia="Calibri"/>
          <w:szCs w:val="20"/>
        </w:rPr>
        <w:t>[Dowód: akta kontroli str.</w:t>
      </w:r>
      <w:r w:rsidRPr="00AE7A5B">
        <w:rPr>
          <w:szCs w:val="20"/>
          <w:lang w:eastAsia="ar-SA"/>
        </w:rPr>
        <w:t xml:space="preserve"> III/213-214, III/492-493, IV/221-228, IV/237, IV/433]</w:t>
      </w:r>
    </w:p>
    <w:p w:rsidR="00AE7A5B" w:rsidRPr="00AE7A5B" w:rsidP="00AE7A5B">
      <w:pPr>
        <w:spacing w:after="0" w:line="240" w:lineRule="auto"/>
        <w:jc w:val="left"/>
        <w:rPr>
          <w:rFonts w:cs="Times New Roman"/>
          <w:b/>
          <w:bCs/>
          <w:szCs w:val="20"/>
        </w:rPr>
      </w:pPr>
      <w:bookmarkEnd w:id="44"/>
      <w:r w:rsidRPr="00AE7A5B">
        <w:rPr>
          <w:rFonts w:cs="Times New Roman"/>
          <w:b/>
          <w:bCs/>
          <w:szCs w:val="20"/>
        </w:rPr>
        <w:t>Oceny okresowe</w:t>
      </w:r>
    </w:p>
    <w:p w:rsidR="00AE7A5B" w:rsidRPr="00AE7A5B" w:rsidP="00AE7A5B">
      <w:pPr>
        <w:spacing w:before="120" w:after="0" w:line="240" w:lineRule="auto"/>
        <w:jc w:val="left"/>
        <w:rPr>
          <w:rFonts w:eastAsia="Calibri" w:cs="Times New Roman"/>
          <w:szCs w:val="20"/>
        </w:rPr>
      </w:pPr>
      <w:r w:rsidRPr="00AE7A5B">
        <w:rPr>
          <w:rFonts w:cs="Times New Roman"/>
          <w:szCs w:val="20"/>
        </w:rPr>
        <w:t xml:space="preserve">Zasady dotyczące przeprowadzania oceny okresowej pracowników naukowych </w:t>
      </w:r>
      <w:r w:rsidRPr="00AE7A5B">
        <w:rPr>
          <w:rFonts w:cs="Times New Roman"/>
          <w:szCs w:val="20"/>
        </w:rPr>
        <w:br/>
        <w:t xml:space="preserve">i badawczo-technicznych zostały uregulowane w </w:t>
      </w:r>
      <w:bookmarkStart w:id="45" w:name="_Hlk146105429"/>
      <w:r w:rsidRPr="00AE7A5B">
        <w:rPr>
          <w:rFonts w:eastAsia="Calibri" w:cs="Times New Roman"/>
          <w:szCs w:val="20"/>
        </w:rPr>
        <w:t>Regulaminie oceny pracowników</w:t>
      </w:r>
      <w:bookmarkEnd w:id="45"/>
      <w:r w:rsidRPr="00AE7A5B">
        <w:rPr>
          <w:rFonts w:eastAsia="Calibri" w:cs="Times New Roman"/>
          <w:szCs w:val="20"/>
        </w:rPr>
        <w:t>.</w:t>
      </w:r>
    </w:p>
    <w:p w:rsidR="00AE7A5B" w:rsidRPr="00AE7A5B" w:rsidP="00AE7A5B">
      <w:pPr>
        <w:spacing w:before="120" w:after="0" w:line="240" w:lineRule="auto"/>
        <w:jc w:val="left"/>
        <w:rPr>
          <w:rFonts w:cs="Times New Roman"/>
          <w:bCs/>
          <w:szCs w:val="20"/>
        </w:rPr>
      </w:pPr>
      <w:r w:rsidRPr="00AE7A5B">
        <w:rPr>
          <w:rFonts w:eastAsia="Calibri" w:cs="Times New Roman"/>
          <w:szCs w:val="20"/>
        </w:rPr>
        <w:t xml:space="preserve">Ustalono, że Regulamin oceny pracowników nie </w:t>
      </w:r>
      <w:r w:rsidRPr="00AE7A5B">
        <w:rPr>
          <w:rFonts w:cs="Times New Roman"/>
          <w:szCs w:val="20"/>
        </w:rPr>
        <w:t xml:space="preserve">określał </w:t>
      </w:r>
      <w:r w:rsidRPr="00AE7A5B">
        <w:rPr>
          <w:rFonts w:cs="Times New Roman"/>
          <w:bCs/>
          <w:szCs w:val="20"/>
        </w:rPr>
        <w:t xml:space="preserve">przypadków wyłączenia z oceny pracowników, co do których wygasł stosunek pracy lub pozostających na długotrwałych zwolnieniach lekarskich. </w:t>
      </w:r>
    </w:p>
    <w:p w:rsidR="00AE7A5B" w:rsidRPr="00AE7A5B" w:rsidP="00AE7A5B">
      <w:pPr>
        <w:spacing w:before="120" w:after="0" w:line="240" w:lineRule="auto"/>
        <w:jc w:val="left"/>
        <w:rPr>
          <w:rFonts w:cs="Times New Roman"/>
          <w:bCs/>
          <w:szCs w:val="20"/>
        </w:rPr>
      </w:pPr>
      <w:r w:rsidRPr="00AE7A5B">
        <w:rPr>
          <w:rFonts w:cs="Times New Roman"/>
          <w:bCs/>
          <w:szCs w:val="20"/>
        </w:rPr>
        <w:t>Zastępca Dyrektora ds. Badań i Rozwoju oraz Zastępca Dyrektora ds. Służby Geologicznej poinformowali</w:t>
      </w:r>
      <w:r>
        <w:rPr>
          <w:rFonts w:cs="Times New Roman"/>
          <w:bCs/>
          <w:szCs w:val="20"/>
          <w:vertAlign w:val="superscript"/>
        </w:rPr>
        <w:footnoteReference w:id="212"/>
      </w:r>
      <w:r w:rsidRPr="00AE7A5B">
        <w:rPr>
          <w:rFonts w:cs="Times New Roman"/>
          <w:bCs/>
          <w:szCs w:val="20"/>
        </w:rPr>
        <w:t>, że przygotowane zostaną zmiany do Regulaminu oceny pracowników, regulujące przypadki wyłączenia z oceny pracowników.</w:t>
      </w:r>
    </w:p>
    <w:p w:rsidR="00AE7A5B" w:rsidRPr="00AE7A5B" w:rsidP="00AE7A5B">
      <w:pPr>
        <w:spacing w:before="120" w:after="120" w:line="240" w:lineRule="auto"/>
        <w:jc w:val="left"/>
        <w:rPr>
          <w:rFonts w:cs="Times New Roman"/>
          <w:szCs w:val="20"/>
        </w:rPr>
      </w:pPr>
      <w:r w:rsidRPr="00AE7A5B">
        <w:rPr>
          <w:rFonts w:eastAsia="Calibri"/>
          <w:szCs w:val="20"/>
        </w:rPr>
        <w:t>[Dowód: akta kontroli str.</w:t>
      </w:r>
      <w:r w:rsidRPr="00AE7A5B">
        <w:rPr>
          <w:szCs w:val="20"/>
          <w:lang w:eastAsia="ar-SA"/>
        </w:rPr>
        <w:t xml:space="preserve"> III/222-225, III/405-407, III/409-428, III/473-474, III/497-499]</w:t>
      </w:r>
    </w:p>
    <w:p w:rsidR="00AE7A5B" w:rsidRPr="00AE7A5B" w:rsidP="00AE7A5B">
      <w:pPr>
        <w:spacing w:before="120" w:after="0" w:line="240" w:lineRule="auto"/>
        <w:jc w:val="left"/>
        <w:rPr>
          <w:rFonts w:cs="Times New Roman"/>
          <w:bCs/>
          <w:szCs w:val="20"/>
        </w:rPr>
      </w:pPr>
      <w:r w:rsidRPr="00AE7A5B">
        <w:rPr>
          <w:rFonts w:eastAsia="Calibri" w:cs="Times New Roman"/>
          <w:szCs w:val="20"/>
        </w:rPr>
        <w:t xml:space="preserve">W roku 2022 r. zakończono ocenę dorobku naukowego i technicznego </w:t>
      </w:r>
      <w:r w:rsidRPr="00AE7A5B">
        <w:rPr>
          <w:rFonts w:cs="Times New Roman"/>
          <w:szCs w:val="20"/>
        </w:rPr>
        <w:t>40 pracowników</w:t>
      </w:r>
      <w:r>
        <w:rPr>
          <w:rFonts w:cs="Times New Roman"/>
          <w:szCs w:val="20"/>
          <w:vertAlign w:val="superscript"/>
        </w:rPr>
        <w:footnoteReference w:id="213"/>
      </w:r>
      <w:r w:rsidRPr="00AE7A5B">
        <w:rPr>
          <w:rFonts w:cs="Times New Roman"/>
          <w:szCs w:val="20"/>
        </w:rPr>
        <w:t xml:space="preserve"> za lata 2018-2021</w:t>
      </w:r>
      <w:r>
        <w:rPr>
          <w:rFonts w:cs="Times New Roman"/>
          <w:bCs/>
          <w:szCs w:val="20"/>
          <w:vertAlign w:val="superscript"/>
        </w:rPr>
        <w:footnoteReference w:id="214"/>
      </w:r>
      <w:r w:rsidRPr="00AE7A5B">
        <w:rPr>
          <w:rFonts w:cs="Times New Roman"/>
          <w:bCs/>
          <w:szCs w:val="20"/>
        </w:rPr>
        <w:t>.</w:t>
      </w:r>
    </w:p>
    <w:p w:rsidR="00AE7A5B" w:rsidRPr="00AE7A5B" w:rsidP="00AE7A5B">
      <w:pPr>
        <w:spacing w:before="120" w:after="120" w:line="240" w:lineRule="auto"/>
        <w:jc w:val="left"/>
        <w:rPr>
          <w:rFonts w:cs="Times New Roman"/>
          <w:szCs w:val="20"/>
        </w:rPr>
      </w:pPr>
      <w:r w:rsidRPr="00AE7A5B">
        <w:rPr>
          <w:rFonts w:eastAsia="Calibri"/>
          <w:szCs w:val="20"/>
        </w:rPr>
        <w:t>[Dowód: akta kontroli str.</w:t>
      </w:r>
      <w:r w:rsidRPr="00AE7A5B">
        <w:rPr>
          <w:szCs w:val="20"/>
          <w:lang w:eastAsia="ar-SA"/>
        </w:rPr>
        <w:t xml:space="preserve"> III/409-428, III/473-474, III/497-499]</w:t>
      </w:r>
    </w:p>
    <w:p w:rsidR="00AE7A5B" w:rsidRPr="00AE7A5B" w:rsidP="00AE7A5B">
      <w:pPr>
        <w:spacing w:before="120" w:after="0" w:line="240" w:lineRule="auto"/>
        <w:jc w:val="left"/>
        <w:rPr>
          <w:szCs w:val="20"/>
        </w:rPr>
      </w:pPr>
      <w:r w:rsidRPr="00AE7A5B">
        <w:rPr>
          <w:szCs w:val="20"/>
        </w:rPr>
        <w:t>Na próbie 8</w:t>
      </w:r>
      <w:r>
        <w:rPr>
          <w:rFonts w:cs="Times New Roman"/>
          <w:szCs w:val="20"/>
          <w:vertAlign w:val="superscript"/>
        </w:rPr>
        <w:footnoteReference w:id="215"/>
      </w:r>
      <w:r w:rsidRPr="00AE7A5B">
        <w:rPr>
          <w:rFonts w:cs="Times New Roman"/>
          <w:szCs w:val="20"/>
        </w:rPr>
        <w:t xml:space="preserve"> </w:t>
      </w:r>
      <w:r w:rsidRPr="00AE7A5B">
        <w:rPr>
          <w:szCs w:val="20"/>
        </w:rPr>
        <w:t xml:space="preserve">z 40 dokumentacji dotyczących przeprowadzenia ocen dorobku naukowego </w:t>
      </w:r>
      <w:r w:rsidRPr="00AE7A5B">
        <w:rPr>
          <w:szCs w:val="20"/>
        </w:rPr>
        <w:br/>
        <w:t>i technicznego pracowników naukowych stwierdzono następujące nieprawidłowości:</w:t>
      </w:r>
    </w:p>
    <w:p w:rsidR="00AE7A5B" w:rsidRPr="00AE7A5B" w:rsidP="00AE7A5B">
      <w:pPr>
        <w:numPr>
          <w:ilvl w:val="0"/>
          <w:numId w:val="3"/>
        </w:numPr>
        <w:spacing w:before="120" w:after="0" w:line="240" w:lineRule="auto"/>
        <w:ind w:left="284" w:hanging="284"/>
        <w:jc w:val="left"/>
        <w:rPr>
          <w:rFonts w:cs="Times New Roman"/>
          <w:bCs/>
          <w:szCs w:val="20"/>
        </w:rPr>
      </w:pPr>
      <w:r w:rsidRPr="00AE7A5B">
        <w:rPr>
          <w:rFonts w:cs="Times New Roman"/>
          <w:bCs/>
          <w:szCs w:val="20"/>
        </w:rPr>
        <w:t>4 pracowników</w:t>
      </w:r>
      <w:r>
        <w:rPr>
          <w:rFonts w:cs="Times New Roman"/>
          <w:bCs/>
          <w:szCs w:val="20"/>
          <w:vertAlign w:val="superscript"/>
        </w:rPr>
        <w:footnoteReference w:id="216"/>
      </w:r>
      <w:r w:rsidRPr="00AE7A5B">
        <w:rPr>
          <w:rFonts w:cs="Times New Roman"/>
          <w:bCs/>
          <w:szCs w:val="20"/>
        </w:rPr>
        <w:t xml:space="preserve"> nie wyłączono z prac komisji oceniającej</w:t>
      </w:r>
      <w:r w:rsidRPr="00AE7A5B">
        <w:rPr>
          <w:szCs w:val="20"/>
        </w:rPr>
        <w:t xml:space="preserve"> na czas dokonywania oceny ich własnego dorobku o czym świadczą podpisy złożone na kartach oceny jako członka Komisji ds. oceny i jako ocenianego pracownik</w:t>
      </w:r>
      <w:r>
        <w:rPr>
          <w:szCs w:val="20"/>
          <w:vertAlign w:val="superscript"/>
        </w:rPr>
        <w:footnoteReference w:id="217"/>
      </w:r>
      <w:r w:rsidRPr="00AE7A5B">
        <w:rPr>
          <w:szCs w:val="20"/>
        </w:rPr>
        <w:t>, co było niezgodne z</w:t>
      </w:r>
      <w:r w:rsidRPr="00AE7A5B">
        <w:rPr>
          <w:rFonts w:cs="Times New Roman"/>
          <w:bCs/>
          <w:szCs w:val="20"/>
        </w:rPr>
        <w:t xml:space="preserve"> § 5 ust. 1 Regulaminu oceny pracowników</w:t>
      </w:r>
      <w:r>
        <w:rPr>
          <w:rFonts w:cs="Times New Roman"/>
          <w:bCs/>
          <w:szCs w:val="20"/>
          <w:vertAlign w:val="superscript"/>
        </w:rPr>
        <w:footnoteReference w:id="218"/>
      </w:r>
      <w:r w:rsidRPr="00AE7A5B">
        <w:rPr>
          <w:rFonts w:cs="Times New Roman"/>
          <w:bCs/>
          <w:szCs w:val="20"/>
        </w:rPr>
        <w:t>;</w:t>
      </w:r>
    </w:p>
    <w:p w:rsidR="00AE7A5B" w:rsidRPr="00AE7A5B" w:rsidP="00AE7A5B">
      <w:pPr>
        <w:autoSpaceDE w:val="0"/>
        <w:autoSpaceDN w:val="0"/>
        <w:adjustRightInd w:val="0"/>
        <w:spacing w:before="120" w:after="120" w:line="240" w:lineRule="auto"/>
        <w:ind w:left="284"/>
        <w:jc w:val="left"/>
        <w:rPr>
          <w:rFonts w:cs="Times New Roman"/>
          <w:bCs/>
          <w:szCs w:val="20"/>
        </w:rPr>
      </w:pPr>
      <w:r w:rsidRPr="00AE7A5B">
        <w:rPr>
          <w:rFonts w:eastAsia="Calibri"/>
          <w:szCs w:val="20"/>
        </w:rPr>
        <w:t>[Dowód: akta kontroli str.</w:t>
      </w:r>
      <w:r w:rsidRPr="00AE7A5B">
        <w:rPr>
          <w:szCs w:val="20"/>
          <w:lang w:eastAsia="ar-SA"/>
        </w:rPr>
        <w:t xml:space="preserve"> III/82-99, III/217-220, III/223-225, III/497-499, III/510-525]</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w przypadku 1 pracownika</w:t>
      </w:r>
      <w:r>
        <w:rPr>
          <w:rFonts w:cs="Times New Roman"/>
          <w:bCs/>
          <w:szCs w:val="20"/>
          <w:vertAlign w:val="superscript"/>
        </w:rPr>
        <w:footnoteReference w:id="219"/>
      </w:r>
      <w:r w:rsidRPr="00AE7A5B">
        <w:rPr>
          <w:rFonts w:cs="Times New Roman"/>
          <w:bCs/>
          <w:szCs w:val="20"/>
        </w:rPr>
        <w:t xml:space="preserve"> nie wyznaczono recenzenta dorobku naukowego odwołującego się pracownika, jak również nie dokonano ponownej oceny przez komisję oceniającą, co było niezgodne  z § 7 ust. 4</w:t>
      </w:r>
      <w:r>
        <w:rPr>
          <w:rFonts w:cs="Times New Roman"/>
          <w:bCs/>
          <w:szCs w:val="20"/>
          <w:vertAlign w:val="superscript"/>
        </w:rPr>
        <w:footnoteReference w:id="220"/>
      </w:r>
      <w:r w:rsidRPr="00AE7A5B">
        <w:rPr>
          <w:rFonts w:cs="Times New Roman"/>
          <w:bCs/>
          <w:szCs w:val="20"/>
        </w:rPr>
        <w:t xml:space="preserve">  i ust. 5</w:t>
      </w:r>
      <w:r>
        <w:rPr>
          <w:rFonts w:cs="Times New Roman"/>
          <w:bCs/>
          <w:szCs w:val="20"/>
          <w:vertAlign w:val="superscript"/>
        </w:rPr>
        <w:footnoteReference w:id="221"/>
      </w:r>
      <w:r w:rsidRPr="00AE7A5B">
        <w:rPr>
          <w:rFonts w:cs="Times New Roman"/>
          <w:bCs/>
          <w:szCs w:val="20"/>
        </w:rPr>
        <w:t xml:space="preserve"> Regulaminu oceny pracowników. Przewodniczący komisji, z pominięciem pozostałych członków komisji, skorygował przyznaną punktację</w:t>
      </w:r>
      <w:r w:rsidRPr="00AE7A5B">
        <w:rPr>
          <w:bCs/>
          <w:sz w:val="13"/>
          <w:szCs w:val="13"/>
        </w:rPr>
        <w:t xml:space="preserve"> </w:t>
      </w:r>
      <w:r w:rsidRPr="00AE7A5B">
        <w:rPr>
          <w:rFonts w:cs="Times New Roman"/>
          <w:bCs/>
          <w:szCs w:val="20"/>
        </w:rPr>
        <w:t xml:space="preserve">poprzez skreślenie poprzedniej punktacji i wstawienie wyższej. </w:t>
      </w:r>
    </w:p>
    <w:p w:rsidR="00AE7A5B" w:rsidRPr="00AE7A5B" w:rsidP="00AE7A5B">
      <w:pPr>
        <w:autoSpaceDE w:val="0"/>
        <w:autoSpaceDN w:val="0"/>
        <w:adjustRightInd w:val="0"/>
        <w:spacing w:before="120" w:after="0" w:line="240" w:lineRule="auto"/>
        <w:ind w:left="284"/>
        <w:jc w:val="left"/>
        <w:rPr>
          <w:rFonts w:cs="Times New Roman"/>
          <w:bCs/>
          <w:szCs w:val="20"/>
        </w:rPr>
      </w:pPr>
      <w:r w:rsidRPr="00AE7A5B">
        <w:rPr>
          <w:rFonts w:cs="Times New Roman"/>
          <w:bCs/>
          <w:szCs w:val="20"/>
        </w:rPr>
        <w:t>Przewodniczący komisji oceniającej wyjaśnił</w:t>
      </w:r>
      <w:r>
        <w:rPr>
          <w:rFonts w:cs="Times New Roman"/>
          <w:bCs/>
          <w:szCs w:val="20"/>
          <w:vertAlign w:val="superscript"/>
        </w:rPr>
        <w:footnoteReference w:id="222"/>
      </w:r>
      <w:r w:rsidRPr="00AE7A5B">
        <w:rPr>
          <w:rFonts w:cs="Times New Roman"/>
          <w:bCs/>
          <w:szCs w:val="20"/>
        </w:rPr>
        <w:t xml:space="preserve">, że popełniono błąd arytmetyczny przy naliczaniu punktacji, dlatego błąd ten skorygował osobiście, nanosząc nowe wyliczenia na kartę oceny, a błąd nie zmienił zasadniczo całościowej oceny i dlatego nie wyznaczono recenzenta. </w:t>
      </w:r>
    </w:p>
    <w:p w:rsidR="00AE7A5B" w:rsidRPr="00AE7A5B" w:rsidP="00AE7A5B">
      <w:pPr>
        <w:autoSpaceDE w:val="0"/>
        <w:autoSpaceDN w:val="0"/>
        <w:adjustRightInd w:val="0"/>
        <w:spacing w:before="120" w:after="120" w:line="240" w:lineRule="auto"/>
        <w:ind w:left="284"/>
        <w:jc w:val="left"/>
        <w:rPr>
          <w:rFonts w:cs="Times New Roman"/>
          <w:bCs/>
          <w:szCs w:val="20"/>
        </w:rPr>
      </w:pPr>
      <w:bookmarkStart w:id="46" w:name="_Hlk142471379"/>
      <w:r w:rsidRPr="00AE7A5B">
        <w:rPr>
          <w:rFonts w:eastAsia="Calibri"/>
          <w:szCs w:val="20"/>
        </w:rPr>
        <w:t>[Dowód: akta kontroli str.</w:t>
      </w:r>
      <w:r w:rsidRPr="00AE7A5B">
        <w:rPr>
          <w:szCs w:val="20"/>
          <w:lang w:eastAsia="ar-SA"/>
        </w:rPr>
        <w:t xml:space="preserve"> III/82-99, III/218, III/223-230, III/497-499, III/510-525]</w:t>
      </w:r>
    </w:p>
    <w:p w:rsidR="00AE7A5B" w:rsidRPr="00AE7A5B" w:rsidP="00AE7A5B">
      <w:pPr>
        <w:autoSpaceDE w:val="0"/>
        <w:autoSpaceDN w:val="0"/>
        <w:adjustRightInd w:val="0"/>
        <w:spacing w:after="0" w:line="240" w:lineRule="auto"/>
        <w:jc w:val="left"/>
        <w:rPr>
          <w:rFonts w:cs="Times New Roman"/>
          <w:szCs w:val="20"/>
        </w:rPr>
      </w:pPr>
      <w:bookmarkEnd w:id="46"/>
      <w:r w:rsidRPr="00AE7A5B">
        <w:rPr>
          <w:rFonts w:cs="Times New Roman"/>
          <w:szCs w:val="20"/>
        </w:rPr>
        <w:t>Ponadto stwierdzono następujące uchybienia:</w:t>
      </w:r>
    </w:p>
    <w:p w:rsidR="00AE7A5B" w:rsidRPr="00AE7A5B" w:rsidP="00AE7A5B">
      <w:pPr>
        <w:numPr>
          <w:ilvl w:val="0"/>
          <w:numId w:val="3"/>
        </w:numPr>
        <w:autoSpaceDE w:val="0"/>
        <w:autoSpaceDN w:val="0"/>
        <w:adjustRightInd w:val="0"/>
        <w:spacing w:before="120" w:after="0" w:line="240" w:lineRule="auto"/>
        <w:ind w:left="284" w:hanging="284"/>
        <w:jc w:val="left"/>
        <w:rPr>
          <w:rFonts w:cs="Times New Roman"/>
          <w:bCs/>
          <w:szCs w:val="20"/>
        </w:rPr>
      </w:pPr>
      <w:r w:rsidRPr="00AE7A5B">
        <w:rPr>
          <w:rFonts w:cs="Times New Roman"/>
          <w:bCs/>
          <w:szCs w:val="20"/>
        </w:rPr>
        <w:t>karta oceny 1 pracownika</w:t>
      </w:r>
      <w:r>
        <w:rPr>
          <w:rFonts w:cs="Times New Roman"/>
          <w:bCs/>
          <w:szCs w:val="20"/>
          <w:vertAlign w:val="superscript"/>
        </w:rPr>
        <w:footnoteReference w:id="223"/>
      </w:r>
      <w:r w:rsidRPr="00AE7A5B">
        <w:rPr>
          <w:rFonts w:cs="Times New Roman"/>
          <w:bCs/>
          <w:szCs w:val="20"/>
        </w:rPr>
        <w:t xml:space="preserve"> włączona do akt osobowych </w:t>
      </w:r>
      <w:r w:rsidRPr="00AE7A5B">
        <w:rPr>
          <w:bCs/>
          <w:iCs/>
          <w:szCs w:val="20"/>
        </w:rPr>
        <w:t>nie została ponumerowana ani ujęta w wykazie oświadczeń i dokumentów - części B, co było niezgodne z § 4 ust. 1</w:t>
      </w:r>
      <w:r>
        <w:rPr>
          <w:bCs/>
          <w:iCs/>
          <w:szCs w:val="20"/>
          <w:vertAlign w:val="superscript"/>
        </w:rPr>
        <w:footnoteReference w:id="224"/>
      </w:r>
      <w:r w:rsidRPr="00AE7A5B">
        <w:rPr>
          <w:bCs/>
          <w:iCs/>
          <w:szCs w:val="20"/>
        </w:rPr>
        <w:t xml:space="preserve"> rozporządzenia </w:t>
      </w:r>
      <w:r w:rsidRPr="00AE7A5B">
        <w:rPr>
          <w:bCs/>
          <w:iCs/>
          <w:szCs w:val="20"/>
        </w:rPr>
        <w:t>ws</w:t>
      </w:r>
      <w:r w:rsidRPr="00AE7A5B">
        <w:rPr>
          <w:bCs/>
          <w:iCs/>
          <w:szCs w:val="20"/>
        </w:rPr>
        <w:t>. dokumentacji pracowniczej;</w:t>
      </w:r>
    </w:p>
    <w:p w:rsidR="00AE7A5B" w:rsidRPr="00AE7A5B" w:rsidP="00AE7A5B">
      <w:pPr>
        <w:autoSpaceDE w:val="0"/>
        <w:autoSpaceDN w:val="0"/>
        <w:adjustRightInd w:val="0"/>
        <w:spacing w:before="120" w:after="0" w:line="240" w:lineRule="auto"/>
        <w:ind w:left="284"/>
        <w:jc w:val="left"/>
        <w:rPr>
          <w:rFonts w:cs="Times New Roman"/>
          <w:bCs/>
          <w:szCs w:val="20"/>
        </w:rPr>
      </w:pPr>
      <w:r w:rsidRPr="00AE7A5B">
        <w:rPr>
          <w:rFonts w:cs="Times New Roman"/>
          <w:bCs/>
          <w:szCs w:val="20"/>
        </w:rPr>
        <w:t>[Dowód: akta kontroli str. III/82-99, III/218, III/497-499]</w:t>
      </w:r>
    </w:p>
    <w:p w:rsidR="00AE7A5B" w:rsidRPr="00AE7A5B" w:rsidP="00AE7A5B">
      <w:pPr>
        <w:numPr>
          <w:ilvl w:val="0"/>
          <w:numId w:val="3"/>
        </w:numPr>
        <w:autoSpaceDE w:val="0"/>
        <w:autoSpaceDN w:val="0"/>
        <w:adjustRightInd w:val="0"/>
        <w:spacing w:before="120" w:after="120" w:line="240" w:lineRule="auto"/>
        <w:ind w:left="284" w:hanging="284"/>
        <w:jc w:val="left"/>
        <w:rPr>
          <w:rFonts w:cs="Times New Roman"/>
          <w:bCs/>
          <w:szCs w:val="20"/>
        </w:rPr>
      </w:pPr>
      <w:r w:rsidRPr="00AE7A5B">
        <w:rPr>
          <w:rFonts w:cs="Times New Roman"/>
          <w:bCs/>
          <w:szCs w:val="20"/>
        </w:rPr>
        <w:t>karty ocen 6 pracowników</w:t>
      </w:r>
      <w:r>
        <w:rPr>
          <w:rFonts w:cs="Times New Roman"/>
          <w:bCs/>
          <w:szCs w:val="20"/>
          <w:vertAlign w:val="superscript"/>
        </w:rPr>
        <w:footnoteReference w:id="225"/>
      </w:r>
      <w:r w:rsidRPr="00AE7A5B">
        <w:rPr>
          <w:rFonts w:cs="Times New Roman"/>
          <w:bCs/>
          <w:szCs w:val="20"/>
        </w:rPr>
        <w:t xml:space="preserve"> nie zostały włączone do akt osobowych, co było niezgodne z § 5 ust. 4 Regulaminu oceny pracowników</w:t>
      </w:r>
      <w:r>
        <w:rPr>
          <w:rFonts w:cs="Times New Roman"/>
          <w:bCs/>
          <w:szCs w:val="20"/>
          <w:vertAlign w:val="superscript"/>
        </w:rPr>
        <w:footnoteReference w:id="226"/>
      </w:r>
      <w:r w:rsidRPr="00AE7A5B">
        <w:rPr>
          <w:rFonts w:cs="Times New Roman"/>
          <w:bCs/>
          <w:szCs w:val="20"/>
        </w:rPr>
        <w:t xml:space="preserve"> oraz </w:t>
      </w:r>
      <w:r w:rsidRPr="00AE7A5B">
        <w:rPr>
          <w:bCs/>
          <w:iCs/>
          <w:szCs w:val="20"/>
        </w:rPr>
        <w:t xml:space="preserve">z § 4 ust. 1 rozporządzenia </w:t>
      </w:r>
      <w:r w:rsidRPr="00AE7A5B">
        <w:rPr>
          <w:bCs/>
          <w:iCs/>
          <w:szCs w:val="20"/>
        </w:rPr>
        <w:t>ws</w:t>
      </w:r>
      <w:r w:rsidRPr="00AE7A5B">
        <w:rPr>
          <w:bCs/>
          <w:iCs/>
          <w:szCs w:val="20"/>
        </w:rPr>
        <w:t>. dokumentacji pracowniczej;</w:t>
      </w:r>
    </w:p>
    <w:p w:rsidR="00AE7A5B" w:rsidRPr="00AE7A5B" w:rsidP="00AE7A5B">
      <w:pPr>
        <w:autoSpaceDE w:val="0"/>
        <w:autoSpaceDN w:val="0"/>
        <w:adjustRightInd w:val="0"/>
        <w:spacing w:before="120" w:after="120" w:line="240" w:lineRule="auto"/>
        <w:ind w:left="284"/>
        <w:jc w:val="left"/>
        <w:rPr>
          <w:rFonts w:cs="Times New Roman"/>
          <w:bCs/>
          <w:szCs w:val="20"/>
        </w:rPr>
      </w:pPr>
      <w:r w:rsidRPr="00AE7A5B">
        <w:rPr>
          <w:rFonts w:eastAsia="Calibri"/>
          <w:szCs w:val="20"/>
        </w:rPr>
        <w:t>[Dowód: akta kontroli str.</w:t>
      </w:r>
      <w:r w:rsidRPr="00AE7A5B">
        <w:rPr>
          <w:szCs w:val="20"/>
          <w:lang w:eastAsia="ar-SA"/>
        </w:rPr>
        <w:t xml:space="preserve"> III/82-99, III/223-225, III/497-499, III/510-525]</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brak podpisu: Dyrektora na wszystkich kartach ocen</w:t>
      </w:r>
      <w:r>
        <w:rPr>
          <w:rFonts w:cs="Times New Roman"/>
          <w:bCs/>
          <w:szCs w:val="20"/>
          <w:vertAlign w:val="superscript"/>
        </w:rPr>
        <w:footnoteReference w:id="227"/>
      </w:r>
      <w:r w:rsidRPr="00AE7A5B">
        <w:rPr>
          <w:rFonts w:cs="Times New Roman"/>
          <w:bCs/>
          <w:szCs w:val="20"/>
        </w:rPr>
        <w:t>; 1 członka komisji oceniającej na 7 kartach oceny</w:t>
      </w:r>
      <w:r>
        <w:rPr>
          <w:rFonts w:cs="Times New Roman"/>
          <w:bCs/>
          <w:szCs w:val="20"/>
          <w:vertAlign w:val="superscript"/>
        </w:rPr>
        <w:footnoteReference w:id="228"/>
      </w:r>
      <w:r w:rsidRPr="00AE7A5B">
        <w:rPr>
          <w:rFonts w:cs="Times New Roman"/>
          <w:bCs/>
          <w:szCs w:val="20"/>
        </w:rPr>
        <w:t>; 2 członków komisji oceniającej na 1 karcie oceny</w:t>
      </w:r>
      <w:r>
        <w:rPr>
          <w:rFonts w:cs="Times New Roman"/>
          <w:bCs/>
          <w:szCs w:val="20"/>
          <w:vertAlign w:val="superscript"/>
        </w:rPr>
        <w:footnoteReference w:id="229"/>
      </w:r>
      <w:r w:rsidRPr="00AE7A5B">
        <w:rPr>
          <w:rFonts w:cs="Times New Roman"/>
          <w:bCs/>
          <w:szCs w:val="20"/>
        </w:rPr>
        <w:t xml:space="preserve">; </w:t>
      </w:r>
      <w:r w:rsidRPr="00AE7A5B">
        <w:rPr>
          <w:rFonts w:cs="Times New Roman"/>
          <w:szCs w:val="20"/>
          <w:lang w:eastAsia="ar-SA"/>
        </w:rPr>
        <w:t xml:space="preserve">pracownika pod oceną po odwołaniu na </w:t>
      </w:r>
      <w:r w:rsidRPr="00AE7A5B">
        <w:rPr>
          <w:rFonts w:cs="Times New Roman"/>
          <w:bCs/>
          <w:szCs w:val="20"/>
        </w:rPr>
        <w:t>2 kartach oceny</w:t>
      </w:r>
      <w:r>
        <w:rPr>
          <w:rFonts w:cs="Times New Roman"/>
          <w:szCs w:val="20"/>
          <w:vertAlign w:val="superscript"/>
          <w:lang w:eastAsia="ar-SA"/>
        </w:rPr>
        <w:footnoteReference w:id="230"/>
      </w:r>
      <w:r w:rsidRPr="00AE7A5B">
        <w:rPr>
          <w:rFonts w:cs="Times New Roman"/>
          <w:bCs/>
          <w:szCs w:val="20"/>
        </w:rPr>
        <w:t>, co było niezgodne z wzorem karty oceny stanowiącej załącznik 1 do R</w:t>
      </w:r>
      <w:r w:rsidRPr="00AE7A5B">
        <w:rPr>
          <w:rFonts w:eastAsia="Calibri" w:cs="Times New Roman"/>
          <w:szCs w:val="20"/>
        </w:rPr>
        <w:t>egulaminu oceny pracowników.</w:t>
      </w:r>
    </w:p>
    <w:p w:rsidR="00AE7A5B" w:rsidRPr="00AE7A5B" w:rsidP="00AE7A5B">
      <w:pPr>
        <w:autoSpaceDE w:val="0"/>
        <w:autoSpaceDN w:val="0"/>
        <w:adjustRightInd w:val="0"/>
        <w:spacing w:before="120" w:after="120" w:line="240" w:lineRule="auto"/>
        <w:ind w:left="284"/>
        <w:jc w:val="left"/>
        <w:rPr>
          <w:rFonts w:cs="Times New Roman"/>
          <w:bCs/>
          <w:szCs w:val="20"/>
        </w:rPr>
      </w:pPr>
      <w:r w:rsidRPr="00AE7A5B">
        <w:rPr>
          <w:rFonts w:eastAsia="Calibri"/>
          <w:szCs w:val="20"/>
        </w:rPr>
        <w:t>[Dowód: akta kontroli str.</w:t>
      </w:r>
      <w:r w:rsidRPr="00AE7A5B">
        <w:rPr>
          <w:szCs w:val="20"/>
          <w:lang w:eastAsia="ar-SA"/>
        </w:rPr>
        <w:t xml:space="preserve"> III/82-99, III/217-220, III/226, III/231-237, III/497-499, III/510-525]</w:t>
      </w:r>
    </w:p>
    <w:p w:rsidR="00AE7A5B" w:rsidRPr="00AE7A5B" w:rsidP="00AE7A5B">
      <w:pPr>
        <w:spacing w:after="120" w:line="240" w:lineRule="auto"/>
        <w:jc w:val="left"/>
        <w:rPr>
          <w:rFonts w:cs="Times New Roman"/>
          <w:b/>
          <w:szCs w:val="20"/>
        </w:rPr>
      </w:pPr>
      <w:r w:rsidRPr="00AE7A5B">
        <w:rPr>
          <w:rFonts w:cs="Times New Roman"/>
          <w:b/>
          <w:szCs w:val="20"/>
        </w:rPr>
        <w:t>d) komisja dyscyplinarna i rzecznik dyscypliny</w:t>
      </w:r>
    </w:p>
    <w:p w:rsidR="00AE7A5B" w:rsidRPr="00AE7A5B" w:rsidP="00AE7A5B">
      <w:pPr>
        <w:spacing w:after="0" w:line="240" w:lineRule="auto"/>
        <w:jc w:val="left"/>
        <w:rPr>
          <w:szCs w:val="20"/>
        </w:rPr>
      </w:pPr>
      <w:r w:rsidRPr="00AE7A5B">
        <w:rPr>
          <w:szCs w:val="20"/>
        </w:rPr>
        <w:t xml:space="preserve">W </w:t>
      </w:r>
      <w:r w:rsidRPr="00AE7A5B">
        <w:rPr>
          <w:rFonts w:cs="Times New Roman"/>
          <w:bCs/>
          <w:szCs w:val="20"/>
        </w:rPr>
        <w:t xml:space="preserve">§ 10 </w:t>
      </w:r>
      <w:r w:rsidRPr="00AE7A5B">
        <w:rPr>
          <w:szCs w:val="20"/>
        </w:rPr>
        <w:t>Statutu określono tryb wyboru komisji dyscyplinarnej i tym samym spełniony został wymóg art. 55 ust. 1 ustawy o instytutach badawczych.</w:t>
      </w:r>
    </w:p>
    <w:p w:rsidR="00AE7A5B" w:rsidRPr="00AE7A5B" w:rsidP="00AE7A5B">
      <w:pPr>
        <w:autoSpaceDE w:val="0"/>
        <w:autoSpaceDN w:val="0"/>
        <w:adjustRightInd w:val="0"/>
        <w:spacing w:before="120" w:after="120" w:line="240" w:lineRule="auto"/>
        <w:jc w:val="left"/>
        <w:rPr>
          <w:rFonts w:cs="Times New Roman"/>
          <w:bCs/>
          <w:sz w:val="24"/>
          <w:szCs w:val="20"/>
        </w:rPr>
      </w:pPr>
      <w:r w:rsidRPr="00AE7A5B">
        <w:rPr>
          <w:rFonts w:eastAsia="Calibri"/>
          <w:szCs w:val="20"/>
        </w:rPr>
        <w:t>[Dowód: akta kontroli str.</w:t>
      </w:r>
      <w:r w:rsidRPr="00AE7A5B">
        <w:rPr>
          <w:rFonts w:cs="Times New Roman"/>
          <w:szCs w:val="20"/>
        </w:rPr>
        <w:t xml:space="preserve"> </w:t>
      </w:r>
      <w:r w:rsidRPr="00AE7A5B">
        <w:rPr>
          <w:rFonts w:eastAsia="Calibri"/>
          <w:szCs w:val="20"/>
        </w:rPr>
        <w:t>II/17-23, II/30-36, III/494</w:t>
      </w:r>
      <w:r w:rsidRPr="00AE7A5B">
        <w:rPr>
          <w:szCs w:val="20"/>
          <w:lang w:eastAsia="ar-SA"/>
        </w:rPr>
        <w:t>]</w:t>
      </w:r>
    </w:p>
    <w:p w:rsidR="00AE7A5B" w:rsidRPr="00AE7A5B" w:rsidP="00AE7A5B">
      <w:pPr>
        <w:spacing w:before="120" w:after="0" w:line="240" w:lineRule="auto"/>
        <w:jc w:val="left"/>
        <w:rPr>
          <w:rFonts w:cs="Times New Roman"/>
          <w:bCs/>
          <w:szCs w:val="20"/>
        </w:rPr>
      </w:pPr>
      <w:r w:rsidRPr="00AE7A5B">
        <w:rPr>
          <w:rFonts w:cs="Times New Roman"/>
          <w:bCs/>
          <w:szCs w:val="20"/>
          <w:lang w:bidi="pl-PL"/>
        </w:rPr>
        <w:t xml:space="preserve">Ustalono, że w okresie objętym kontrolą nie funkcjonowała </w:t>
      </w:r>
      <w:r w:rsidRPr="00AE7A5B">
        <w:rPr>
          <w:rFonts w:cs="Times New Roman"/>
          <w:bCs/>
          <w:szCs w:val="20"/>
        </w:rPr>
        <w:t>komisja dyscyplinarna, tym samym nie został spełniony wymóg art. 55 ust. 1 ustawy o instytutach badawczych</w:t>
      </w:r>
      <w:r>
        <w:rPr>
          <w:rFonts w:cs="Times New Roman"/>
          <w:bCs/>
          <w:szCs w:val="20"/>
          <w:vertAlign w:val="superscript"/>
        </w:rPr>
        <w:footnoteReference w:id="231"/>
      </w:r>
      <w:r w:rsidRPr="00AE7A5B">
        <w:rPr>
          <w:rFonts w:cs="Times New Roman"/>
          <w:bCs/>
          <w:szCs w:val="20"/>
        </w:rPr>
        <w:t>. Dyrektor wydał 2 zarządzenia</w:t>
      </w:r>
      <w:r>
        <w:rPr>
          <w:rFonts w:cs="Times New Roman"/>
          <w:bCs/>
          <w:szCs w:val="20"/>
          <w:vertAlign w:val="superscript"/>
        </w:rPr>
        <w:footnoteReference w:id="232"/>
      </w:r>
      <w:r w:rsidRPr="00AE7A5B">
        <w:rPr>
          <w:rFonts w:cs="Times New Roman"/>
          <w:bCs/>
          <w:szCs w:val="20"/>
        </w:rPr>
        <w:t xml:space="preserve"> w sprawie powołania i przeprowadzenia wyborów komisji, ale z uwagi na brak kandydatur, głosowania zostały odwołane. </w:t>
      </w:r>
    </w:p>
    <w:p w:rsidR="00AE7A5B" w:rsidRPr="00AE7A5B" w:rsidP="00AE7A5B">
      <w:pPr>
        <w:spacing w:before="120" w:after="0" w:line="240" w:lineRule="auto"/>
        <w:jc w:val="left"/>
        <w:rPr>
          <w:rFonts w:cs="Times New Roman"/>
          <w:szCs w:val="20"/>
          <w:lang w:eastAsia="ar-SA"/>
        </w:rPr>
      </w:pPr>
      <w:r w:rsidRPr="00AE7A5B">
        <w:rPr>
          <w:rFonts w:cs="Times New Roman"/>
          <w:szCs w:val="20"/>
          <w:lang w:eastAsia="ar-SA"/>
        </w:rPr>
        <w:t>Kierownik Działu Spraw Personalnych oraz Dyrektor wyjaśnili</w:t>
      </w:r>
      <w:r>
        <w:rPr>
          <w:rFonts w:cs="Times New Roman"/>
          <w:szCs w:val="20"/>
          <w:vertAlign w:val="superscript"/>
          <w:lang w:eastAsia="ar-SA"/>
        </w:rPr>
        <w:footnoteReference w:id="233"/>
      </w:r>
      <w:r w:rsidRPr="00AE7A5B">
        <w:rPr>
          <w:rFonts w:cs="Times New Roman"/>
          <w:szCs w:val="20"/>
          <w:lang w:eastAsia="ar-SA"/>
        </w:rPr>
        <w:t>, że</w:t>
      </w:r>
      <w:r w:rsidRPr="00AE7A5B">
        <w:rPr>
          <w:rFonts w:cs="Calibri"/>
          <w:sz w:val="22"/>
          <w:lang w:eastAsia="pl-PL"/>
        </w:rPr>
        <w:t xml:space="preserve"> </w:t>
      </w:r>
      <w:r w:rsidRPr="00AE7A5B">
        <w:rPr>
          <w:rFonts w:cs="Times New Roman"/>
          <w:szCs w:val="20"/>
          <w:lang w:eastAsia="ar-SA"/>
        </w:rPr>
        <w:t>z powodu pandemii prace podjęte w lutym 2020 r. nad przeprowadzeniem wyborów komisji dyscyplinarnej zostały zawieszone, a  zaplanowane  w 2020 r. i 2021 r. głosowania z uwagi na brak zgłoszeń kandydatów zostały odwołane. Dodatkowo poinformowali, że w celu zmobilizowania elektoratu, prowadzone były i są nadal rozmowy z pracownikami.</w:t>
      </w:r>
    </w:p>
    <w:p w:rsidR="00AE7A5B" w:rsidRPr="00AE7A5B" w:rsidP="00AE7A5B">
      <w:pPr>
        <w:spacing w:before="120" w:after="120" w:line="240" w:lineRule="auto"/>
        <w:jc w:val="left"/>
        <w:rPr>
          <w:rFonts w:cs="Times New Roman"/>
          <w:bCs/>
          <w:szCs w:val="20"/>
        </w:rPr>
      </w:pPr>
      <w:r w:rsidRPr="00AE7A5B">
        <w:rPr>
          <w:rFonts w:cs="Times New Roman"/>
          <w:bCs/>
          <w:szCs w:val="20"/>
        </w:rPr>
        <w:t>W okresie objętym kontrolą nie były wszczynane postępowania dyscyplinarne</w:t>
      </w:r>
      <w:r>
        <w:rPr>
          <w:rFonts w:cs="Times New Roman"/>
          <w:bCs/>
          <w:szCs w:val="20"/>
          <w:vertAlign w:val="superscript"/>
        </w:rPr>
        <w:footnoteReference w:id="234"/>
      </w:r>
      <w:r w:rsidRPr="00AE7A5B">
        <w:rPr>
          <w:rFonts w:cs="Times New Roman"/>
          <w:bCs/>
          <w:szCs w:val="20"/>
        </w:rPr>
        <w:t xml:space="preserve">. </w:t>
      </w:r>
    </w:p>
    <w:p w:rsidR="00AE7A5B" w:rsidRPr="00AE7A5B" w:rsidP="00AE7A5B">
      <w:pPr>
        <w:spacing w:before="120" w:after="120" w:line="240" w:lineRule="auto"/>
        <w:jc w:val="left"/>
        <w:rPr>
          <w:rFonts w:cs="Times New Roman"/>
          <w:szCs w:val="20"/>
          <w:lang w:eastAsia="ar-SA"/>
        </w:rPr>
      </w:pPr>
      <w:r w:rsidRPr="00AE7A5B">
        <w:rPr>
          <w:rFonts w:eastAsia="Calibri"/>
          <w:szCs w:val="20"/>
        </w:rPr>
        <w:t>[Dowód: akta kontroli str.</w:t>
      </w:r>
      <w:r w:rsidRPr="00AE7A5B">
        <w:rPr>
          <w:szCs w:val="20"/>
          <w:lang w:eastAsia="ar-SA"/>
        </w:rPr>
        <w:t xml:space="preserve"> 155, 157, III/238-244, III/250-253, III/473-474, III/494, IV/434]</w:t>
      </w:r>
    </w:p>
    <w:p w:rsidR="00AE7A5B" w:rsidRPr="00AE7A5B" w:rsidP="00AE7A5B">
      <w:pPr>
        <w:spacing w:after="0" w:line="240" w:lineRule="auto"/>
        <w:jc w:val="left"/>
        <w:rPr>
          <w:rFonts w:cs="Times New Roman"/>
          <w:bCs/>
          <w:szCs w:val="20"/>
        </w:rPr>
      </w:pPr>
      <w:r w:rsidRPr="00AE7A5B">
        <w:rPr>
          <w:rFonts w:cs="Times New Roman"/>
          <w:bCs/>
          <w:szCs w:val="20"/>
        </w:rPr>
        <w:t>Wyboru rzecznika dyscyplinarnego Instytutu dokonała Rada Naukowa 18 stycznia 2021 r.</w:t>
      </w:r>
      <w:r>
        <w:rPr>
          <w:rFonts w:cs="Times New Roman"/>
          <w:bCs/>
          <w:szCs w:val="20"/>
          <w:vertAlign w:val="superscript"/>
        </w:rPr>
        <w:footnoteReference w:id="235"/>
      </w:r>
      <w:r w:rsidRPr="00AE7A5B">
        <w:rPr>
          <w:rFonts w:cs="Times New Roman"/>
          <w:bCs/>
          <w:szCs w:val="20"/>
        </w:rPr>
        <w:t xml:space="preserve">, zgodnie z art. 57 ust. 1 ustawy o instytutach badawczych. </w:t>
      </w:r>
    </w:p>
    <w:p w:rsidR="00AE7A5B" w:rsidRPr="00AE7A5B" w:rsidP="00AE7A5B">
      <w:pPr>
        <w:spacing w:before="120" w:after="120" w:line="240" w:lineRule="auto"/>
        <w:jc w:val="left"/>
        <w:rPr>
          <w:rFonts w:cs="Times New Roman"/>
          <w:szCs w:val="20"/>
          <w:lang w:eastAsia="ar-SA"/>
        </w:rPr>
      </w:pPr>
      <w:bookmarkStart w:id="47" w:name="_Hlk142473848"/>
      <w:r w:rsidRPr="00AE7A5B">
        <w:rPr>
          <w:rFonts w:eastAsia="Calibri"/>
          <w:szCs w:val="20"/>
        </w:rPr>
        <w:t>[Dowód: akta kontroli str.</w:t>
      </w:r>
      <w:r w:rsidRPr="00AE7A5B">
        <w:rPr>
          <w:szCs w:val="20"/>
          <w:lang w:eastAsia="ar-SA"/>
        </w:rPr>
        <w:t xml:space="preserve"> 156, III/494]</w:t>
      </w:r>
    </w:p>
    <w:p w:rsidR="00AE7A5B" w:rsidRPr="00AE7A5B" w:rsidP="00AE7A5B">
      <w:pPr>
        <w:spacing w:before="120" w:after="120" w:line="240" w:lineRule="auto"/>
        <w:jc w:val="left"/>
        <w:rPr>
          <w:rFonts w:cs="Times New Roman"/>
          <w:b/>
          <w:szCs w:val="20"/>
        </w:rPr>
      </w:pPr>
      <w:bookmarkEnd w:id="47"/>
      <w:r w:rsidRPr="00AE7A5B">
        <w:rPr>
          <w:rFonts w:cs="Times New Roman"/>
          <w:b/>
          <w:szCs w:val="20"/>
        </w:rPr>
        <w:t>e) zarządzanie mieniem</w:t>
      </w:r>
    </w:p>
    <w:p w:rsidR="00AE7A5B" w:rsidRPr="00AE7A5B" w:rsidP="00AE7A5B">
      <w:pPr>
        <w:spacing w:after="0" w:line="240" w:lineRule="auto"/>
        <w:jc w:val="left"/>
        <w:rPr>
          <w:rFonts w:cs="Times New Roman"/>
          <w:szCs w:val="20"/>
        </w:rPr>
      </w:pPr>
      <w:r w:rsidRPr="00AE7A5B">
        <w:rPr>
          <w:rFonts w:cs="Times New Roman"/>
          <w:szCs w:val="20"/>
        </w:rPr>
        <w:t xml:space="preserve">W Instytucie kwestie dotyczące gospodarowania mieniem zostały uregulowane </w:t>
      </w:r>
      <w:r w:rsidRPr="00AE7A5B">
        <w:rPr>
          <w:rFonts w:cs="Times New Roman"/>
          <w:szCs w:val="20"/>
        </w:rPr>
        <w:br/>
        <w:t xml:space="preserve">w zarządzeniu </w:t>
      </w:r>
      <w:r w:rsidRPr="00AE7A5B">
        <w:rPr>
          <w:szCs w:val="20"/>
        </w:rPr>
        <w:t xml:space="preserve">Dyrektora </w:t>
      </w:r>
      <w:r w:rsidRPr="00AE7A5B">
        <w:rPr>
          <w:rFonts w:cs="Times New Roman"/>
          <w:szCs w:val="20"/>
        </w:rPr>
        <w:t xml:space="preserve">nr 1 z 22 stycznia 2010 r. w sprawie zagospodarowania składników majątku PIG, w tym m.in. zasady postępowania ze zbędnymi składnikami majątku, ich sprzedaży, darowizny i likwidacji fizycznej. </w:t>
      </w:r>
    </w:p>
    <w:p w:rsidR="00AE7A5B" w:rsidRPr="00AE7A5B" w:rsidP="00AE7A5B">
      <w:pPr>
        <w:spacing w:before="120" w:after="120" w:line="240" w:lineRule="auto"/>
        <w:jc w:val="left"/>
        <w:rPr>
          <w:rFonts w:cs="Times New Roman"/>
          <w:szCs w:val="20"/>
          <w:lang w:eastAsia="ar-SA"/>
        </w:rPr>
      </w:pPr>
      <w:r w:rsidRPr="00AE7A5B">
        <w:rPr>
          <w:rFonts w:eastAsia="Calibri"/>
          <w:szCs w:val="20"/>
        </w:rPr>
        <w:t>[Dowód: akta kontroli str.</w:t>
      </w:r>
      <w:r w:rsidRPr="00AE7A5B">
        <w:rPr>
          <w:szCs w:val="20"/>
          <w:lang w:eastAsia="ar-SA"/>
        </w:rPr>
        <w:t xml:space="preserve"> III/462-472]</w:t>
      </w:r>
    </w:p>
    <w:p w:rsidR="00AE7A5B" w:rsidRPr="00AE7A5B" w:rsidP="00AE7A5B">
      <w:pPr>
        <w:spacing w:before="120" w:after="120" w:line="240" w:lineRule="auto"/>
        <w:jc w:val="left"/>
        <w:rPr>
          <w:rFonts w:cs="Times New Roman"/>
          <w:szCs w:val="20"/>
          <w:lang w:eastAsia="ar-SA"/>
        </w:rPr>
      </w:pPr>
      <w:r w:rsidRPr="00AE7A5B">
        <w:rPr>
          <w:rFonts w:cs="Times New Roman"/>
          <w:szCs w:val="20"/>
        </w:rPr>
        <w:t xml:space="preserve">W okresie objętym kontrolą Instytut sprzedał 19 środków trwałych na łączną kwotę 278 tys. zł, z czego wszystkie transakcje dotyczyły sprzedaży samochodów. </w:t>
      </w:r>
      <w:r w:rsidRPr="00AE7A5B">
        <w:rPr>
          <w:rFonts w:eastAsia="Calibri"/>
          <w:szCs w:val="20"/>
        </w:rPr>
        <w:t>Zgodnie z § 7 ust. 3 pkt 18 Regulaminu organizacyjnego z 2019 r.</w:t>
      </w:r>
      <w:r>
        <w:rPr>
          <w:rFonts w:eastAsia="Calibri"/>
          <w:szCs w:val="20"/>
          <w:vertAlign w:val="superscript"/>
        </w:rPr>
        <w:footnoteReference w:id="236"/>
      </w:r>
      <w:r w:rsidRPr="00AE7A5B">
        <w:rPr>
          <w:rFonts w:eastAsia="Calibri"/>
          <w:szCs w:val="20"/>
        </w:rPr>
        <w:t xml:space="preserve"> za przygotowanie m.in. środków trwałych do likwidacji odpowiedzialny był Dział Administracyjny. </w:t>
      </w:r>
    </w:p>
    <w:p w:rsidR="00AE7A5B" w:rsidRPr="00AE7A5B" w:rsidP="00AE7A5B">
      <w:pPr>
        <w:spacing w:before="120" w:after="120" w:line="240" w:lineRule="auto"/>
        <w:jc w:val="left"/>
        <w:rPr>
          <w:rFonts w:cs="Times New Roman"/>
          <w:szCs w:val="20"/>
        </w:rPr>
      </w:pPr>
      <w:r w:rsidRPr="00AE7A5B">
        <w:rPr>
          <w:rFonts w:cs="Times New Roman"/>
          <w:szCs w:val="20"/>
        </w:rPr>
        <w:t>Na próbie dokumentacji 2</w:t>
      </w:r>
      <w:r>
        <w:rPr>
          <w:rFonts w:cs="Times New Roman"/>
          <w:szCs w:val="20"/>
          <w:vertAlign w:val="superscript"/>
        </w:rPr>
        <w:footnoteReference w:id="237"/>
      </w:r>
      <w:r w:rsidRPr="00AE7A5B">
        <w:rPr>
          <w:rFonts w:cs="Times New Roman"/>
          <w:szCs w:val="20"/>
        </w:rPr>
        <w:t xml:space="preserve"> sprzedanych samochodów stwierdzono w jednym </w:t>
      </w:r>
      <w:r w:rsidRPr="00AE7A5B">
        <w:rPr>
          <w:rFonts w:cs="Times New Roman"/>
          <w:szCs w:val="20"/>
        </w:rPr>
        <w:br/>
        <w:t>z postępowań ze sprzedaży</w:t>
      </w:r>
      <w:r>
        <w:rPr>
          <w:rFonts w:cs="Times New Roman"/>
          <w:szCs w:val="20"/>
          <w:vertAlign w:val="superscript"/>
        </w:rPr>
        <w:footnoteReference w:id="238"/>
      </w:r>
      <w:r w:rsidRPr="00AE7A5B">
        <w:rPr>
          <w:rFonts w:cs="Times New Roman"/>
          <w:szCs w:val="20"/>
        </w:rPr>
        <w:t xml:space="preserve"> następujące nieprawidłowości: </w:t>
      </w:r>
    </w:p>
    <w:p w:rsidR="00AE7A5B" w:rsidRPr="00AE7A5B" w:rsidP="00AE7A5B">
      <w:pPr>
        <w:numPr>
          <w:ilvl w:val="0"/>
          <w:numId w:val="3"/>
        </w:numPr>
        <w:autoSpaceDE w:val="0"/>
        <w:autoSpaceDN w:val="0"/>
        <w:adjustRightInd w:val="0"/>
        <w:spacing w:after="0" w:line="240" w:lineRule="auto"/>
        <w:ind w:left="284" w:hanging="284"/>
        <w:jc w:val="left"/>
        <w:rPr>
          <w:szCs w:val="20"/>
          <w:lang w:eastAsia="ar-SA"/>
        </w:rPr>
      </w:pPr>
      <w:r w:rsidRPr="00AE7A5B">
        <w:rPr>
          <w:rFonts w:cs="Times New Roman"/>
          <w:bCs/>
          <w:szCs w:val="20"/>
        </w:rPr>
        <w:t>nie została powołana komisja przetargowa, co było niezgodne z § 2 ust. 1</w:t>
      </w:r>
      <w:r>
        <w:rPr>
          <w:rFonts w:cs="Times New Roman"/>
          <w:bCs/>
          <w:szCs w:val="20"/>
          <w:vertAlign w:val="superscript"/>
        </w:rPr>
        <w:footnoteReference w:id="239"/>
      </w:r>
      <w:r w:rsidRPr="00AE7A5B">
        <w:rPr>
          <w:rFonts w:cs="Times New Roman"/>
          <w:bCs/>
          <w:szCs w:val="20"/>
        </w:rPr>
        <w:t xml:space="preserve"> </w:t>
      </w:r>
      <w:bookmarkStart w:id="48" w:name="_Hlk146105778"/>
      <w:r w:rsidRPr="00AE7A5B">
        <w:rPr>
          <w:szCs w:val="20"/>
        </w:rPr>
        <w:t xml:space="preserve">rozporządzenia </w:t>
      </w:r>
      <w:r w:rsidRPr="00AE7A5B">
        <w:rPr>
          <w:szCs w:val="20"/>
        </w:rPr>
        <w:t>ws</w:t>
      </w:r>
      <w:r w:rsidRPr="00AE7A5B">
        <w:rPr>
          <w:szCs w:val="20"/>
        </w:rPr>
        <w:t>. przetargu środków trwałych</w:t>
      </w:r>
      <w:bookmarkEnd w:id="48"/>
      <w:r w:rsidRPr="00AE7A5B">
        <w:rPr>
          <w:rFonts w:cs="Times New Roman"/>
          <w:bCs/>
          <w:szCs w:val="20"/>
        </w:rPr>
        <w:t>;</w:t>
      </w:r>
    </w:p>
    <w:p w:rsidR="00AE7A5B" w:rsidRPr="00AE7A5B" w:rsidP="00AE7A5B">
      <w:pPr>
        <w:numPr>
          <w:ilvl w:val="0"/>
          <w:numId w:val="3"/>
        </w:numPr>
        <w:autoSpaceDE w:val="0"/>
        <w:autoSpaceDN w:val="0"/>
        <w:adjustRightInd w:val="0"/>
        <w:spacing w:before="120" w:after="0" w:line="240" w:lineRule="auto"/>
        <w:ind w:left="284" w:hanging="284"/>
        <w:jc w:val="left"/>
        <w:rPr>
          <w:szCs w:val="20"/>
          <w:lang w:eastAsia="ar-SA"/>
        </w:rPr>
      </w:pPr>
      <w:r w:rsidRPr="00AE7A5B">
        <w:rPr>
          <w:szCs w:val="20"/>
        </w:rPr>
        <w:t>dwa obwieszczenia o przetargu</w:t>
      </w:r>
      <w:r>
        <w:rPr>
          <w:rFonts w:cs="Times New Roman"/>
          <w:bCs/>
          <w:szCs w:val="20"/>
          <w:vertAlign w:val="superscript"/>
        </w:rPr>
        <w:footnoteReference w:id="240"/>
      </w:r>
      <w:r w:rsidRPr="00AE7A5B">
        <w:rPr>
          <w:szCs w:val="20"/>
        </w:rPr>
        <w:t xml:space="preserve"> nie zostały zamieszczone w prasie, czym naruszono </w:t>
      </w:r>
      <w:r w:rsidRPr="00AE7A5B">
        <w:rPr>
          <w:szCs w:val="20"/>
        </w:rPr>
        <w:br/>
        <w:t xml:space="preserve">§ 10 ust. 1 rozporządzenia </w:t>
      </w:r>
      <w:r w:rsidRPr="00AE7A5B">
        <w:rPr>
          <w:szCs w:val="20"/>
        </w:rPr>
        <w:t>ws</w:t>
      </w:r>
      <w:r w:rsidRPr="00AE7A5B">
        <w:rPr>
          <w:szCs w:val="20"/>
        </w:rPr>
        <w:t>. przetargu środków trwałych</w:t>
      </w:r>
      <w:r>
        <w:rPr>
          <w:rFonts w:cs="Times New Roman"/>
          <w:bCs/>
          <w:szCs w:val="20"/>
          <w:vertAlign w:val="superscript"/>
        </w:rPr>
        <w:footnoteReference w:id="241"/>
      </w:r>
      <w:r w:rsidRPr="00AE7A5B">
        <w:rPr>
          <w:szCs w:val="20"/>
        </w:rPr>
        <w:t>, a jedynie opublikowane na stronie internetowej PIG;</w:t>
      </w:r>
    </w:p>
    <w:p w:rsidR="00AE7A5B" w:rsidRPr="00AE7A5B" w:rsidP="00AE7A5B">
      <w:pPr>
        <w:numPr>
          <w:ilvl w:val="0"/>
          <w:numId w:val="3"/>
        </w:numPr>
        <w:autoSpaceDE w:val="0"/>
        <w:autoSpaceDN w:val="0"/>
        <w:adjustRightInd w:val="0"/>
        <w:spacing w:before="120" w:after="0" w:line="240" w:lineRule="auto"/>
        <w:ind w:left="284" w:hanging="284"/>
        <w:jc w:val="left"/>
        <w:rPr>
          <w:rFonts w:cs="Times New Roman"/>
          <w:bCs/>
          <w:szCs w:val="20"/>
        </w:rPr>
      </w:pPr>
      <w:r w:rsidRPr="00AE7A5B">
        <w:rPr>
          <w:rFonts w:cs="Times New Roman"/>
          <w:bCs/>
          <w:szCs w:val="20"/>
        </w:rPr>
        <w:t xml:space="preserve">nie został sporządzony protokół z przetargu pisemnego, czym naruszono § 27 rozporządzenia </w:t>
      </w:r>
      <w:r w:rsidRPr="00AE7A5B">
        <w:rPr>
          <w:rFonts w:cs="Times New Roman"/>
          <w:bCs/>
          <w:szCs w:val="20"/>
        </w:rPr>
        <w:t>ws</w:t>
      </w:r>
      <w:r w:rsidRPr="00AE7A5B">
        <w:rPr>
          <w:rFonts w:cs="Times New Roman"/>
          <w:bCs/>
          <w:szCs w:val="20"/>
        </w:rPr>
        <w:t>. przetargu środków trwałych</w:t>
      </w:r>
      <w:r>
        <w:rPr>
          <w:rFonts w:cs="Times New Roman"/>
          <w:bCs/>
          <w:szCs w:val="20"/>
          <w:vertAlign w:val="superscript"/>
        </w:rPr>
        <w:footnoteReference w:id="242"/>
      </w:r>
      <w:r w:rsidRPr="00AE7A5B">
        <w:rPr>
          <w:rFonts w:cs="Times New Roman"/>
          <w:bCs/>
          <w:szCs w:val="20"/>
        </w:rPr>
        <w:t>;</w:t>
      </w:r>
    </w:p>
    <w:p w:rsidR="00AE7A5B" w:rsidRPr="00AE7A5B" w:rsidP="00AE7A5B">
      <w:pPr>
        <w:numPr>
          <w:ilvl w:val="0"/>
          <w:numId w:val="3"/>
        </w:numPr>
        <w:autoSpaceDE w:val="0"/>
        <w:autoSpaceDN w:val="0"/>
        <w:adjustRightInd w:val="0"/>
        <w:spacing w:before="120" w:after="120" w:line="240" w:lineRule="auto"/>
        <w:ind w:left="284" w:hanging="284"/>
        <w:jc w:val="left"/>
        <w:rPr>
          <w:rFonts w:cs="Times New Roman"/>
          <w:bCs/>
          <w:szCs w:val="20"/>
        </w:rPr>
      </w:pPr>
      <w:r w:rsidRPr="00AE7A5B">
        <w:rPr>
          <w:rFonts w:cs="Times New Roman"/>
          <w:bCs/>
          <w:szCs w:val="20"/>
        </w:rPr>
        <w:t>cena wywoławcza w pierwszym i drugim obwieszczeniu</w:t>
      </w:r>
      <w:r>
        <w:rPr>
          <w:rFonts w:cs="Times New Roman"/>
          <w:bCs/>
          <w:szCs w:val="20"/>
          <w:vertAlign w:val="superscript"/>
        </w:rPr>
        <w:footnoteReference w:id="243"/>
      </w:r>
      <w:r w:rsidRPr="00AE7A5B">
        <w:rPr>
          <w:rFonts w:cs="Times New Roman"/>
          <w:bCs/>
          <w:szCs w:val="20"/>
        </w:rPr>
        <w:t xml:space="preserve"> była wyższa od ceny oszacowanej o kwotę podatku VAT</w:t>
      </w:r>
      <w:r>
        <w:rPr>
          <w:rFonts w:cs="Times New Roman"/>
          <w:bCs/>
          <w:szCs w:val="20"/>
          <w:vertAlign w:val="superscript"/>
        </w:rPr>
        <w:footnoteReference w:id="244"/>
      </w:r>
      <w:r w:rsidRPr="00AE7A5B">
        <w:rPr>
          <w:rFonts w:cs="Times New Roman"/>
          <w:bCs/>
          <w:szCs w:val="20"/>
        </w:rPr>
        <w:t xml:space="preserve">, co było niezgodne z § 6 ust. 1 </w:t>
      </w:r>
      <w:r w:rsidRPr="00AE7A5B">
        <w:rPr>
          <w:szCs w:val="20"/>
        </w:rPr>
        <w:t xml:space="preserve">rozporządzenia </w:t>
      </w:r>
      <w:r w:rsidRPr="00AE7A5B">
        <w:rPr>
          <w:szCs w:val="20"/>
        </w:rPr>
        <w:br/>
      </w:r>
      <w:r w:rsidRPr="00AE7A5B">
        <w:rPr>
          <w:szCs w:val="20"/>
        </w:rPr>
        <w:t>ws</w:t>
      </w:r>
      <w:r w:rsidRPr="00AE7A5B">
        <w:rPr>
          <w:szCs w:val="20"/>
        </w:rPr>
        <w:t>. przetargu środków trwałych</w:t>
      </w:r>
      <w:r>
        <w:rPr>
          <w:rFonts w:cs="Times New Roman"/>
          <w:bCs/>
          <w:szCs w:val="20"/>
          <w:vertAlign w:val="superscript"/>
        </w:rPr>
        <w:footnoteReference w:id="245"/>
      </w:r>
      <w:r w:rsidRPr="00AE7A5B">
        <w:rPr>
          <w:szCs w:val="20"/>
        </w:rPr>
        <w:t>. Samochód został sprzedany za kwotę 7 200,00 zł osobie, która nie była wyłoniona w ramach przetargu. Cena zaoferowana przez kupującego odpowiadała wartości oszacowanej przez rzeczoznawcę powołanego przez PIG;</w:t>
      </w:r>
    </w:p>
    <w:p w:rsidR="00AE7A5B" w:rsidRPr="00AE7A5B" w:rsidP="00AE7A5B">
      <w:pPr>
        <w:numPr>
          <w:ilvl w:val="0"/>
          <w:numId w:val="3"/>
        </w:numPr>
        <w:autoSpaceDE w:val="0"/>
        <w:autoSpaceDN w:val="0"/>
        <w:adjustRightInd w:val="0"/>
        <w:spacing w:before="120" w:after="0" w:line="240" w:lineRule="auto"/>
        <w:ind w:left="284" w:hanging="284"/>
        <w:jc w:val="left"/>
        <w:rPr>
          <w:rFonts w:cs="Times New Roman"/>
          <w:bCs/>
          <w:szCs w:val="20"/>
        </w:rPr>
      </w:pPr>
      <w:r w:rsidRPr="00AE7A5B">
        <w:rPr>
          <w:rFonts w:cs="Times New Roman"/>
          <w:bCs/>
          <w:szCs w:val="20"/>
        </w:rPr>
        <w:t xml:space="preserve">brak w </w:t>
      </w:r>
      <w:r w:rsidRPr="00AE7A5B">
        <w:rPr>
          <w:rFonts w:cs="Times New Roman"/>
          <w:bCs/>
          <w:szCs w:val="20"/>
        </w:rPr>
        <w:t>obwieszczeniach</w:t>
      </w:r>
      <w:r w:rsidRPr="00AE7A5B">
        <w:rPr>
          <w:rFonts w:cs="Times New Roman"/>
          <w:bCs/>
          <w:szCs w:val="20"/>
        </w:rPr>
        <w:t xml:space="preserve"> o przetargu: informacji o </w:t>
      </w:r>
      <w:r w:rsidRPr="00AE7A5B">
        <w:rPr>
          <w:rFonts w:eastAsia="Calibri" w:cs="Times New Roman"/>
          <w:szCs w:val="20"/>
        </w:rPr>
        <w:t xml:space="preserve">okresie wiązania ofert; zastrzeżenia </w:t>
      </w:r>
      <w:r w:rsidRPr="00AE7A5B">
        <w:rPr>
          <w:rFonts w:eastAsia="Calibri" w:cs="Times New Roman"/>
          <w:szCs w:val="20"/>
        </w:rPr>
        <w:br/>
        <w:t>o prawie swobodnego wyboru oferty, jeżeli uczestnicy przetargu zaoferują tę samą cenę; zastrzeżenia, że wadium przepada na rzecz PIG, jeżeli oferent, którego oferta zostanie przyjęta, uchyli się od zawarcia umowy</w:t>
      </w:r>
      <w:r w:rsidRPr="00AE7A5B">
        <w:rPr>
          <w:rFonts w:cs="Times New Roman"/>
          <w:bCs/>
          <w:szCs w:val="20"/>
        </w:rPr>
        <w:t xml:space="preserve">, co było niezgodne z § 9 ust. 2 pkt 1-3 rozporządzenia </w:t>
      </w:r>
      <w:r w:rsidRPr="00AE7A5B">
        <w:rPr>
          <w:rFonts w:cs="Times New Roman"/>
          <w:bCs/>
          <w:szCs w:val="20"/>
        </w:rPr>
        <w:t>ws</w:t>
      </w:r>
      <w:r w:rsidRPr="00AE7A5B">
        <w:rPr>
          <w:rFonts w:cs="Times New Roman"/>
          <w:bCs/>
          <w:szCs w:val="20"/>
        </w:rPr>
        <w:t>. przetargu środków trwałych</w:t>
      </w:r>
      <w:r>
        <w:rPr>
          <w:rFonts w:cs="Times New Roman"/>
          <w:bCs/>
          <w:szCs w:val="20"/>
          <w:vertAlign w:val="superscript"/>
        </w:rPr>
        <w:footnoteReference w:id="246"/>
      </w:r>
      <w:r w:rsidRPr="00AE7A5B">
        <w:rPr>
          <w:rFonts w:cs="Times New Roman"/>
          <w:bCs/>
          <w:szCs w:val="20"/>
        </w:rPr>
        <w:t>;</w:t>
      </w:r>
    </w:p>
    <w:p w:rsidR="00AE7A5B" w:rsidRPr="00AE7A5B" w:rsidP="00AE7A5B">
      <w:pPr>
        <w:numPr>
          <w:ilvl w:val="0"/>
          <w:numId w:val="3"/>
        </w:numPr>
        <w:autoSpaceDE w:val="0"/>
        <w:autoSpaceDN w:val="0"/>
        <w:adjustRightInd w:val="0"/>
        <w:spacing w:before="120" w:after="0" w:line="240" w:lineRule="auto"/>
        <w:ind w:left="284" w:hanging="284"/>
        <w:jc w:val="left"/>
        <w:rPr>
          <w:rFonts w:cs="Times New Roman"/>
          <w:bCs/>
          <w:szCs w:val="20"/>
        </w:rPr>
      </w:pPr>
      <w:r w:rsidRPr="00AE7A5B">
        <w:rPr>
          <w:rFonts w:cs="Times New Roman"/>
          <w:bCs/>
          <w:szCs w:val="20"/>
        </w:rPr>
        <w:t xml:space="preserve">brak w </w:t>
      </w:r>
      <w:r w:rsidRPr="00AE7A5B">
        <w:rPr>
          <w:rFonts w:cs="Times New Roman"/>
          <w:bCs/>
          <w:szCs w:val="20"/>
        </w:rPr>
        <w:t>obwieszczeniach</w:t>
      </w:r>
      <w:r w:rsidRPr="00AE7A5B">
        <w:rPr>
          <w:rFonts w:cs="Times New Roman"/>
          <w:bCs/>
          <w:szCs w:val="20"/>
        </w:rPr>
        <w:t xml:space="preserve"> o przetargu informacji, że: wadium złożone przez oferentów, których oferty nie zostaną przyjęte, zostanie zwrócone bezpośrednio po dokonaniu wyboru oferty; jeżeli wadium złożone przez nabywcę było w innej formie niż w gotówce, </w:t>
      </w:r>
      <w:r w:rsidRPr="00AE7A5B">
        <w:rPr>
          <w:rFonts w:cs="Times New Roman"/>
          <w:bCs/>
          <w:szCs w:val="20"/>
        </w:rPr>
        <w:t xml:space="preserve">ulega zwrotowi po zapłaceniu ceny nabycia, co było niezgodne z § 9 ust. 1 pkt 8 rozporządzenia </w:t>
      </w:r>
      <w:r w:rsidRPr="00AE7A5B">
        <w:rPr>
          <w:rFonts w:cs="Times New Roman"/>
          <w:bCs/>
          <w:szCs w:val="20"/>
        </w:rPr>
        <w:t>ws</w:t>
      </w:r>
      <w:r w:rsidRPr="00AE7A5B">
        <w:rPr>
          <w:rFonts w:cs="Times New Roman"/>
          <w:bCs/>
          <w:szCs w:val="20"/>
        </w:rPr>
        <w:t>. przetargu środków trwałych</w:t>
      </w:r>
      <w:r w:rsidRPr="00AE7A5B">
        <w:rPr>
          <w:rFonts w:cs="Times New Roman"/>
          <w:bCs/>
          <w:szCs w:val="20"/>
          <w:vertAlign w:val="superscript"/>
        </w:rPr>
        <w:t xml:space="preserve"> </w:t>
      </w:r>
      <w:r>
        <w:rPr>
          <w:rFonts w:cs="Times New Roman"/>
          <w:bCs/>
          <w:szCs w:val="20"/>
          <w:vertAlign w:val="superscript"/>
        </w:rPr>
        <w:footnoteReference w:id="247"/>
      </w:r>
      <w:r w:rsidRPr="00AE7A5B">
        <w:rPr>
          <w:rFonts w:cs="Times New Roman"/>
          <w:bCs/>
          <w:szCs w:val="20"/>
        </w:rPr>
        <w:t>.</w:t>
      </w:r>
    </w:p>
    <w:p w:rsidR="00AE7A5B" w:rsidRPr="00AE7A5B" w:rsidP="00AE7A5B">
      <w:pPr>
        <w:autoSpaceDE w:val="0"/>
        <w:autoSpaceDN w:val="0"/>
        <w:adjustRightInd w:val="0"/>
        <w:spacing w:before="120" w:after="120" w:line="240" w:lineRule="auto"/>
        <w:jc w:val="left"/>
        <w:rPr>
          <w:rFonts w:cs="Times New Roman"/>
          <w:bCs/>
          <w:szCs w:val="20"/>
        </w:rPr>
      </w:pPr>
      <w:r w:rsidRPr="00AE7A5B">
        <w:rPr>
          <w:rFonts w:cs="Times New Roman"/>
          <w:bCs/>
          <w:szCs w:val="20"/>
        </w:rPr>
        <w:t>Dyrektor potwierdził</w:t>
      </w:r>
      <w:r>
        <w:rPr>
          <w:sz w:val="24"/>
          <w:szCs w:val="24"/>
          <w:vertAlign w:val="superscript"/>
        </w:rPr>
        <w:footnoteReference w:id="248"/>
      </w:r>
      <w:r w:rsidRPr="00AE7A5B">
        <w:rPr>
          <w:rFonts w:cs="Times New Roman"/>
          <w:bCs/>
          <w:szCs w:val="20"/>
        </w:rPr>
        <w:t xml:space="preserve">, że przetarg nie został przeprowadzony w pełni zgodnie z procedurą określoną w rozporządzeniu </w:t>
      </w:r>
      <w:r w:rsidRPr="00AE7A5B">
        <w:rPr>
          <w:rFonts w:cs="Times New Roman"/>
          <w:bCs/>
          <w:szCs w:val="20"/>
        </w:rPr>
        <w:t>ws</w:t>
      </w:r>
      <w:r w:rsidRPr="00AE7A5B">
        <w:rPr>
          <w:rFonts w:cs="Times New Roman"/>
          <w:bCs/>
          <w:szCs w:val="20"/>
        </w:rPr>
        <w:t>. przetargu środków trwałych. Dodatkowo wyjaśnił, że ze względu na brak ofert odstąpiono od sporządzenia protokołu. Podobnie specjalista ds. floty samochodowej potwierdził, że nie powołano komisji przetargowej</w:t>
      </w:r>
      <w:r>
        <w:rPr>
          <w:rFonts w:cs="Times New Roman"/>
          <w:bCs/>
          <w:szCs w:val="20"/>
          <w:vertAlign w:val="superscript"/>
        </w:rPr>
        <w:footnoteReference w:id="249"/>
      </w:r>
      <w:r w:rsidRPr="00AE7A5B">
        <w:rPr>
          <w:rFonts w:cs="Times New Roman"/>
          <w:bCs/>
          <w:szCs w:val="20"/>
        </w:rPr>
        <w:t xml:space="preserve"> </w:t>
      </w:r>
      <w:r w:rsidRPr="00AE7A5B">
        <w:rPr>
          <w:rFonts w:cs="Times New Roman"/>
          <w:bCs/>
          <w:szCs w:val="20"/>
        </w:rPr>
        <w:br/>
        <w:t>i nie zamieszczono w codziennej prasie ogłoszenia o przetargu</w:t>
      </w:r>
      <w:r>
        <w:rPr>
          <w:rFonts w:cs="Times New Roman"/>
          <w:bCs/>
          <w:szCs w:val="20"/>
          <w:vertAlign w:val="superscript"/>
        </w:rPr>
        <w:footnoteReference w:id="250"/>
      </w:r>
      <w:r w:rsidRPr="00AE7A5B">
        <w:rPr>
          <w:rFonts w:cs="Times New Roman"/>
          <w:bCs/>
          <w:szCs w:val="20"/>
        </w:rPr>
        <w:t xml:space="preserve">. </w:t>
      </w:r>
    </w:p>
    <w:p w:rsidR="00AE7A5B" w:rsidRPr="00AE7A5B" w:rsidP="00AE7A5B">
      <w:pPr>
        <w:spacing w:after="120" w:line="240" w:lineRule="auto"/>
        <w:jc w:val="left"/>
      </w:pPr>
      <w:r w:rsidRPr="00AE7A5B">
        <w:rPr>
          <w:rFonts w:eastAsia="Calibri"/>
          <w:szCs w:val="20"/>
        </w:rPr>
        <w:t>[Dowód: akta kontroli str.</w:t>
      </w:r>
      <w:r w:rsidRPr="00AE7A5B">
        <w:rPr>
          <w:szCs w:val="20"/>
          <w:lang w:eastAsia="ar-SA"/>
        </w:rPr>
        <w:t xml:space="preserve"> II/, III/366-375, III/378-379, III/436, III/473-474, III/507-508]</w:t>
      </w:r>
    </w:p>
    <w:p w:rsidR="00AE7A5B" w:rsidRPr="00AE7A5B" w:rsidP="00AE7A5B">
      <w:pPr>
        <w:spacing w:after="0" w:line="240" w:lineRule="auto"/>
        <w:jc w:val="left"/>
        <w:rPr>
          <w:rFonts w:cs="Times New Roman"/>
          <w:szCs w:val="20"/>
        </w:rPr>
      </w:pPr>
      <w:r w:rsidRPr="00AE7A5B">
        <w:rPr>
          <w:rFonts w:cs="Times New Roman"/>
          <w:szCs w:val="20"/>
          <w:lang w:bidi="pl-PL"/>
        </w:rPr>
        <w:t>W latach 2020-2021 w PIG obowiązywało 17 umów najmu</w:t>
      </w:r>
      <w:r>
        <w:rPr>
          <w:rFonts w:cs="Times New Roman"/>
          <w:szCs w:val="20"/>
          <w:vertAlign w:val="superscript"/>
          <w:lang w:bidi="pl-PL"/>
        </w:rPr>
        <w:footnoteReference w:id="251"/>
      </w:r>
      <w:r w:rsidRPr="00AE7A5B">
        <w:rPr>
          <w:rFonts w:cs="Times New Roman"/>
          <w:szCs w:val="20"/>
          <w:lang w:bidi="pl-PL"/>
        </w:rPr>
        <w:t xml:space="preserve">. Na próbie </w:t>
      </w:r>
      <w:r w:rsidRPr="00AE7A5B">
        <w:rPr>
          <w:rFonts w:cs="Times New Roman"/>
          <w:szCs w:val="20"/>
        </w:rPr>
        <w:t>2 umów najmu</w:t>
      </w:r>
      <w:r>
        <w:rPr>
          <w:rFonts w:cs="Times New Roman"/>
          <w:szCs w:val="20"/>
          <w:vertAlign w:val="superscript"/>
        </w:rPr>
        <w:footnoteReference w:id="252"/>
      </w:r>
      <w:r w:rsidRPr="00AE7A5B">
        <w:rPr>
          <w:rFonts w:cs="Times New Roman"/>
          <w:szCs w:val="20"/>
        </w:rPr>
        <w:t xml:space="preserve"> </w:t>
      </w:r>
      <w:r w:rsidRPr="00AE7A5B">
        <w:rPr>
          <w:rFonts w:cs="Times New Roman"/>
          <w:szCs w:val="20"/>
        </w:rPr>
        <w:br/>
        <w:t>i dokumentacji rozliczeniowej stwierdzono następujące nieprawidłowości:</w:t>
      </w:r>
    </w:p>
    <w:p w:rsidR="00AE7A5B" w:rsidRPr="00AE7A5B" w:rsidP="00AE7A5B">
      <w:pPr>
        <w:numPr>
          <w:ilvl w:val="0"/>
          <w:numId w:val="12"/>
        </w:numPr>
        <w:spacing w:before="120" w:after="0" w:line="240" w:lineRule="auto"/>
        <w:ind w:left="284" w:hanging="284"/>
        <w:jc w:val="left"/>
        <w:rPr>
          <w:rFonts w:cs="Times New Roman"/>
          <w:szCs w:val="20"/>
        </w:rPr>
      </w:pPr>
      <w:r w:rsidRPr="00AE7A5B">
        <w:rPr>
          <w:rFonts w:cs="Times New Roman"/>
          <w:bCs/>
          <w:szCs w:val="20"/>
        </w:rPr>
        <w:t>brak wyegzekwowania od najemcy umowy nr 1/OB/01/2019 z 16 stycznia 2019 r.</w:t>
      </w:r>
      <w:r>
        <w:rPr>
          <w:rFonts w:cs="Times New Roman"/>
          <w:bCs/>
          <w:szCs w:val="20"/>
          <w:vertAlign w:val="superscript"/>
        </w:rPr>
        <w:footnoteReference w:id="253"/>
      </w:r>
      <w:r w:rsidRPr="00AE7A5B">
        <w:rPr>
          <w:rFonts w:cs="Times New Roman"/>
          <w:bCs/>
          <w:szCs w:val="20"/>
        </w:rPr>
        <w:t xml:space="preserve">  wykazu godzin pracy oraz danych personalnych pracowników najemcy wykonujących swoje obowiązki w pomieszczeniach biurowych</w:t>
      </w:r>
      <w:r>
        <w:rPr>
          <w:rFonts w:cs="Times New Roman"/>
          <w:bCs/>
          <w:szCs w:val="20"/>
          <w:vertAlign w:val="superscript"/>
        </w:rPr>
        <w:footnoteReference w:id="254"/>
      </w:r>
      <w:r w:rsidRPr="00AE7A5B">
        <w:rPr>
          <w:rFonts w:cs="Times New Roman"/>
          <w:bCs/>
          <w:szCs w:val="20"/>
        </w:rPr>
        <w:t>, na podstawie z § 3 ust. 2 umowy</w:t>
      </w:r>
      <w:r>
        <w:rPr>
          <w:rFonts w:cs="Times New Roman"/>
          <w:bCs/>
          <w:szCs w:val="20"/>
          <w:vertAlign w:val="superscript"/>
        </w:rPr>
        <w:footnoteReference w:id="255"/>
      </w:r>
      <w:r w:rsidRPr="00AE7A5B">
        <w:rPr>
          <w:rFonts w:cs="Times New Roman"/>
          <w:bCs/>
          <w:szCs w:val="20"/>
        </w:rPr>
        <w:t xml:space="preserve">. </w:t>
      </w:r>
    </w:p>
    <w:p w:rsidR="00AE7A5B" w:rsidRPr="00AE7A5B" w:rsidP="00AE7A5B">
      <w:pPr>
        <w:autoSpaceDE w:val="0"/>
        <w:autoSpaceDN w:val="0"/>
        <w:adjustRightInd w:val="0"/>
        <w:spacing w:before="120" w:after="0" w:line="240" w:lineRule="auto"/>
        <w:ind w:left="284"/>
        <w:jc w:val="left"/>
        <w:rPr>
          <w:rFonts w:cs="Times New Roman"/>
          <w:bCs/>
          <w:szCs w:val="20"/>
        </w:rPr>
      </w:pPr>
      <w:r w:rsidRPr="00AE7A5B">
        <w:rPr>
          <w:rFonts w:cs="Times New Roman"/>
          <w:bCs/>
          <w:szCs w:val="20"/>
        </w:rPr>
        <w:t>Kierownik Działu Administracyjnego poinformował</w:t>
      </w:r>
      <w:r>
        <w:rPr>
          <w:rFonts w:cs="Times New Roman"/>
          <w:bCs/>
          <w:szCs w:val="20"/>
          <w:vertAlign w:val="superscript"/>
        </w:rPr>
        <w:footnoteReference w:id="256"/>
      </w:r>
      <w:r w:rsidRPr="00AE7A5B">
        <w:rPr>
          <w:rFonts w:cs="Times New Roman"/>
          <w:bCs/>
          <w:szCs w:val="20"/>
        </w:rPr>
        <w:t>, że w związku ze zmianą osoby na stanowisku właściwym dla umów i faktur najmu, nie ma możliwości wyjaśnienia przyczyn braku wyegzekwowania przedmiotowego postanowienia umowy.</w:t>
      </w:r>
    </w:p>
    <w:p w:rsidR="00AE7A5B" w:rsidRPr="00AE7A5B" w:rsidP="00AE7A5B">
      <w:pPr>
        <w:spacing w:before="120" w:after="120" w:line="240" w:lineRule="auto"/>
        <w:ind w:left="284"/>
        <w:jc w:val="left"/>
        <w:rPr>
          <w:rFonts w:cs="Times New Roman"/>
          <w:sz w:val="24"/>
          <w:szCs w:val="20"/>
        </w:rPr>
      </w:pPr>
      <w:r w:rsidRPr="00AE7A5B">
        <w:rPr>
          <w:rFonts w:eastAsia="Calibri"/>
          <w:szCs w:val="20"/>
        </w:rPr>
        <w:t xml:space="preserve">[Dowód: akta kontroli str. </w:t>
      </w:r>
      <w:r w:rsidRPr="00AE7A5B">
        <w:rPr>
          <w:rFonts w:cs="Times New Roman"/>
          <w:bCs/>
          <w:szCs w:val="20"/>
        </w:rPr>
        <w:t xml:space="preserve">III/380-384, III/394, </w:t>
      </w:r>
      <w:r w:rsidRPr="00AE7A5B">
        <w:rPr>
          <w:szCs w:val="20"/>
          <w:lang w:eastAsia="ar-SA"/>
        </w:rPr>
        <w:t>III/401-404, III/502-503]</w:t>
      </w:r>
    </w:p>
    <w:p w:rsidR="00AE7A5B" w:rsidRPr="00AE7A5B" w:rsidP="00AE7A5B">
      <w:pPr>
        <w:numPr>
          <w:ilvl w:val="0"/>
          <w:numId w:val="12"/>
        </w:numPr>
        <w:spacing w:before="120" w:after="0" w:line="240" w:lineRule="auto"/>
        <w:ind w:left="284" w:hanging="284"/>
        <w:jc w:val="left"/>
        <w:rPr>
          <w:rFonts w:cs="Times New Roman"/>
          <w:sz w:val="24"/>
          <w:szCs w:val="20"/>
        </w:rPr>
      </w:pPr>
      <w:r w:rsidRPr="00AE7A5B">
        <w:rPr>
          <w:rFonts w:cs="Times New Roman"/>
          <w:szCs w:val="20"/>
        </w:rPr>
        <w:t xml:space="preserve">brak w obydwu umowach zapisów dotyczących </w:t>
      </w:r>
      <w:r w:rsidRPr="00AE7A5B">
        <w:rPr>
          <w:szCs w:val="20"/>
        </w:rPr>
        <w:t xml:space="preserve">kar umownych za opóźnienia </w:t>
      </w:r>
      <w:r w:rsidRPr="00AE7A5B">
        <w:rPr>
          <w:szCs w:val="20"/>
        </w:rPr>
        <w:br/>
        <w:t>w płatnościach;</w:t>
      </w:r>
    </w:p>
    <w:p w:rsidR="00AE7A5B" w:rsidRPr="00AE7A5B" w:rsidP="00AE7A5B">
      <w:pPr>
        <w:autoSpaceDE w:val="0"/>
        <w:autoSpaceDN w:val="0"/>
        <w:adjustRightInd w:val="0"/>
        <w:spacing w:before="120" w:after="0" w:line="240" w:lineRule="auto"/>
        <w:ind w:left="284"/>
        <w:jc w:val="left"/>
        <w:rPr>
          <w:rFonts w:cs="Times New Roman"/>
          <w:bCs/>
          <w:szCs w:val="20"/>
        </w:rPr>
      </w:pPr>
      <w:r w:rsidRPr="00AE7A5B">
        <w:rPr>
          <w:rFonts w:cs="Times New Roman"/>
          <w:bCs/>
          <w:szCs w:val="20"/>
        </w:rPr>
        <w:t>[Dowód: akta kontroli str. III/380-392, III/394, III/502-503]</w:t>
      </w:r>
    </w:p>
    <w:p w:rsidR="00AE7A5B" w:rsidRPr="00AE7A5B" w:rsidP="00AE7A5B">
      <w:pPr>
        <w:numPr>
          <w:ilvl w:val="0"/>
          <w:numId w:val="12"/>
        </w:numPr>
        <w:spacing w:before="120" w:after="0" w:line="240" w:lineRule="auto"/>
        <w:ind w:left="284" w:hanging="284"/>
        <w:jc w:val="left"/>
        <w:rPr>
          <w:rFonts w:cs="Times New Roman"/>
          <w:sz w:val="24"/>
          <w:szCs w:val="20"/>
        </w:rPr>
      </w:pPr>
      <w:r w:rsidRPr="00AE7A5B">
        <w:rPr>
          <w:rFonts w:cs="Times New Roman"/>
          <w:szCs w:val="20"/>
        </w:rPr>
        <w:t>brak w umowie nr 1/06/2020/OG 16 czerwca 2020 r.</w:t>
      </w:r>
      <w:r>
        <w:rPr>
          <w:rFonts w:cs="Times New Roman"/>
          <w:szCs w:val="20"/>
          <w:vertAlign w:val="superscript"/>
        </w:rPr>
        <w:footnoteReference w:id="257"/>
      </w:r>
      <w:r w:rsidRPr="00AE7A5B">
        <w:rPr>
          <w:rFonts w:cs="Times New Roman"/>
          <w:szCs w:val="20"/>
        </w:rPr>
        <w:t xml:space="preserve"> zapisów dotyczących kar umownych za</w:t>
      </w:r>
      <w:r w:rsidRPr="00AE7A5B">
        <w:rPr>
          <w:szCs w:val="20"/>
        </w:rPr>
        <w:t xml:space="preserve"> rozwiązanie umowy z przyczyn leżących po stronie najemcy i </w:t>
      </w:r>
      <w:r w:rsidRPr="00AE7A5B">
        <w:rPr>
          <w:rFonts w:cs="Times New Roman"/>
          <w:szCs w:val="20"/>
        </w:rPr>
        <w:t xml:space="preserve">obowiązku odnowienia lokalu przed jego zwrotem, co świadczy o braku </w:t>
      </w:r>
      <w:r w:rsidRPr="00AE7A5B">
        <w:rPr>
          <w:szCs w:val="20"/>
        </w:rPr>
        <w:t xml:space="preserve">mechanizmów gwarantujących należyte zabezpieczenie interesów Instytutu. </w:t>
      </w:r>
    </w:p>
    <w:p w:rsidR="00AE7A5B" w:rsidRPr="00AE7A5B" w:rsidP="00AE7A5B">
      <w:pPr>
        <w:spacing w:before="120" w:after="120" w:line="240" w:lineRule="auto"/>
        <w:ind w:left="284"/>
        <w:jc w:val="left"/>
        <w:rPr>
          <w:rFonts w:cs="Times New Roman"/>
          <w:sz w:val="24"/>
          <w:szCs w:val="20"/>
        </w:rPr>
      </w:pPr>
      <w:r w:rsidRPr="00AE7A5B">
        <w:rPr>
          <w:rFonts w:eastAsia="Calibri"/>
          <w:szCs w:val="20"/>
        </w:rPr>
        <w:t>[Dowód: akta kontroli str.</w:t>
      </w:r>
      <w:r w:rsidRPr="00AE7A5B">
        <w:rPr>
          <w:szCs w:val="20"/>
          <w:lang w:eastAsia="ar-SA"/>
        </w:rPr>
        <w:t xml:space="preserve"> III/389-392, III/394, III/502-503]</w:t>
      </w:r>
    </w:p>
    <w:p w:rsidR="00AE7A5B" w:rsidRPr="00AE7A5B" w:rsidP="00AE7A5B">
      <w:pPr>
        <w:spacing w:after="0" w:line="240" w:lineRule="auto"/>
        <w:jc w:val="left"/>
        <w:rPr>
          <w:rFonts w:cs="Times New Roman"/>
          <w:szCs w:val="20"/>
        </w:rPr>
      </w:pPr>
      <w:r w:rsidRPr="00AE7A5B">
        <w:rPr>
          <w:rFonts w:cs="Times New Roman"/>
          <w:szCs w:val="20"/>
        </w:rPr>
        <w:t>Ponadto ustalono następujące uchybienia:</w:t>
      </w:r>
    </w:p>
    <w:p w:rsidR="00AE7A5B" w:rsidRPr="00AE7A5B" w:rsidP="00AE7A5B">
      <w:pPr>
        <w:numPr>
          <w:ilvl w:val="0"/>
          <w:numId w:val="3"/>
        </w:numPr>
        <w:autoSpaceDE w:val="0"/>
        <w:autoSpaceDN w:val="0"/>
        <w:adjustRightInd w:val="0"/>
        <w:spacing w:before="120" w:after="120" w:line="240" w:lineRule="auto"/>
        <w:ind w:left="284" w:hanging="284"/>
        <w:jc w:val="left"/>
        <w:rPr>
          <w:rFonts w:cs="Times New Roman"/>
          <w:bCs/>
          <w:szCs w:val="20"/>
        </w:rPr>
      </w:pPr>
      <w:r w:rsidRPr="00AE7A5B">
        <w:rPr>
          <w:rFonts w:cs="Times New Roman"/>
          <w:bCs/>
          <w:szCs w:val="20"/>
        </w:rPr>
        <w:t>w obu umowach wprowadzono różne zapisy dotyczące terminu płatności czynszu, kaucji oraz wysokości wskaźnika waloryzacji czynszu</w:t>
      </w:r>
      <w:r>
        <w:rPr>
          <w:rFonts w:cs="Times New Roman"/>
          <w:bCs/>
          <w:szCs w:val="20"/>
          <w:vertAlign w:val="superscript"/>
        </w:rPr>
        <w:footnoteReference w:id="258"/>
      </w:r>
      <w:r w:rsidRPr="00AE7A5B">
        <w:rPr>
          <w:rFonts w:cs="Times New Roman"/>
          <w:bCs/>
          <w:szCs w:val="20"/>
        </w:rPr>
        <w:t>, które świadczą o stosowaniu niejednolitych zasad przy zawieraniu umów;</w:t>
      </w:r>
    </w:p>
    <w:p w:rsidR="00AE7A5B" w:rsidRPr="00AE7A5B" w:rsidP="00AE7A5B">
      <w:pPr>
        <w:spacing w:after="120" w:line="240" w:lineRule="auto"/>
        <w:ind w:left="284"/>
        <w:jc w:val="left"/>
        <w:rPr>
          <w:szCs w:val="20"/>
          <w:lang w:eastAsia="ar-SA"/>
        </w:rPr>
      </w:pPr>
      <w:r w:rsidRPr="00AE7A5B">
        <w:rPr>
          <w:rFonts w:eastAsia="Calibri"/>
          <w:szCs w:val="20"/>
        </w:rPr>
        <w:t>[Dowód: akta kontroli str.</w:t>
      </w:r>
      <w:r w:rsidRPr="00AE7A5B">
        <w:rPr>
          <w:szCs w:val="20"/>
          <w:lang w:eastAsia="ar-SA"/>
        </w:rPr>
        <w:t xml:space="preserve"> III/380-394, III/502-503]</w:t>
      </w:r>
    </w:p>
    <w:p w:rsidR="00AE7A5B" w:rsidRPr="00AE7A5B" w:rsidP="00AE7A5B">
      <w:pPr>
        <w:numPr>
          <w:ilvl w:val="0"/>
          <w:numId w:val="2"/>
        </w:numPr>
        <w:spacing w:after="120" w:line="240" w:lineRule="auto"/>
        <w:ind w:left="284" w:hanging="284"/>
        <w:jc w:val="left"/>
        <w:rPr>
          <w:rFonts w:cs="Times New Roman"/>
          <w:szCs w:val="20"/>
        </w:rPr>
      </w:pPr>
      <w:r w:rsidRPr="00AE7A5B">
        <w:rPr>
          <w:rFonts w:cs="Times New Roman"/>
          <w:bCs/>
          <w:szCs w:val="20"/>
        </w:rPr>
        <w:t>brak potwierdzenia daty odbioru przez najemcę</w:t>
      </w:r>
      <w:r>
        <w:rPr>
          <w:rFonts w:cs="Times New Roman"/>
          <w:bCs/>
          <w:szCs w:val="20"/>
          <w:vertAlign w:val="superscript"/>
        </w:rPr>
        <w:footnoteReference w:id="259"/>
      </w:r>
      <w:r w:rsidRPr="00AE7A5B">
        <w:rPr>
          <w:rFonts w:cs="Times New Roman"/>
          <w:bCs/>
          <w:szCs w:val="20"/>
        </w:rPr>
        <w:t>na wszystkich dobranych do próby fakturach, za wrzesień, październik i listopad 2020 r.</w:t>
      </w:r>
      <w:r>
        <w:rPr>
          <w:rFonts w:cs="Times New Roman"/>
          <w:bCs/>
          <w:szCs w:val="20"/>
          <w:vertAlign w:val="superscript"/>
        </w:rPr>
        <w:footnoteReference w:id="260"/>
      </w:r>
      <w:r w:rsidRPr="00AE7A5B">
        <w:rPr>
          <w:rFonts w:cs="Times New Roman"/>
          <w:bCs/>
          <w:szCs w:val="20"/>
        </w:rPr>
        <w:t xml:space="preserve"> Tym samym nie można ustalić, czy czynsz został zapłacony w terminie</w:t>
      </w:r>
      <w:r>
        <w:rPr>
          <w:rFonts w:cs="Times New Roman"/>
          <w:bCs/>
          <w:szCs w:val="20"/>
          <w:vertAlign w:val="superscript"/>
        </w:rPr>
        <w:footnoteReference w:id="261"/>
      </w:r>
      <w:r w:rsidRPr="00AE7A5B">
        <w:rPr>
          <w:rFonts w:cs="Times New Roman"/>
          <w:bCs/>
          <w:szCs w:val="20"/>
        </w:rPr>
        <w:t xml:space="preserve">. Ponadto termin zapłaty wskazany na ww. fakturach był niezgodny z </w:t>
      </w:r>
      <w:r w:rsidRPr="00AE7A5B">
        <w:rPr>
          <w:bCs/>
          <w:szCs w:val="20"/>
        </w:rPr>
        <w:t xml:space="preserve">§ 4 ust. 4 </w:t>
      </w:r>
      <w:r w:rsidRPr="00AE7A5B">
        <w:rPr>
          <w:rFonts w:cs="Times New Roman"/>
          <w:bCs/>
          <w:szCs w:val="20"/>
        </w:rPr>
        <w:t>umowy nr 1/OB/01/2019 z 16 stycznia 2019 r.</w:t>
      </w:r>
      <w:r>
        <w:rPr>
          <w:rFonts w:cs="Times New Roman"/>
          <w:bCs/>
          <w:szCs w:val="20"/>
          <w:vertAlign w:val="superscript"/>
        </w:rPr>
        <w:footnoteReference w:id="262"/>
      </w:r>
    </w:p>
    <w:p w:rsidR="00AE7A5B" w:rsidRPr="00AE7A5B" w:rsidP="00AE7A5B">
      <w:pPr>
        <w:autoSpaceDE w:val="0"/>
        <w:autoSpaceDN w:val="0"/>
        <w:adjustRightInd w:val="0"/>
        <w:spacing w:before="120" w:after="0" w:line="240" w:lineRule="auto"/>
        <w:ind w:left="284"/>
        <w:jc w:val="left"/>
        <w:rPr>
          <w:rFonts w:cs="Times New Roman"/>
          <w:bCs/>
          <w:szCs w:val="20"/>
        </w:rPr>
      </w:pPr>
      <w:r w:rsidRPr="00AE7A5B">
        <w:rPr>
          <w:rFonts w:cs="Times New Roman"/>
          <w:bCs/>
          <w:szCs w:val="20"/>
        </w:rPr>
        <w:t>Kierownik Działu Administracyjnego wyjaśnił</w:t>
      </w:r>
      <w:r>
        <w:rPr>
          <w:rFonts w:cs="Times New Roman"/>
          <w:bCs/>
          <w:szCs w:val="20"/>
          <w:vertAlign w:val="superscript"/>
        </w:rPr>
        <w:footnoteReference w:id="263"/>
      </w:r>
      <w:r w:rsidRPr="00AE7A5B">
        <w:rPr>
          <w:rFonts w:cs="Times New Roman"/>
          <w:bCs/>
          <w:szCs w:val="20"/>
        </w:rPr>
        <w:t>, że w związku ze zmianą osoby na stanowisku właściwym dla umów i faktur najmu, nie ma możliwości wyjaśnienia przyczyny braku informacji pozwalających na ustalenie dat odbiorów faktur, jak również nie można ustalić, czy terminy zapłat za faktury zostały lub nie zostały zachowane. Dodatkowo poinformował, że nie ma możliwości wyjaśnienia przyczyny</w:t>
      </w:r>
      <w:r w:rsidRPr="00AE7A5B">
        <w:rPr>
          <w:sz w:val="24"/>
          <w:szCs w:val="24"/>
        </w:rPr>
        <w:t xml:space="preserve"> </w:t>
      </w:r>
      <w:r w:rsidRPr="00AE7A5B">
        <w:rPr>
          <w:rFonts w:cs="Times New Roman"/>
          <w:bCs/>
          <w:szCs w:val="20"/>
        </w:rPr>
        <w:t>niezgodności między terminem określonym w umowie a terminem wskazanym na fakturach.</w:t>
      </w:r>
    </w:p>
    <w:p w:rsidR="00AE7A5B" w:rsidRPr="00AE7A5B" w:rsidP="00AE7A5B">
      <w:pPr>
        <w:spacing w:before="120" w:after="120" w:line="240" w:lineRule="auto"/>
        <w:ind w:left="284"/>
        <w:jc w:val="left"/>
        <w:rPr>
          <w:rFonts w:cs="Times New Roman"/>
          <w:szCs w:val="20"/>
        </w:rPr>
      </w:pPr>
      <w:r w:rsidRPr="00AE7A5B">
        <w:rPr>
          <w:rFonts w:cs="Times New Roman"/>
          <w:bCs/>
          <w:szCs w:val="20"/>
        </w:rPr>
        <w:t>[Dowód: akta kontroli str. III/380-384, III/394-395, III/397, III/399,</w:t>
      </w:r>
      <w:r w:rsidRPr="00AE7A5B">
        <w:rPr>
          <w:rFonts w:eastAsia="Calibri"/>
          <w:szCs w:val="20"/>
        </w:rPr>
        <w:t xml:space="preserve"> </w:t>
      </w:r>
      <w:r w:rsidRPr="00AE7A5B">
        <w:rPr>
          <w:szCs w:val="20"/>
          <w:lang w:eastAsia="ar-SA"/>
        </w:rPr>
        <w:t>III/401-404, III/502-503]</w:t>
      </w:r>
    </w:p>
    <w:p w:rsidR="00AE7A5B" w:rsidRPr="00AE7A5B" w:rsidP="00AE7A5B">
      <w:pPr>
        <w:spacing w:before="120" w:after="120" w:line="240" w:lineRule="auto"/>
        <w:jc w:val="left"/>
        <w:rPr>
          <w:rFonts w:cs="Times New Roman"/>
          <w:szCs w:val="20"/>
          <w:lang w:eastAsia="ar-SA"/>
        </w:rPr>
      </w:pPr>
      <w:r w:rsidRPr="00AE7A5B">
        <w:rPr>
          <w:rFonts w:eastAsia="Calibri"/>
          <w:szCs w:val="20"/>
        </w:rPr>
        <w:t xml:space="preserve">Zgodnie z § 7 ust. 3 pkt 8 i 9 załącznika nr 3 do Regulaminu organizacyjnego z 2019 r. oraz </w:t>
      </w:r>
      <w:r w:rsidRPr="00AE7A5B">
        <w:rPr>
          <w:rFonts w:eastAsia="Calibri"/>
          <w:szCs w:val="20"/>
        </w:rPr>
        <w:br/>
        <w:t>§  3 ust. 22 pkt 8 i 9 załącznika nr 3 do Regulaminu organizacyjnego z 2020 r. za prowadzenie okresowych kontroli (przeglądów) technicznych oraz nadzorowanie prawidłowości prowadzenia i kompletności książek obiektów budowlanych odpowiedzialny był Dział Administracyjny.</w:t>
      </w:r>
    </w:p>
    <w:p w:rsidR="00AE7A5B" w:rsidRPr="00AE7A5B" w:rsidP="00AE7A5B">
      <w:pPr>
        <w:spacing w:after="120" w:line="240" w:lineRule="auto"/>
        <w:jc w:val="left"/>
        <w:rPr>
          <w:szCs w:val="20"/>
        </w:rPr>
      </w:pPr>
      <w:r w:rsidRPr="00AE7A5B">
        <w:rPr>
          <w:rFonts w:cs="Times New Roman"/>
          <w:szCs w:val="20"/>
        </w:rPr>
        <w:t>Na próbie 2</w:t>
      </w:r>
      <w:r>
        <w:rPr>
          <w:rFonts w:cs="Times New Roman"/>
          <w:szCs w:val="20"/>
          <w:vertAlign w:val="superscript"/>
        </w:rPr>
        <w:footnoteReference w:id="264"/>
      </w:r>
      <w:r w:rsidRPr="00AE7A5B">
        <w:rPr>
          <w:rFonts w:cs="Times New Roman"/>
          <w:szCs w:val="20"/>
        </w:rPr>
        <w:t xml:space="preserve"> z 52 </w:t>
      </w:r>
      <w:r w:rsidRPr="00AE7A5B">
        <w:rPr>
          <w:rFonts w:cs="Times New Roman"/>
          <w:bCs/>
          <w:szCs w:val="20"/>
        </w:rPr>
        <w:t>książek obiektów budowlanych</w:t>
      </w:r>
      <w:r w:rsidRPr="00AE7A5B">
        <w:rPr>
          <w:rFonts w:eastAsia="Calibri" w:cs="Times New Roman"/>
          <w:szCs w:val="20"/>
          <w:lang w:eastAsia="ar-SA"/>
        </w:rPr>
        <w:t xml:space="preserve"> </w:t>
      </w:r>
      <w:r w:rsidRPr="00AE7A5B">
        <w:rPr>
          <w:rFonts w:cs="TimesNewRomanPSMT"/>
          <w:szCs w:val="20"/>
        </w:rPr>
        <w:t xml:space="preserve">wraz z dokumentacją dotyczącą okresowych kontroli, </w:t>
      </w:r>
      <w:r w:rsidRPr="00AE7A5B">
        <w:rPr>
          <w:szCs w:val="20"/>
        </w:rPr>
        <w:t xml:space="preserve">o których mowa w </w:t>
      </w:r>
      <w:r w:rsidRPr="00AE7A5B">
        <w:rPr>
          <w:rFonts w:cs="TimesNewRomanPSMT"/>
          <w:szCs w:val="20"/>
        </w:rPr>
        <w:t>art. 62 ust. 1 pkt 1 i 2</w:t>
      </w:r>
      <w:r>
        <w:rPr>
          <w:rFonts w:cs="TimesNewRomanPSMT"/>
          <w:szCs w:val="20"/>
          <w:vertAlign w:val="superscript"/>
        </w:rPr>
        <w:footnoteReference w:id="265"/>
      </w:r>
      <w:r w:rsidRPr="00AE7A5B">
        <w:rPr>
          <w:rFonts w:cs="TimesNewRomanPSMT"/>
          <w:szCs w:val="20"/>
        </w:rPr>
        <w:t xml:space="preserve"> Prawa budowlanego stwierdzono następujące nieprawidłowości i uchybienia</w:t>
      </w:r>
      <w:r w:rsidRPr="00AE7A5B">
        <w:rPr>
          <w:szCs w:val="20"/>
        </w:rPr>
        <w:t>:</w:t>
      </w:r>
    </w:p>
    <w:p w:rsidR="00AE7A5B" w:rsidRPr="00AE7A5B" w:rsidP="00AE7A5B">
      <w:pPr>
        <w:numPr>
          <w:ilvl w:val="0"/>
          <w:numId w:val="18"/>
        </w:numPr>
        <w:spacing w:after="120" w:line="240" w:lineRule="auto"/>
        <w:ind w:left="284" w:hanging="284"/>
        <w:jc w:val="left"/>
        <w:rPr>
          <w:rFonts w:cs="Times New Roman"/>
          <w:bCs/>
          <w:szCs w:val="20"/>
        </w:rPr>
      </w:pPr>
      <w:r w:rsidRPr="00AE7A5B">
        <w:rPr>
          <w:szCs w:val="20"/>
        </w:rPr>
        <w:t>w przypadku jednego budynku</w:t>
      </w:r>
      <w:r>
        <w:rPr>
          <w:rFonts w:cs="Times New Roman"/>
          <w:bCs/>
          <w:szCs w:val="20"/>
          <w:vertAlign w:val="superscript"/>
        </w:rPr>
        <w:footnoteReference w:id="266"/>
      </w:r>
      <w:r w:rsidRPr="00AE7A5B">
        <w:rPr>
          <w:rFonts w:cs="Times New Roman"/>
          <w:bCs/>
          <w:szCs w:val="20"/>
        </w:rPr>
        <w:t xml:space="preserve"> nie została przeprowadzona</w:t>
      </w:r>
      <w:r>
        <w:rPr>
          <w:rFonts w:cs="Times New Roman"/>
          <w:bCs/>
          <w:szCs w:val="20"/>
          <w:vertAlign w:val="superscript"/>
        </w:rPr>
        <w:footnoteReference w:id="267"/>
      </w:r>
      <w:r w:rsidRPr="00AE7A5B">
        <w:rPr>
          <w:rFonts w:cs="Times New Roman"/>
          <w:bCs/>
          <w:szCs w:val="20"/>
        </w:rPr>
        <w:t xml:space="preserve"> 5-letnia kontrola okresowa</w:t>
      </w:r>
      <w:r>
        <w:rPr>
          <w:rFonts w:cs="Times New Roman"/>
          <w:bCs/>
          <w:szCs w:val="20"/>
          <w:vertAlign w:val="superscript"/>
        </w:rPr>
        <w:footnoteReference w:id="268"/>
      </w:r>
      <w:r w:rsidRPr="00AE7A5B">
        <w:rPr>
          <w:rFonts w:cs="Times New Roman"/>
          <w:bCs/>
          <w:szCs w:val="20"/>
        </w:rPr>
        <w:t>, zaś w przypadku drugiego budynku</w:t>
      </w:r>
      <w:r>
        <w:rPr>
          <w:rFonts w:cs="Times New Roman"/>
          <w:bCs/>
          <w:szCs w:val="20"/>
          <w:vertAlign w:val="superscript"/>
        </w:rPr>
        <w:footnoteReference w:id="269"/>
      </w:r>
      <w:r w:rsidRPr="00AE7A5B">
        <w:rPr>
          <w:rFonts w:cs="Times New Roman"/>
          <w:bCs/>
          <w:szCs w:val="20"/>
        </w:rPr>
        <w:t xml:space="preserve"> kontrola stanu technicznego elementów obiektu budowlanego została przeprowadzona z opóźnieniem 324 dni</w:t>
      </w:r>
      <w:r>
        <w:rPr>
          <w:rFonts w:cs="Times New Roman"/>
          <w:bCs/>
          <w:szCs w:val="20"/>
          <w:vertAlign w:val="superscript"/>
        </w:rPr>
        <w:footnoteReference w:id="270"/>
      </w:r>
      <w:r w:rsidRPr="00AE7A5B">
        <w:rPr>
          <w:rFonts w:cs="Times New Roman"/>
          <w:bCs/>
          <w:szCs w:val="20"/>
        </w:rPr>
        <w:t xml:space="preserve">. Tym samym został naruszony art. 62 ust. 1 pkt 2 Prawa budowlanego. </w:t>
      </w:r>
    </w:p>
    <w:p w:rsidR="00AE7A5B" w:rsidRPr="00AE7A5B" w:rsidP="00AE7A5B">
      <w:pPr>
        <w:spacing w:line="240" w:lineRule="auto"/>
        <w:ind w:left="284"/>
        <w:jc w:val="left"/>
        <w:rPr>
          <w:rFonts w:cs="Times New Roman"/>
          <w:bCs/>
          <w:szCs w:val="20"/>
        </w:rPr>
      </w:pPr>
      <w:r w:rsidRPr="00AE7A5B">
        <w:rPr>
          <w:rFonts w:cs="Times New Roman"/>
          <w:bCs/>
          <w:szCs w:val="20"/>
        </w:rPr>
        <w:t>Dyrektor wyjaśnił</w:t>
      </w:r>
      <w:r>
        <w:rPr>
          <w:vertAlign w:val="superscript"/>
        </w:rPr>
        <w:footnoteReference w:id="271"/>
      </w:r>
      <w:r w:rsidRPr="00AE7A5B">
        <w:rPr>
          <w:rFonts w:cs="Times New Roman"/>
          <w:bCs/>
          <w:szCs w:val="20"/>
        </w:rPr>
        <w:t xml:space="preserve">, że powodem braku przeprowadzenia kontroli jednego </w:t>
      </w:r>
      <w:r w:rsidRPr="00AE7A5B">
        <w:rPr>
          <w:rFonts w:cs="Times New Roman"/>
          <w:bCs/>
          <w:szCs w:val="20"/>
        </w:rPr>
        <w:br/>
        <w:t>z budynków</w:t>
      </w:r>
      <w:r>
        <w:rPr>
          <w:rFonts w:cs="Times New Roman"/>
          <w:bCs/>
          <w:szCs w:val="20"/>
          <w:vertAlign w:val="superscript"/>
        </w:rPr>
        <w:footnoteReference w:id="272"/>
      </w:r>
      <w:r w:rsidRPr="00AE7A5B">
        <w:rPr>
          <w:rFonts w:cs="Times New Roman"/>
          <w:bCs/>
          <w:szCs w:val="20"/>
        </w:rPr>
        <w:t xml:space="preserve"> była niezamierzona omyłka polegająca na braku uwzględnienia zakresu rozszerzonego w kontroli corocznej.</w:t>
      </w:r>
    </w:p>
    <w:p w:rsidR="00AE7A5B" w:rsidRPr="00AE7A5B" w:rsidP="00AE7A5B">
      <w:pPr>
        <w:spacing w:after="120" w:line="240" w:lineRule="auto"/>
        <w:ind w:left="284"/>
        <w:jc w:val="left"/>
        <w:rPr>
          <w:rFonts w:cs="Times New Roman"/>
          <w:bCs/>
          <w:szCs w:val="20"/>
        </w:rPr>
      </w:pPr>
      <w:r w:rsidRPr="00AE7A5B">
        <w:rPr>
          <w:rFonts w:eastAsia="Calibri"/>
          <w:szCs w:val="20"/>
        </w:rPr>
        <w:t>[Dowód: akta kontroli str.</w:t>
      </w:r>
      <w:r w:rsidRPr="00AE7A5B">
        <w:rPr>
          <w:szCs w:val="20"/>
          <w:lang w:eastAsia="ar-SA"/>
        </w:rPr>
        <w:t xml:space="preserve"> II/56-168, II/474-483, III/258-295, III/315-332, III/360-365, III/433-435]</w:t>
      </w:r>
    </w:p>
    <w:p w:rsidR="00AE7A5B" w:rsidRPr="00AE7A5B" w:rsidP="00AE7A5B">
      <w:pPr>
        <w:numPr>
          <w:ilvl w:val="0"/>
          <w:numId w:val="18"/>
        </w:numPr>
        <w:spacing w:after="120" w:line="240" w:lineRule="auto"/>
        <w:ind w:left="284" w:hanging="284"/>
        <w:jc w:val="left"/>
        <w:rPr>
          <w:rFonts w:cs="Times New Roman"/>
          <w:bCs/>
          <w:szCs w:val="20"/>
        </w:rPr>
      </w:pPr>
      <w:r w:rsidRPr="00AE7A5B">
        <w:rPr>
          <w:rFonts w:cs="Times New Roman"/>
          <w:bCs/>
          <w:szCs w:val="20"/>
        </w:rPr>
        <w:t>w obu książkach</w:t>
      </w:r>
      <w:r>
        <w:rPr>
          <w:rFonts w:cs="Times New Roman"/>
          <w:bCs/>
          <w:szCs w:val="20"/>
          <w:vertAlign w:val="superscript"/>
        </w:rPr>
        <w:footnoteReference w:id="273"/>
      </w:r>
      <w:r w:rsidRPr="00AE7A5B">
        <w:rPr>
          <w:rFonts w:cs="Times New Roman"/>
          <w:bCs/>
          <w:szCs w:val="20"/>
        </w:rPr>
        <w:t xml:space="preserve">, w tablicy nr 2 dotyczącej danych indentyfikacyjnych obiektu brak było informacji o protokole odbioru i pozwoleniu na użytkowanie, co było niezgodne </w:t>
      </w:r>
      <w:r w:rsidRPr="00AE7A5B">
        <w:rPr>
          <w:rFonts w:cs="Times New Roman"/>
          <w:bCs/>
          <w:szCs w:val="20"/>
        </w:rPr>
        <w:br/>
        <w:t xml:space="preserve">z § 5 ust. 1 pkt c) i d) </w:t>
      </w:r>
      <w:bookmarkStart w:id="50" w:name="_Hlk146107063"/>
      <w:r w:rsidRPr="00AE7A5B">
        <w:rPr>
          <w:rFonts w:cs="Times New Roman"/>
          <w:bCs/>
          <w:szCs w:val="20"/>
        </w:rPr>
        <w:t>rozporządzenia książki obiektu</w:t>
      </w:r>
      <w:r>
        <w:rPr>
          <w:rFonts w:cs="Times New Roman"/>
          <w:bCs/>
          <w:szCs w:val="20"/>
          <w:vertAlign w:val="superscript"/>
        </w:rPr>
        <w:footnoteReference w:id="274"/>
      </w:r>
      <w:bookmarkEnd w:id="50"/>
      <w:r w:rsidRPr="00AE7A5B">
        <w:rPr>
          <w:rFonts w:cs="Times New Roman"/>
          <w:bCs/>
          <w:szCs w:val="20"/>
        </w:rPr>
        <w:t>;</w:t>
      </w:r>
    </w:p>
    <w:p w:rsidR="00AE7A5B" w:rsidRPr="00AE7A5B" w:rsidP="00AE7A5B">
      <w:pPr>
        <w:numPr>
          <w:ilvl w:val="0"/>
          <w:numId w:val="18"/>
        </w:numPr>
        <w:spacing w:before="120" w:after="0" w:line="240" w:lineRule="auto"/>
        <w:ind w:left="284" w:hanging="284"/>
        <w:jc w:val="left"/>
        <w:rPr>
          <w:rFonts w:cs="Times New Roman"/>
          <w:bCs/>
          <w:szCs w:val="20"/>
        </w:rPr>
      </w:pPr>
      <w:r w:rsidRPr="00AE7A5B">
        <w:rPr>
          <w:rFonts w:cs="Times New Roman"/>
          <w:bCs/>
          <w:szCs w:val="20"/>
        </w:rPr>
        <w:t>w 1 książce</w:t>
      </w:r>
      <w:r>
        <w:rPr>
          <w:rFonts w:cs="Times New Roman"/>
          <w:bCs/>
          <w:szCs w:val="20"/>
          <w:vertAlign w:val="superscript"/>
        </w:rPr>
        <w:footnoteReference w:id="275"/>
      </w:r>
      <w:r w:rsidRPr="00AE7A5B">
        <w:rPr>
          <w:rFonts w:cs="Times New Roman"/>
          <w:bCs/>
          <w:szCs w:val="20"/>
        </w:rPr>
        <w:t xml:space="preserve"> z 2, w tablicy nr 2 nie wpisano informacji o zarządcy obiektu, kodu pocztowego w adresie obiektu, numeru księgi wieczystej, co było niezgodne z § 5 ust. 1 pkt b) rozporządzenia książki obiektu</w:t>
      </w:r>
      <w:r>
        <w:rPr>
          <w:rFonts w:cs="Times New Roman"/>
          <w:bCs/>
          <w:szCs w:val="20"/>
          <w:vertAlign w:val="superscript"/>
        </w:rPr>
        <w:footnoteReference w:id="276"/>
      </w:r>
      <w:r w:rsidRPr="00AE7A5B">
        <w:rPr>
          <w:rFonts w:cs="Times New Roman"/>
          <w:bCs/>
          <w:szCs w:val="20"/>
        </w:rPr>
        <w:t>;</w:t>
      </w:r>
    </w:p>
    <w:p w:rsidR="00AE7A5B" w:rsidRPr="00AE7A5B" w:rsidP="00AE7A5B">
      <w:pPr>
        <w:numPr>
          <w:ilvl w:val="0"/>
          <w:numId w:val="18"/>
        </w:numPr>
        <w:spacing w:before="120" w:after="0" w:line="240" w:lineRule="auto"/>
        <w:ind w:left="284" w:hanging="284"/>
        <w:jc w:val="left"/>
        <w:rPr>
          <w:szCs w:val="20"/>
        </w:rPr>
      </w:pPr>
      <w:r w:rsidRPr="00AE7A5B">
        <w:rPr>
          <w:szCs w:val="20"/>
        </w:rPr>
        <w:t>w 1 książce</w:t>
      </w:r>
      <w:r>
        <w:rPr>
          <w:rFonts w:cs="Times New Roman"/>
          <w:bCs/>
          <w:szCs w:val="20"/>
          <w:vertAlign w:val="superscript"/>
        </w:rPr>
        <w:footnoteReference w:id="277"/>
      </w:r>
      <w:r w:rsidRPr="00AE7A5B">
        <w:rPr>
          <w:szCs w:val="20"/>
        </w:rPr>
        <w:t xml:space="preserve"> z 2, w tablicy nr 3 nie wypełniono spisu dokumentacji dołączonej do książki, co było niezgodne z § 5 ust. 2 rozporządzenia książki obiektu</w:t>
      </w:r>
      <w:r>
        <w:rPr>
          <w:rFonts w:cs="Times New Roman"/>
          <w:bCs/>
          <w:szCs w:val="20"/>
          <w:vertAlign w:val="superscript"/>
        </w:rPr>
        <w:footnoteReference w:id="278"/>
      </w:r>
      <w:r w:rsidRPr="00AE7A5B">
        <w:rPr>
          <w:szCs w:val="20"/>
        </w:rPr>
        <w:t>;</w:t>
      </w:r>
    </w:p>
    <w:p w:rsidR="00AE7A5B" w:rsidRPr="00AE7A5B" w:rsidP="00AE7A5B">
      <w:pPr>
        <w:numPr>
          <w:ilvl w:val="0"/>
          <w:numId w:val="18"/>
        </w:numPr>
        <w:spacing w:before="120" w:after="0" w:line="240" w:lineRule="auto"/>
        <w:ind w:left="284" w:hanging="284"/>
        <w:jc w:val="left"/>
        <w:rPr>
          <w:szCs w:val="20"/>
        </w:rPr>
      </w:pPr>
      <w:r w:rsidRPr="00AE7A5B">
        <w:rPr>
          <w:szCs w:val="20"/>
        </w:rPr>
        <w:t>w  1 książce</w:t>
      </w:r>
      <w:r>
        <w:rPr>
          <w:rFonts w:cs="Times New Roman"/>
          <w:bCs/>
          <w:szCs w:val="20"/>
          <w:vertAlign w:val="superscript"/>
        </w:rPr>
        <w:footnoteReference w:id="279"/>
      </w:r>
      <w:r w:rsidRPr="00AE7A5B">
        <w:rPr>
          <w:szCs w:val="20"/>
        </w:rPr>
        <w:t xml:space="preserve"> z 2, w tablicy nr 4 nie wykazano protokołu z kontroli okresowej stanu technicznego obiektu budowlanego z 22 grudnia 2020 r., co było niezgodne z § 5 ust. 4 rozporządzenia książki obiektu</w:t>
      </w:r>
      <w:r>
        <w:rPr>
          <w:rFonts w:cs="Times New Roman"/>
          <w:bCs/>
          <w:szCs w:val="20"/>
          <w:vertAlign w:val="superscript"/>
        </w:rPr>
        <w:footnoteReference w:id="280"/>
      </w:r>
      <w:r w:rsidRPr="00AE7A5B">
        <w:rPr>
          <w:szCs w:val="20"/>
        </w:rPr>
        <w:t>. Ponadto przekazano kontrolującym niepodpisany protokół z rocznej kontroli okresowej przeprowadzonej 9 listopada 2021 r., który nie spełniał wymogów art. 62a ust. 2 pkt 2 Prawa budowlanego</w:t>
      </w:r>
      <w:r>
        <w:rPr>
          <w:szCs w:val="20"/>
          <w:vertAlign w:val="superscript"/>
        </w:rPr>
        <w:footnoteReference w:id="281"/>
      </w:r>
      <w:r w:rsidRPr="00AE7A5B">
        <w:rPr>
          <w:szCs w:val="20"/>
        </w:rPr>
        <w:t>. Tym samym nie można było ustalić, czy roczna kontrola okresowa stanu technicznego obiektu została przeprowadzona zgodnie z art. 62 ust. 1 pkt 1 Prawa budowlanego;</w:t>
      </w:r>
    </w:p>
    <w:p w:rsidR="00AE7A5B" w:rsidRPr="00AE7A5B" w:rsidP="00AE7A5B">
      <w:pPr>
        <w:numPr>
          <w:ilvl w:val="0"/>
          <w:numId w:val="18"/>
        </w:numPr>
        <w:spacing w:before="120" w:after="0" w:line="240" w:lineRule="auto"/>
        <w:ind w:left="284" w:hanging="284"/>
        <w:jc w:val="left"/>
        <w:rPr>
          <w:rFonts w:cs="Times New Roman"/>
          <w:bCs/>
          <w:szCs w:val="20"/>
        </w:rPr>
      </w:pPr>
      <w:r w:rsidRPr="00AE7A5B">
        <w:rPr>
          <w:szCs w:val="20"/>
        </w:rPr>
        <w:t>w 1 książce</w:t>
      </w:r>
      <w:r>
        <w:rPr>
          <w:rFonts w:cs="Times New Roman"/>
          <w:bCs/>
          <w:szCs w:val="20"/>
          <w:vertAlign w:val="superscript"/>
        </w:rPr>
        <w:footnoteReference w:id="282"/>
      </w:r>
      <w:r w:rsidRPr="00AE7A5B">
        <w:rPr>
          <w:szCs w:val="20"/>
        </w:rPr>
        <w:t xml:space="preserve"> z 2, w tablicy nr 4 i nr 5, w pozycji odpowiednio 3 i 2 wpisano błędny miesiąc przeprowadzenia kontroli rocznej i pięcioletniej</w:t>
      </w:r>
      <w:r>
        <w:rPr>
          <w:rFonts w:cs="Times New Roman"/>
          <w:bCs/>
          <w:szCs w:val="20"/>
          <w:vertAlign w:val="superscript"/>
        </w:rPr>
        <w:footnoteReference w:id="283"/>
      </w:r>
      <w:r w:rsidRPr="00AE7A5B">
        <w:rPr>
          <w:szCs w:val="20"/>
        </w:rPr>
        <w:t>;</w:t>
      </w:r>
    </w:p>
    <w:p w:rsidR="00AE7A5B" w:rsidRPr="00AE7A5B" w:rsidP="00AE7A5B">
      <w:pPr>
        <w:numPr>
          <w:ilvl w:val="0"/>
          <w:numId w:val="18"/>
        </w:numPr>
        <w:spacing w:before="120" w:after="0" w:line="240" w:lineRule="auto"/>
        <w:ind w:left="284" w:hanging="284"/>
        <w:jc w:val="left"/>
        <w:rPr>
          <w:rFonts w:cs="Times New Roman"/>
          <w:bCs/>
          <w:szCs w:val="20"/>
        </w:rPr>
      </w:pPr>
      <w:r w:rsidRPr="00AE7A5B">
        <w:rPr>
          <w:szCs w:val="20"/>
        </w:rPr>
        <w:t>w 1 książce</w:t>
      </w:r>
      <w:r>
        <w:rPr>
          <w:rFonts w:cs="Times New Roman"/>
          <w:bCs/>
          <w:szCs w:val="20"/>
          <w:vertAlign w:val="superscript"/>
        </w:rPr>
        <w:footnoteReference w:id="284"/>
      </w:r>
      <w:r w:rsidRPr="00AE7A5B">
        <w:rPr>
          <w:szCs w:val="20"/>
        </w:rPr>
        <w:t xml:space="preserve"> z 2 nie wykazano protokołu nr 31/12/2020 z grudnia 2020 r. z przeglądu technicznego instalacji elektrycznej i odgromowej, co było niezgodne z § 2</w:t>
      </w:r>
      <w:r>
        <w:rPr>
          <w:szCs w:val="20"/>
          <w:vertAlign w:val="superscript"/>
        </w:rPr>
        <w:footnoteReference w:id="285"/>
      </w:r>
      <w:r w:rsidRPr="00AE7A5B">
        <w:rPr>
          <w:szCs w:val="20"/>
        </w:rPr>
        <w:t xml:space="preserve"> i § 5 </w:t>
      </w:r>
      <w:r w:rsidRPr="00AE7A5B">
        <w:rPr>
          <w:szCs w:val="20"/>
        </w:rPr>
        <w:br/>
        <w:t>ust. 4</w:t>
      </w:r>
      <w:r>
        <w:rPr>
          <w:rFonts w:cs="Times New Roman"/>
          <w:bCs/>
          <w:szCs w:val="20"/>
          <w:vertAlign w:val="superscript"/>
        </w:rPr>
        <w:footnoteReference w:id="286"/>
      </w:r>
      <w:r w:rsidRPr="00AE7A5B">
        <w:rPr>
          <w:szCs w:val="20"/>
        </w:rPr>
        <w:t xml:space="preserve"> rozporządzenia książki obiektu.</w:t>
      </w:r>
    </w:p>
    <w:p w:rsidR="00AE7A5B" w:rsidRPr="00AE7A5B" w:rsidP="00AE7A5B">
      <w:pPr>
        <w:autoSpaceDE w:val="0"/>
        <w:autoSpaceDN w:val="0"/>
        <w:adjustRightInd w:val="0"/>
        <w:spacing w:before="120" w:after="120" w:line="240" w:lineRule="auto"/>
        <w:jc w:val="left"/>
        <w:rPr>
          <w:rFonts w:cs="Times New Roman"/>
          <w:bCs/>
          <w:szCs w:val="20"/>
        </w:rPr>
      </w:pPr>
      <w:r w:rsidRPr="00AE7A5B">
        <w:rPr>
          <w:rFonts w:cs="Times New Roman"/>
          <w:bCs/>
          <w:szCs w:val="20"/>
        </w:rPr>
        <w:t>Dyrektor poinformował</w:t>
      </w:r>
      <w:r>
        <w:rPr>
          <w:szCs w:val="20"/>
          <w:vertAlign w:val="superscript"/>
        </w:rPr>
        <w:footnoteReference w:id="287"/>
      </w:r>
      <w:r w:rsidRPr="00AE7A5B">
        <w:rPr>
          <w:rFonts w:cs="Times New Roman"/>
          <w:bCs/>
          <w:szCs w:val="20"/>
        </w:rPr>
        <w:t xml:space="preserve">, że Instytut nie posiada dokumentacji archiwalnej dla obiektu </w:t>
      </w:r>
      <w:r w:rsidRPr="00AE7A5B">
        <w:rPr>
          <w:rFonts w:cs="Times New Roman"/>
          <w:bCs/>
          <w:szCs w:val="20"/>
        </w:rPr>
        <w:br/>
        <w:t xml:space="preserve">nr 1-00066-1. Ponadto poinformował, że brakujące wpisy w książkach obiektu zostaną uzupełnione.  </w:t>
      </w:r>
    </w:p>
    <w:p w:rsidR="00AE7A5B" w:rsidRPr="00AE7A5B" w:rsidP="00AE7A5B">
      <w:pPr>
        <w:autoSpaceDE w:val="0"/>
        <w:autoSpaceDN w:val="0"/>
        <w:adjustRightInd w:val="0"/>
        <w:spacing w:before="120" w:after="120" w:line="240" w:lineRule="auto"/>
        <w:jc w:val="left"/>
        <w:rPr>
          <w:rFonts w:cs="Times New Roman"/>
          <w:bCs/>
          <w:szCs w:val="20"/>
        </w:rPr>
      </w:pPr>
      <w:r w:rsidRPr="00AE7A5B">
        <w:rPr>
          <w:rFonts w:eastAsia="Calibri"/>
          <w:szCs w:val="20"/>
        </w:rPr>
        <w:t>[Dowód: akta kontroli str.</w:t>
      </w:r>
      <w:r w:rsidRPr="00AE7A5B">
        <w:rPr>
          <w:szCs w:val="20"/>
          <w:lang w:eastAsia="ar-SA"/>
        </w:rPr>
        <w:t xml:space="preserve"> II/56-168, II/474-483, III/258-295, III/315-332, III/338-365, III/433-435, III/486-489]</w:t>
      </w:r>
    </w:p>
    <w:p w:rsidR="00AE7A5B" w:rsidRPr="00AE7A5B" w:rsidP="00AE7A5B">
      <w:pPr>
        <w:spacing w:after="120" w:line="240" w:lineRule="auto"/>
        <w:jc w:val="left"/>
        <w:rPr>
          <w:rFonts w:cs="Times New Roman"/>
          <w:szCs w:val="20"/>
        </w:rPr>
      </w:pPr>
      <w:r w:rsidRPr="00AE7A5B">
        <w:rPr>
          <w:rFonts w:cs="Times New Roman"/>
          <w:b/>
          <w:bCs/>
          <w:szCs w:val="20"/>
        </w:rPr>
        <w:t>Ocena cząstkowa</w:t>
      </w:r>
    </w:p>
    <w:p w:rsidR="00AE7A5B" w:rsidRPr="00AE7A5B" w:rsidP="00AE7A5B">
      <w:pPr>
        <w:spacing w:after="0" w:line="240" w:lineRule="auto"/>
        <w:jc w:val="left"/>
        <w:rPr>
          <w:rFonts w:cs="Times New Roman"/>
          <w:szCs w:val="20"/>
        </w:rPr>
      </w:pPr>
      <w:r w:rsidRPr="00AE7A5B">
        <w:rPr>
          <w:rFonts w:cs="Times New Roman"/>
          <w:szCs w:val="20"/>
        </w:rPr>
        <w:t>Kontrolowany obszar oceniono pozytywnie z zastrzeżeniami.</w:t>
      </w:r>
    </w:p>
    <w:p w:rsidR="00AE7A5B" w:rsidRPr="00AE7A5B" w:rsidP="00AE7A5B">
      <w:pPr>
        <w:spacing w:before="120" w:after="120" w:line="240" w:lineRule="auto"/>
        <w:jc w:val="left"/>
      </w:pPr>
      <w:r w:rsidRPr="00AE7A5B">
        <w:rPr>
          <w:rFonts w:cs="Times New Roman"/>
          <w:szCs w:val="20"/>
        </w:rPr>
        <w:t xml:space="preserve">Formułując pozytywną ocenę wzięto pod uwagę </w:t>
      </w:r>
      <w:r w:rsidRPr="00AE7A5B">
        <w:rPr>
          <w:szCs w:val="20"/>
        </w:rPr>
        <w:t>każdorazowe uzgadnianie z zakładowymi organizacjami związkowymi</w:t>
      </w:r>
      <w:r w:rsidRPr="00AE7A5B">
        <w:rPr>
          <w:rFonts w:cs="Times New Roman"/>
          <w:szCs w:val="20"/>
        </w:rPr>
        <w:t xml:space="preserve"> z</w:t>
      </w:r>
      <w:r w:rsidRPr="00AE7A5B">
        <w:rPr>
          <w:rFonts w:cs="Times New Roman"/>
          <w:szCs w:val="20"/>
          <w:lang w:bidi="pl-PL"/>
        </w:rPr>
        <w:t>asad wynagradzania pracowników</w:t>
      </w:r>
      <w:r w:rsidRPr="00AE7A5B">
        <w:rPr>
          <w:szCs w:val="20"/>
        </w:rPr>
        <w:t xml:space="preserve">; zawieranie się </w:t>
      </w:r>
      <w:r w:rsidRPr="00AE7A5B">
        <w:rPr>
          <w:rFonts w:cs="Times New Roman"/>
          <w:szCs w:val="20"/>
          <w:lang w:bidi="pl-PL"/>
        </w:rPr>
        <w:t xml:space="preserve">wynagrodzeń </w:t>
      </w:r>
      <w:r w:rsidRPr="00AE7A5B">
        <w:rPr>
          <w:rFonts w:cs="Times New Roman"/>
          <w:iCs/>
          <w:szCs w:val="20"/>
          <w:lang w:bidi="pl-PL"/>
        </w:rPr>
        <w:t xml:space="preserve">osób kierujących Instytutem w limitach ustawowych; zawarcie </w:t>
      </w:r>
      <w:r w:rsidRPr="00AE7A5B">
        <w:rPr>
          <w:rFonts w:cs="Times New Roman"/>
          <w:iCs/>
          <w:szCs w:val="20"/>
          <w:lang w:bidi="pl-PL"/>
        </w:rPr>
        <w:br/>
      </w:r>
      <w:r w:rsidRPr="00AE7A5B">
        <w:rPr>
          <w:szCs w:val="20"/>
        </w:rPr>
        <w:t>z pracownikami oraz osobami kierującymi umów o zakazie prowadzenia działalności konkurencyjnej.</w:t>
      </w:r>
    </w:p>
    <w:p w:rsidR="00AE7A5B" w:rsidRPr="00AE7A5B" w:rsidP="00AE7A5B">
      <w:pPr>
        <w:spacing w:after="0" w:line="240" w:lineRule="auto"/>
        <w:jc w:val="left"/>
        <w:rPr>
          <w:rFonts w:cs="Times New Roman"/>
          <w:szCs w:val="20"/>
        </w:rPr>
      </w:pPr>
      <w:r w:rsidRPr="00AE7A5B">
        <w:rPr>
          <w:rFonts w:cs="Times New Roman"/>
          <w:szCs w:val="20"/>
        </w:rPr>
        <w:t>Stwierdzono następujące nieprawidłowości:</w:t>
      </w:r>
    </w:p>
    <w:p w:rsidR="00AE7A5B" w:rsidRPr="00AE7A5B" w:rsidP="00AE7A5B">
      <w:pPr>
        <w:numPr>
          <w:ilvl w:val="0"/>
          <w:numId w:val="3"/>
        </w:numPr>
        <w:spacing w:after="0" w:line="240" w:lineRule="auto"/>
        <w:ind w:left="284" w:hanging="284"/>
        <w:jc w:val="left"/>
        <w:rPr>
          <w:rFonts w:cs="Times New Roman"/>
          <w:bCs/>
          <w:szCs w:val="20"/>
        </w:rPr>
      </w:pPr>
      <w:bookmarkStart w:id="51" w:name="_Hlk146027747"/>
      <w:r w:rsidRPr="00AE7A5B">
        <w:rPr>
          <w:rFonts w:cs="Times New Roman"/>
          <w:bCs/>
          <w:szCs w:val="20"/>
        </w:rPr>
        <w:t>brak udokumentowania opublikowania ogłoszenia na stanowisko profesora instytutu na stronie internetowej Komisji Europejskiej,</w:t>
      </w:r>
      <w:r w:rsidRPr="00AE7A5B">
        <w:rPr>
          <w:szCs w:val="20"/>
        </w:rPr>
        <w:t xml:space="preserve"> w europejskim portalu dla mobilnych naukowców przeznaczonym do publikacji ofert pracy naukowców, czym naruszono</w:t>
      </w:r>
      <w:r w:rsidRPr="00AE7A5B">
        <w:rPr>
          <w:rFonts w:cs="Times New Roman"/>
          <w:bCs/>
          <w:szCs w:val="20"/>
        </w:rPr>
        <w:t xml:space="preserve"> </w:t>
      </w:r>
      <w:r w:rsidRPr="00AE7A5B">
        <w:rPr>
          <w:rFonts w:cs="Times New Roman"/>
          <w:bCs/>
          <w:szCs w:val="20"/>
        </w:rPr>
        <w:br/>
        <w:t>art. 43 ust. 6 ustawy o instytutach badawczych;</w:t>
      </w:r>
      <w:r w:rsidRPr="00AE7A5B">
        <w:rPr>
          <w:szCs w:val="20"/>
        </w:rPr>
        <w:t xml:space="preserve"> </w:t>
      </w:r>
    </w:p>
    <w:p w:rsidR="00AE7A5B" w:rsidRPr="00AE7A5B" w:rsidP="00AE7A5B">
      <w:pPr>
        <w:numPr>
          <w:ilvl w:val="0"/>
          <w:numId w:val="3"/>
        </w:numPr>
        <w:spacing w:after="0" w:line="240" w:lineRule="auto"/>
        <w:ind w:left="284" w:hanging="284"/>
        <w:jc w:val="left"/>
        <w:rPr>
          <w:rFonts w:cs="Times New Roman"/>
          <w:bCs/>
          <w:szCs w:val="20"/>
        </w:rPr>
      </w:pPr>
      <w:r w:rsidRPr="00AE7A5B">
        <w:rPr>
          <w:rFonts w:cs="Times New Roman"/>
          <w:bCs/>
          <w:szCs w:val="20"/>
        </w:rPr>
        <w:t>nieprzestrzeganie w ramach jednego naboru zasad określonych w załączniku nr 2 do ZUZP poprzez przyjęcie do pracy na stanowisko specjalisty ds. administracyjnych osoby niespełniającej wymogu doświadczenia zawodowego powyżej 2 lat;</w:t>
      </w:r>
    </w:p>
    <w:p w:rsidR="00AE7A5B" w:rsidRPr="00AE7A5B" w:rsidP="00AE7A5B">
      <w:pPr>
        <w:numPr>
          <w:ilvl w:val="0"/>
          <w:numId w:val="3"/>
        </w:numPr>
        <w:spacing w:after="0" w:line="240" w:lineRule="auto"/>
        <w:ind w:left="284" w:hanging="284"/>
        <w:jc w:val="left"/>
        <w:rPr>
          <w:rFonts w:cs="Times New Roman"/>
          <w:bCs/>
          <w:szCs w:val="20"/>
        </w:rPr>
      </w:pPr>
      <w:r w:rsidRPr="00AE7A5B">
        <w:rPr>
          <w:szCs w:val="20"/>
          <w:lang w:eastAsia="ar-SA"/>
        </w:rPr>
        <w:t xml:space="preserve">brak </w:t>
      </w:r>
      <w:bookmarkStart w:id="52" w:name="_Hlk153290658"/>
      <w:r w:rsidRPr="00AE7A5B">
        <w:rPr>
          <w:szCs w:val="20"/>
          <w:lang w:bidi="pl-PL"/>
        </w:rPr>
        <w:t>dostosowania Regulaminu konkursu na stanowiska naukowe do Statutu</w:t>
      </w:r>
      <w:bookmarkEnd w:id="52"/>
      <w:r w:rsidRPr="00AE7A5B">
        <w:rPr>
          <w:szCs w:val="20"/>
          <w:lang w:bidi="pl-PL"/>
        </w:rPr>
        <w:t xml:space="preserve"> oraz brak powołania się na Regulamin konkursu na stanowiska naukowe w podstawach prawnych zarządzeń w sprawie ogłoszeń konkursów na 3 stanowiska naukowe;</w:t>
      </w:r>
    </w:p>
    <w:p w:rsidR="00AE7A5B" w:rsidRPr="00AE7A5B" w:rsidP="00AE7A5B">
      <w:pPr>
        <w:numPr>
          <w:ilvl w:val="0"/>
          <w:numId w:val="3"/>
        </w:numPr>
        <w:spacing w:after="0" w:line="240" w:lineRule="auto"/>
        <w:ind w:left="284" w:hanging="284"/>
        <w:jc w:val="left"/>
        <w:rPr>
          <w:bCs/>
          <w:szCs w:val="20"/>
          <w:lang w:eastAsia="ar-SA" w:bidi="pl-PL"/>
        </w:rPr>
      </w:pPr>
      <w:bookmarkStart w:id="53" w:name="_Hlk152854752"/>
      <w:bookmarkStart w:id="54" w:name="_Hlk152855158"/>
      <w:r w:rsidRPr="00AE7A5B">
        <w:rPr>
          <w:szCs w:val="20"/>
          <w:lang w:eastAsia="ar-SA"/>
        </w:rPr>
        <w:t xml:space="preserve">brak przedłożenia dokumentów </w:t>
      </w:r>
      <w:r w:rsidRPr="00AE7A5B">
        <w:rPr>
          <w:bCs/>
          <w:szCs w:val="20"/>
          <w:lang w:eastAsia="ar-SA"/>
        </w:rPr>
        <w:t>dotyczących powołania komisji konkursowej</w:t>
      </w:r>
      <w:r w:rsidRPr="00AE7A5B">
        <w:rPr>
          <w:szCs w:val="20"/>
          <w:lang w:eastAsia="ar-SA"/>
        </w:rPr>
        <w:t xml:space="preserve"> </w:t>
      </w:r>
      <w:r w:rsidRPr="00AE7A5B">
        <w:rPr>
          <w:szCs w:val="20"/>
          <w:lang w:eastAsia="ar-SA"/>
        </w:rPr>
        <w:t>w naborze na</w:t>
      </w:r>
      <w:r w:rsidRPr="00AE7A5B">
        <w:rPr>
          <w:bCs/>
          <w:szCs w:val="20"/>
          <w:lang w:eastAsia="ar-SA"/>
        </w:rPr>
        <w:t xml:space="preserve"> stanowisko specjalisty ds. administracyjnych, co nie pozwalało potwierdzić spełnienia wymagań § 6 Regulaminu konkursu na stanowiska nienaukowe;</w:t>
      </w:r>
      <w:bookmarkEnd w:id="53"/>
    </w:p>
    <w:p w:rsidR="00AE7A5B" w:rsidRPr="00AE7A5B" w:rsidP="00AE7A5B">
      <w:pPr>
        <w:numPr>
          <w:ilvl w:val="0"/>
          <w:numId w:val="3"/>
        </w:numPr>
        <w:spacing w:after="0" w:line="240" w:lineRule="auto"/>
        <w:ind w:left="284" w:hanging="284"/>
        <w:jc w:val="left"/>
        <w:rPr>
          <w:rFonts w:cs="Times New Roman"/>
          <w:bCs/>
          <w:szCs w:val="20"/>
        </w:rPr>
      </w:pPr>
      <w:bookmarkEnd w:id="54"/>
      <w:r w:rsidRPr="00AE7A5B">
        <w:rPr>
          <w:rFonts w:cs="Times New Roman"/>
          <w:bCs/>
          <w:szCs w:val="20"/>
        </w:rPr>
        <w:t xml:space="preserve">brak złożenia przez 4 nowozatrudnionych pracowników oświadczeń o zapoznaniu z m. in. Regulaminem pracy, co było niezgodne z § 3 pkt 2 </w:t>
      </w:r>
      <w:r w:rsidRPr="00AE7A5B">
        <w:rPr>
          <w:rFonts w:cs="Times New Roman"/>
          <w:bCs/>
          <w:szCs w:val="20"/>
        </w:rPr>
        <w:t>ppkt</w:t>
      </w:r>
      <w:r w:rsidRPr="00AE7A5B">
        <w:rPr>
          <w:rFonts w:cs="Times New Roman"/>
          <w:bCs/>
          <w:szCs w:val="20"/>
        </w:rPr>
        <w:t xml:space="preserve"> e) rozporządzenia </w:t>
      </w:r>
      <w:r w:rsidRPr="00AE7A5B">
        <w:rPr>
          <w:rFonts w:cs="Times New Roman"/>
          <w:bCs/>
          <w:szCs w:val="20"/>
        </w:rPr>
        <w:br/>
      </w:r>
      <w:r w:rsidRPr="00AE7A5B">
        <w:rPr>
          <w:rFonts w:cs="Times New Roman"/>
          <w:bCs/>
          <w:szCs w:val="20"/>
        </w:rPr>
        <w:t>ws</w:t>
      </w:r>
      <w:r w:rsidRPr="00AE7A5B">
        <w:rPr>
          <w:rFonts w:cs="Times New Roman"/>
          <w:bCs/>
          <w:szCs w:val="20"/>
        </w:rPr>
        <w:t>. dokumentacji pracowniczej;</w:t>
      </w:r>
    </w:p>
    <w:p w:rsidR="00AE7A5B" w:rsidRPr="00AE7A5B" w:rsidP="00AE7A5B">
      <w:pPr>
        <w:numPr>
          <w:ilvl w:val="0"/>
          <w:numId w:val="3"/>
        </w:numPr>
        <w:spacing w:after="0" w:line="240" w:lineRule="auto"/>
        <w:ind w:left="284" w:hanging="284"/>
        <w:jc w:val="left"/>
        <w:rPr>
          <w:rFonts w:cs="Times New Roman"/>
          <w:bCs/>
          <w:szCs w:val="20"/>
        </w:rPr>
      </w:pPr>
      <w:r w:rsidRPr="00AE7A5B">
        <w:rPr>
          <w:rFonts w:cs="Times New Roman"/>
          <w:bCs/>
          <w:szCs w:val="20"/>
        </w:rPr>
        <w:t xml:space="preserve">brak udokumentowania zgody Dyrektora na wykonywanie dodatkowego zatrudnienia przez jednego z pracowników Instytutu, co było niezgodne z § 2 ust. 1 zarządzenia </w:t>
      </w:r>
      <w:r w:rsidRPr="00AE7A5B">
        <w:rPr>
          <w:rFonts w:cs="Times New Roman"/>
          <w:bCs/>
          <w:szCs w:val="20"/>
        </w:rPr>
        <w:br/>
        <w:t>o dodatkowym zatrudnieniu;</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nieprzestrzeganie w przypadku 3 pracowników zasad ustalania wynagrodzenia zasadniczego określonego w ZUZP, tj. w przypadku 1 pracownika wynagrodzenie zasadnicze było wyższe o 500,00 zł od maksymalnej</w:t>
      </w:r>
      <w:r w:rsidRPr="00AE7A5B">
        <w:rPr>
          <w:szCs w:val="20"/>
        </w:rPr>
        <w:t xml:space="preserve"> kwoty wynagrodzenia przewidzianej na tym stanowisku, a 2 pracownikom nie przyporządkowano kategorii zaszeregowania stanowiącej podstawę do ustalenia wynagrodzenia;</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brak wyłączenia 4 pracowników z prac komisji oceniającej</w:t>
      </w:r>
      <w:r w:rsidRPr="00AE7A5B">
        <w:rPr>
          <w:szCs w:val="20"/>
        </w:rPr>
        <w:t xml:space="preserve"> na czas dokonywania oceny ich własnego dorobku, </w:t>
      </w:r>
      <w:r w:rsidRPr="00AE7A5B">
        <w:rPr>
          <w:rFonts w:cs="Times New Roman"/>
          <w:bCs/>
          <w:szCs w:val="20"/>
        </w:rPr>
        <w:t xml:space="preserve">co było niezgodne z § 5 ust. 1 Regulaminu oceny pracowników, </w:t>
      </w:r>
      <w:r w:rsidRPr="00AE7A5B">
        <w:rPr>
          <w:rFonts w:cs="Times New Roman"/>
          <w:bCs/>
          <w:szCs w:val="20"/>
        </w:rPr>
        <w:br/>
        <w:t>a także brak wyznaczenia recenzenta dorobku naukowego oraz przeprowadzenia ponownej oceny przez komisję w przypadku 1 pracownika odwołującego się od oceny, co było niezgodne z § 7 ust. 4-5 Regulaminu oceny pracowników;</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nieprzestrzeganie rozporządzenia </w:t>
      </w:r>
      <w:r w:rsidRPr="00AE7A5B">
        <w:rPr>
          <w:rFonts w:cs="Times New Roman"/>
          <w:bCs/>
          <w:szCs w:val="20"/>
        </w:rPr>
        <w:t>ws</w:t>
      </w:r>
      <w:r w:rsidRPr="00AE7A5B">
        <w:rPr>
          <w:rFonts w:cs="Times New Roman"/>
          <w:bCs/>
          <w:szCs w:val="20"/>
        </w:rPr>
        <w:t xml:space="preserve">. przetargu środków trwałych poprzez brak powołania komisji przetargowej do sprzedaży samochodu, niezamieszczenie w prasie obwieszczenia o przetargu, brak sporządzenia protokołu z przetargu pisemnego, określenie ceny wywoławczej w wysokości wyższej o kwotę podatku VAT od ceny oszacowanej, nierzetelne przygotowanie </w:t>
      </w:r>
      <w:r w:rsidRPr="00AE7A5B">
        <w:rPr>
          <w:szCs w:val="20"/>
        </w:rPr>
        <w:t>obwieszczenia o przetargu;</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nienależyte zabezpieczenie interesów Instytutu przy zawieraniu umów najmu poprzez: brak zapisów w 2 umowach dotyczących kar umownych za opóźnienia w płatnościach, </w:t>
      </w:r>
      <w:r w:rsidRPr="00AE7A5B">
        <w:rPr>
          <w:rFonts w:cs="Times New Roman"/>
          <w:bCs/>
          <w:szCs w:val="20"/>
        </w:rPr>
        <w:br/>
        <w:t xml:space="preserve">a w 1 umowie </w:t>
      </w:r>
      <w:r w:rsidRPr="00AE7A5B">
        <w:rPr>
          <w:rFonts w:cs="Times New Roman"/>
          <w:szCs w:val="20"/>
        </w:rPr>
        <w:t>dotyczących kar umownych za</w:t>
      </w:r>
      <w:r w:rsidRPr="00AE7A5B">
        <w:rPr>
          <w:szCs w:val="20"/>
        </w:rPr>
        <w:t xml:space="preserve"> rozwiązanie umowy z przyczyn leżących po stronie najemcy, a także brak egzekwowania od 1 najemcy wymaganego </w:t>
      </w:r>
      <w:r w:rsidRPr="00AE7A5B">
        <w:rPr>
          <w:rFonts w:cs="Times New Roman"/>
          <w:bCs/>
          <w:szCs w:val="20"/>
        </w:rPr>
        <w:t>§ 3 ust. 2 umowy</w:t>
      </w:r>
      <w:r w:rsidRPr="00AE7A5B">
        <w:rPr>
          <w:szCs w:val="20"/>
        </w:rPr>
        <w:t xml:space="preserve"> </w:t>
      </w:r>
      <w:r w:rsidRPr="00AE7A5B">
        <w:rPr>
          <w:rFonts w:cs="Times New Roman"/>
          <w:bCs/>
          <w:szCs w:val="20"/>
        </w:rPr>
        <w:t>wykazu godzin pracy oraz danych personalnych pracowników najemcy wykonujących swoje obowiązki w pomieszczeniach biurowych;</w:t>
      </w:r>
    </w:p>
    <w:p w:rsidR="00AE7A5B" w:rsidRPr="00AE7A5B" w:rsidP="00AE7A5B">
      <w:pPr>
        <w:numPr>
          <w:ilvl w:val="0"/>
          <w:numId w:val="3"/>
        </w:numPr>
        <w:autoSpaceDE w:val="0"/>
        <w:autoSpaceDN w:val="0"/>
        <w:adjustRightInd w:val="0"/>
        <w:spacing w:after="120" w:line="240" w:lineRule="auto"/>
        <w:ind w:left="284" w:hanging="284"/>
        <w:jc w:val="left"/>
        <w:rPr>
          <w:rFonts w:cs="Times New Roman"/>
          <w:bCs/>
          <w:szCs w:val="20"/>
        </w:rPr>
      </w:pPr>
      <w:r w:rsidRPr="00AE7A5B">
        <w:rPr>
          <w:rFonts w:cs="Times New Roman"/>
          <w:bCs/>
          <w:szCs w:val="20"/>
        </w:rPr>
        <w:t>brak przeprowadzenia w 1 przypadku 5-letniej kontroli okresowej budynku oraz przeprowadzenie w 1 przypadku kontroli stanu technicznego elementów obiektu budowlanego z opóźnieniem 324 dni, czym naruszono art. 62 ust. 1 pkt 2 Prawa budowlanego.</w:t>
      </w:r>
      <w:bookmarkEnd w:id="51"/>
    </w:p>
    <w:p w:rsidR="00AE7A5B" w:rsidRPr="00AE7A5B" w:rsidP="00AE7A5B">
      <w:pPr>
        <w:autoSpaceDE w:val="0"/>
        <w:autoSpaceDN w:val="0"/>
        <w:adjustRightInd w:val="0"/>
        <w:spacing w:after="0" w:line="240" w:lineRule="auto"/>
        <w:jc w:val="left"/>
        <w:rPr>
          <w:rFonts w:cs="Times New Roman"/>
          <w:szCs w:val="20"/>
        </w:rPr>
      </w:pPr>
      <w:r w:rsidRPr="00AE7A5B">
        <w:rPr>
          <w:rFonts w:cs="Times New Roman"/>
          <w:szCs w:val="20"/>
        </w:rPr>
        <w:t>Ponadto stwierdzono następujące uchybienia:</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bookmarkStart w:id="55" w:name="_Hlk146027851"/>
      <w:r w:rsidRPr="00AE7A5B">
        <w:rPr>
          <w:rFonts w:cs="Times New Roman"/>
          <w:bCs/>
          <w:szCs w:val="20"/>
        </w:rPr>
        <w:t>brak</w:t>
      </w:r>
      <w:r w:rsidRPr="00AE7A5B">
        <w:rPr>
          <w:rFonts w:cs="Times New Roman"/>
          <w:szCs w:val="20"/>
        </w:rPr>
        <w:t xml:space="preserve"> aktualizacji w KRS nazwy ministra nadzorującego Instytut;</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brak spójności w datach umieszczonych w porozumieniu zmieniającym umowę o pracę oraz w zakresie obowiązków 1 pracownika; </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brak złożenia przez 11 z 22 pracowników obejmujących funkcję kierowniczą oświadczeń o braku powiązań z podwładnymi, o którym mowa w art. 39 ust. 2 ustawy </w:t>
      </w:r>
      <w:r w:rsidRPr="00AE7A5B">
        <w:rPr>
          <w:rFonts w:cs="Times New Roman"/>
          <w:bCs/>
          <w:szCs w:val="20"/>
        </w:rPr>
        <w:br/>
        <w:t>o instytutach badawczych;</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bookmarkStart w:id="56" w:name="_Hlk142580704"/>
      <w:r w:rsidRPr="00AE7A5B">
        <w:rPr>
          <w:rFonts w:cs="Times New Roman"/>
          <w:bCs/>
          <w:szCs w:val="20"/>
        </w:rPr>
        <w:t>brak aktualizacji zakresów obowiązków dla 2 z 15 pracowników, a także brak wskazania w zakresie obowiązków w 1 przypadku stanowiska pracy oraz w 9 przypadkach zadań związanych z pełnieniem funkcji kierownika projektu/budżetu w zakresie m.in. Polityki Surowcowej Państwa;</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bookmarkEnd w:id="56"/>
      <w:r w:rsidRPr="00AE7A5B">
        <w:rPr>
          <w:rFonts w:cs="Times New Roman"/>
          <w:bCs/>
          <w:szCs w:val="20"/>
        </w:rPr>
        <w:t xml:space="preserve">niezamieszczanie w 3 ogłoszeniach </w:t>
      </w:r>
      <w:r w:rsidRPr="00AE7A5B">
        <w:rPr>
          <w:szCs w:val="20"/>
          <w:lang w:eastAsia="ar-SA"/>
        </w:rPr>
        <w:t xml:space="preserve">na stanowiska naukowe </w:t>
      </w:r>
      <w:r w:rsidRPr="00AE7A5B">
        <w:rPr>
          <w:rFonts w:cs="Times New Roman"/>
          <w:bCs/>
          <w:szCs w:val="20"/>
        </w:rPr>
        <w:t>informacji wymaganych § 7 pkt 2, 8-11 Regulaminu konkursu na stanowiska naukowe;</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bookmarkStart w:id="57" w:name="_Hlk142580849"/>
      <w:r w:rsidRPr="00AE7A5B">
        <w:rPr>
          <w:rFonts w:cs="Times New Roman"/>
          <w:bCs/>
          <w:szCs w:val="20"/>
        </w:rPr>
        <w:t>w obszarze dodatkowego zatrudnienia: brak stosowania w 5 z 10 badanych przypadków wzorów wniosków o zgodę na dodatkowe zatrudnienie stanowiących załącznik nr 7 do zarządzenia o dodatkowym zatrudnieniu; na 1 wniosku podpisanym przez Dyrektora brak było jednoznacznej informacji, czy Dyrektor wyraził lub nie wyraził zgody na prowadzenie działalności gospodarczej</w:t>
      </w:r>
      <w:bookmarkEnd w:id="57"/>
      <w:r w:rsidRPr="00AE7A5B">
        <w:rPr>
          <w:rFonts w:cs="Times New Roman"/>
          <w:bCs/>
          <w:szCs w:val="20"/>
        </w:rPr>
        <w:t>;</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bookmarkStart w:id="58" w:name="_Hlk142581044"/>
      <w:r w:rsidRPr="00AE7A5B">
        <w:rPr>
          <w:rFonts w:cs="Times New Roman"/>
          <w:bCs/>
          <w:szCs w:val="20"/>
        </w:rPr>
        <w:t>w obszarze ocen okresowych:</w:t>
      </w:r>
      <w:bookmarkEnd w:id="58"/>
      <w:r w:rsidRPr="00AE7A5B">
        <w:rPr>
          <w:rFonts w:cs="Times New Roman"/>
          <w:bCs/>
          <w:szCs w:val="20"/>
        </w:rPr>
        <w:t xml:space="preserve"> brak włączenia do akt osobowych kart ocen 6 pracowników; 1 przypadek braku ponumerowania karty oceny 1 pracownika i ujęcia jej w wykazie oświadczeń i dokumentów – części B; liczne przypadki braków podpisów na kartach ocen; Regulamin oceny pracowników nie określał przypadków wyłączenia </w:t>
      </w:r>
      <w:r w:rsidRPr="00AE7A5B">
        <w:rPr>
          <w:rFonts w:cs="Times New Roman"/>
          <w:bCs/>
          <w:szCs w:val="20"/>
        </w:rPr>
        <w:br/>
        <w:t>z oceny pracowników, co do których wygasł stosunek pracy lub pozostających na długotrwałych zwolnieniach lekarskich;</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 xml:space="preserve">nie funkcjonowała komisja dyscyplinarna i tym samym nie został spełniony wymóg </w:t>
      </w:r>
      <w:r w:rsidRPr="00AE7A5B">
        <w:rPr>
          <w:rFonts w:cs="Times New Roman"/>
          <w:bCs/>
          <w:szCs w:val="20"/>
        </w:rPr>
        <w:br/>
        <w:t>art. 55 ust. 1 ustawy o instytutach badawczych;</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bookmarkStart w:id="59" w:name="_Hlk142581160"/>
      <w:r w:rsidRPr="00AE7A5B">
        <w:rPr>
          <w:rFonts w:cs="Times New Roman"/>
          <w:bCs/>
          <w:szCs w:val="20"/>
        </w:rPr>
        <w:t xml:space="preserve">w obszarze umów najmu: stosowano niejednolite postanowienia w 2 badanych  umowach; brak w przypadku 1 umowy potwierdzenia na fakturach daty ich odbiorów przez najemcę, co uniemożliwiało stwierdzenie terminowości płacenia czynszu; </w:t>
      </w:r>
      <w:r w:rsidRPr="00AE7A5B">
        <w:rPr>
          <w:rFonts w:cs="Times New Roman"/>
          <w:bCs/>
          <w:szCs w:val="20"/>
        </w:rPr>
        <w:br/>
        <w:t xml:space="preserve">w przypadku 1 </w:t>
      </w:r>
      <w:bookmarkEnd w:id="59"/>
      <w:r w:rsidRPr="00AE7A5B">
        <w:rPr>
          <w:rFonts w:cs="Times New Roman"/>
          <w:bCs/>
          <w:szCs w:val="20"/>
        </w:rPr>
        <w:t xml:space="preserve">umowy termin zapłaty wskazany na fakturach był niezgodny z </w:t>
      </w:r>
      <w:r w:rsidRPr="00AE7A5B">
        <w:rPr>
          <w:bCs/>
          <w:szCs w:val="20"/>
        </w:rPr>
        <w:t xml:space="preserve">§ 4 ust. 4 </w:t>
      </w:r>
      <w:r w:rsidRPr="00AE7A5B">
        <w:rPr>
          <w:rFonts w:cs="Times New Roman"/>
          <w:bCs/>
          <w:szCs w:val="20"/>
        </w:rPr>
        <w:t>umowy;</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szCs w:val="20"/>
        </w:rPr>
        <w:t xml:space="preserve">brak podpisu na protokole z rocznej kontroli okresowej obiektu budowlanego, </w:t>
      </w:r>
      <w:r w:rsidRPr="00AE7A5B">
        <w:rPr>
          <w:szCs w:val="20"/>
        </w:rPr>
        <w:br/>
        <w:t>co uniemożliwiało ustalenie czy roczna kontrola okresowa stanu technicznego obiektu została przeprowadzona zgodnie z art. 62 ust. 1 pkt 1 Prawa budowlanego;</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niezamieszczenie w 2 książkach obiektu budowlanego informacji dotyczących m.in.: protokołu odbioru obiektu, pozwoleniu na użytkowanie, zarządcy obiektu,</w:t>
      </w:r>
      <w:r w:rsidRPr="00AE7A5B">
        <w:rPr>
          <w:szCs w:val="20"/>
        </w:rPr>
        <w:t xml:space="preserve"> protokołu </w:t>
      </w:r>
      <w:r w:rsidRPr="00AE7A5B">
        <w:rPr>
          <w:szCs w:val="20"/>
        </w:rPr>
        <w:br/>
        <w:t>z kontroli okresowej stanu technicznego obiektu budowlanego, protokołu z przeglądu technicznego instalacji elektrycznej i odgromowej</w:t>
      </w:r>
      <w:r w:rsidRPr="00AE7A5B">
        <w:rPr>
          <w:rFonts w:cs="Times New Roman"/>
          <w:bCs/>
          <w:szCs w:val="20"/>
        </w:rPr>
        <w:t>; kodu pocztowego w adresie obiektu; numeru księgi wieczystej;</w:t>
      </w:r>
      <w:r w:rsidRPr="00AE7A5B">
        <w:rPr>
          <w:szCs w:val="20"/>
        </w:rPr>
        <w:t xml:space="preserve"> spisu dokumentacji dołączonej do książki</w:t>
      </w:r>
      <w:r w:rsidRPr="00AE7A5B">
        <w:rPr>
          <w:rFonts w:cs="Times New Roman"/>
          <w:bCs/>
          <w:szCs w:val="20"/>
        </w:rPr>
        <w:t xml:space="preserve">, co było niezgodne </w:t>
      </w:r>
      <w:r w:rsidRPr="00AE7A5B">
        <w:rPr>
          <w:rFonts w:cs="Times New Roman"/>
          <w:bCs/>
          <w:szCs w:val="20"/>
        </w:rPr>
        <w:br/>
        <w:t>z § 2, § 5 ust. 1 pkt b)-d), § 5 ust. 2 i § 5 ust. 4 rozporządzenia książki obiektu;</w:t>
      </w:r>
    </w:p>
    <w:p w:rsidR="00AE7A5B" w:rsidRPr="00AE7A5B" w:rsidP="00AE7A5B">
      <w:pPr>
        <w:numPr>
          <w:ilvl w:val="0"/>
          <w:numId w:val="3"/>
        </w:numPr>
        <w:autoSpaceDE w:val="0"/>
        <w:autoSpaceDN w:val="0"/>
        <w:adjustRightInd w:val="0"/>
        <w:spacing w:after="0" w:line="240" w:lineRule="auto"/>
        <w:ind w:left="284" w:hanging="284"/>
        <w:jc w:val="left"/>
        <w:rPr>
          <w:rFonts w:cs="Times New Roman"/>
          <w:bCs/>
          <w:szCs w:val="20"/>
        </w:rPr>
      </w:pPr>
      <w:r w:rsidRPr="00AE7A5B">
        <w:rPr>
          <w:rFonts w:cs="Times New Roman"/>
          <w:bCs/>
          <w:szCs w:val="20"/>
        </w:rPr>
        <w:t>w 1 książce obiektu budowlanego wpisano błędny miesiąc przeprowadzenia  kontroli rocznej i pięcioletniej.</w:t>
      </w:r>
    </w:p>
    <w:p w:rsidR="00AE7A5B" w:rsidRPr="00AE7A5B" w:rsidP="00AE7A5B">
      <w:pPr>
        <w:autoSpaceDE w:val="0"/>
        <w:autoSpaceDN w:val="0"/>
        <w:adjustRightInd w:val="0"/>
        <w:spacing w:after="0" w:line="240" w:lineRule="auto"/>
        <w:ind w:left="284"/>
        <w:jc w:val="left"/>
        <w:rPr>
          <w:rFonts w:cs="Times New Roman"/>
          <w:bCs/>
          <w:szCs w:val="20"/>
        </w:rPr>
      </w:pPr>
    </w:p>
    <w:p w:rsidR="00AE7A5B" w:rsidRPr="00AE7A5B" w:rsidP="00AE7A5B">
      <w:pPr>
        <w:spacing w:after="0" w:line="240" w:lineRule="auto"/>
        <w:ind w:left="284" w:hanging="284"/>
        <w:jc w:val="left"/>
        <w:rPr>
          <w:rFonts w:cs="Times New Roman"/>
          <w:b/>
          <w:bCs/>
          <w:szCs w:val="20"/>
        </w:rPr>
      </w:pPr>
      <w:bookmarkEnd w:id="55"/>
      <w:r w:rsidRPr="00AE7A5B">
        <w:rPr>
          <w:rFonts w:cs="Times New Roman"/>
          <w:b/>
          <w:bCs/>
          <w:szCs w:val="20"/>
        </w:rPr>
        <w:t xml:space="preserve">4.  </w:t>
      </w:r>
      <w:r w:rsidRPr="00AE7A5B">
        <w:rPr>
          <w:rFonts w:cs="Times New Roman"/>
          <w:b/>
          <w:bCs/>
          <w:szCs w:val="20"/>
        </w:rPr>
        <w:tab/>
        <w:t>Stan realizacji wybranych zaleceń i wniosków pokontrolnych wydanych przez Ministra Klimatu i Ministra Środowiska w poprzednich kontrolach</w:t>
      </w:r>
    </w:p>
    <w:p w:rsidR="00AE7A5B" w:rsidRPr="00AE7A5B" w:rsidP="00AE7A5B">
      <w:pPr>
        <w:spacing w:before="120" w:after="0" w:line="240" w:lineRule="auto"/>
        <w:jc w:val="left"/>
        <w:rPr>
          <w:rFonts w:cs="Times New Roman"/>
          <w:szCs w:val="20"/>
        </w:rPr>
      </w:pPr>
      <w:r w:rsidRPr="00AE7A5B">
        <w:rPr>
          <w:rFonts w:cs="Times New Roman"/>
          <w:szCs w:val="20"/>
        </w:rPr>
        <w:t>Kontrolą objęto realizację 35 zaleceń pokontrolnych sformułowanych w ramach poprzednich kontroli Ministra Środowiska</w:t>
      </w:r>
      <w:r>
        <w:rPr>
          <w:rFonts w:cs="Times New Roman"/>
          <w:szCs w:val="20"/>
          <w:vertAlign w:val="superscript"/>
        </w:rPr>
        <w:footnoteReference w:id="288"/>
      </w:r>
      <w:r w:rsidRPr="00AE7A5B">
        <w:rPr>
          <w:rFonts w:cs="Times New Roman"/>
          <w:szCs w:val="20"/>
        </w:rPr>
        <w:t xml:space="preserve"> oraz Ministra Klimatu</w:t>
      </w:r>
      <w:r>
        <w:rPr>
          <w:rFonts w:cs="Times New Roman"/>
          <w:szCs w:val="20"/>
          <w:vertAlign w:val="superscript"/>
        </w:rPr>
        <w:footnoteReference w:id="289"/>
      </w:r>
      <w:r w:rsidRPr="00AE7A5B">
        <w:rPr>
          <w:rFonts w:cs="Times New Roman"/>
          <w:szCs w:val="20"/>
        </w:rPr>
        <w:t>, w wyniku której ustalono, że:</w:t>
      </w:r>
    </w:p>
    <w:p w:rsidR="00AE7A5B" w:rsidRPr="00AE7A5B" w:rsidP="00AE7A5B">
      <w:pPr>
        <w:numPr>
          <w:ilvl w:val="0"/>
          <w:numId w:val="6"/>
        </w:numPr>
        <w:spacing w:before="120" w:after="0" w:line="240" w:lineRule="auto"/>
        <w:ind w:left="357" w:hanging="357"/>
        <w:jc w:val="left"/>
        <w:rPr>
          <w:rFonts w:cs="Times New Roman"/>
          <w:szCs w:val="20"/>
        </w:rPr>
      </w:pPr>
      <w:r w:rsidRPr="00AE7A5B">
        <w:rPr>
          <w:rFonts w:eastAsia="Times New Roman" w:cs="Times New Roman"/>
          <w:szCs w:val="20"/>
          <w:lang w:eastAsia="pl-PL"/>
        </w:rPr>
        <w:t>zalecenie nr 1</w:t>
      </w:r>
      <w:r>
        <w:rPr>
          <w:rFonts w:eastAsia="Times New Roman" w:cs="Times New Roman"/>
          <w:szCs w:val="20"/>
          <w:vertAlign w:val="superscript"/>
          <w:lang w:eastAsia="pl-PL"/>
        </w:rPr>
        <w:footnoteReference w:id="290"/>
      </w:r>
      <w:r w:rsidRPr="00AE7A5B">
        <w:rPr>
          <w:rFonts w:eastAsia="Times New Roman" w:cs="Times New Roman"/>
          <w:szCs w:val="20"/>
          <w:lang w:eastAsia="pl-PL"/>
        </w:rPr>
        <w:t xml:space="preserve"> dotyczące zakończenia realizacji projektu pn. Zintegrowany system informatyczny PIG oparty o architekturę SOA</w:t>
      </w:r>
      <w:r>
        <w:rPr>
          <w:rFonts w:eastAsia="Times New Roman" w:cs="Times New Roman"/>
          <w:szCs w:val="20"/>
          <w:vertAlign w:val="superscript"/>
          <w:lang w:eastAsia="pl-PL"/>
        </w:rPr>
        <w:footnoteReference w:id="291"/>
      </w:r>
      <w:r w:rsidRPr="00AE7A5B">
        <w:rPr>
          <w:rFonts w:eastAsia="Times New Roman" w:cs="Times New Roman"/>
          <w:szCs w:val="20"/>
          <w:lang w:eastAsia="pl-PL"/>
        </w:rPr>
        <w:t>, zostało zrealizowane</w:t>
      </w:r>
      <w:r w:rsidRPr="00AE7A5B">
        <w:rPr>
          <w:rFonts w:eastAsia="Times New Roman" w:cs="Times New Roman"/>
          <w:sz w:val="16"/>
          <w:szCs w:val="16"/>
          <w:lang w:eastAsia="pl-PL"/>
        </w:rPr>
        <w:t>.</w:t>
      </w:r>
    </w:p>
    <w:p w:rsidR="00AE7A5B" w:rsidRPr="00AE7A5B" w:rsidP="00AE7A5B">
      <w:pPr>
        <w:spacing w:after="0" w:line="240" w:lineRule="auto"/>
        <w:ind w:left="360"/>
        <w:jc w:val="left"/>
        <w:rPr>
          <w:rFonts w:cs="Times New Roman"/>
          <w:szCs w:val="20"/>
        </w:rPr>
      </w:pPr>
      <w:r w:rsidRPr="00AE7A5B">
        <w:rPr>
          <w:szCs w:val="20"/>
        </w:rPr>
        <w:t>PIG sporządził m.in. sprawozdanie końcowe z realizacji przedsięwzięcia, które zostało zaakceptowane przez Ministra Klimatu i Środowiska</w:t>
      </w:r>
      <w:r>
        <w:rPr>
          <w:szCs w:val="20"/>
          <w:vertAlign w:val="superscript"/>
        </w:rPr>
        <w:footnoteReference w:id="292"/>
      </w:r>
      <w:r w:rsidRPr="00AE7A5B">
        <w:rPr>
          <w:szCs w:val="20"/>
        </w:rPr>
        <w:t>. Ponadto NFOŚiGW uznał umowę dotacji nr 897/2023/WN-07/FG-GO-DN/D z 13 grudnia 2013 za wykonaną</w:t>
      </w:r>
      <w:r>
        <w:rPr>
          <w:szCs w:val="20"/>
          <w:vertAlign w:val="superscript"/>
        </w:rPr>
        <w:footnoteReference w:id="293"/>
      </w:r>
      <w:r w:rsidRPr="00AE7A5B">
        <w:rPr>
          <w:szCs w:val="20"/>
        </w:rPr>
        <w:t xml:space="preserve">.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IV/56-57, IV/163-169]</w:t>
      </w:r>
    </w:p>
    <w:p w:rsidR="00AE7A5B" w:rsidRPr="00AE7A5B" w:rsidP="00AE7A5B">
      <w:pPr>
        <w:numPr>
          <w:ilvl w:val="0"/>
          <w:numId w:val="6"/>
        </w:numPr>
        <w:spacing w:after="120" w:line="240" w:lineRule="auto"/>
        <w:ind w:left="357" w:hanging="357"/>
        <w:jc w:val="left"/>
        <w:rPr>
          <w:szCs w:val="20"/>
        </w:rPr>
      </w:pPr>
      <w:r w:rsidRPr="00AE7A5B">
        <w:rPr>
          <w:rFonts w:eastAsia="Times New Roman" w:cs="Times New Roman"/>
          <w:szCs w:val="20"/>
          <w:lang w:eastAsia="pl-PL"/>
        </w:rPr>
        <w:t>zalecenie nr 24</w:t>
      </w:r>
      <w:r>
        <w:rPr>
          <w:rFonts w:eastAsia="Times New Roman" w:cs="Times New Roman"/>
          <w:szCs w:val="20"/>
          <w:vertAlign w:val="superscript"/>
          <w:lang w:eastAsia="pl-PL"/>
        </w:rPr>
        <w:footnoteReference w:id="294"/>
      </w:r>
      <w:r w:rsidRPr="00AE7A5B">
        <w:rPr>
          <w:rFonts w:eastAsia="Times New Roman" w:cs="Times New Roman"/>
          <w:szCs w:val="20"/>
          <w:lang w:eastAsia="pl-PL"/>
        </w:rPr>
        <w:t xml:space="preserve"> dotyczące przechowywania i archiwizowania dokumentów zgodnie </w:t>
      </w:r>
      <w:r w:rsidRPr="00AE7A5B">
        <w:rPr>
          <w:rFonts w:eastAsia="Times New Roman" w:cs="Times New Roman"/>
          <w:szCs w:val="20"/>
          <w:lang w:eastAsia="pl-PL"/>
        </w:rPr>
        <w:br/>
        <w:t>z zarządzeniem Dyrektora nr 18 z 31 sierpnia 2010 r. w sprawie zasad, trybu postępowania i sposobu prowadzenia dokumentacji w Instytucie, zostało niezrealizowane.</w:t>
      </w:r>
    </w:p>
    <w:p w:rsidR="00AE7A5B" w:rsidRPr="00AE7A5B" w:rsidP="00AE7A5B">
      <w:pPr>
        <w:spacing w:after="0" w:line="240" w:lineRule="auto"/>
        <w:ind w:left="360"/>
        <w:jc w:val="left"/>
        <w:rPr>
          <w:rFonts w:eastAsia="Times New Roman" w:cs="Times New Roman"/>
          <w:szCs w:val="20"/>
          <w:highlight w:val="yellow"/>
          <w:lang w:eastAsia="pl-PL"/>
        </w:rPr>
      </w:pPr>
      <w:r w:rsidRPr="00AE7A5B">
        <w:rPr>
          <w:rFonts w:eastAsia="Times New Roman" w:cs="Times New Roman"/>
          <w:szCs w:val="20"/>
          <w:lang w:eastAsia="pl-PL"/>
        </w:rPr>
        <w:t>Na podstawie przeprowadzonych oględzin 16 lutego 2023 r.</w:t>
      </w:r>
      <w:r>
        <w:rPr>
          <w:rFonts w:eastAsia="Times New Roman" w:cs="Times New Roman"/>
          <w:szCs w:val="20"/>
          <w:vertAlign w:val="superscript"/>
          <w:lang w:eastAsia="pl-PL"/>
        </w:rPr>
        <w:footnoteReference w:id="295"/>
      </w:r>
      <w:r w:rsidRPr="00AE7A5B">
        <w:rPr>
          <w:rFonts w:eastAsia="Times New Roman" w:cs="Times New Roman"/>
          <w:szCs w:val="20"/>
          <w:lang w:eastAsia="pl-PL"/>
        </w:rPr>
        <w:t xml:space="preserve"> w Archiwum Zakładowym u</w:t>
      </w:r>
      <w:r w:rsidRPr="00AE7A5B">
        <w:rPr>
          <w:rFonts w:eastAsia="Times New Roman" w:cs="Times New Roman"/>
          <w:iCs/>
          <w:szCs w:val="20"/>
          <w:lang w:eastAsia="pl-PL"/>
        </w:rPr>
        <w:t>stalono</w:t>
      </w:r>
      <w:r>
        <w:rPr>
          <w:rFonts w:eastAsia="Times New Roman" w:cs="Times New Roman"/>
          <w:szCs w:val="20"/>
          <w:vertAlign w:val="superscript"/>
          <w:lang w:eastAsia="pl-PL"/>
        </w:rPr>
        <w:footnoteReference w:id="296"/>
      </w:r>
      <w:r w:rsidRPr="00AE7A5B">
        <w:rPr>
          <w:rFonts w:eastAsia="Times New Roman" w:cs="Times New Roman"/>
          <w:iCs/>
          <w:szCs w:val="20"/>
          <w:lang w:eastAsia="pl-PL"/>
        </w:rPr>
        <w:t>, że akta Biura Zamówień Publicznych obejmujące lata 1989-2015 nie zostały przekazane do archiwizacji, co było niezgodne z § 44 ust. 1</w:t>
      </w:r>
      <w:r>
        <w:rPr>
          <w:rFonts w:eastAsia="Times New Roman" w:cs="Times New Roman"/>
          <w:szCs w:val="20"/>
          <w:vertAlign w:val="superscript"/>
          <w:lang w:eastAsia="pl-PL"/>
        </w:rPr>
        <w:footnoteReference w:id="297"/>
      </w:r>
      <w:r w:rsidRPr="00AE7A5B">
        <w:rPr>
          <w:rFonts w:eastAsia="Times New Roman" w:cs="Times New Roman"/>
          <w:iCs/>
          <w:szCs w:val="20"/>
          <w:lang w:eastAsia="pl-PL"/>
        </w:rPr>
        <w:t xml:space="preserve"> Instrukcji kancelaryjnej z 4 stycznia 2021 r.</w:t>
      </w:r>
      <w:r w:rsidRPr="00AE7A5B">
        <w:rPr>
          <w:rFonts w:eastAsia="Times New Roman" w:cs="Times New Roman"/>
          <w:szCs w:val="20"/>
          <w:vertAlign w:val="superscript"/>
          <w:lang w:eastAsia="pl-PL"/>
        </w:rPr>
        <w:t xml:space="preserve"> </w:t>
      </w:r>
      <w:r>
        <w:rPr>
          <w:rFonts w:eastAsia="Times New Roman" w:cs="Times New Roman"/>
          <w:szCs w:val="20"/>
          <w:vertAlign w:val="superscript"/>
          <w:lang w:eastAsia="pl-PL"/>
        </w:rPr>
        <w:footnoteReference w:id="298"/>
      </w:r>
      <w:r w:rsidRPr="00AE7A5B">
        <w:rPr>
          <w:rFonts w:eastAsia="Times New Roman" w:cs="Times New Roman"/>
          <w:szCs w:val="20"/>
          <w:highlight w:val="yellow"/>
          <w:lang w:eastAsia="pl-PL"/>
        </w:rPr>
        <w:t xml:space="preserve"> </w:t>
      </w:r>
    </w:p>
    <w:p w:rsidR="00AE7A5B" w:rsidRPr="00AE7A5B" w:rsidP="00AE7A5B">
      <w:pPr>
        <w:spacing w:before="120" w:after="0" w:line="240" w:lineRule="auto"/>
        <w:ind w:left="357"/>
        <w:jc w:val="left"/>
        <w:rPr>
          <w:rFonts w:eastAsia="Times New Roman" w:cs="Times New Roman"/>
          <w:szCs w:val="20"/>
          <w:lang w:eastAsia="pl-PL"/>
        </w:rPr>
      </w:pPr>
      <w:r w:rsidRPr="00AE7A5B">
        <w:rPr>
          <w:rFonts w:eastAsia="Times New Roman" w:cs="Times New Roman"/>
          <w:szCs w:val="20"/>
          <w:lang w:eastAsia="pl-PL"/>
        </w:rPr>
        <w:t>Pracownik PIG wyjaśnił</w:t>
      </w:r>
      <w:r>
        <w:rPr>
          <w:rFonts w:eastAsia="Times New Roman" w:cs="Times New Roman"/>
          <w:szCs w:val="20"/>
          <w:vertAlign w:val="superscript"/>
          <w:lang w:eastAsia="pl-PL"/>
        </w:rPr>
        <w:footnoteReference w:id="299"/>
      </w:r>
      <w:r w:rsidRPr="00AE7A5B">
        <w:rPr>
          <w:rFonts w:eastAsia="Times New Roman" w:cs="Times New Roman"/>
          <w:szCs w:val="20"/>
          <w:lang w:eastAsia="pl-PL"/>
        </w:rPr>
        <w:t>, że dokumentacja jest przygotowywana do przekazania do archiwum zakładowego.</w:t>
      </w:r>
    </w:p>
    <w:p w:rsidR="00AE7A5B" w:rsidRPr="00AE7A5B" w:rsidP="00AE7A5B">
      <w:pPr>
        <w:spacing w:before="120" w:after="0" w:line="240" w:lineRule="auto"/>
        <w:ind w:left="357"/>
        <w:jc w:val="left"/>
        <w:rPr>
          <w:rFonts w:cs="Times New Roman"/>
          <w:szCs w:val="20"/>
        </w:rPr>
      </w:pPr>
      <w:r w:rsidRPr="00AE7A5B">
        <w:rPr>
          <w:szCs w:val="20"/>
        </w:rPr>
        <w:t>Ponadto ustalono w trakcie oględzin z 6 lutego 2023 r.</w:t>
      </w:r>
      <w:r>
        <w:rPr>
          <w:szCs w:val="20"/>
          <w:vertAlign w:val="superscript"/>
        </w:rPr>
        <w:footnoteReference w:id="300"/>
      </w:r>
      <w:r w:rsidRPr="00AE7A5B">
        <w:rPr>
          <w:szCs w:val="20"/>
        </w:rPr>
        <w:t>,  że została przekroczona temperatura przechowywania akt o około 2</w:t>
      </w:r>
      <w:r w:rsidRPr="00AE7A5B">
        <w:rPr>
          <w:szCs w:val="20"/>
          <w:vertAlign w:val="superscript"/>
        </w:rPr>
        <w:t>o</w:t>
      </w:r>
      <w:r w:rsidRPr="00AE7A5B">
        <w:rPr>
          <w:szCs w:val="20"/>
        </w:rPr>
        <w:t>C, co było niezgodne z załącznikiem</w:t>
      </w:r>
      <w:r w:rsidRPr="00AE7A5B">
        <w:rPr>
          <w:rFonts w:eastAsia="Times New Roman" w:cs="Times New Roman"/>
          <w:szCs w:val="20"/>
          <w:lang w:eastAsia="pl-PL"/>
        </w:rPr>
        <w:t xml:space="preserve"> nr 1</w:t>
      </w:r>
      <w:r>
        <w:rPr>
          <w:rFonts w:eastAsia="Times New Roman" w:cs="Times New Roman"/>
          <w:szCs w:val="20"/>
          <w:vertAlign w:val="superscript"/>
          <w:lang w:eastAsia="pl-PL"/>
        </w:rPr>
        <w:footnoteReference w:id="301"/>
      </w:r>
      <w:r w:rsidRPr="00AE7A5B">
        <w:rPr>
          <w:rFonts w:eastAsia="Times New Roman" w:cs="Times New Roman"/>
          <w:szCs w:val="20"/>
          <w:lang w:eastAsia="pl-PL"/>
        </w:rPr>
        <w:t xml:space="preserve"> do Instrukcji archiwalnej</w:t>
      </w:r>
      <w:r>
        <w:rPr>
          <w:rFonts w:eastAsia="Times New Roman" w:cs="Times New Roman"/>
          <w:szCs w:val="20"/>
          <w:vertAlign w:val="superscript"/>
          <w:lang w:eastAsia="pl-PL"/>
        </w:rPr>
        <w:footnoteReference w:id="302"/>
      </w:r>
      <w:r w:rsidRPr="00AE7A5B">
        <w:rPr>
          <w:rFonts w:eastAsia="Times New Roman" w:cs="Times New Roman"/>
          <w:szCs w:val="20"/>
          <w:lang w:eastAsia="pl-PL"/>
        </w:rPr>
        <w:t>.</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w:t>
      </w:r>
      <w:r w:rsidRPr="00AE7A5B">
        <w:rPr>
          <w:szCs w:val="20"/>
          <w:lang w:eastAsia="ar-SA"/>
        </w:rPr>
        <w:t xml:space="preserve"> I/315-316/AC, IV/58-59, IV/128-132, IV/148-151, IV/360-381, IV/391-399]</w:t>
      </w:r>
    </w:p>
    <w:p w:rsidR="00AE7A5B" w:rsidRPr="00AE7A5B" w:rsidP="00AE7A5B">
      <w:pPr>
        <w:numPr>
          <w:ilvl w:val="0"/>
          <w:numId w:val="6"/>
        </w:numPr>
        <w:spacing w:after="0" w:line="240" w:lineRule="auto"/>
        <w:jc w:val="left"/>
        <w:rPr>
          <w:rFonts w:cs="Times New Roman"/>
          <w:szCs w:val="20"/>
        </w:rPr>
      </w:pPr>
      <w:r w:rsidRPr="00AE7A5B">
        <w:rPr>
          <w:rFonts w:eastAsia="Times New Roman" w:cs="Times New Roman"/>
          <w:szCs w:val="20"/>
          <w:lang w:eastAsia="pl-PL"/>
        </w:rPr>
        <w:t>zalecenie nr 29</w:t>
      </w:r>
      <w:r>
        <w:rPr>
          <w:rFonts w:eastAsia="Times New Roman" w:cs="Times New Roman"/>
          <w:szCs w:val="20"/>
          <w:vertAlign w:val="superscript"/>
          <w:lang w:eastAsia="pl-PL"/>
        </w:rPr>
        <w:footnoteReference w:id="303"/>
      </w:r>
      <w:r w:rsidRPr="00AE7A5B">
        <w:rPr>
          <w:rFonts w:eastAsia="Times New Roman" w:cs="Times New Roman"/>
          <w:szCs w:val="20"/>
          <w:lang w:eastAsia="pl-PL"/>
        </w:rPr>
        <w:t xml:space="preserve"> dotyczące wykonywania przez Radę Naukową wszystkich zadań Rady określonych w art. 29 ust. 2 ustawy o instytutach badawczych, zostało zrealizowane.</w:t>
      </w:r>
    </w:p>
    <w:p w:rsidR="00AE7A5B" w:rsidRPr="00AE7A5B" w:rsidP="00AE7A5B">
      <w:pPr>
        <w:spacing w:before="120" w:after="0" w:line="240" w:lineRule="auto"/>
        <w:ind w:left="357"/>
        <w:jc w:val="left"/>
        <w:rPr>
          <w:rFonts w:cs="Times New Roman"/>
          <w:szCs w:val="20"/>
        </w:rPr>
      </w:pPr>
      <w:r w:rsidRPr="00AE7A5B">
        <w:rPr>
          <w:rFonts w:cs="Times New Roman"/>
          <w:szCs w:val="20"/>
        </w:rPr>
        <w:t xml:space="preserve">Ustalenia dotyczące realizacji zalecenia zostały opisane powyżej w części 2 pkt a) dotyczącym organizacji Instytutu.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IV/60-61, IV/152]</w:t>
      </w:r>
    </w:p>
    <w:p w:rsidR="00AE7A5B" w:rsidRPr="00AE7A5B" w:rsidP="00AE7A5B">
      <w:pPr>
        <w:numPr>
          <w:ilvl w:val="0"/>
          <w:numId w:val="6"/>
        </w:numPr>
        <w:spacing w:after="0" w:line="240" w:lineRule="auto"/>
        <w:jc w:val="left"/>
        <w:rPr>
          <w:sz w:val="24"/>
          <w:szCs w:val="20"/>
        </w:rPr>
      </w:pPr>
      <w:r w:rsidRPr="00AE7A5B">
        <w:rPr>
          <w:rFonts w:eastAsia="Times New Roman" w:cs="Times New Roman"/>
          <w:szCs w:val="20"/>
          <w:lang w:eastAsia="pl-PL"/>
        </w:rPr>
        <w:t xml:space="preserve">zalecenie nr </w:t>
      </w:r>
      <w:r w:rsidRPr="00AE7A5B">
        <w:rPr>
          <w:rFonts w:cs="Times New Roman"/>
          <w:szCs w:val="20"/>
        </w:rPr>
        <w:t>1</w:t>
      </w:r>
      <w:r>
        <w:rPr>
          <w:rFonts w:cs="Times New Roman"/>
          <w:szCs w:val="20"/>
          <w:vertAlign w:val="superscript"/>
        </w:rPr>
        <w:footnoteReference w:id="304"/>
      </w:r>
      <w:r w:rsidRPr="00AE7A5B">
        <w:rPr>
          <w:rFonts w:cs="Times New Roman"/>
          <w:szCs w:val="20"/>
        </w:rPr>
        <w:t xml:space="preserve"> dotyczące z</w:t>
      </w:r>
      <w:r w:rsidRPr="00AE7A5B">
        <w:rPr>
          <w:rFonts w:eastAsia="Times New Roman" w:cs="Times New Roman"/>
          <w:szCs w:val="20"/>
          <w:lang w:eastAsia="pl-PL"/>
        </w:rPr>
        <w:t xml:space="preserve">awierania umów cywilnoprawnych z zastępcami Dyrektora oraz członkami Rady Naukowej wyłącznie w przypadkach szczególnie uzasadnionych, zostało </w:t>
      </w:r>
      <w:r w:rsidRPr="00AE7A5B">
        <w:rPr>
          <w:rFonts w:cs="Times New Roman"/>
          <w:szCs w:val="20"/>
        </w:rPr>
        <w:t>zrealizowane.</w:t>
      </w:r>
    </w:p>
    <w:p w:rsidR="00AE7A5B" w:rsidRPr="00AE7A5B" w:rsidP="00AE7A5B">
      <w:pPr>
        <w:spacing w:before="120" w:after="120" w:line="240" w:lineRule="auto"/>
        <w:ind w:left="360"/>
        <w:jc w:val="left"/>
        <w:rPr>
          <w:rFonts w:cs="Times New Roman"/>
          <w:szCs w:val="20"/>
        </w:rPr>
      </w:pPr>
      <w:r w:rsidRPr="00AE7A5B">
        <w:rPr>
          <w:rFonts w:cs="Times New Roman"/>
          <w:szCs w:val="20"/>
        </w:rPr>
        <w:t xml:space="preserve">Ustalono, że w okresie objętym kontrolą nie były zawarte umowy cywilnoprawne </w:t>
      </w:r>
      <w:r w:rsidRPr="00AE7A5B">
        <w:rPr>
          <w:rFonts w:cs="Times New Roman"/>
          <w:szCs w:val="20"/>
        </w:rPr>
        <w:br/>
        <w:t>z zastępcami Dyrektora, a jedynie 4 umowy zawarto z członkami Rady Naukowej</w:t>
      </w:r>
      <w:r>
        <w:rPr>
          <w:rFonts w:cs="Times New Roman"/>
          <w:szCs w:val="20"/>
          <w:vertAlign w:val="superscript"/>
        </w:rPr>
        <w:footnoteReference w:id="305"/>
      </w:r>
      <w:r w:rsidRPr="00AE7A5B">
        <w:rPr>
          <w:rFonts w:cs="Times New Roman"/>
          <w:szCs w:val="20"/>
        </w:rPr>
        <w:t xml:space="preserve">. </w:t>
      </w:r>
    </w:p>
    <w:p w:rsidR="00AE7A5B" w:rsidRPr="00AE7A5B" w:rsidP="00AE7A5B">
      <w:pPr>
        <w:spacing w:before="120" w:after="120" w:line="240" w:lineRule="auto"/>
        <w:ind w:left="425" w:hanging="68"/>
        <w:jc w:val="left"/>
        <w:rPr>
          <w:rFonts w:cs="Times New Roman"/>
          <w:szCs w:val="20"/>
        </w:rPr>
      </w:pPr>
      <w:r w:rsidRPr="00AE7A5B">
        <w:rPr>
          <w:rFonts w:eastAsia="Calibri"/>
          <w:szCs w:val="20"/>
        </w:rPr>
        <w:t>[Dowód: akta kontroli str. IV/62-63, IV/342-348]</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2</w:t>
      </w:r>
      <w:r>
        <w:rPr>
          <w:rFonts w:cs="Times New Roman"/>
          <w:szCs w:val="20"/>
          <w:vertAlign w:val="superscript"/>
        </w:rPr>
        <w:footnoteReference w:id="306"/>
      </w:r>
      <w:r w:rsidRPr="00AE7A5B">
        <w:rPr>
          <w:rFonts w:cs="Times New Roman"/>
          <w:szCs w:val="20"/>
        </w:rPr>
        <w:t xml:space="preserve"> dotyczące p</w:t>
      </w:r>
      <w:r w:rsidRPr="00AE7A5B">
        <w:rPr>
          <w:rFonts w:eastAsia="Times New Roman" w:cs="Times New Roman"/>
          <w:szCs w:val="20"/>
          <w:lang w:eastAsia="pl-PL"/>
        </w:rPr>
        <w:t>odjęcia działań zmierzających do ograniczenia ogólnej liczby zawieranych umów cywilnoprawnych przez PIG</w:t>
      </w:r>
      <w:r>
        <w:rPr>
          <w:rFonts w:eastAsia="Times New Roman" w:cs="Times New Roman"/>
          <w:szCs w:val="20"/>
          <w:vertAlign w:val="superscript"/>
          <w:lang w:eastAsia="pl-PL"/>
        </w:rPr>
        <w:footnoteReference w:id="307"/>
      </w:r>
      <w:r w:rsidRPr="00AE7A5B">
        <w:rPr>
          <w:rFonts w:eastAsia="Times New Roman" w:cs="Times New Roman"/>
          <w:szCs w:val="20"/>
          <w:lang w:eastAsia="pl-PL"/>
        </w:rPr>
        <w:t xml:space="preserve">, zostało </w:t>
      </w:r>
      <w:r w:rsidRPr="00AE7A5B">
        <w:rPr>
          <w:rFonts w:cs="Times New Roman"/>
          <w:szCs w:val="20"/>
        </w:rPr>
        <w:t>zrealizowane</w:t>
      </w:r>
      <w:r w:rsidRPr="00AE7A5B">
        <w:rPr>
          <w:rFonts w:cs="Times New Roman"/>
          <w:b/>
          <w:bCs/>
          <w:szCs w:val="20"/>
        </w:rPr>
        <w:t>.</w:t>
      </w:r>
    </w:p>
    <w:p w:rsidR="00AE7A5B" w:rsidRPr="00AE7A5B" w:rsidP="00AE7A5B">
      <w:pPr>
        <w:spacing w:before="120" w:after="120" w:line="240" w:lineRule="auto"/>
        <w:ind w:left="357"/>
        <w:jc w:val="left"/>
        <w:rPr>
          <w:rFonts w:cs="Times New Roman"/>
          <w:szCs w:val="20"/>
        </w:rPr>
      </w:pPr>
      <w:r w:rsidRPr="00AE7A5B">
        <w:rPr>
          <w:rFonts w:cs="Times New Roman"/>
          <w:szCs w:val="20"/>
        </w:rPr>
        <w:t>Ustalono, że w okresie 2018-2021 nastąpił spadek o 47 % średniorocznej liczby umów cywilnoprawnych w porównaniu do okresu 2013-2017 r.</w:t>
      </w:r>
      <w:r>
        <w:rPr>
          <w:rFonts w:cs="Times New Roman"/>
          <w:szCs w:val="20"/>
          <w:vertAlign w:val="superscript"/>
        </w:rPr>
        <w:footnoteReference w:id="308"/>
      </w:r>
      <w:r w:rsidRPr="00AE7A5B">
        <w:rPr>
          <w:rFonts w:cs="Times New Roman"/>
          <w:szCs w:val="20"/>
        </w:rPr>
        <w:t xml:space="preserve"> Ponadto ustalono, </w:t>
      </w:r>
      <w:r w:rsidRPr="00AE7A5B">
        <w:rPr>
          <w:rFonts w:cs="Times New Roman"/>
          <w:szCs w:val="20"/>
        </w:rPr>
        <w:br/>
        <w:t xml:space="preserve">że w badanym okresie nie zawierano umów cywilnoprawnych na udział w Komisji </w:t>
      </w:r>
      <w:r w:rsidRPr="00AE7A5B">
        <w:rPr>
          <w:rFonts w:cs="Times New Roman"/>
          <w:szCs w:val="20"/>
        </w:rPr>
        <w:t>Opracowań Geologicznych, natomiast w ZUZP określono wysokość dodatku funkcyjnego za udział w posiedzeniach ww. komisji</w:t>
      </w:r>
      <w:r>
        <w:rPr>
          <w:rFonts w:cs="Times New Roman"/>
          <w:szCs w:val="20"/>
          <w:vertAlign w:val="superscript"/>
        </w:rPr>
        <w:footnoteReference w:id="309"/>
      </w:r>
      <w:r w:rsidRPr="00AE7A5B">
        <w:rPr>
          <w:rFonts w:cs="Times New Roman"/>
          <w:szCs w:val="20"/>
        </w:rPr>
        <w:t xml:space="preserve">.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IV/64-65, IV/342-348]</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2</w:t>
      </w:r>
      <w:r>
        <w:rPr>
          <w:rFonts w:cs="Times New Roman"/>
          <w:szCs w:val="20"/>
          <w:vertAlign w:val="superscript"/>
        </w:rPr>
        <w:footnoteReference w:id="310"/>
      </w:r>
      <w:r w:rsidRPr="00AE7A5B">
        <w:rPr>
          <w:rFonts w:cs="Times New Roman"/>
          <w:szCs w:val="20"/>
        </w:rPr>
        <w:t xml:space="preserve"> dotyczące r</w:t>
      </w:r>
      <w:r w:rsidRPr="00AE7A5B">
        <w:rPr>
          <w:rFonts w:eastAsia="Times New Roman" w:cs="Times New Roman"/>
          <w:szCs w:val="20"/>
          <w:lang w:eastAsia="pl-PL"/>
        </w:rPr>
        <w:t xml:space="preserve">ozważenia możliwości rozbudowania wewnętrznego systemu obiegu dokumentów o aplikację umożliwiającą automatyczne przesyłanie do właściwych jednostek organizacyjnych tzw. obiegówki do elektronicznego wypełnienia, zostało </w:t>
      </w:r>
      <w:r w:rsidRPr="00AE7A5B">
        <w:rPr>
          <w:rFonts w:cs="Times New Roman"/>
          <w:szCs w:val="20"/>
        </w:rPr>
        <w:t>niezrealizowane.</w:t>
      </w:r>
    </w:p>
    <w:p w:rsidR="00AE7A5B" w:rsidRPr="00AE7A5B" w:rsidP="00AE7A5B">
      <w:pPr>
        <w:spacing w:before="120" w:after="0" w:line="240" w:lineRule="auto"/>
        <w:ind w:left="357"/>
        <w:jc w:val="left"/>
        <w:rPr>
          <w:bCs/>
          <w:szCs w:val="20"/>
        </w:rPr>
      </w:pPr>
      <w:r w:rsidRPr="00AE7A5B">
        <w:rPr>
          <w:szCs w:val="20"/>
        </w:rPr>
        <w:t>Instytut nie wprowadził elektronicznego systemu</w:t>
      </w:r>
      <w:r w:rsidRPr="00AE7A5B">
        <w:rPr>
          <w:bCs/>
          <w:szCs w:val="20"/>
        </w:rPr>
        <w:t xml:space="preserve"> wypełniania kart obiegowych</w:t>
      </w:r>
      <w:r>
        <w:rPr>
          <w:rFonts w:cs="Times New Roman"/>
          <w:szCs w:val="20"/>
          <w:vertAlign w:val="superscript"/>
        </w:rPr>
        <w:footnoteReference w:id="311"/>
      </w:r>
      <w:r w:rsidRPr="00AE7A5B">
        <w:rPr>
          <w:bCs/>
          <w:szCs w:val="20"/>
        </w:rPr>
        <w:t xml:space="preserve">. </w:t>
      </w:r>
      <w:r w:rsidRPr="00AE7A5B">
        <w:rPr>
          <w:bCs/>
          <w:szCs w:val="20"/>
        </w:rPr>
        <w:br/>
        <w:t>W latach 2020-2021 spośród 166 osób które odeszły z pracy, 42% osób nie rozliczyło się z kart obiegowych</w:t>
      </w:r>
      <w:r>
        <w:rPr>
          <w:bCs/>
          <w:szCs w:val="20"/>
          <w:vertAlign w:val="superscript"/>
        </w:rPr>
        <w:footnoteReference w:id="312"/>
      </w:r>
      <w:r w:rsidRPr="00AE7A5B">
        <w:rPr>
          <w:bCs/>
          <w:szCs w:val="20"/>
        </w:rPr>
        <w:t>, co było niezgodne z § 7 ust. 2 pkt 9 Regulaminu pracy</w:t>
      </w:r>
      <w:r>
        <w:rPr>
          <w:rFonts w:cs="Times New Roman"/>
          <w:szCs w:val="20"/>
          <w:vertAlign w:val="superscript"/>
        </w:rPr>
        <w:footnoteReference w:id="313"/>
      </w:r>
      <w:r w:rsidRPr="00AE7A5B">
        <w:rPr>
          <w:bCs/>
          <w:szCs w:val="20"/>
        </w:rPr>
        <w:t>.</w:t>
      </w:r>
    </w:p>
    <w:p w:rsidR="00AE7A5B" w:rsidRPr="00AE7A5B" w:rsidP="00AE7A5B">
      <w:pPr>
        <w:spacing w:before="120" w:after="0" w:line="240" w:lineRule="auto"/>
        <w:ind w:left="357"/>
        <w:jc w:val="left"/>
        <w:rPr>
          <w:bCs/>
          <w:szCs w:val="20"/>
        </w:rPr>
      </w:pPr>
      <w:bookmarkStart w:id="60" w:name="_Hlk144822169"/>
      <w:r w:rsidRPr="00AE7A5B">
        <w:rPr>
          <w:bCs/>
          <w:szCs w:val="20"/>
        </w:rPr>
        <w:t xml:space="preserve">Na próbie 3 </w:t>
      </w:r>
      <w:bookmarkStart w:id="61" w:name="_Hlk144824946"/>
      <w:bookmarkStart w:id="62" w:name="_Hlk144823916"/>
      <w:r w:rsidRPr="00AE7A5B">
        <w:rPr>
          <w:bCs/>
          <w:szCs w:val="20"/>
        </w:rPr>
        <w:t>pracowników</w:t>
      </w:r>
      <w:r>
        <w:rPr>
          <w:rFonts w:cs="Times New Roman"/>
          <w:szCs w:val="20"/>
          <w:vertAlign w:val="superscript"/>
        </w:rPr>
        <w:footnoteReference w:id="314"/>
      </w:r>
      <w:r w:rsidRPr="00AE7A5B">
        <w:rPr>
          <w:bCs/>
          <w:szCs w:val="20"/>
        </w:rPr>
        <w:t xml:space="preserve"> którzy odeszli z pracy w badanym okresie ustalono, </w:t>
      </w:r>
      <w:r w:rsidRPr="00AE7A5B">
        <w:rPr>
          <w:bCs/>
          <w:szCs w:val="20"/>
        </w:rPr>
        <w:br/>
        <w:t>że w 1 przypadku</w:t>
      </w:r>
      <w:r>
        <w:rPr>
          <w:bCs/>
          <w:szCs w:val="20"/>
          <w:vertAlign w:val="superscript"/>
        </w:rPr>
        <w:footnoteReference w:id="315"/>
      </w:r>
      <w:r w:rsidRPr="00AE7A5B">
        <w:rPr>
          <w:bCs/>
          <w:szCs w:val="20"/>
        </w:rPr>
        <w:t xml:space="preserve"> nie było karty obiegowej. W pozostałych 2 przypadkach</w:t>
      </w:r>
      <w:r>
        <w:rPr>
          <w:bCs/>
          <w:szCs w:val="20"/>
          <w:vertAlign w:val="superscript"/>
        </w:rPr>
        <w:footnoteReference w:id="316"/>
      </w:r>
      <w:r w:rsidRPr="00AE7A5B">
        <w:rPr>
          <w:bCs/>
          <w:szCs w:val="20"/>
        </w:rPr>
        <w:t xml:space="preserve"> na kartach obiegowych były adnotacje o rozliczeniu z NAG, zaś z wydruku z ewidencji wniosków o wypożyczenie materiałów archiwalnych z NAG, przekazanego kontrolującym 9 lutego 2023 r.</w:t>
      </w:r>
      <w:r>
        <w:rPr>
          <w:bCs/>
          <w:szCs w:val="20"/>
          <w:vertAlign w:val="superscript"/>
        </w:rPr>
        <w:footnoteReference w:id="317"/>
      </w:r>
      <w:r w:rsidRPr="00AE7A5B">
        <w:rPr>
          <w:bCs/>
          <w:szCs w:val="20"/>
        </w:rPr>
        <w:t xml:space="preserve"> wynika, że pracownicy nie zwrócili wypożyczonej dokumentacji, co było niezgodne z § 7 ust. 2 pkt 8 Regulaminu pracy</w:t>
      </w:r>
      <w:r>
        <w:rPr>
          <w:rFonts w:cs="Times New Roman"/>
          <w:szCs w:val="20"/>
          <w:vertAlign w:val="superscript"/>
        </w:rPr>
        <w:footnoteReference w:id="318"/>
      </w:r>
      <w:r w:rsidRPr="00AE7A5B">
        <w:rPr>
          <w:bCs/>
          <w:szCs w:val="20"/>
        </w:rPr>
        <w:t xml:space="preserve">. Tym samym adnotacje na ww. kartach obiegowych dotyczących NAG budzą wątpliwości, czy faktycznie miał miejsce zwrot wypożyczonych materiałów. Powyższe ustalenia świadczą również o braku spójności pomiędzy kartami obiegowymi a prowadzoną ewidencją wypożyczonych materiałów z NAG. </w:t>
      </w:r>
    </w:p>
    <w:p w:rsidR="00AE7A5B" w:rsidRPr="00AE7A5B" w:rsidP="00AE7A5B">
      <w:pPr>
        <w:spacing w:before="120" w:after="120" w:line="240" w:lineRule="auto"/>
        <w:ind w:left="357"/>
        <w:jc w:val="left"/>
        <w:rPr>
          <w:rFonts w:cs="Times New Roman"/>
          <w:szCs w:val="20"/>
        </w:rPr>
      </w:pPr>
      <w:bookmarkEnd w:id="60"/>
      <w:bookmarkEnd w:id="61"/>
      <w:bookmarkEnd w:id="62"/>
      <w:r w:rsidRPr="00AE7A5B">
        <w:rPr>
          <w:rFonts w:eastAsia="Calibri"/>
          <w:szCs w:val="20"/>
        </w:rPr>
        <w:t>[Dowód: akta kontroli str. II/170-202, II/209-231, IV/66-67, IV/133-147, IV/153-154, IV/170-177]</w:t>
      </w:r>
    </w:p>
    <w:p w:rsidR="00AE7A5B" w:rsidRPr="00AE7A5B" w:rsidP="00AE7A5B">
      <w:pPr>
        <w:numPr>
          <w:ilvl w:val="0"/>
          <w:numId w:val="6"/>
        </w:numPr>
        <w:spacing w:after="0" w:line="240" w:lineRule="auto"/>
        <w:jc w:val="left"/>
        <w:rPr>
          <w:rFonts w:cs="Times New Roman"/>
          <w:szCs w:val="20"/>
        </w:rPr>
      </w:pPr>
      <w:r w:rsidRPr="00AE7A5B">
        <w:rPr>
          <w:rFonts w:eastAsia="Times New Roman" w:cs="Times New Roman"/>
          <w:szCs w:val="20"/>
          <w:lang w:eastAsia="pl-PL"/>
        </w:rPr>
        <w:t xml:space="preserve">zalecenie </w:t>
      </w:r>
      <w:r w:rsidRPr="00AE7A5B">
        <w:rPr>
          <w:rFonts w:cs="Times New Roman"/>
          <w:szCs w:val="20"/>
        </w:rPr>
        <w:t>nr 3</w:t>
      </w:r>
      <w:r>
        <w:rPr>
          <w:rFonts w:cs="Times New Roman"/>
          <w:szCs w:val="20"/>
          <w:vertAlign w:val="superscript"/>
        </w:rPr>
        <w:footnoteReference w:id="319"/>
      </w:r>
      <w:r w:rsidRPr="00AE7A5B">
        <w:rPr>
          <w:rFonts w:cs="Times New Roman"/>
          <w:szCs w:val="20"/>
        </w:rPr>
        <w:t xml:space="preserve"> dotyczące w</w:t>
      </w:r>
      <w:r w:rsidRPr="00AE7A5B">
        <w:rPr>
          <w:rFonts w:eastAsia="Times New Roman" w:cs="Times New Roman"/>
          <w:szCs w:val="20"/>
          <w:lang w:eastAsia="pl-PL"/>
        </w:rPr>
        <w:t>prowadzenia monitoringu korzystania z wypożyczonej dokumentacji tj. sprawdzanie po ustalonym okresie np. po pół roku czy dokumentacja jest wypożyczającemu jeszcze potrzebna, zostało nie</w:t>
      </w:r>
      <w:r w:rsidRPr="00AE7A5B">
        <w:rPr>
          <w:rFonts w:cs="Times New Roman"/>
          <w:szCs w:val="20"/>
        </w:rPr>
        <w:t>zrealizowane.</w:t>
      </w:r>
    </w:p>
    <w:p w:rsidR="00AE7A5B" w:rsidRPr="00AE7A5B" w:rsidP="00AE7A5B">
      <w:pPr>
        <w:autoSpaceDE w:val="0"/>
        <w:autoSpaceDN w:val="0"/>
        <w:adjustRightInd w:val="0"/>
        <w:spacing w:before="120" w:after="120" w:line="240" w:lineRule="auto"/>
        <w:ind w:left="357"/>
        <w:jc w:val="left"/>
        <w:rPr>
          <w:szCs w:val="20"/>
        </w:rPr>
      </w:pPr>
      <w:r w:rsidRPr="00AE7A5B">
        <w:rPr>
          <w:szCs w:val="20"/>
        </w:rPr>
        <w:t>Zgodnie z § 13 ust. 4 i 5</w:t>
      </w:r>
      <w:r w:rsidRPr="00AE7A5B">
        <w:rPr>
          <w:rFonts w:cs="Times New Roman"/>
          <w:szCs w:val="20"/>
        </w:rPr>
        <w:t xml:space="preserve"> Zasad dostępu do informacji geologicznej z </w:t>
      </w:r>
      <w:r w:rsidRPr="00AE7A5B">
        <w:rPr>
          <w:szCs w:val="20"/>
        </w:rPr>
        <w:t>28 sierpnia 2019 r.</w:t>
      </w:r>
      <w:r>
        <w:rPr>
          <w:rFonts w:cs="Times New Roman"/>
          <w:szCs w:val="20"/>
          <w:vertAlign w:val="superscript"/>
        </w:rPr>
        <w:footnoteReference w:id="320"/>
      </w:r>
      <w:r w:rsidRPr="00AE7A5B">
        <w:rPr>
          <w:szCs w:val="20"/>
        </w:rPr>
        <w:t xml:space="preserve"> wypożyczenie materiałów archiwalnych poza teren archiwum było dopuszczalne na okres nie dłuższy niż 6 miesięcy, a pracownicy mieli prawo kontroli stanu wypożyczonych materiałów. </w:t>
      </w:r>
    </w:p>
    <w:p w:rsidR="00AE7A5B" w:rsidRPr="00AE7A5B" w:rsidP="00AE7A5B">
      <w:pPr>
        <w:autoSpaceDE w:val="0"/>
        <w:autoSpaceDN w:val="0"/>
        <w:adjustRightInd w:val="0"/>
        <w:spacing w:after="0" w:line="240" w:lineRule="auto"/>
        <w:ind w:left="360"/>
        <w:jc w:val="left"/>
        <w:rPr>
          <w:szCs w:val="20"/>
        </w:rPr>
      </w:pPr>
      <w:r w:rsidRPr="00AE7A5B">
        <w:rPr>
          <w:szCs w:val="20"/>
        </w:rPr>
        <w:t>Ustalono, że w latach 2020-2021 wystąpiły 183</w:t>
      </w:r>
      <w:r>
        <w:rPr>
          <w:szCs w:val="20"/>
          <w:vertAlign w:val="superscript"/>
        </w:rPr>
        <w:footnoteReference w:id="321"/>
      </w:r>
      <w:r w:rsidRPr="00AE7A5B">
        <w:rPr>
          <w:szCs w:val="20"/>
        </w:rPr>
        <w:t xml:space="preserve"> przypadki nieterminowego zwrotu wypożyczonych materiałów z NAG, a opóźnienia sięgały od 3 do 941 dni</w:t>
      </w:r>
      <w:r>
        <w:rPr>
          <w:szCs w:val="20"/>
          <w:vertAlign w:val="superscript"/>
        </w:rPr>
        <w:footnoteReference w:id="322"/>
      </w:r>
      <w:r w:rsidRPr="00AE7A5B">
        <w:rPr>
          <w:szCs w:val="20"/>
        </w:rPr>
        <w:t>. Dodatkowo ustalono, że na 9 lutego 2023 r. było 131 przypadków</w:t>
      </w:r>
      <w:r>
        <w:rPr>
          <w:szCs w:val="20"/>
          <w:vertAlign w:val="superscript"/>
        </w:rPr>
        <w:footnoteReference w:id="323"/>
      </w:r>
      <w:r w:rsidRPr="00AE7A5B">
        <w:rPr>
          <w:szCs w:val="20"/>
        </w:rPr>
        <w:t xml:space="preserve"> niezwrócenia </w:t>
      </w:r>
      <w:r w:rsidRPr="00AE7A5B">
        <w:rPr>
          <w:szCs w:val="20"/>
        </w:rPr>
        <w:t>wypożyczonych materiałów, z czego 85% stanowiły materiały wypożyczone na okres dłuższy niż rok</w:t>
      </w:r>
      <w:r>
        <w:rPr>
          <w:szCs w:val="20"/>
          <w:vertAlign w:val="superscript"/>
        </w:rPr>
        <w:footnoteReference w:id="324"/>
      </w:r>
      <w:r w:rsidRPr="00AE7A5B">
        <w:rPr>
          <w:szCs w:val="20"/>
        </w:rPr>
        <w:t xml:space="preserve">.    </w:t>
      </w:r>
    </w:p>
    <w:p w:rsidR="00AE7A5B" w:rsidRPr="00AE7A5B" w:rsidP="00AE7A5B">
      <w:pPr>
        <w:autoSpaceDE w:val="0"/>
        <w:autoSpaceDN w:val="0"/>
        <w:adjustRightInd w:val="0"/>
        <w:spacing w:before="120" w:after="0" w:line="240" w:lineRule="auto"/>
        <w:ind w:left="357"/>
        <w:jc w:val="left"/>
        <w:rPr>
          <w:bCs/>
          <w:szCs w:val="20"/>
        </w:rPr>
      </w:pPr>
      <w:r w:rsidRPr="00AE7A5B">
        <w:rPr>
          <w:szCs w:val="20"/>
        </w:rPr>
        <w:t xml:space="preserve">Na próbie 3 </w:t>
      </w:r>
      <w:r w:rsidRPr="00AE7A5B">
        <w:rPr>
          <w:bCs/>
          <w:szCs w:val="20"/>
        </w:rPr>
        <w:t>pracowników</w:t>
      </w:r>
      <w:r>
        <w:rPr>
          <w:rFonts w:cs="Times New Roman"/>
          <w:szCs w:val="20"/>
          <w:vertAlign w:val="superscript"/>
        </w:rPr>
        <w:footnoteReference w:id="325"/>
      </w:r>
      <w:r w:rsidRPr="00AE7A5B">
        <w:rPr>
          <w:bCs/>
          <w:szCs w:val="20"/>
        </w:rPr>
        <w:t xml:space="preserve"> ustalono, że w okresie objętym kontrolą nie podejmowano skutecznych działań w celu wyegzekwowania od tych osób zwrotu wypożyczonych materiałów, w związku z upływem terminu zwrotu czy też planowanym odejściem </w:t>
      </w:r>
      <w:r w:rsidRPr="00AE7A5B">
        <w:rPr>
          <w:bCs/>
          <w:szCs w:val="20"/>
        </w:rPr>
        <w:br/>
        <w:t>z pracy</w:t>
      </w:r>
      <w:r>
        <w:rPr>
          <w:bCs/>
          <w:szCs w:val="20"/>
          <w:vertAlign w:val="superscript"/>
        </w:rPr>
        <w:footnoteReference w:id="326"/>
      </w:r>
      <w:r w:rsidRPr="00AE7A5B">
        <w:rPr>
          <w:bCs/>
          <w:szCs w:val="20"/>
        </w:rPr>
        <w:t>. Według stanu na 9 lutego 2023 r. opóźnienia wynosiły od 2 do 3 lat</w:t>
      </w:r>
      <w:r>
        <w:rPr>
          <w:bCs/>
          <w:szCs w:val="20"/>
          <w:vertAlign w:val="superscript"/>
        </w:rPr>
        <w:footnoteReference w:id="327"/>
      </w:r>
      <w:r w:rsidRPr="00AE7A5B">
        <w:rPr>
          <w:bCs/>
          <w:szCs w:val="20"/>
        </w:rPr>
        <w:t xml:space="preserve">. </w:t>
      </w:r>
    </w:p>
    <w:p w:rsidR="00AE7A5B" w:rsidRPr="00AE7A5B" w:rsidP="00AE7A5B">
      <w:pPr>
        <w:autoSpaceDE w:val="0"/>
        <w:autoSpaceDN w:val="0"/>
        <w:adjustRightInd w:val="0"/>
        <w:spacing w:before="120" w:after="0" w:line="240" w:lineRule="auto"/>
        <w:ind w:left="357"/>
        <w:jc w:val="left"/>
        <w:rPr>
          <w:bCs/>
          <w:szCs w:val="20"/>
        </w:rPr>
      </w:pPr>
      <w:r w:rsidRPr="00AE7A5B">
        <w:rPr>
          <w:szCs w:val="20"/>
        </w:rPr>
        <w:t>Kierownik NAG wyjaśnił</w:t>
      </w:r>
      <w:r>
        <w:rPr>
          <w:szCs w:val="20"/>
          <w:vertAlign w:val="superscript"/>
        </w:rPr>
        <w:footnoteReference w:id="328"/>
      </w:r>
      <w:r w:rsidRPr="00AE7A5B">
        <w:rPr>
          <w:szCs w:val="20"/>
        </w:rPr>
        <w:t>, że z uwagi na pandemię, w okresie objętym kontrolą nie eskalowano monitów o zwrot materiałów archiwalnych, o ile nie były potrzebne innym osobom. Dodatkowo poinformował, że ostatnie zbiorcze maile w sprawie zwrotu/przedłużenia terminu wypożyczonych dokumentów zostały wysłane 29 września 2022 r. i 6 lutego 2023 r.</w:t>
      </w:r>
    </w:p>
    <w:p w:rsidR="00AE7A5B" w:rsidRPr="00AE7A5B" w:rsidP="00AE7A5B">
      <w:pPr>
        <w:spacing w:before="120" w:after="120" w:line="240" w:lineRule="auto"/>
        <w:ind w:left="357"/>
        <w:rPr>
          <w:rFonts w:cs="Times New Roman"/>
          <w:szCs w:val="20"/>
        </w:rPr>
      </w:pPr>
      <w:r w:rsidRPr="00AE7A5B">
        <w:rPr>
          <w:rFonts w:eastAsia="Calibri"/>
          <w:szCs w:val="20"/>
        </w:rPr>
        <w:t>[Dowód: akta kontroli str. II/209-231, IV/68-69, IV/133-144, IV/155-156, IV/412-425]</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6</w:t>
      </w:r>
      <w:r>
        <w:rPr>
          <w:rFonts w:cs="Times New Roman"/>
          <w:szCs w:val="20"/>
          <w:vertAlign w:val="superscript"/>
        </w:rPr>
        <w:footnoteReference w:id="329"/>
      </w:r>
      <w:r w:rsidRPr="00AE7A5B">
        <w:rPr>
          <w:rFonts w:cs="Times New Roman"/>
          <w:szCs w:val="20"/>
        </w:rPr>
        <w:t xml:space="preserve"> dotyczące </w:t>
      </w:r>
      <w:r w:rsidRPr="00AE7A5B">
        <w:rPr>
          <w:rFonts w:eastAsia="Times New Roman" w:cs="Times New Roman"/>
          <w:szCs w:val="20"/>
          <w:lang w:eastAsia="pl-PL"/>
        </w:rPr>
        <w:t>wyeliminowania przypadków korzystania z dokumentów zawierających informację geologiczną pochodzącą z bieżącego dokumentowania przebiegu robót geologicznych w pokojach pracowników poprzez:</w:t>
      </w:r>
    </w:p>
    <w:p w:rsidR="00AE7A5B" w:rsidRPr="00AE7A5B" w:rsidP="00AE7A5B">
      <w:pPr>
        <w:numPr>
          <w:ilvl w:val="0"/>
          <w:numId w:val="13"/>
        </w:numPr>
        <w:spacing w:before="120" w:after="0" w:line="240" w:lineRule="auto"/>
        <w:ind w:left="709" w:hanging="284"/>
        <w:jc w:val="left"/>
        <w:rPr>
          <w:rFonts w:cs="Times New Roman"/>
          <w:szCs w:val="20"/>
        </w:rPr>
      </w:pPr>
      <w:r w:rsidRPr="00AE7A5B">
        <w:rPr>
          <w:rFonts w:eastAsia="Times New Roman" w:cs="Times New Roman"/>
          <w:szCs w:val="20"/>
          <w:lang w:eastAsia="pl-PL"/>
        </w:rPr>
        <w:t xml:space="preserve">rozważenie  zmiany lokalizacji pomieszczenia pracy wydzielonej tak, by umiejscowić je bezpośrednio przy pomieszczeniu, w którym opracowania zawierające </w:t>
      </w:r>
      <w:r w:rsidRPr="00AE7A5B">
        <w:rPr>
          <w:szCs w:val="20"/>
        </w:rPr>
        <w:t xml:space="preserve">informacje geologiczne bieżącego dokumentowania (dalej: IGBD) </w:t>
      </w:r>
      <w:r w:rsidRPr="00AE7A5B">
        <w:rPr>
          <w:rFonts w:eastAsia="Times New Roman" w:cs="Times New Roman"/>
          <w:szCs w:val="20"/>
          <w:lang w:eastAsia="pl-PL"/>
        </w:rPr>
        <w:t xml:space="preserve">są przechowywane - zalecenie jest w trakcie realizacji. </w:t>
      </w:r>
    </w:p>
    <w:p w:rsidR="00AE7A5B" w:rsidRPr="00AE7A5B" w:rsidP="00AE7A5B">
      <w:pPr>
        <w:spacing w:before="120" w:after="120" w:line="240" w:lineRule="auto"/>
        <w:ind w:left="709"/>
        <w:jc w:val="left"/>
        <w:rPr>
          <w:szCs w:val="20"/>
        </w:rPr>
      </w:pPr>
      <w:r w:rsidRPr="00AE7A5B">
        <w:rPr>
          <w:szCs w:val="20"/>
        </w:rPr>
        <w:t xml:space="preserve">PIG nie zmienił lokalizacji pomieszczenia pracy wydzielonej. </w:t>
      </w:r>
    </w:p>
    <w:p w:rsidR="00AE7A5B" w:rsidRPr="00AE7A5B" w:rsidP="00AE7A5B">
      <w:pPr>
        <w:spacing w:before="120" w:after="120" w:line="240" w:lineRule="auto"/>
        <w:ind w:left="709"/>
        <w:jc w:val="left"/>
        <w:rPr>
          <w:szCs w:val="20"/>
        </w:rPr>
      </w:pPr>
      <w:r w:rsidRPr="00AE7A5B">
        <w:rPr>
          <w:szCs w:val="20"/>
        </w:rPr>
        <w:t>Kierownik NAG wyjaśnił</w:t>
      </w:r>
      <w:r>
        <w:rPr>
          <w:rFonts w:cs="Times New Roman"/>
          <w:szCs w:val="20"/>
          <w:vertAlign w:val="superscript"/>
        </w:rPr>
        <w:footnoteReference w:id="330"/>
      </w:r>
      <w:r w:rsidRPr="00AE7A5B">
        <w:rPr>
          <w:szCs w:val="20"/>
        </w:rPr>
        <w:t xml:space="preserve">, że na chwilę obecną nie ma możliwości zmiany lokalizacji pomieszczenia pracy wydzielonej z uwagi na brak w sąsiedztwie NAG pomieszczenia, które można by łatwo przystosować do wymogów pokoju pracy wydzielonej. </w:t>
      </w:r>
    </w:p>
    <w:p w:rsidR="00AE7A5B" w:rsidRPr="00AE7A5B" w:rsidP="00AE7A5B">
      <w:pPr>
        <w:numPr>
          <w:ilvl w:val="0"/>
          <w:numId w:val="13"/>
        </w:numPr>
        <w:spacing w:after="0" w:line="240" w:lineRule="auto"/>
        <w:ind w:left="709" w:hanging="283"/>
        <w:jc w:val="left"/>
        <w:rPr>
          <w:rFonts w:cs="Times New Roman"/>
          <w:szCs w:val="20"/>
        </w:rPr>
      </w:pPr>
      <w:r w:rsidRPr="00AE7A5B">
        <w:rPr>
          <w:rFonts w:eastAsia="Times New Roman" w:cs="Times New Roman"/>
          <w:szCs w:val="20"/>
          <w:lang w:eastAsia="pl-PL"/>
        </w:rPr>
        <w:t xml:space="preserve">wprowadzenie obowiązku przeszkolenia nowo zatrudnianych pracowników oraz osób posiadających zgodę na dostęp do materiałów zawierających IGBD w zakresie zasad dostępu i korzystania z dokumentacji geologicznej, w szczególności z materiałów zawierających IGBD – zalecenie niezrealizowane.  </w:t>
      </w:r>
    </w:p>
    <w:p w:rsidR="00AE7A5B" w:rsidRPr="00AE7A5B" w:rsidP="00AE7A5B">
      <w:pPr>
        <w:spacing w:before="120" w:after="0" w:line="240" w:lineRule="auto"/>
        <w:ind w:left="709"/>
        <w:jc w:val="left"/>
        <w:rPr>
          <w:szCs w:val="20"/>
        </w:rPr>
      </w:pPr>
      <w:r w:rsidRPr="00AE7A5B">
        <w:rPr>
          <w:szCs w:val="20"/>
        </w:rPr>
        <w:t>Na próbie 7 pracowników nowozatrudnionych od 1 kwietnia 2021 r.</w:t>
      </w:r>
      <w:r w:rsidRPr="00AE7A5B">
        <w:rPr>
          <w:szCs w:val="20"/>
          <w:vertAlign w:val="superscript"/>
        </w:rPr>
        <w:t xml:space="preserve"> </w:t>
      </w:r>
      <w:r>
        <w:rPr>
          <w:szCs w:val="20"/>
          <w:vertAlign w:val="superscript"/>
        </w:rPr>
        <w:footnoteReference w:id="331"/>
      </w:r>
      <w:r w:rsidRPr="00AE7A5B">
        <w:rPr>
          <w:szCs w:val="20"/>
        </w:rPr>
        <w:t xml:space="preserve"> ustalono, </w:t>
      </w:r>
      <w:r w:rsidRPr="00AE7A5B">
        <w:rPr>
          <w:szCs w:val="20"/>
        </w:rPr>
        <w:br/>
        <w:t xml:space="preserve">że niniejsze osoby nie zostały przeszkolone z zakresu korzystania z informacji geologicznej, pomimo że zaraz po zatrudnieniu 28 kwietnia 2021 r. było organizowane w PIG szkolenie w ww. zakresie. </w:t>
      </w:r>
    </w:p>
    <w:p w:rsidR="00AE7A5B" w:rsidRPr="00AE7A5B" w:rsidP="00AE7A5B">
      <w:pPr>
        <w:spacing w:before="120" w:after="0" w:line="240" w:lineRule="auto"/>
        <w:ind w:left="709"/>
        <w:jc w:val="left"/>
        <w:rPr>
          <w:szCs w:val="20"/>
        </w:rPr>
      </w:pPr>
      <w:r w:rsidRPr="00AE7A5B">
        <w:rPr>
          <w:szCs w:val="20"/>
        </w:rPr>
        <w:t>Kierownik NAG wyjaśnił</w:t>
      </w:r>
      <w:r>
        <w:rPr>
          <w:rFonts w:cs="Times New Roman"/>
          <w:szCs w:val="20"/>
          <w:vertAlign w:val="superscript"/>
        </w:rPr>
        <w:footnoteReference w:id="332"/>
      </w:r>
      <w:r w:rsidRPr="00AE7A5B">
        <w:rPr>
          <w:szCs w:val="20"/>
        </w:rPr>
        <w:t>, że  szkolenia z zakresu korzystania z</w:t>
      </w:r>
      <w:bookmarkStart w:id="65" w:name="_Hlk146711191"/>
      <w:r w:rsidRPr="00AE7A5B">
        <w:rPr>
          <w:szCs w:val="20"/>
        </w:rPr>
        <w:t xml:space="preserve"> IGBD </w:t>
      </w:r>
      <w:bookmarkEnd w:id="65"/>
      <w:r w:rsidRPr="00AE7A5B">
        <w:rPr>
          <w:szCs w:val="20"/>
        </w:rPr>
        <w:t xml:space="preserve">prowadzone są tylko dla osób zainteresowanych korzystaniem z materiałów archiwalnych, </w:t>
      </w:r>
      <w:r w:rsidRPr="00AE7A5B">
        <w:rPr>
          <w:szCs w:val="20"/>
        </w:rPr>
        <w:br/>
        <w:t xml:space="preserve">a z uwagi na fakt, że część osób zajmuje stanowiska </w:t>
      </w:r>
      <w:r w:rsidRPr="00AE7A5B">
        <w:rPr>
          <w:szCs w:val="20"/>
        </w:rPr>
        <w:t>niemerytoryczne</w:t>
      </w:r>
      <w:r w:rsidRPr="00AE7A5B">
        <w:rPr>
          <w:szCs w:val="20"/>
        </w:rPr>
        <w:t xml:space="preserve">, instruktaż </w:t>
      </w:r>
      <w:r w:rsidRPr="00AE7A5B">
        <w:rPr>
          <w:szCs w:val="20"/>
        </w:rPr>
        <w:br/>
        <w:t xml:space="preserve">z zasad korzystania z informacji geologicznej następuje na etapie wnioskowania </w:t>
      </w:r>
      <w:r w:rsidRPr="00AE7A5B">
        <w:rPr>
          <w:szCs w:val="20"/>
        </w:rPr>
        <w:br/>
        <w:t xml:space="preserve">o dostęp do takich materiałów.   </w:t>
      </w:r>
    </w:p>
    <w:p w:rsidR="00AE7A5B" w:rsidRPr="00AE7A5B" w:rsidP="00AE7A5B">
      <w:pPr>
        <w:numPr>
          <w:ilvl w:val="0"/>
          <w:numId w:val="13"/>
        </w:numPr>
        <w:spacing w:before="120" w:after="0" w:line="240" w:lineRule="auto"/>
        <w:ind w:left="709" w:hanging="284"/>
        <w:jc w:val="left"/>
        <w:rPr>
          <w:rFonts w:cs="Times New Roman"/>
          <w:szCs w:val="20"/>
        </w:rPr>
      </w:pPr>
      <w:r w:rsidRPr="00AE7A5B">
        <w:rPr>
          <w:rFonts w:eastAsia="Times New Roman" w:cs="Times New Roman"/>
          <w:szCs w:val="20"/>
          <w:lang w:eastAsia="pl-PL"/>
        </w:rPr>
        <w:t xml:space="preserve">wprowadzenie obowiązku prowadzenia przez pracowników NAG kontroli sprawdzających, czy wypożyczona dokumentacja zawierająca IGBD znajduje się </w:t>
      </w:r>
      <w:r w:rsidRPr="00AE7A5B">
        <w:rPr>
          <w:rFonts w:eastAsia="Times New Roman" w:cs="Times New Roman"/>
          <w:szCs w:val="20"/>
          <w:lang w:eastAsia="pl-PL"/>
        </w:rPr>
        <w:br/>
        <w:t xml:space="preserve">w pomieszczeniu pracy wydzielonej – zalecenie niezrealizowane. </w:t>
      </w:r>
    </w:p>
    <w:p w:rsidR="00AE7A5B" w:rsidRPr="00AE7A5B" w:rsidP="00AE7A5B">
      <w:pPr>
        <w:spacing w:before="120" w:after="0" w:line="240" w:lineRule="auto"/>
        <w:ind w:left="709"/>
        <w:jc w:val="left"/>
        <w:rPr>
          <w:szCs w:val="20"/>
        </w:rPr>
      </w:pPr>
      <w:r w:rsidRPr="00AE7A5B">
        <w:rPr>
          <w:szCs w:val="20"/>
        </w:rPr>
        <w:t>W badanym okresie PIG nie przeprowadzał kontroli sprawdzających, czy wypożyczona dokumentacja zawierająca IGBD znajduje się w pomieszczeniu pracy wydzielonej. Zgodnie z</w:t>
      </w:r>
      <w:r w:rsidRPr="00AE7A5B">
        <w:rPr>
          <w:rFonts w:cs="Times New Roman"/>
          <w:szCs w:val="20"/>
        </w:rPr>
        <w:t xml:space="preserve"> </w:t>
      </w:r>
      <w:r w:rsidRPr="00AE7A5B">
        <w:rPr>
          <w:rFonts w:cstheme="minorHAnsi"/>
          <w:szCs w:val="20"/>
        </w:rPr>
        <w:t>§</w:t>
      </w:r>
      <w:r w:rsidRPr="00AE7A5B">
        <w:rPr>
          <w:rFonts w:cs="Times New Roman"/>
          <w:szCs w:val="20"/>
        </w:rPr>
        <w:t xml:space="preserve"> 13 ust. 5</w:t>
      </w:r>
      <w:r>
        <w:rPr>
          <w:rFonts w:cs="Times New Roman"/>
          <w:szCs w:val="20"/>
          <w:vertAlign w:val="superscript"/>
        </w:rPr>
        <w:footnoteReference w:id="333"/>
      </w:r>
      <w:r w:rsidRPr="00AE7A5B">
        <w:rPr>
          <w:rFonts w:cs="Times New Roman"/>
          <w:szCs w:val="20"/>
        </w:rPr>
        <w:t xml:space="preserve"> Zasad dostępu do informacji geologicznej </w:t>
      </w:r>
      <w:r w:rsidRPr="00AE7A5B">
        <w:rPr>
          <w:rFonts w:cs="Times New Roman"/>
          <w:szCs w:val="20"/>
        </w:rPr>
        <w:br/>
      </w:r>
      <w:r w:rsidRPr="00AE7A5B">
        <w:rPr>
          <w:szCs w:val="20"/>
        </w:rPr>
        <w:t>28 sierpnia 2019 r.</w:t>
      </w:r>
      <w:r>
        <w:rPr>
          <w:rFonts w:cs="Times New Roman"/>
          <w:szCs w:val="20"/>
          <w:vertAlign w:val="superscript"/>
        </w:rPr>
        <w:footnoteReference w:id="334"/>
      </w:r>
      <w:r w:rsidRPr="00AE7A5B">
        <w:rPr>
          <w:szCs w:val="20"/>
        </w:rPr>
        <w:t xml:space="preserve"> pracownikom NAG przysługiwało prawo kontroli stanu udostępnianych materiałów oraz sposobu ich zabezpieczenia w miejscu ich aktualnego przechowywania. </w:t>
      </w:r>
    </w:p>
    <w:p w:rsidR="00AE7A5B" w:rsidRPr="00AE7A5B" w:rsidP="00AE7A5B">
      <w:pPr>
        <w:spacing w:before="120" w:after="0" w:line="240" w:lineRule="auto"/>
        <w:ind w:left="709"/>
        <w:jc w:val="left"/>
        <w:rPr>
          <w:szCs w:val="20"/>
        </w:rPr>
      </w:pPr>
      <w:r w:rsidRPr="00AE7A5B">
        <w:rPr>
          <w:szCs w:val="20"/>
        </w:rPr>
        <w:t>Kierownik NAG wyjaśnił</w:t>
      </w:r>
      <w:r>
        <w:rPr>
          <w:rFonts w:cs="Times New Roman"/>
          <w:szCs w:val="20"/>
          <w:vertAlign w:val="superscript"/>
        </w:rPr>
        <w:footnoteReference w:id="335"/>
      </w:r>
      <w:r w:rsidRPr="00AE7A5B">
        <w:rPr>
          <w:szCs w:val="20"/>
        </w:rPr>
        <w:t>, że z powodu pandemii COVID-19 w latach 2020-2021 nie przeprowadzano kontroli sprawdzających czy wypożyczana dokumentacja IGBD znajduje się w pomieszczeniu pracy wydzielonej oraz pokojach służbowych pracowników.</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II/209-231, IV/70-71, IV/159-161, IV/285-291]</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7</w:t>
      </w:r>
      <w:r>
        <w:rPr>
          <w:rFonts w:cs="Times New Roman"/>
          <w:szCs w:val="20"/>
          <w:vertAlign w:val="superscript"/>
        </w:rPr>
        <w:footnoteReference w:id="336"/>
      </w:r>
      <w:r w:rsidRPr="00AE7A5B">
        <w:rPr>
          <w:rFonts w:cs="Times New Roman"/>
          <w:szCs w:val="20"/>
        </w:rPr>
        <w:t xml:space="preserve"> </w:t>
      </w:r>
      <w:r w:rsidRPr="00AE7A5B">
        <w:rPr>
          <w:rFonts w:eastAsia="Times New Roman" w:cs="Times New Roman"/>
          <w:szCs w:val="20"/>
          <w:lang w:eastAsia="pl-PL"/>
        </w:rPr>
        <w:t>dotyczące wprowadzenia aktem wewnętrznym jednej procedury korzystania z materiałów zawierających IGBD odnoszącej się do wszystkich tematów realizowanych w PIG, zostało</w:t>
      </w:r>
      <w:r w:rsidRPr="00AE7A5B">
        <w:rPr>
          <w:rFonts w:cs="Times New Roman"/>
          <w:szCs w:val="20"/>
        </w:rPr>
        <w:t xml:space="preserve"> zrealizowane.</w:t>
      </w:r>
    </w:p>
    <w:p w:rsidR="00AE7A5B" w:rsidRPr="00AE7A5B" w:rsidP="00AE7A5B">
      <w:pPr>
        <w:spacing w:before="120" w:after="120" w:line="240" w:lineRule="auto"/>
        <w:ind w:left="357"/>
        <w:jc w:val="left"/>
        <w:rPr>
          <w:rFonts w:eastAsia="Times New Roman" w:cs="Times New Roman"/>
          <w:szCs w:val="20"/>
          <w:lang w:eastAsia="pl-PL"/>
        </w:rPr>
      </w:pPr>
      <w:r w:rsidRPr="00AE7A5B">
        <w:rPr>
          <w:szCs w:val="20"/>
        </w:rPr>
        <w:t>Ustalono, że w PIG 28 sierpnia 2019 r.</w:t>
      </w:r>
      <w:r w:rsidRPr="00AE7A5B">
        <w:rPr>
          <w:rFonts w:eastAsia="Times New Roman" w:cs="Times New Roman"/>
          <w:szCs w:val="20"/>
          <w:lang w:eastAsia="pl-PL"/>
        </w:rPr>
        <w:t xml:space="preserve"> </w:t>
      </w:r>
      <w:r w:rsidRPr="00AE7A5B">
        <w:rPr>
          <w:szCs w:val="20"/>
        </w:rPr>
        <w:t>wprowadzono Zasady dostępu do informacji geologicznej gromadzonej przez państwowa służbę geologiczną w zasobach NAG oraz bazach danych geologicznych</w:t>
      </w:r>
      <w:r>
        <w:rPr>
          <w:rFonts w:cs="Times New Roman"/>
          <w:szCs w:val="20"/>
          <w:vertAlign w:val="superscript"/>
        </w:rPr>
        <w:footnoteReference w:id="337"/>
      </w:r>
      <w:r w:rsidRPr="00AE7A5B">
        <w:rPr>
          <w:szCs w:val="20"/>
        </w:rPr>
        <w:t xml:space="preserve"> regulujące korzystanie z informacji geologicznej, </w:t>
      </w:r>
      <w:r w:rsidRPr="00AE7A5B">
        <w:rPr>
          <w:szCs w:val="20"/>
        </w:rPr>
        <w:br/>
        <w:t>w tym z informacji IGBD.</w:t>
      </w:r>
      <w:r w:rsidRPr="00AE7A5B">
        <w:rPr>
          <w:rFonts w:eastAsia="Times New Roman" w:cs="Times New Roman"/>
          <w:szCs w:val="20"/>
          <w:lang w:eastAsia="pl-PL"/>
        </w:rPr>
        <w:t xml:space="preserve">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II/209-231, IV/72-73, IV/155-156]</w:t>
      </w:r>
    </w:p>
    <w:p w:rsidR="00AE7A5B" w:rsidRPr="00AE7A5B" w:rsidP="00AE7A5B">
      <w:pPr>
        <w:numPr>
          <w:ilvl w:val="0"/>
          <w:numId w:val="6"/>
        </w:numPr>
        <w:spacing w:after="0" w:line="240" w:lineRule="auto"/>
        <w:jc w:val="left"/>
        <w:rPr>
          <w:rFonts w:cs="Times New Roman"/>
          <w:szCs w:val="20"/>
        </w:rPr>
      </w:pPr>
      <w:r w:rsidRPr="00AE7A5B">
        <w:rPr>
          <w:rFonts w:eastAsia="Times New Roman" w:cs="Times New Roman"/>
          <w:szCs w:val="20"/>
          <w:lang w:eastAsia="pl-PL"/>
        </w:rPr>
        <w:t xml:space="preserve">zalecenie </w:t>
      </w:r>
      <w:r w:rsidRPr="00AE7A5B">
        <w:rPr>
          <w:rFonts w:cs="Times New Roman"/>
          <w:szCs w:val="20"/>
        </w:rPr>
        <w:t>nr 8</w:t>
      </w:r>
      <w:r>
        <w:rPr>
          <w:rFonts w:cs="Times New Roman"/>
          <w:szCs w:val="20"/>
          <w:vertAlign w:val="superscript"/>
        </w:rPr>
        <w:footnoteReference w:id="338"/>
      </w:r>
      <w:r w:rsidRPr="00AE7A5B">
        <w:rPr>
          <w:rFonts w:cs="Times New Roman"/>
          <w:szCs w:val="20"/>
        </w:rPr>
        <w:t xml:space="preserve"> dotyczące d</w:t>
      </w:r>
      <w:r w:rsidRPr="00AE7A5B">
        <w:rPr>
          <w:rFonts w:eastAsia="Times New Roman" w:cs="Times New Roman"/>
          <w:szCs w:val="20"/>
          <w:lang w:eastAsia="pl-PL"/>
        </w:rPr>
        <w:t xml:space="preserve">okonania całościowego przeglądu zawieranych umów </w:t>
      </w:r>
      <w:r w:rsidRPr="00AE7A5B">
        <w:rPr>
          <w:rFonts w:eastAsia="Times New Roman" w:cs="Times New Roman"/>
          <w:szCs w:val="20"/>
          <w:lang w:eastAsia="pl-PL"/>
        </w:rPr>
        <w:br/>
        <w:t xml:space="preserve">o dzieło w celu ustalenia, które grupy z tych umów nie powinny w ogóle zawierać zapisów dotyczących praw autorskich np. wprowadzanie danych do istniejącej bazy, konserwacja rdzeni, korekta arkuszy mapy, zostało częściowo </w:t>
      </w:r>
      <w:r w:rsidRPr="00AE7A5B">
        <w:rPr>
          <w:rFonts w:cs="Times New Roman"/>
          <w:szCs w:val="20"/>
        </w:rPr>
        <w:t>zrealizowane.</w:t>
      </w:r>
    </w:p>
    <w:p w:rsidR="00AE7A5B" w:rsidRPr="00AE7A5B" w:rsidP="00AE7A5B">
      <w:pPr>
        <w:spacing w:before="120" w:after="0" w:line="240" w:lineRule="auto"/>
        <w:ind w:left="360"/>
        <w:jc w:val="left"/>
        <w:rPr>
          <w:rFonts w:cs="Times New Roman"/>
          <w:szCs w:val="20"/>
        </w:rPr>
      </w:pPr>
      <w:r w:rsidRPr="00AE7A5B">
        <w:rPr>
          <w:rFonts w:cs="Times New Roman"/>
          <w:szCs w:val="20"/>
        </w:rPr>
        <w:t>Główny specjalista ds. prawnych poinformował</w:t>
      </w:r>
      <w:r>
        <w:rPr>
          <w:rFonts w:cs="Times New Roman"/>
          <w:szCs w:val="20"/>
          <w:vertAlign w:val="superscript"/>
        </w:rPr>
        <w:footnoteReference w:id="339"/>
      </w:r>
      <w:r w:rsidRPr="00AE7A5B">
        <w:rPr>
          <w:rFonts w:cs="Times New Roman"/>
          <w:szCs w:val="20"/>
        </w:rPr>
        <w:t xml:space="preserve">, że Dział Spraw Pracowniczych oraz Biuro Prawne dokonały weryfikacji i analiz zawartych umów pod kątem praw autorskich. </w:t>
      </w:r>
    </w:p>
    <w:p w:rsidR="00AE7A5B" w:rsidRPr="00AE7A5B" w:rsidP="00AE7A5B">
      <w:pPr>
        <w:spacing w:before="120" w:after="120" w:line="240" w:lineRule="auto"/>
        <w:ind w:left="360"/>
        <w:jc w:val="left"/>
        <w:rPr>
          <w:rFonts w:cs="Times New Roman"/>
          <w:sz w:val="24"/>
          <w:szCs w:val="20"/>
        </w:rPr>
      </w:pPr>
      <w:r w:rsidRPr="00AE7A5B">
        <w:rPr>
          <w:rFonts w:cs="Times New Roman"/>
          <w:szCs w:val="20"/>
        </w:rPr>
        <w:t xml:space="preserve">Nie okazano kontrolującym dokumentów potwierdzających przeprowadzenie weryfikacji i analiz o których  mowa w ww. wyjaśnieniach. </w:t>
      </w:r>
    </w:p>
    <w:p w:rsidR="00AE7A5B" w:rsidRPr="00AE7A5B" w:rsidP="00AE7A5B">
      <w:pPr>
        <w:spacing w:after="0" w:line="240" w:lineRule="auto"/>
        <w:ind w:left="360"/>
        <w:jc w:val="left"/>
        <w:rPr>
          <w:rFonts w:cs="Times New Roman"/>
          <w:szCs w:val="20"/>
        </w:rPr>
      </w:pPr>
      <w:r w:rsidRPr="00AE7A5B">
        <w:rPr>
          <w:rFonts w:cs="Times New Roman"/>
          <w:szCs w:val="20"/>
        </w:rPr>
        <w:t>Na próbie 6 umów o dzieło</w:t>
      </w:r>
      <w:r>
        <w:rPr>
          <w:rFonts w:cs="Times New Roman"/>
          <w:szCs w:val="20"/>
          <w:vertAlign w:val="superscript"/>
        </w:rPr>
        <w:footnoteReference w:id="340"/>
      </w:r>
      <w:r w:rsidRPr="00AE7A5B">
        <w:rPr>
          <w:rFonts w:cs="Times New Roman"/>
          <w:szCs w:val="20"/>
        </w:rPr>
        <w:t xml:space="preserve"> ustalono, że w tych umowach zasadne było umieszczenie zapisów dotyczących praw autorskich.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IV/74-75, IV/337-341]</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9</w:t>
      </w:r>
      <w:r>
        <w:rPr>
          <w:rFonts w:cs="Times New Roman"/>
          <w:szCs w:val="20"/>
          <w:vertAlign w:val="superscript"/>
        </w:rPr>
        <w:footnoteReference w:id="341"/>
      </w:r>
      <w:r w:rsidRPr="00AE7A5B">
        <w:rPr>
          <w:rFonts w:cs="Times New Roman"/>
          <w:szCs w:val="20"/>
        </w:rPr>
        <w:t xml:space="preserve"> dotyczące w</w:t>
      </w:r>
      <w:r w:rsidRPr="00AE7A5B">
        <w:rPr>
          <w:rFonts w:eastAsia="Times New Roman" w:cs="Times New Roman"/>
          <w:szCs w:val="20"/>
          <w:lang w:eastAsia="pl-PL"/>
        </w:rPr>
        <w:t xml:space="preserve">prowadzenia rejestru umów o dzieło, których efektem rzeczowym jest utwór, co może zostać zrealizowane m.in. poprzez modyfikacje lub uzupełnienia w ewidencjach lub rejestrach prowadzonych w innych celach i stosowanie </w:t>
      </w:r>
      <w:r w:rsidRPr="00AE7A5B">
        <w:rPr>
          <w:rFonts w:eastAsia="Times New Roman" w:cs="Times New Roman"/>
          <w:szCs w:val="20"/>
          <w:lang w:eastAsia="pl-PL"/>
        </w:rPr>
        <w:t xml:space="preserve">w tych umowach odpowiednich zapisów dotyczących praw autorskich, zostało </w:t>
      </w:r>
      <w:r w:rsidRPr="00AE7A5B">
        <w:rPr>
          <w:rFonts w:cs="Times New Roman"/>
          <w:szCs w:val="20"/>
        </w:rPr>
        <w:t>zrealizowane.</w:t>
      </w:r>
    </w:p>
    <w:p w:rsidR="00AE7A5B" w:rsidRPr="00AE7A5B" w:rsidP="00AE7A5B">
      <w:pPr>
        <w:spacing w:before="120" w:after="0" w:line="240" w:lineRule="auto"/>
        <w:ind w:left="357"/>
        <w:jc w:val="left"/>
        <w:rPr>
          <w:rFonts w:cs="Times New Roman"/>
          <w:szCs w:val="20"/>
        </w:rPr>
      </w:pPr>
      <w:r w:rsidRPr="00AE7A5B">
        <w:rPr>
          <w:rFonts w:cs="Times New Roman"/>
          <w:szCs w:val="20"/>
        </w:rPr>
        <w:t xml:space="preserve">W PIG od 2017 r. prowadzone były  coroczne elektroniczne rejestry umów cywilnoprawnych przez Dział Spraw Personalnych, z wyszczególnieniem rodzaju umowy cywilnoprawnej, w tym umów z przeniesieniem praw autorskich. Na próbie </w:t>
      </w:r>
      <w:r w:rsidRPr="00AE7A5B">
        <w:rPr>
          <w:rFonts w:cs="Times New Roman"/>
          <w:szCs w:val="20"/>
        </w:rPr>
        <w:br/>
        <w:t>5 umów</w:t>
      </w:r>
      <w:r>
        <w:rPr>
          <w:rFonts w:cs="Times New Roman"/>
          <w:szCs w:val="20"/>
          <w:vertAlign w:val="superscript"/>
        </w:rPr>
        <w:footnoteReference w:id="342"/>
      </w:r>
      <w:r w:rsidRPr="00AE7A5B">
        <w:rPr>
          <w:rFonts w:cs="Times New Roman"/>
          <w:szCs w:val="20"/>
        </w:rPr>
        <w:t xml:space="preserve"> ustalono, że zasadnie zamieszczono w nich postanowienia dotyczące praw autorskich. Ponadto stwierdzono, że ww. umowy zostały ujęte w rejestrze umów.</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IV/76-77, IV/337-341]</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10</w:t>
      </w:r>
      <w:r>
        <w:rPr>
          <w:rFonts w:cs="Times New Roman"/>
          <w:szCs w:val="20"/>
          <w:vertAlign w:val="superscript"/>
        </w:rPr>
        <w:footnoteReference w:id="343"/>
      </w:r>
      <w:r w:rsidRPr="00AE7A5B">
        <w:rPr>
          <w:rFonts w:cs="Times New Roman"/>
          <w:szCs w:val="20"/>
        </w:rPr>
        <w:t xml:space="preserve"> dotyczące z</w:t>
      </w:r>
      <w:r w:rsidRPr="00AE7A5B">
        <w:rPr>
          <w:rFonts w:eastAsia="Times New Roman" w:cs="Times New Roman"/>
          <w:szCs w:val="20"/>
          <w:lang w:eastAsia="pl-PL"/>
        </w:rPr>
        <w:t xml:space="preserve">apewnienia właściwego nadzoru prawnego nad zapisami zawieranych umów o dzieło, co może zostać zrealizowane poprzez wprowadzenie wymogu parafowania umów przez radcę prawnego lub wprowadzenie aktem wewnętrznym wzoru umowy lub kilku wzorów umów, których efektem rzeczowym jest utwór w rozumieniu prawa autorskiego, zostało </w:t>
      </w:r>
      <w:r w:rsidRPr="00AE7A5B">
        <w:rPr>
          <w:rFonts w:cs="Times New Roman"/>
          <w:szCs w:val="20"/>
        </w:rPr>
        <w:t>zrealizowane.</w:t>
      </w:r>
    </w:p>
    <w:p w:rsidR="00AE7A5B" w:rsidRPr="00AE7A5B" w:rsidP="00AE7A5B">
      <w:pPr>
        <w:spacing w:before="120" w:after="0" w:line="240" w:lineRule="auto"/>
        <w:ind w:left="357"/>
        <w:jc w:val="left"/>
        <w:rPr>
          <w:rFonts w:cs="Times New Roman"/>
        </w:rPr>
      </w:pPr>
      <w:r w:rsidRPr="00AE7A5B">
        <w:rPr>
          <w:rFonts w:cs="Times New Roman"/>
          <w:szCs w:val="20"/>
        </w:rPr>
        <w:t>Wzory umów o dzieło wprowadzono zarządzeniem Dyrektora nr 1 z 5 stycznia 2018 r.</w:t>
      </w:r>
      <w:r>
        <w:rPr>
          <w:rFonts w:cs="Times New Roman"/>
          <w:szCs w:val="20"/>
          <w:vertAlign w:val="superscript"/>
        </w:rPr>
        <w:footnoteReference w:id="344"/>
      </w:r>
      <w:r w:rsidRPr="00AE7A5B">
        <w:rPr>
          <w:rFonts w:cs="Times New Roman"/>
          <w:szCs w:val="20"/>
        </w:rPr>
        <w:t xml:space="preserve"> </w:t>
      </w:r>
      <w:r w:rsidRPr="00AE7A5B">
        <w:rPr>
          <w:rFonts w:cs="Times New Roman"/>
          <w:szCs w:val="20"/>
        </w:rPr>
        <w:t>ws</w:t>
      </w:r>
      <w:r w:rsidRPr="00AE7A5B">
        <w:rPr>
          <w:rFonts w:cs="Times New Roman"/>
          <w:szCs w:val="20"/>
        </w:rPr>
        <w:t xml:space="preserve">. wprowadzenia </w:t>
      </w:r>
      <w:r w:rsidRPr="00AE7A5B">
        <w:rPr>
          <w:rFonts w:cs="Times New Roman"/>
        </w:rPr>
        <w:t>jednolitych wzorów umów o dzieło i świadczenia usług finansowanych z bezosobowego funduszu płac</w:t>
      </w:r>
      <w:r w:rsidRPr="00AE7A5B">
        <w:rPr>
          <w:rFonts w:cs="Times New Roman"/>
          <w:szCs w:val="20"/>
        </w:rPr>
        <w:t>. Na próbie 5 umów o dzieło z przeniesieniem praw autorskich</w:t>
      </w:r>
      <w:r>
        <w:rPr>
          <w:rFonts w:cs="Times New Roman"/>
          <w:szCs w:val="20"/>
          <w:vertAlign w:val="superscript"/>
        </w:rPr>
        <w:footnoteReference w:id="345"/>
      </w:r>
      <w:r w:rsidRPr="00AE7A5B">
        <w:rPr>
          <w:rFonts w:cs="Times New Roman"/>
          <w:szCs w:val="20"/>
        </w:rPr>
        <w:t xml:space="preserve"> ustalono, że zostały sporządzone zgodnie z obowiązującymi w PIG wzorami umów oraz zaparafowane przez radcę prawnego, </w:t>
      </w:r>
      <w:r w:rsidRPr="00AE7A5B">
        <w:rPr>
          <w:rFonts w:cs="Times New Roman"/>
          <w:szCs w:val="20"/>
        </w:rPr>
        <w:br/>
        <w:t xml:space="preserve">a także zawierały postanowienia dotyczące praw autorskich.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IV/78-79, IV/337-341]</w:t>
      </w:r>
    </w:p>
    <w:p w:rsidR="00AE7A5B" w:rsidRPr="00AE7A5B" w:rsidP="00AE7A5B">
      <w:pPr>
        <w:numPr>
          <w:ilvl w:val="0"/>
          <w:numId w:val="6"/>
        </w:numPr>
        <w:spacing w:after="0" w:line="240" w:lineRule="auto"/>
        <w:jc w:val="left"/>
        <w:rPr>
          <w:rFonts w:eastAsia="Times New Roman" w:cs="Times New Roman"/>
          <w:szCs w:val="20"/>
          <w:lang w:eastAsia="pl-PL"/>
        </w:rPr>
      </w:pPr>
      <w:r w:rsidRPr="00AE7A5B">
        <w:rPr>
          <w:rFonts w:cs="Times New Roman"/>
          <w:szCs w:val="20"/>
        </w:rPr>
        <w:t>zalecenie nr 11</w:t>
      </w:r>
      <w:r>
        <w:rPr>
          <w:rFonts w:cs="Times New Roman"/>
          <w:szCs w:val="20"/>
          <w:vertAlign w:val="superscript"/>
        </w:rPr>
        <w:footnoteReference w:id="346"/>
      </w:r>
      <w:r w:rsidRPr="00AE7A5B">
        <w:rPr>
          <w:rFonts w:cs="Times New Roman"/>
          <w:szCs w:val="20"/>
        </w:rPr>
        <w:t xml:space="preserve"> dotyczące w</w:t>
      </w:r>
      <w:r w:rsidRPr="00AE7A5B">
        <w:rPr>
          <w:rFonts w:eastAsia="Times New Roman" w:cs="Times New Roman"/>
          <w:szCs w:val="20"/>
          <w:lang w:eastAsia="pl-PL"/>
        </w:rPr>
        <w:t xml:space="preserve">prowadzenia okresowych szkoleń we wszystkich oddziałach PIG dotyczących rzetelności naukowej, etycznych zasad publikacji naukowych z uwzględnieniem najczęstszych naruszeń, w tym </w:t>
      </w:r>
      <w:r w:rsidRPr="00AE7A5B">
        <w:rPr>
          <w:rFonts w:eastAsia="Times New Roman" w:cs="Times New Roman"/>
          <w:szCs w:val="20"/>
          <w:lang w:eastAsia="pl-PL"/>
        </w:rPr>
        <w:t>autoplagiatów</w:t>
      </w:r>
      <w:r w:rsidRPr="00AE7A5B">
        <w:rPr>
          <w:rFonts w:eastAsia="Times New Roman" w:cs="Times New Roman"/>
          <w:szCs w:val="20"/>
          <w:lang w:eastAsia="pl-PL"/>
        </w:rPr>
        <w:t xml:space="preserve"> </w:t>
      </w:r>
      <w:r w:rsidRPr="00AE7A5B">
        <w:rPr>
          <w:rFonts w:eastAsia="Times New Roman" w:cs="Times New Roman"/>
          <w:szCs w:val="20"/>
          <w:lang w:eastAsia="pl-PL"/>
        </w:rPr>
        <w:br/>
        <w:t xml:space="preserve">i nienależnego autorstwa, zostało </w:t>
      </w:r>
      <w:r w:rsidRPr="00AE7A5B">
        <w:rPr>
          <w:rFonts w:cs="Times New Roman"/>
          <w:szCs w:val="20"/>
        </w:rPr>
        <w:t>niezrealizowane</w:t>
      </w:r>
      <w:r w:rsidRPr="00AE7A5B">
        <w:rPr>
          <w:rFonts w:eastAsia="Times New Roman" w:cs="Times New Roman"/>
          <w:szCs w:val="20"/>
          <w:lang w:eastAsia="pl-PL"/>
        </w:rPr>
        <w:t>.</w:t>
      </w:r>
    </w:p>
    <w:p w:rsidR="00AE7A5B" w:rsidRPr="00AE7A5B" w:rsidP="00AE7A5B">
      <w:pPr>
        <w:spacing w:before="120" w:after="0" w:line="240" w:lineRule="auto"/>
        <w:ind w:left="357"/>
        <w:jc w:val="left"/>
        <w:rPr>
          <w:rFonts w:eastAsia="Calibri"/>
          <w:szCs w:val="20"/>
        </w:rPr>
      </w:pPr>
      <w:r w:rsidRPr="00AE7A5B">
        <w:rPr>
          <w:rFonts w:cs="Times New Roman"/>
          <w:szCs w:val="20"/>
        </w:rPr>
        <w:t>Zastępca Dyrektora ds. Badań i Rozwoju poinformował</w:t>
      </w:r>
      <w:r>
        <w:rPr>
          <w:rFonts w:cs="Times New Roman"/>
          <w:szCs w:val="20"/>
          <w:vertAlign w:val="superscript"/>
        </w:rPr>
        <w:footnoteReference w:id="347"/>
      </w:r>
      <w:r w:rsidRPr="00AE7A5B">
        <w:rPr>
          <w:rFonts w:cs="Times New Roman"/>
          <w:szCs w:val="20"/>
        </w:rPr>
        <w:t xml:space="preserve">, że wprowadzenie szkoleń we wszystkich oddziałach  PIG nie zostało wdrożone. Dodatkowo poinformował, </w:t>
      </w:r>
      <w:r w:rsidRPr="00AE7A5B">
        <w:rPr>
          <w:rFonts w:cs="Times New Roman"/>
          <w:szCs w:val="20"/>
        </w:rPr>
        <w:br/>
        <w:t>że opracowanie programu szkoleń i ich przeprowadzenie zaplanowano po powołaniu komisji dyscyplinarnej.</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IV/80-81, IV/157-158]</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1</w:t>
      </w:r>
      <w:r>
        <w:rPr>
          <w:rFonts w:cs="Times New Roman"/>
          <w:szCs w:val="20"/>
          <w:vertAlign w:val="superscript"/>
        </w:rPr>
        <w:footnoteReference w:id="348"/>
      </w:r>
      <w:r w:rsidRPr="00AE7A5B">
        <w:rPr>
          <w:rFonts w:cs="Times New Roman"/>
          <w:szCs w:val="20"/>
        </w:rPr>
        <w:t xml:space="preserve"> dotyczące z</w:t>
      </w:r>
      <w:r w:rsidRPr="00AE7A5B">
        <w:rPr>
          <w:rFonts w:eastAsia="Times New Roman" w:cs="Times New Roman"/>
          <w:szCs w:val="20"/>
          <w:lang w:eastAsia="pl-PL"/>
        </w:rPr>
        <w:t xml:space="preserve">awierania umów ze służbami geologicznymi innych państw pod nadzorem Departamentu Nadzoru Geologicznego Ministerstwa Środowiska </w:t>
      </w:r>
      <w:r w:rsidRPr="00AE7A5B">
        <w:rPr>
          <w:rFonts w:eastAsia="Times New Roman" w:cs="Times New Roman"/>
          <w:szCs w:val="20"/>
          <w:lang w:eastAsia="pl-PL"/>
        </w:rPr>
        <w:br/>
        <w:t>w porozumieniu z Departamentem Zrównoważonego Rozwoju i Współpracy Międzynarodowej, zostało z</w:t>
      </w:r>
      <w:r w:rsidRPr="00AE7A5B">
        <w:rPr>
          <w:rFonts w:cs="Times New Roman"/>
          <w:szCs w:val="20"/>
        </w:rPr>
        <w:t>realizowane.</w:t>
      </w:r>
    </w:p>
    <w:p w:rsidR="00AE7A5B" w:rsidRPr="00AE7A5B" w:rsidP="00AE7A5B">
      <w:pPr>
        <w:spacing w:before="120" w:after="120" w:line="240" w:lineRule="auto"/>
        <w:ind w:left="357"/>
        <w:jc w:val="left"/>
        <w:rPr>
          <w:rFonts w:cs="Times New Roman"/>
          <w:szCs w:val="20"/>
        </w:rPr>
      </w:pPr>
      <w:r w:rsidRPr="00AE7A5B">
        <w:rPr>
          <w:rFonts w:cs="Times New Roman"/>
          <w:szCs w:val="20"/>
        </w:rPr>
        <w:t>Na próbie 4 umów ze służbami geologicznymi innych państw</w:t>
      </w:r>
      <w:r>
        <w:rPr>
          <w:rFonts w:cs="Times New Roman"/>
          <w:szCs w:val="20"/>
          <w:vertAlign w:val="superscript"/>
        </w:rPr>
        <w:footnoteReference w:id="349"/>
      </w:r>
      <w:r w:rsidRPr="00AE7A5B">
        <w:rPr>
          <w:rFonts w:cs="Times New Roman"/>
          <w:szCs w:val="20"/>
        </w:rPr>
        <w:t xml:space="preserve"> ustalono, </w:t>
      </w:r>
      <w:r w:rsidRPr="00AE7A5B">
        <w:rPr>
          <w:rFonts w:cs="Times New Roman"/>
          <w:szCs w:val="20"/>
        </w:rPr>
        <w:br/>
        <w:t>że przedmiotowe umowy były zawierane pod nadzorem Departamentu Nadzoru Geologicznego</w:t>
      </w:r>
      <w:r>
        <w:rPr>
          <w:rFonts w:cs="Times New Roman"/>
          <w:szCs w:val="20"/>
          <w:vertAlign w:val="superscript"/>
        </w:rPr>
        <w:footnoteReference w:id="350"/>
      </w:r>
      <w:r w:rsidRPr="00AE7A5B">
        <w:rPr>
          <w:rFonts w:cs="Times New Roman"/>
          <w:szCs w:val="20"/>
        </w:rPr>
        <w:t xml:space="preserve"> oraz w porozumieniu z Departamentem Zrównoważonego Rozwoju </w:t>
      </w:r>
      <w:r w:rsidRPr="00AE7A5B">
        <w:rPr>
          <w:rFonts w:cs="Times New Roman"/>
          <w:szCs w:val="20"/>
        </w:rPr>
        <w:br/>
        <w:t>i Współpracy Międzynarodowej</w:t>
      </w:r>
      <w:r>
        <w:rPr>
          <w:rFonts w:cs="Times New Roman"/>
          <w:szCs w:val="20"/>
          <w:vertAlign w:val="superscript"/>
        </w:rPr>
        <w:footnoteReference w:id="351"/>
      </w:r>
      <w:r w:rsidRPr="00AE7A5B">
        <w:rPr>
          <w:rFonts w:cs="Times New Roman"/>
          <w:szCs w:val="20"/>
        </w:rPr>
        <w:t>.</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IV/82-83, IV/163-169]</w:t>
      </w:r>
    </w:p>
    <w:p w:rsidR="00AE7A5B" w:rsidRPr="00AE7A5B" w:rsidP="00AE7A5B">
      <w:pPr>
        <w:numPr>
          <w:ilvl w:val="0"/>
          <w:numId w:val="6"/>
        </w:numPr>
        <w:spacing w:after="0" w:line="240" w:lineRule="auto"/>
        <w:jc w:val="left"/>
        <w:rPr>
          <w:rFonts w:cs="Times New Roman"/>
          <w:iCs/>
          <w:szCs w:val="20"/>
        </w:rPr>
      </w:pPr>
      <w:r w:rsidRPr="00AE7A5B">
        <w:rPr>
          <w:rFonts w:eastAsia="Times New Roman" w:cs="Times New Roman"/>
          <w:szCs w:val="20"/>
          <w:lang w:eastAsia="pl-PL"/>
        </w:rPr>
        <w:t xml:space="preserve">zalecenie </w:t>
      </w:r>
      <w:r w:rsidRPr="00AE7A5B">
        <w:rPr>
          <w:rFonts w:cs="Times New Roman"/>
          <w:szCs w:val="20"/>
        </w:rPr>
        <w:t>nr 2</w:t>
      </w:r>
      <w:r>
        <w:rPr>
          <w:rFonts w:cs="Times New Roman"/>
          <w:szCs w:val="20"/>
          <w:vertAlign w:val="superscript"/>
        </w:rPr>
        <w:footnoteReference w:id="352"/>
      </w:r>
      <w:r w:rsidRPr="00AE7A5B">
        <w:rPr>
          <w:rFonts w:cs="Times New Roman"/>
          <w:szCs w:val="20"/>
        </w:rPr>
        <w:t xml:space="preserve"> dotyczące f</w:t>
      </w:r>
      <w:r w:rsidRPr="00AE7A5B">
        <w:rPr>
          <w:rFonts w:eastAsia="Times New Roman" w:cs="Times New Roman"/>
          <w:szCs w:val="20"/>
          <w:lang w:eastAsia="pl-PL"/>
        </w:rPr>
        <w:t xml:space="preserve">ormułowania precyzyjnych postanowień odnośnie terminu obowiązywania umów/porozumień międzynarodowych oraz trybu ich wypowiadania, zostało </w:t>
      </w:r>
      <w:r w:rsidRPr="00AE7A5B">
        <w:rPr>
          <w:rFonts w:cs="Times New Roman"/>
          <w:szCs w:val="20"/>
        </w:rPr>
        <w:t>zrealizowane</w:t>
      </w:r>
      <w:r w:rsidRPr="00AE7A5B">
        <w:rPr>
          <w:rFonts w:eastAsia="Times New Roman" w:cs="Times New Roman"/>
          <w:szCs w:val="20"/>
          <w:lang w:eastAsia="pl-PL"/>
        </w:rPr>
        <w:t>.</w:t>
      </w:r>
    </w:p>
    <w:p w:rsidR="00AE7A5B" w:rsidRPr="00AE7A5B" w:rsidP="00AE7A5B">
      <w:pPr>
        <w:spacing w:before="120" w:after="120" w:line="240" w:lineRule="auto"/>
        <w:ind w:left="357"/>
        <w:jc w:val="left"/>
        <w:rPr>
          <w:rFonts w:cs="Times New Roman"/>
          <w:bCs/>
          <w:iCs/>
          <w:szCs w:val="20"/>
        </w:rPr>
      </w:pPr>
      <w:r w:rsidRPr="00AE7A5B">
        <w:rPr>
          <w:rFonts w:cs="Times New Roman"/>
          <w:szCs w:val="20"/>
        </w:rPr>
        <w:t xml:space="preserve">Na próbie 4 umów  </w:t>
      </w:r>
      <w:r w:rsidRPr="00AE7A5B">
        <w:rPr>
          <w:rFonts w:cs="Times New Roman"/>
          <w:bCs/>
          <w:szCs w:val="20"/>
        </w:rPr>
        <w:t>międzynarodowych</w:t>
      </w:r>
      <w:r>
        <w:rPr>
          <w:rFonts w:cs="Times New Roman"/>
          <w:bCs/>
          <w:szCs w:val="20"/>
          <w:vertAlign w:val="superscript"/>
        </w:rPr>
        <w:footnoteReference w:id="353"/>
      </w:r>
      <w:r w:rsidRPr="00AE7A5B">
        <w:rPr>
          <w:rFonts w:cs="Times New Roman"/>
          <w:szCs w:val="20"/>
        </w:rPr>
        <w:t xml:space="preserve"> ustalono, że w przedmiotowych umowach </w:t>
      </w:r>
      <w:r w:rsidRPr="00AE7A5B">
        <w:rPr>
          <w:rFonts w:cs="Times New Roman"/>
          <w:bCs/>
          <w:szCs w:val="20"/>
        </w:rPr>
        <w:t xml:space="preserve">precyzyjne formułowano </w:t>
      </w:r>
      <w:r w:rsidRPr="00AE7A5B">
        <w:rPr>
          <w:rFonts w:cs="Times New Roman"/>
          <w:bCs/>
          <w:iCs/>
          <w:szCs w:val="20"/>
        </w:rPr>
        <w:t xml:space="preserve">terminy ich obowiązywania oraz wypowiadania. </w:t>
      </w:r>
      <w:r w:rsidRPr="00AE7A5B">
        <w:rPr>
          <w:rFonts w:cs="Times New Roman"/>
          <w:szCs w:val="20"/>
        </w:rPr>
        <w:t xml:space="preserve"> </w:t>
      </w:r>
    </w:p>
    <w:p w:rsidR="00AE7A5B" w:rsidRPr="00AE7A5B" w:rsidP="00AE7A5B">
      <w:pPr>
        <w:spacing w:after="120" w:line="240" w:lineRule="auto"/>
        <w:ind w:left="357"/>
        <w:jc w:val="left"/>
        <w:rPr>
          <w:rFonts w:cs="Times New Roman"/>
          <w:szCs w:val="20"/>
        </w:rPr>
      </w:pPr>
      <w:r w:rsidRPr="00AE7A5B">
        <w:rPr>
          <w:rFonts w:eastAsia="Calibri"/>
          <w:szCs w:val="20"/>
        </w:rPr>
        <w:t>[Dowód: akta kontroli str. IV/84-85, IV/163-169]</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3</w:t>
      </w:r>
      <w:r>
        <w:rPr>
          <w:rFonts w:cs="Times New Roman"/>
          <w:szCs w:val="20"/>
          <w:vertAlign w:val="superscript"/>
        </w:rPr>
        <w:footnoteReference w:id="354"/>
      </w:r>
      <w:r w:rsidRPr="00AE7A5B">
        <w:rPr>
          <w:rFonts w:cs="Times New Roman"/>
          <w:szCs w:val="20"/>
        </w:rPr>
        <w:t xml:space="preserve"> dotyczące p</w:t>
      </w:r>
      <w:r w:rsidRPr="00AE7A5B">
        <w:rPr>
          <w:rFonts w:eastAsia="Times New Roman" w:cs="Times New Roman"/>
          <w:szCs w:val="20"/>
          <w:lang w:eastAsia="pl-PL"/>
        </w:rPr>
        <w:t xml:space="preserve">rzechowywania oryginałów wszystkich umów/porozumień zawartych przez PIG z należytą starannością, zostało </w:t>
      </w:r>
      <w:r w:rsidRPr="00AE7A5B">
        <w:rPr>
          <w:rFonts w:cs="Times New Roman"/>
          <w:szCs w:val="20"/>
        </w:rPr>
        <w:t>niezrealizowane.</w:t>
      </w:r>
    </w:p>
    <w:p w:rsidR="00AE7A5B" w:rsidRPr="00AE7A5B" w:rsidP="00AE7A5B">
      <w:pPr>
        <w:spacing w:before="120" w:after="0" w:line="240" w:lineRule="auto"/>
        <w:ind w:left="357"/>
        <w:jc w:val="left"/>
        <w:rPr>
          <w:rFonts w:cs="Times New Roman"/>
          <w:szCs w:val="20"/>
        </w:rPr>
      </w:pPr>
      <w:r w:rsidRPr="00AE7A5B">
        <w:rPr>
          <w:szCs w:val="20"/>
        </w:rPr>
        <w:t>Ustalono, że w 6</w:t>
      </w:r>
      <w:r>
        <w:rPr>
          <w:szCs w:val="20"/>
          <w:vertAlign w:val="superscript"/>
        </w:rPr>
        <w:footnoteReference w:id="355"/>
      </w:r>
      <w:r w:rsidRPr="00AE7A5B">
        <w:rPr>
          <w:szCs w:val="20"/>
        </w:rPr>
        <w:t xml:space="preserve"> na 18 skontrolowanych umów międzynarodowych</w:t>
      </w:r>
      <w:r>
        <w:rPr>
          <w:szCs w:val="20"/>
          <w:vertAlign w:val="superscript"/>
        </w:rPr>
        <w:footnoteReference w:id="356"/>
      </w:r>
      <w:r w:rsidRPr="00AE7A5B">
        <w:rPr>
          <w:szCs w:val="20"/>
        </w:rPr>
        <w:t xml:space="preserve"> brak było oryginałów w zasobach Centralnego Rejestru Umów, co było niezgodne z § 3 ust. 1 </w:t>
      </w:r>
      <w:r w:rsidRPr="00AE7A5B">
        <w:rPr>
          <w:szCs w:val="20"/>
        </w:rPr>
        <w:br/>
        <w:t xml:space="preserve">pkt 2 zarządzenia Dyrektora nr 32 z 20 lipca 2017 </w:t>
      </w:r>
      <w:r w:rsidRPr="00AE7A5B">
        <w:rPr>
          <w:szCs w:val="20"/>
        </w:rPr>
        <w:t>ws</w:t>
      </w:r>
      <w:r w:rsidRPr="00AE7A5B">
        <w:rPr>
          <w:szCs w:val="20"/>
        </w:rPr>
        <w:t>. prowadzenia centralnego rejestru umów w PIG</w:t>
      </w:r>
      <w:r>
        <w:rPr>
          <w:szCs w:val="20"/>
          <w:vertAlign w:val="superscript"/>
        </w:rPr>
        <w:footnoteReference w:id="357"/>
      </w:r>
      <w:r w:rsidRPr="00AE7A5B">
        <w:rPr>
          <w:szCs w:val="20"/>
        </w:rPr>
        <w:t xml:space="preserve"> oraz § 4 ust. 2 zarządzenia Dyrektora nr 17 z 23 lutego 2022 r. </w:t>
      </w:r>
      <w:r w:rsidRPr="00AE7A5B">
        <w:rPr>
          <w:szCs w:val="20"/>
        </w:rPr>
        <w:br/>
      </w:r>
      <w:r w:rsidRPr="00AE7A5B">
        <w:rPr>
          <w:szCs w:val="20"/>
        </w:rPr>
        <w:t>ws</w:t>
      </w:r>
      <w:r w:rsidRPr="00AE7A5B">
        <w:rPr>
          <w:szCs w:val="20"/>
        </w:rPr>
        <w:t>. prowadzenia centralnego rejestru umów w PIG</w:t>
      </w:r>
      <w:r>
        <w:rPr>
          <w:szCs w:val="20"/>
          <w:vertAlign w:val="superscript"/>
        </w:rPr>
        <w:footnoteReference w:id="358"/>
      </w:r>
      <w:r w:rsidRPr="00AE7A5B">
        <w:rPr>
          <w:szCs w:val="20"/>
        </w:rPr>
        <w:t xml:space="preserve">. Ponadto brakowało </w:t>
      </w:r>
      <w:r w:rsidRPr="00AE7A5B">
        <w:rPr>
          <w:szCs w:val="20"/>
        </w:rPr>
        <w:br/>
        <w:t>2 protokołów z przekazania oryginałów 2 umów</w:t>
      </w:r>
      <w:r>
        <w:rPr>
          <w:szCs w:val="20"/>
          <w:vertAlign w:val="superscript"/>
        </w:rPr>
        <w:footnoteReference w:id="359"/>
      </w:r>
      <w:r w:rsidRPr="00AE7A5B">
        <w:rPr>
          <w:szCs w:val="20"/>
        </w:rPr>
        <w:t xml:space="preserve"> do zasobów rejestru.</w:t>
      </w:r>
    </w:p>
    <w:p w:rsidR="00AE7A5B" w:rsidRPr="00AE7A5B" w:rsidP="00AE7A5B">
      <w:pPr>
        <w:spacing w:before="120" w:after="0" w:line="240" w:lineRule="auto"/>
        <w:ind w:left="357"/>
        <w:jc w:val="left"/>
        <w:rPr>
          <w:rFonts w:cs="Times New Roman"/>
          <w:szCs w:val="20"/>
        </w:rPr>
      </w:pPr>
      <w:r w:rsidRPr="00AE7A5B">
        <w:rPr>
          <w:rFonts w:cs="Times New Roman"/>
          <w:szCs w:val="20"/>
        </w:rPr>
        <w:t>Dyrektor wyjaśnił</w:t>
      </w:r>
      <w:r>
        <w:rPr>
          <w:szCs w:val="20"/>
          <w:vertAlign w:val="superscript"/>
        </w:rPr>
        <w:footnoteReference w:id="360"/>
      </w:r>
      <w:r w:rsidRPr="00AE7A5B">
        <w:rPr>
          <w:rFonts w:cs="Times New Roman"/>
          <w:szCs w:val="20"/>
        </w:rPr>
        <w:t>, że nie jest w stanie oszacować, z jaką starannością umowy były przekazywane do Centralnego Rejestru Umów. Dodatkowo poinformował, że osoby zajmujące się jego obsługą w większości nie pracują już w PIG i pomimo prób wyjaśnienia sprawy, nie udało się ustalić przyczyn braku dokumentów.</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w:t>
      </w:r>
      <w:r w:rsidRPr="00AE7A5B">
        <w:rPr>
          <w:szCs w:val="20"/>
          <w:lang w:eastAsia="ar-SA"/>
        </w:rPr>
        <w:t xml:space="preserve"> IV/6-22, IV/86-87</w:t>
      </w:r>
      <w:r w:rsidRPr="00AE7A5B">
        <w:rPr>
          <w:rFonts w:eastAsia="Calibri"/>
          <w:szCs w:val="20"/>
        </w:rPr>
        <w:t>, IV/163-169, IV/400-411</w:t>
      </w:r>
      <w:r w:rsidRPr="00AE7A5B">
        <w:rPr>
          <w:szCs w:val="20"/>
          <w:lang w:eastAsia="ar-SA"/>
        </w:rPr>
        <w:t>]</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4</w:t>
      </w:r>
      <w:r>
        <w:rPr>
          <w:rFonts w:cs="Times New Roman"/>
          <w:szCs w:val="20"/>
          <w:vertAlign w:val="superscript"/>
        </w:rPr>
        <w:footnoteReference w:id="361"/>
      </w:r>
      <w:r w:rsidRPr="00AE7A5B">
        <w:rPr>
          <w:rFonts w:cs="Times New Roman"/>
          <w:szCs w:val="20"/>
        </w:rPr>
        <w:t xml:space="preserve"> dotyczące </w:t>
      </w:r>
      <w:r w:rsidRPr="00AE7A5B">
        <w:rPr>
          <w:rFonts w:eastAsia="Times New Roman" w:cs="Times New Roman"/>
          <w:szCs w:val="20"/>
          <w:lang w:eastAsia="pl-PL"/>
        </w:rPr>
        <w:t xml:space="preserve">przeprowadzenia przed zawarciem nowych umów/ porozumień międzynarodowych kwerendy dotychczasowych umów z danym partnerem, w celu oceny podstaw prawnych współpracy z danym krajem i rzeczywistą potrzebą związania się nowym porozumieniem lub umową, zostało </w:t>
      </w:r>
      <w:r w:rsidRPr="00AE7A5B">
        <w:rPr>
          <w:rFonts w:cs="Times New Roman"/>
          <w:szCs w:val="20"/>
        </w:rPr>
        <w:t>zrealizowane.</w:t>
      </w:r>
    </w:p>
    <w:p w:rsidR="00AE7A5B" w:rsidRPr="00AE7A5B" w:rsidP="00AE7A5B">
      <w:pPr>
        <w:spacing w:before="120" w:after="0" w:line="240" w:lineRule="auto"/>
        <w:ind w:left="357"/>
        <w:jc w:val="left"/>
        <w:rPr>
          <w:rFonts w:cs="Times New Roman"/>
          <w:szCs w:val="20"/>
        </w:rPr>
      </w:pPr>
      <w:r w:rsidRPr="00AE7A5B">
        <w:rPr>
          <w:rFonts w:cs="Times New Roman"/>
          <w:szCs w:val="20"/>
        </w:rPr>
        <w:t>Na próbie 4 umów międzynarodowych</w:t>
      </w:r>
      <w:r>
        <w:rPr>
          <w:rFonts w:cs="Times New Roman"/>
          <w:szCs w:val="20"/>
          <w:vertAlign w:val="superscript"/>
        </w:rPr>
        <w:footnoteReference w:id="362"/>
      </w:r>
      <w:r w:rsidRPr="00AE7A5B">
        <w:rPr>
          <w:rFonts w:cs="Times New Roman"/>
          <w:szCs w:val="20"/>
        </w:rPr>
        <w:t xml:space="preserve"> ustalono, że w dniu ich zawarcia nie obowiązywały inne porozumienia z tymi samymi krajami i o tym samym przedmiocie. Dodatkowo ustalono, że umowy</w:t>
      </w:r>
      <w:r w:rsidRPr="00AE7A5B">
        <w:rPr>
          <w:rFonts w:cs="Times New Roman"/>
          <w:szCs w:val="20"/>
        </w:rPr>
        <w:t xml:space="preserve"> </w:t>
      </w:r>
      <w:r w:rsidRPr="00AE7A5B">
        <w:rPr>
          <w:rFonts w:cs="Times New Roman"/>
          <w:szCs w:val="20"/>
        </w:rPr>
        <w:t xml:space="preserve">poprzedzające ww. umowy nie przewidywały ich przedłużania np. w formie aneksów.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IV/88-89, IV/163-169]</w:t>
      </w:r>
    </w:p>
    <w:p w:rsidR="00AE7A5B" w:rsidRPr="00AE7A5B" w:rsidP="00AE7A5B">
      <w:pPr>
        <w:numPr>
          <w:ilvl w:val="0"/>
          <w:numId w:val="6"/>
        </w:numPr>
        <w:spacing w:after="0" w:line="240" w:lineRule="auto"/>
        <w:jc w:val="left"/>
        <w:rPr>
          <w:rFonts w:cs="Times New Roman"/>
          <w:szCs w:val="20"/>
        </w:rPr>
      </w:pPr>
      <w:r w:rsidRPr="00AE7A5B">
        <w:rPr>
          <w:rFonts w:cs="Times New Roman"/>
          <w:szCs w:val="20"/>
        </w:rPr>
        <w:t>zalecenie nr 5</w:t>
      </w:r>
      <w:r>
        <w:rPr>
          <w:rFonts w:cs="Times New Roman"/>
          <w:szCs w:val="20"/>
          <w:vertAlign w:val="superscript"/>
        </w:rPr>
        <w:footnoteReference w:id="363"/>
      </w:r>
      <w:r w:rsidRPr="00AE7A5B">
        <w:rPr>
          <w:rFonts w:cs="Times New Roman"/>
          <w:szCs w:val="20"/>
        </w:rPr>
        <w:t xml:space="preserve"> dotyczące f</w:t>
      </w:r>
      <w:r w:rsidRPr="00AE7A5B">
        <w:rPr>
          <w:rFonts w:eastAsia="Times New Roman" w:cs="Times New Roman"/>
          <w:szCs w:val="20"/>
          <w:lang w:eastAsia="pl-PL"/>
        </w:rPr>
        <w:t xml:space="preserve">ormułowania treści umów i ich formy w celu uniknięcia ewentualnych nieporozumień odnośnie ich charakteru w kontaktach z partnerem zagranicznym, zostało </w:t>
      </w:r>
      <w:r w:rsidRPr="00AE7A5B">
        <w:rPr>
          <w:rFonts w:cs="Times New Roman"/>
          <w:szCs w:val="20"/>
        </w:rPr>
        <w:t>zrealizowane</w:t>
      </w:r>
      <w:r w:rsidRPr="00AE7A5B">
        <w:rPr>
          <w:rFonts w:eastAsia="Times New Roman" w:cs="Times New Roman"/>
          <w:szCs w:val="20"/>
          <w:lang w:eastAsia="pl-PL"/>
        </w:rPr>
        <w:t>.</w:t>
      </w:r>
    </w:p>
    <w:p w:rsidR="00AE7A5B" w:rsidRPr="00AE7A5B" w:rsidP="00AE7A5B">
      <w:pPr>
        <w:spacing w:before="120" w:after="0" w:line="240" w:lineRule="auto"/>
        <w:ind w:left="357"/>
        <w:jc w:val="left"/>
        <w:rPr>
          <w:rFonts w:cs="Times New Roman"/>
          <w:szCs w:val="20"/>
        </w:rPr>
      </w:pPr>
      <w:r w:rsidRPr="00AE7A5B">
        <w:rPr>
          <w:rFonts w:cs="Times New Roman"/>
          <w:szCs w:val="20"/>
        </w:rPr>
        <w:t>Na próbie 4 umów</w:t>
      </w:r>
      <w:r w:rsidRPr="00AE7A5B">
        <w:rPr>
          <w:rFonts w:cs="Times New Roman"/>
          <w:szCs w:val="20"/>
          <w:vertAlign w:val="superscript"/>
        </w:rPr>
        <w:t xml:space="preserve"> </w:t>
      </w:r>
      <w:bookmarkStart w:id="66" w:name="_Hlk144905122"/>
      <w:r w:rsidRPr="00AE7A5B">
        <w:rPr>
          <w:rFonts w:cs="Times New Roman"/>
          <w:szCs w:val="20"/>
        </w:rPr>
        <w:t>międzynarodowych</w:t>
      </w:r>
      <w:bookmarkEnd w:id="66"/>
      <w:r>
        <w:rPr>
          <w:rFonts w:cs="Times New Roman"/>
          <w:szCs w:val="20"/>
          <w:vertAlign w:val="superscript"/>
        </w:rPr>
        <w:footnoteReference w:id="364"/>
      </w:r>
      <w:r w:rsidRPr="00AE7A5B">
        <w:rPr>
          <w:rFonts w:cs="Times New Roman"/>
          <w:szCs w:val="20"/>
        </w:rPr>
        <w:t xml:space="preserve"> ustalono, że postanowienia przedmiotowych umów były formułowane w sposób adekwatny do ich charakter, jak również  uwzględniano opinie resortu spraw zagranicznych, czy też Biuro Prawne PIG było </w:t>
      </w:r>
      <w:r w:rsidRPr="00AE7A5B">
        <w:rPr>
          <w:rFonts w:cs="Times New Roman"/>
          <w:szCs w:val="20"/>
        </w:rPr>
        <w:br/>
        <w:t xml:space="preserve">w stałym kontakcie z pracownikami </w:t>
      </w:r>
      <w:r w:rsidRPr="00AE7A5B">
        <w:rPr>
          <w:rFonts w:cs="Times New Roman"/>
          <w:szCs w:val="20"/>
        </w:rPr>
        <w:t>MKiŚ</w:t>
      </w:r>
      <w:r w:rsidRPr="00AE7A5B">
        <w:rPr>
          <w:rFonts w:cs="Times New Roman"/>
          <w:szCs w:val="20"/>
        </w:rPr>
        <w:t xml:space="preserve"> podczas zawierania przedmiotowych umów. </w:t>
      </w:r>
    </w:p>
    <w:p w:rsidR="00AE7A5B" w:rsidRPr="00AE7A5B" w:rsidP="00AE7A5B">
      <w:pPr>
        <w:spacing w:before="120" w:after="120" w:line="240" w:lineRule="auto"/>
        <w:ind w:left="357"/>
        <w:jc w:val="left"/>
        <w:rPr>
          <w:rFonts w:cs="Times New Roman"/>
          <w:szCs w:val="20"/>
        </w:rPr>
      </w:pPr>
      <w:r w:rsidRPr="00AE7A5B">
        <w:rPr>
          <w:rFonts w:eastAsia="Calibri"/>
          <w:szCs w:val="20"/>
        </w:rPr>
        <w:t>[Dowód: akta kontroli str. IV/1-5, IV/90-91, IV/163-169]</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6</w:t>
      </w:r>
      <w:r>
        <w:rPr>
          <w:rFonts w:cs="Times New Roman"/>
          <w:bCs/>
          <w:szCs w:val="20"/>
          <w:vertAlign w:val="superscript"/>
        </w:rPr>
        <w:footnoteReference w:id="365"/>
      </w:r>
      <w:r w:rsidRPr="00AE7A5B">
        <w:rPr>
          <w:rFonts w:cs="Times New Roman"/>
          <w:bCs/>
          <w:szCs w:val="20"/>
        </w:rPr>
        <w:t xml:space="preserve"> </w:t>
      </w:r>
      <w:r w:rsidRPr="00AE7A5B">
        <w:rPr>
          <w:rFonts w:eastAsia="Times New Roman" w:cs="Times New Roman"/>
          <w:bCs/>
          <w:szCs w:val="20"/>
          <w:lang w:eastAsia="pl-PL"/>
        </w:rPr>
        <w:t xml:space="preserve">dotyczące zawierania w treści „Memorandum”, „Memorandum </w:t>
      </w:r>
      <w:r w:rsidRPr="00AE7A5B">
        <w:rPr>
          <w:rFonts w:eastAsia="Times New Roman" w:cs="Times New Roman"/>
          <w:bCs/>
          <w:szCs w:val="20"/>
          <w:lang w:eastAsia="pl-PL"/>
        </w:rPr>
        <w:br/>
        <w:t xml:space="preserve">of </w:t>
      </w:r>
      <w:r w:rsidRPr="00AE7A5B">
        <w:rPr>
          <w:rFonts w:eastAsia="Times New Roman" w:cs="Times New Roman"/>
          <w:bCs/>
          <w:szCs w:val="20"/>
          <w:lang w:eastAsia="pl-PL"/>
        </w:rPr>
        <w:t>Understanding</w:t>
      </w:r>
      <w:r w:rsidRPr="00AE7A5B">
        <w:rPr>
          <w:rFonts w:eastAsia="Times New Roman" w:cs="Times New Roman"/>
          <w:bCs/>
          <w:szCs w:val="20"/>
          <w:lang w:eastAsia="pl-PL"/>
        </w:rPr>
        <w:t>”, „Memorandum o Porozumieniu” zapisów, które nie będą rodzić zobowiązań natury prawnomiędzynarodowej</w:t>
      </w:r>
      <w:r>
        <w:rPr>
          <w:rFonts w:eastAsia="Times New Roman" w:cs="Times New Roman"/>
          <w:bCs/>
          <w:szCs w:val="20"/>
          <w:vertAlign w:val="superscript"/>
          <w:lang w:eastAsia="pl-PL"/>
        </w:rPr>
        <w:footnoteReference w:id="366"/>
      </w:r>
      <w:r w:rsidRPr="00AE7A5B">
        <w:rPr>
          <w:rFonts w:eastAsia="Times New Roman" w:cs="Times New Roman"/>
          <w:bCs/>
          <w:szCs w:val="20"/>
          <w:lang w:eastAsia="pl-PL"/>
        </w:rPr>
        <w:t xml:space="preserve">, zostało </w:t>
      </w:r>
      <w:r w:rsidRPr="00AE7A5B">
        <w:rPr>
          <w:rFonts w:cs="Times New Roman"/>
          <w:bCs/>
          <w:szCs w:val="20"/>
        </w:rPr>
        <w:t>zrealizowane</w:t>
      </w:r>
      <w:r w:rsidRPr="00AE7A5B">
        <w:rPr>
          <w:rFonts w:eastAsia="Times New Roman" w:cs="Times New Roman"/>
          <w:bCs/>
          <w:szCs w:val="20"/>
          <w:lang w:eastAsia="pl-PL"/>
        </w:rPr>
        <w:t>.</w:t>
      </w:r>
    </w:p>
    <w:p w:rsidR="00AE7A5B" w:rsidRPr="00AE7A5B" w:rsidP="00AE7A5B">
      <w:pPr>
        <w:spacing w:before="120" w:after="0" w:line="240" w:lineRule="auto"/>
        <w:ind w:left="357"/>
        <w:jc w:val="left"/>
        <w:rPr>
          <w:rFonts w:cs="Times New Roman"/>
          <w:bCs/>
          <w:szCs w:val="20"/>
        </w:rPr>
      </w:pPr>
      <w:r w:rsidRPr="00AE7A5B">
        <w:rPr>
          <w:rFonts w:cs="Times New Roman"/>
          <w:bCs/>
          <w:szCs w:val="20"/>
        </w:rPr>
        <w:t>Na próbie 4 umów międzynarodowych</w:t>
      </w:r>
      <w:r>
        <w:rPr>
          <w:rFonts w:cs="Times New Roman"/>
          <w:bCs/>
          <w:szCs w:val="20"/>
          <w:vertAlign w:val="superscript"/>
        </w:rPr>
        <w:footnoteReference w:id="367"/>
      </w:r>
      <w:r w:rsidRPr="00AE7A5B">
        <w:rPr>
          <w:rFonts w:cs="Times New Roman"/>
          <w:bCs/>
          <w:szCs w:val="20"/>
        </w:rPr>
        <w:t xml:space="preserve"> ustalono, że postanowienia memorandów </w:t>
      </w:r>
      <w:r w:rsidRPr="00AE7A5B">
        <w:rPr>
          <w:rFonts w:cs="Times New Roman"/>
          <w:bCs/>
          <w:szCs w:val="20"/>
        </w:rPr>
        <w:br/>
      </w:r>
      <w:r w:rsidRPr="00AE7A5B">
        <w:rPr>
          <w:bCs/>
          <w:szCs w:val="20"/>
        </w:rPr>
        <w:t xml:space="preserve">nie rodziły zobowiązań natury prawnomiędzynarodowej i </w:t>
      </w:r>
      <w:r w:rsidRPr="00AE7A5B">
        <w:rPr>
          <w:rFonts w:cs="Times New Roman"/>
          <w:bCs/>
          <w:szCs w:val="20"/>
        </w:rPr>
        <w:t xml:space="preserve">stanowiły o niemożności interpretowania porozumień w sposób niezgodny lub niespójny z międzynarodowymi zobowiązaniami oraz prawem krajowym uczestników. </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IV/1-5, IV/92-93, IV/163-169]</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7</w:t>
      </w:r>
      <w:r>
        <w:rPr>
          <w:rFonts w:cs="Times New Roman"/>
          <w:bCs/>
          <w:szCs w:val="20"/>
          <w:vertAlign w:val="superscript"/>
        </w:rPr>
        <w:footnoteReference w:id="368"/>
      </w:r>
      <w:r w:rsidRPr="00AE7A5B">
        <w:rPr>
          <w:rFonts w:cs="Times New Roman"/>
          <w:bCs/>
          <w:szCs w:val="20"/>
        </w:rPr>
        <w:t xml:space="preserve"> dotyczące </w:t>
      </w:r>
      <w:r w:rsidRPr="00AE7A5B">
        <w:rPr>
          <w:rFonts w:eastAsia="Times New Roman" w:cs="Times New Roman"/>
          <w:bCs/>
          <w:szCs w:val="20"/>
          <w:lang w:eastAsia="pl-PL"/>
        </w:rPr>
        <w:t>stosowania w Memorandach języka charakterystycznego dla porozumień niewiążących</w:t>
      </w:r>
      <w:r>
        <w:rPr>
          <w:rFonts w:eastAsia="Times New Roman" w:cs="Times New Roman"/>
          <w:bCs/>
          <w:szCs w:val="20"/>
          <w:vertAlign w:val="superscript"/>
          <w:lang w:eastAsia="pl-PL"/>
        </w:rPr>
        <w:footnoteReference w:id="369"/>
      </w:r>
      <w:r w:rsidRPr="00AE7A5B">
        <w:rPr>
          <w:rFonts w:eastAsia="Times New Roman" w:cs="Times New Roman"/>
          <w:bCs/>
          <w:szCs w:val="20"/>
          <w:lang w:eastAsia="pl-PL"/>
        </w:rPr>
        <w:t xml:space="preserve"> oraz zwracania szczególnej uwagi, iż nie powinny one również: zawierać twardych zobowiązań lub nadania praw; ustanawiać organów, </w:t>
      </w:r>
      <w:r w:rsidRPr="00AE7A5B">
        <w:rPr>
          <w:rFonts w:eastAsia="Times New Roman" w:cs="Times New Roman"/>
          <w:bCs/>
          <w:szCs w:val="20"/>
          <w:lang w:eastAsia="pl-PL"/>
        </w:rPr>
        <w:br/>
        <w:t>np. komisji; zawierać zobowiązań finansowych, zostało zrealizowane.</w:t>
      </w:r>
    </w:p>
    <w:p w:rsidR="00AE7A5B" w:rsidRPr="00AE7A5B" w:rsidP="00AE7A5B">
      <w:pPr>
        <w:spacing w:before="120" w:after="0" w:line="240" w:lineRule="auto"/>
        <w:ind w:left="357"/>
        <w:jc w:val="left"/>
        <w:rPr>
          <w:rFonts w:cs="Times New Roman"/>
          <w:bCs/>
          <w:szCs w:val="20"/>
        </w:rPr>
      </w:pPr>
      <w:r w:rsidRPr="00AE7A5B">
        <w:rPr>
          <w:rFonts w:cs="Times New Roman"/>
          <w:bCs/>
          <w:szCs w:val="20"/>
        </w:rPr>
        <w:t>Na próbie 4 umów międzynarodowych</w:t>
      </w:r>
      <w:r>
        <w:rPr>
          <w:rFonts w:cs="Times New Roman"/>
          <w:bCs/>
          <w:szCs w:val="20"/>
          <w:vertAlign w:val="superscript"/>
        </w:rPr>
        <w:footnoteReference w:id="370"/>
      </w:r>
      <w:r w:rsidRPr="00AE7A5B">
        <w:rPr>
          <w:rFonts w:cs="Times New Roman"/>
          <w:bCs/>
          <w:szCs w:val="20"/>
        </w:rPr>
        <w:t xml:space="preserve"> ustalono, że </w:t>
      </w:r>
      <w:r w:rsidRPr="00AE7A5B">
        <w:rPr>
          <w:bCs/>
          <w:szCs w:val="20"/>
        </w:rPr>
        <w:t>postanowienia memorandów zostały sformułowane w sposób charakterystyczny dla porozumień niewiążących. Ponadto nie było zwrotów określających twarde zobowiązania, nadania praw, ustanawiania organów, np. komisji. W memorandach zawarto takie zwroty, jak: „uczestnicy”/„</w:t>
      </w:r>
      <w:r w:rsidRPr="00AE7A5B">
        <w:rPr>
          <w:bCs/>
          <w:szCs w:val="20"/>
        </w:rPr>
        <w:t>participants</w:t>
      </w:r>
      <w:r w:rsidRPr="00AE7A5B">
        <w:rPr>
          <w:bCs/>
          <w:szCs w:val="20"/>
        </w:rPr>
        <w:t>”, "</w:t>
      </w:r>
      <w:r w:rsidRPr="00AE7A5B">
        <w:rPr>
          <w:bCs/>
          <w:szCs w:val="20"/>
        </w:rPr>
        <w:t>will</w:t>
      </w:r>
      <w:r w:rsidRPr="00AE7A5B">
        <w:rPr>
          <w:bCs/>
          <w:szCs w:val="20"/>
        </w:rPr>
        <w:t>" oraz „jest skuteczne”/„</w:t>
      </w:r>
      <w:r w:rsidRPr="00AE7A5B">
        <w:rPr>
          <w:bCs/>
          <w:szCs w:val="20"/>
        </w:rPr>
        <w:t>is</w:t>
      </w:r>
      <w:r w:rsidRPr="00AE7A5B">
        <w:rPr>
          <w:bCs/>
          <w:szCs w:val="20"/>
        </w:rPr>
        <w:t xml:space="preserve"> </w:t>
      </w:r>
      <w:r w:rsidRPr="00AE7A5B">
        <w:rPr>
          <w:bCs/>
          <w:szCs w:val="20"/>
        </w:rPr>
        <w:t>effective</w:t>
      </w:r>
      <w:r w:rsidRPr="00AE7A5B">
        <w:rPr>
          <w:bCs/>
          <w:szCs w:val="20"/>
        </w:rPr>
        <w:t>”</w:t>
      </w:r>
      <w:r w:rsidRPr="00AE7A5B">
        <w:rPr>
          <w:rFonts w:cs="Times New Roman"/>
          <w:bCs/>
          <w:szCs w:val="20"/>
        </w:rPr>
        <w:t>.</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IV/1-5, IV/94-95, IV/163-169]</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8</w:t>
      </w:r>
      <w:r>
        <w:rPr>
          <w:rFonts w:cs="Times New Roman"/>
          <w:bCs/>
          <w:szCs w:val="20"/>
          <w:vertAlign w:val="superscript"/>
        </w:rPr>
        <w:footnoteReference w:id="371"/>
      </w:r>
      <w:r w:rsidRPr="00AE7A5B">
        <w:rPr>
          <w:rFonts w:cs="Times New Roman"/>
          <w:bCs/>
          <w:szCs w:val="20"/>
        </w:rPr>
        <w:t xml:space="preserve"> dotyczące d</w:t>
      </w:r>
      <w:r w:rsidRPr="00AE7A5B">
        <w:rPr>
          <w:rFonts w:eastAsia="Times New Roman" w:cs="Times New Roman"/>
          <w:bCs/>
          <w:szCs w:val="20"/>
          <w:lang w:eastAsia="pl-PL"/>
        </w:rPr>
        <w:t xml:space="preserve">okonywania każdorazowej analizy zapisów umów </w:t>
      </w:r>
      <w:r w:rsidRPr="00AE7A5B">
        <w:rPr>
          <w:rFonts w:eastAsia="Times New Roman" w:cs="Times New Roman"/>
          <w:bCs/>
          <w:szCs w:val="20"/>
          <w:lang w:eastAsia="pl-PL"/>
        </w:rPr>
        <w:br/>
        <w:t xml:space="preserve">i porozumień przed ich zawarciem, pod kątem zapisów rodzących zobowiązania, które mogą być intepretowane jak zobowiązania o charakterze prawno-międzynarodowym, </w:t>
      </w:r>
      <w:bookmarkStart w:id="67" w:name="_Hlk139891715"/>
      <w:r w:rsidRPr="00AE7A5B">
        <w:rPr>
          <w:rFonts w:eastAsia="Times New Roman" w:cs="Times New Roman"/>
          <w:bCs/>
          <w:szCs w:val="20"/>
          <w:lang w:eastAsia="pl-PL"/>
        </w:rPr>
        <w:t xml:space="preserve">zostało </w:t>
      </w:r>
      <w:r w:rsidRPr="00AE7A5B">
        <w:rPr>
          <w:rFonts w:cs="Times New Roman"/>
          <w:bCs/>
          <w:szCs w:val="20"/>
        </w:rPr>
        <w:t>zrealizowane</w:t>
      </w:r>
      <w:bookmarkEnd w:id="67"/>
      <w:r w:rsidRPr="00AE7A5B">
        <w:rPr>
          <w:rFonts w:cs="Times New Roman"/>
          <w:bCs/>
          <w:szCs w:val="20"/>
        </w:rPr>
        <w:t>.</w:t>
      </w:r>
    </w:p>
    <w:p w:rsidR="00AE7A5B" w:rsidRPr="00AE7A5B" w:rsidP="00AE7A5B">
      <w:pPr>
        <w:spacing w:before="120" w:after="0" w:line="240" w:lineRule="auto"/>
        <w:ind w:left="357"/>
        <w:jc w:val="left"/>
        <w:rPr>
          <w:rFonts w:cs="Times New Roman"/>
          <w:bCs/>
          <w:szCs w:val="20"/>
        </w:rPr>
      </w:pPr>
      <w:r w:rsidRPr="00AE7A5B">
        <w:rPr>
          <w:rFonts w:cs="Times New Roman"/>
          <w:bCs/>
          <w:szCs w:val="20"/>
        </w:rPr>
        <w:t>Na próbie 4 um</w:t>
      </w:r>
      <w:bookmarkStart w:id="68" w:name="_Hlk144904577"/>
      <w:r w:rsidRPr="00AE7A5B">
        <w:rPr>
          <w:rFonts w:cs="Times New Roman"/>
          <w:bCs/>
          <w:szCs w:val="20"/>
        </w:rPr>
        <w:t>ów międzynarodowych</w:t>
      </w:r>
      <w:r>
        <w:rPr>
          <w:rFonts w:cs="Times New Roman"/>
          <w:bCs/>
          <w:szCs w:val="20"/>
          <w:vertAlign w:val="superscript"/>
        </w:rPr>
        <w:footnoteReference w:id="372"/>
      </w:r>
      <w:r w:rsidRPr="00AE7A5B">
        <w:rPr>
          <w:rFonts w:cs="Times New Roman"/>
          <w:bCs/>
          <w:szCs w:val="20"/>
        </w:rPr>
        <w:t xml:space="preserve"> </w:t>
      </w:r>
      <w:bookmarkEnd w:id="68"/>
      <w:r w:rsidRPr="00AE7A5B">
        <w:rPr>
          <w:rFonts w:cs="Times New Roman"/>
          <w:bCs/>
          <w:szCs w:val="20"/>
        </w:rPr>
        <w:t xml:space="preserve">ustalono, że PIG przed ich zawarciem dokonał analizy pod kątem postanowień rodzących zobowiązania o charakterze prawnomiędzynarodowym. </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IV/1-5, IV/96-97, IV/163-169]</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9</w:t>
      </w:r>
      <w:r>
        <w:rPr>
          <w:rFonts w:cs="Times New Roman"/>
          <w:bCs/>
          <w:szCs w:val="20"/>
          <w:vertAlign w:val="superscript"/>
        </w:rPr>
        <w:footnoteReference w:id="373"/>
      </w:r>
      <w:r w:rsidRPr="00AE7A5B">
        <w:rPr>
          <w:rFonts w:cs="Times New Roman"/>
          <w:bCs/>
          <w:szCs w:val="20"/>
        </w:rPr>
        <w:t xml:space="preserve"> dotyczące u</w:t>
      </w:r>
      <w:r w:rsidRPr="00AE7A5B">
        <w:rPr>
          <w:rFonts w:eastAsia="Times New Roman" w:cs="Times New Roman"/>
          <w:bCs/>
          <w:szCs w:val="20"/>
          <w:lang w:eastAsia="pl-PL"/>
        </w:rPr>
        <w:t xml:space="preserve">porządkowania podstaw prawnych współpracy z Czeską Służbą Geologiczną oraz współpracy na podstawie bezterminowej umowy ramowej uzupełnianej o aneksy szczegółowo określające zakres wspólnych prac albo na podstawie umów terminowych – w tej sytuacji należy wygasić umowę ramową, zostało </w:t>
      </w:r>
      <w:r w:rsidRPr="00AE7A5B">
        <w:rPr>
          <w:rFonts w:cs="Times New Roman"/>
          <w:bCs/>
          <w:szCs w:val="20"/>
        </w:rPr>
        <w:t>zrealizowane</w:t>
      </w:r>
      <w:r w:rsidRPr="00AE7A5B">
        <w:rPr>
          <w:rFonts w:eastAsia="Times New Roman" w:cs="Times New Roman"/>
          <w:bCs/>
          <w:szCs w:val="20"/>
          <w:lang w:eastAsia="pl-PL"/>
        </w:rPr>
        <w:t>.</w:t>
      </w:r>
    </w:p>
    <w:p w:rsidR="00AE7A5B" w:rsidRPr="00AE7A5B" w:rsidP="00AE7A5B">
      <w:pPr>
        <w:spacing w:before="120" w:after="120" w:line="240" w:lineRule="auto"/>
        <w:ind w:left="357"/>
        <w:jc w:val="left"/>
        <w:rPr>
          <w:rFonts w:cs="Times New Roman"/>
          <w:bCs/>
          <w:szCs w:val="20"/>
        </w:rPr>
      </w:pPr>
      <w:r w:rsidRPr="00AE7A5B">
        <w:rPr>
          <w:rFonts w:cs="Times New Roman"/>
          <w:bCs/>
          <w:szCs w:val="20"/>
        </w:rPr>
        <w:t>Ustalono, że współpraca z Czeską Służbą Geologiczną odbywa się jedynie na podstawie bezterminowego porozumienia z 18 czerwca 2002 r.</w:t>
      </w:r>
      <w:r>
        <w:rPr>
          <w:rFonts w:cs="Times New Roman"/>
          <w:bCs/>
          <w:szCs w:val="20"/>
          <w:vertAlign w:val="superscript"/>
        </w:rPr>
        <w:footnoteReference w:id="374"/>
      </w:r>
      <w:r w:rsidRPr="00AE7A5B">
        <w:rPr>
          <w:rFonts w:cs="Times New Roman"/>
          <w:bCs/>
          <w:szCs w:val="20"/>
        </w:rPr>
        <w:t xml:space="preserve">, zaś druga umowa wygasła </w:t>
      </w:r>
      <w:r w:rsidRPr="00AE7A5B">
        <w:rPr>
          <w:rFonts w:cs="Times New Roman"/>
          <w:bCs/>
          <w:szCs w:val="20"/>
        </w:rPr>
        <w:br/>
        <w:t>26 lipca 2021 r.</w:t>
      </w:r>
      <w:r>
        <w:rPr>
          <w:rFonts w:cs="Times New Roman"/>
          <w:bCs/>
          <w:szCs w:val="20"/>
          <w:vertAlign w:val="superscript"/>
        </w:rPr>
        <w:footnoteReference w:id="375"/>
      </w:r>
      <w:r w:rsidRPr="00AE7A5B">
        <w:rPr>
          <w:rFonts w:cs="Times New Roman"/>
          <w:bCs/>
          <w:szCs w:val="20"/>
        </w:rPr>
        <w:t xml:space="preserve"> i nie była przedłużona.</w:t>
      </w:r>
    </w:p>
    <w:p w:rsidR="00AE7A5B" w:rsidRPr="00AE7A5B" w:rsidP="00AE7A5B">
      <w:pPr>
        <w:spacing w:after="120" w:line="240" w:lineRule="auto"/>
        <w:ind w:left="357"/>
        <w:jc w:val="left"/>
        <w:rPr>
          <w:rFonts w:cs="Times New Roman"/>
          <w:bCs/>
          <w:szCs w:val="20"/>
        </w:rPr>
      </w:pPr>
      <w:r w:rsidRPr="00AE7A5B">
        <w:rPr>
          <w:rFonts w:eastAsia="Calibri"/>
          <w:bCs/>
          <w:szCs w:val="20"/>
        </w:rPr>
        <w:t>[Dowód: akta kontroli str. IV/1-5, IV/98-99, IV/163-169]</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1</w:t>
      </w:r>
      <w:r>
        <w:rPr>
          <w:rFonts w:cs="Times New Roman"/>
          <w:bCs/>
          <w:szCs w:val="20"/>
          <w:vertAlign w:val="superscript"/>
        </w:rPr>
        <w:footnoteReference w:id="376"/>
      </w:r>
      <w:r w:rsidRPr="00AE7A5B">
        <w:rPr>
          <w:rFonts w:cs="Times New Roman"/>
          <w:bCs/>
          <w:szCs w:val="20"/>
        </w:rPr>
        <w:t xml:space="preserve"> dotyczące p</w:t>
      </w:r>
      <w:r w:rsidRPr="00AE7A5B">
        <w:rPr>
          <w:rFonts w:eastAsia="Times New Roman" w:cs="Times New Roman"/>
          <w:bCs/>
          <w:szCs w:val="20"/>
          <w:lang w:eastAsia="pl-PL"/>
        </w:rPr>
        <w:t xml:space="preserve">odjęcia działań mających na celu wyeliminowanie przypadków udzielania zamówień niezgodnie z wewnętrznymi regulacjami oraz </w:t>
      </w:r>
      <w:r w:rsidRPr="00AE7A5B">
        <w:rPr>
          <w:rFonts w:eastAsia="Times New Roman" w:cs="Times New Roman"/>
          <w:bCs/>
          <w:szCs w:val="20"/>
          <w:lang w:eastAsia="pl-PL"/>
        </w:rPr>
        <w:br/>
        <w:t xml:space="preserve">po faktycznym wykonaniu przedmiotu zamówienia, zostało </w:t>
      </w:r>
      <w:r w:rsidRPr="00AE7A5B">
        <w:rPr>
          <w:rFonts w:cs="Times New Roman"/>
          <w:bCs/>
          <w:szCs w:val="20"/>
        </w:rPr>
        <w:t>częściowo zrealizowane</w:t>
      </w:r>
      <w:r w:rsidRPr="00AE7A5B">
        <w:rPr>
          <w:rFonts w:eastAsia="Times New Roman" w:cs="Times New Roman"/>
          <w:bCs/>
          <w:szCs w:val="20"/>
          <w:lang w:eastAsia="pl-PL"/>
        </w:rPr>
        <w:t>.</w:t>
      </w:r>
    </w:p>
    <w:p w:rsidR="00AE7A5B" w:rsidRPr="00AE7A5B" w:rsidP="00AE7A5B">
      <w:pPr>
        <w:spacing w:before="120" w:after="120" w:line="240" w:lineRule="auto"/>
        <w:ind w:firstLine="357"/>
        <w:jc w:val="left"/>
        <w:rPr>
          <w:bCs/>
          <w:szCs w:val="20"/>
        </w:rPr>
      </w:pPr>
      <w:r w:rsidRPr="00AE7A5B">
        <w:rPr>
          <w:bCs/>
          <w:szCs w:val="20"/>
        </w:rPr>
        <w:t xml:space="preserve">Szczegółowe ustalenia zostały zawarte powyżej w części </w:t>
      </w:r>
      <w:r w:rsidRPr="00AE7A5B">
        <w:rPr>
          <w:rFonts w:cs="Times New Roman"/>
          <w:bCs/>
          <w:szCs w:val="20"/>
        </w:rPr>
        <w:t>1 pkt d).</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I/1-489/AC, IV/102-103, IV/162]</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2</w:t>
      </w:r>
      <w:r>
        <w:rPr>
          <w:rFonts w:cs="Times New Roman"/>
          <w:bCs/>
          <w:szCs w:val="20"/>
          <w:vertAlign w:val="superscript"/>
        </w:rPr>
        <w:footnoteReference w:id="377"/>
      </w:r>
      <w:r w:rsidRPr="00AE7A5B">
        <w:rPr>
          <w:rFonts w:cs="Times New Roman"/>
          <w:bCs/>
          <w:szCs w:val="20"/>
        </w:rPr>
        <w:t xml:space="preserve"> dotyczące p</w:t>
      </w:r>
      <w:r w:rsidRPr="00AE7A5B">
        <w:rPr>
          <w:rFonts w:eastAsia="Times New Roman" w:cs="Times New Roman"/>
          <w:bCs/>
          <w:szCs w:val="20"/>
          <w:lang w:eastAsia="pl-PL"/>
        </w:rPr>
        <w:t>odjęcia działań mających na celu wyeliminowanie przypadków braku pełnej dokumentacji realizowanych umów zlecenia oraz odbioru przedmiotu umowy przez osoby, które nie miały wiedzy o tym, jaka praca została zlecona, zostało</w:t>
      </w:r>
      <w:r w:rsidRPr="00AE7A5B">
        <w:rPr>
          <w:rFonts w:cs="Times New Roman"/>
          <w:bCs/>
          <w:szCs w:val="20"/>
        </w:rPr>
        <w:t xml:space="preserve"> zrealizowane</w:t>
      </w:r>
      <w:r w:rsidRPr="00AE7A5B">
        <w:rPr>
          <w:rFonts w:eastAsia="Times New Roman" w:cs="Times New Roman"/>
          <w:bCs/>
          <w:szCs w:val="20"/>
          <w:lang w:eastAsia="pl-PL"/>
        </w:rPr>
        <w:t>.</w:t>
      </w:r>
    </w:p>
    <w:p w:rsidR="00AE7A5B" w:rsidRPr="00AE7A5B" w:rsidP="00AE7A5B">
      <w:pPr>
        <w:spacing w:before="120" w:after="0" w:line="240" w:lineRule="auto"/>
        <w:ind w:left="357"/>
        <w:jc w:val="left"/>
        <w:rPr>
          <w:rFonts w:cs="Times New Roman"/>
          <w:bCs/>
          <w:szCs w:val="20"/>
        </w:rPr>
      </w:pPr>
      <w:r w:rsidRPr="00AE7A5B">
        <w:rPr>
          <w:rFonts w:cs="Times New Roman"/>
          <w:bCs/>
          <w:szCs w:val="20"/>
        </w:rPr>
        <w:t>Na próbie 10 umów</w:t>
      </w:r>
      <w:r>
        <w:rPr>
          <w:rFonts w:cs="Times New Roman"/>
          <w:bCs/>
          <w:szCs w:val="20"/>
          <w:vertAlign w:val="superscript"/>
        </w:rPr>
        <w:footnoteReference w:id="378"/>
      </w:r>
      <w:r w:rsidRPr="00AE7A5B">
        <w:rPr>
          <w:rFonts w:cs="Times New Roman"/>
          <w:bCs/>
          <w:szCs w:val="20"/>
        </w:rPr>
        <w:t xml:space="preserve"> ustalono, że: </w:t>
      </w:r>
      <w:r w:rsidRPr="00AE7A5B">
        <w:rPr>
          <w:bCs/>
        </w:rPr>
        <w:t xml:space="preserve">kierowano zapytania ofertowe do co najmniej </w:t>
      </w:r>
      <w:r w:rsidRPr="00AE7A5B">
        <w:rPr>
          <w:bCs/>
        </w:rPr>
        <w:br/>
        <w:t xml:space="preserve">3 wykonawców, a w przypadku odstąpienia od kierowania zapytań i wybrania konkretnego wykonawcy, informacje z uzasadnieniem takiego postępowania znajdowały się w uzasadnieniach do wniosków; </w:t>
      </w:r>
      <w:r w:rsidRPr="00AE7A5B">
        <w:rPr>
          <w:rFonts w:cs="Times New Roman"/>
          <w:bCs/>
          <w:szCs w:val="20"/>
        </w:rPr>
        <w:t xml:space="preserve">do wniosków załączano szczegółowe opisy czynności do wykonania w ramach umów; do odbioru robót wyznaczani byli pracownicy komórek merytorycznych z zakresu przedmiotu realizowanej umowy; umowy przechowywane były chronologicznie według numerów umów zgodnie </w:t>
      </w:r>
      <w:r w:rsidRPr="00AE7A5B">
        <w:rPr>
          <w:rFonts w:cs="Times New Roman"/>
          <w:bCs/>
          <w:szCs w:val="20"/>
        </w:rPr>
        <w:br/>
        <w:t xml:space="preserve">z rejestrem umów Instytut przechowywał zawarte umowy; do umów dołączone były analizy rynku, sporządzone w formie notatek służbowych lub korespondencji mailowej, uzasadniającej dokonany wybór wykonawcy lub cel umowy; przechowywano rachunki. </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IV/104-105, IV/354-359]</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3</w:t>
      </w:r>
      <w:r>
        <w:rPr>
          <w:rFonts w:cs="Times New Roman"/>
          <w:bCs/>
          <w:szCs w:val="20"/>
          <w:vertAlign w:val="superscript"/>
        </w:rPr>
        <w:footnoteReference w:id="379"/>
      </w:r>
      <w:r w:rsidRPr="00AE7A5B">
        <w:rPr>
          <w:rFonts w:cs="Times New Roman"/>
          <w:bCs/>
          <w:szCs w:val="20"/>
        </w:rPr>
        <w:t xml:space="preserve"> dotyczące p</w:t>
      </w:r>
      <w:r w:rsidRPr="00AE7A5B">
        <w:rPr>
          <w:rFonts w:eastAsia="Times New Roman" w:cs="Times New Roman"/>
          <w:bCs/>
          <w:szCs w:val="20"/>
          <w:lang w:eastAsia="pl-PL"/>
        </w:rPr>
        <w:t>odjęcia działań mających na celu wyeliminowanie przypadków zawierania umów cywilnoprawnych w zakresie wpisującym się w zakres działania komórek organizacyjnych PIG, zostało</w:t>
      </w:r>
      <w:r w:rsidRPr="00AE7A5B">
        <w:rPr>
          <w:rFonts w:cs="Times New Roman"/>
          <w:bCs/>
          <w:szCs w:val="20"/>
        </w:rPr>
        <w:t xml:space="preserve"> niezrealizowane.</w:t>
      </w:r>
    </w:p>
    <w:p w:rsidR="00AE7A5B" w:rsidRPr="00AE7A5B" w:rsidP="00AE7A5B">
      <w:pPr>
        <w:spacing w:before="120" w:after="0" w:line="240" w:lineRule="auto"/>
        <w:ind w:left="357"/>
        <w:jc w:val="left"/>
        <w:rPr>
          <w:rFonts w:cs="Times New Roman"/>
          <w:bCs/>
          <w:szCs w:val="20"/>
        </w:rPr>
      </w:pPr>
      <w:r w:rsidRPr="00AE7A5B">
        <w:rPr>
          <w:rFonts w:cs="Times New Roman"/>
          <w:bCs/>
          <w:szCs w:val="20"/>
        </w:rPr>
        <w:t>Ustalono, że przedmiot 10 umów cywilnoprawnych</w:t>
      </w:r>
      <w:r>
        <w:rPr>
          <w:rFonts w:cs="Times New Roman"/>
          <w:bCs/>
          <w:szCs w:val="20"/>
          <w:vertAlign w:val="superscript"/>
        </w:rPr>
        <w:footnoteReference w:id="380"/>
      </w:r>
      <w:r w:rsidRPr="00AE7A5B">
        <w:rPr>
          <w:rFonts w:cs="Times New Roman"/>
          <w:bCs/>
          <w:szCs w:val="20"/>
        </w:rPr>
        <w:t xml:space="preserve"> pokrywał się z zadaniami NAG, </w:t>
      </w:r>
      <w:r w:rsidRPr="00AE7A5B">
        <w:rPr>
          <w:rFonts w:cs="Times New Roman"/>
          <w:bCs/>
          <w:szCs w:val="20"/>
        </w:rPr>
        <w:br/>
        <w:t>a przedmiot 5 umów</w:t>
      </w:r>
      <w:r>
        <w:rPr>
          <w:rFonts w:cs="Times New Roman"/>
          <w:bCs/>
          <w:szCs w:val="20"/>
          <w:vertAlign w:val="superscript"/>
        </w:rPr>
        <w:footnoteReference w:id="381"/>
      </w:r>
      <w:r w:rsidRPr="00AE7A5B">
        <w:rPr>
          <w:rFonts w:cs="Times New Roman"/>
          <w:bCs/>
          <w:szCs w:val="20"/>
        </w:rPr>
        <w:t xml:space="preserve"> pokrywał się zadaniami Zespołu Controllingu, co zostało szczegółowo opisane w części 1 pkt c).</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I/SP/6-9, I/SP/11-181, I/SP/302-349, IV/106-107, IV/354-359]</w:t>
      </w:r>
    </w:p>
    <w:p w:rsidR="00AE7A5B" w:rsidRPr="00AE7A5B" w:rsidP="00AE7A5B">
      <w:pPr>
        <w:numPr>
          <w:ilvl w:val="0"/>
          <w:numId w:val="6"/>
        </w:numPr>
        <w:spacing w:after="0" w:line="240" w:lineRule="auto"/>
        <w:jc w:val="left"/>
        <w:rPr>
          <w:rFonts w:cs="Times New Roman"/>
          <w:bCs/>
          <w:szCs w:val="20"/>
        </w:rPr>
      </w:pPr>
      <w:r w:rsidRPr="00AE7A5B">
        <w:rPr>
          <w:bCs/>
        </w:rPr>
        <w:t xml:space="preserve">zalecenie nr </w:t>
      </w:r>
      <w:r w:rsidRPr="00AE7A5B">
        <w:rPr>
          <w:rFonts w:cs="Times New Roman"/>
          <w:bCs/>
          <w:szCs w:val="20"/>
        </w:rPr>
        <w:t>4</w:t>
      </w:r>
      <w:r>
        <w:rPr>
          <w:rFonts w:cs="Times New Roman"/>
          <w:bCs/>
          <w:szCs w:val="20"/>
          <w:vertAlign w:val="superscript"/>
        </w:rPr>
        <w:footnoteReference w:id="382"/>
      </w:r>
      <w:r w:rsidRPr="00AE7A5B">
        <w:rPr>
          <w:rFonts w:cs="Times New Roman"/>
          <w:bCs/>
          <w:szCs w:val="20"/>
        </w:rPr>
        <w:t xml:space="preserve"> dotyczące p</w:t>
      </w:r>
      <w:r w:rsidRPr="00AE7A5B">
        <w:rPr>
          <w:rFonts w:eastAsia="Times New Roman" w:cs="Times New Roman"/>
          <w:bCs/>
          <w:szCs w:val="20"/>
          <w:lang w:eastAsia="pl-PL"/>
        </w:rPr>
        <w:t xml:space="preserve">odjęcia działań doprowadzających do wdrożenia zaleceń </w:t>
      </w:r>
      <w:r w:rsidRPr="00AE7A5B">
        <w:rPr>
          <w:rFonts w:eastAsia="Times New Roman" w:cs="Times New Roman"/>
          <w:bCs/>
          <w:szCs w:val="20"/>
          <w:lang w:eastAsia="pl-PL"/>
        </w:rPr>
        <w:br/>
        <w:t>i wniosków pokontrolnych z kontroli przeprowadzonych w tym:</w:t>
      </w:r>
    </w:p>
    <w:p w:rsidR="00AE7A5B" w:rsidRPr="00AE7A5B" w:rsidP="00AE7A5B">
      <w:pPr>
        <w:numPr>
          <w:ilvl w:val="0"/>
          <w:numId w:val="16"/>
        </w:numPr>
        <w:spacing w:before="120" w:after="120" w:line="240" w:lineRule="auto"/>
        <w:ind w:left="641" w:hanging="284"/>
        <w:jc w:val="left"/>
        <w:rPr>
          <w:bCs/>
          <w:sz w:val="24"/>
          <w:szCs w:val="20"/>
        </w:rPr>
      </w:pPr>
      <w:r w:rsidRPr="00AE7A5B">
        <w:rPr>
          <w:bCs/>
          <w:szCs w:val="20"/>
        </w:rPr>
        <w:t xml:space="preserve">w odniesieniu do zalecenia z wystąpienia pokontrolnego z </w:t>
      </w:r>
      <w:r w:rsidRPr="00AE7A5B">
        <w:rPr>
          <w:rFonts w:eastAsia="Times New Roman" w:cs="Times New Roman"/>
          <w:bCs/>
          <w:szCs w:val="20"/>
          <w:lang w:eastAsia="pl-PL"/>
        </w:rPr>
        <w:t xml:space="preserve">13 października 2017 r. znak P/17/015, dotyczącego zapewnienia realizacji zadania sprawdzania poboru próbek z wykonania robót geologicznych, zgodnie z zakresem kompetencji </w:t>
      </w:r>
      <w:r w:rsidRPr="00AE7A5B">
        <w:rPr>
          <w:rFonts w:eastAsia="Times New Roman" w:cs="Times New Roman"/>
          <w:bCs/>
          <w:szCs w:val="20"/>
          <w:lang w:eastAsia="pl-PL"/>
        </w:rPr>
        <w:br/>
        <w:t xml:space="preserve">i wymogów określonych w Prawie geologicznym i górniczym </w:t>
      </w:r>
      <w:r w:rsidRPr="00AE7A5B">
        <w:rPr>
          <w:bCs/>
          <w:szCs w:val="20"/>
        </w:rPr>
        <w:t xml:space="preserve">ustalono, że w planie </w:t>
      </w:r>
      <w:r w:rsidRPr="00AE7A5B">
        <w:rPr>
          <w:bCs/>
          <w:szCs w:val="20"/>
        </w:rPr>
        <w:t xml:space="preserve">prac PSG na 2020 r. w ramach zadania sprawdzenia prawidłowości poboru próbek </w:t>
      </w:r>
      <w:r w:rsidRPr="00AE7A5B">
        <w:rPr>
          <w:bCs/>
          <w:szCs w:val="20"/>
        </w:rPr>
        <w:br/>
        <w:t>z wykonania robót geologicznych zaplanowano jedynie etap pilotażowy sprawdzania prawidłowości</w:t>
      </w:r>
      <w:r>
        <w:rPr>
          <w:bCs/>
          <w:szCs w:val="20"/>
          <w:vertAlign w:val="superscript"/>
        </w:rPr>
        <w:footnoteReference w:id="383"/>
      </w:r>
      <w:r w:rsidRPr="00AE7A5B">
        <w:rPr>
          <w:bCs/>
          <w:szCs w:val="20"/>
        </w:rPr>
        <w:t>, a na realizację zadania pozyskano środki z NFOŚiGW</w:t>
      </w:r>
      <w:r>
        <w:rPr>
          <w:bCs/>
          <w:szCs w:val="20"/>
          <w:vertAlign w:val="superscript"/>
        </w:rPr>
        <w:footnoteReference w:id="384"/>
      </w:r>
      <w:r w:rsidRPr="00AE7A5B">
        <w:rPr>
          <w:bCs/>
          <w:szCs w:val="20"/>
        </w:rPr>
        <w:t>, które wstępnie miało być realizowane do 31 grudnia 2021 r. Natomiast pismem z 20 kwietnia 2021 r.</w:t>
      </w:r>
      <w:r>
        <w:rPr>
          <w:bCs/>
          <w:szCs w:val="20"/>
          <w:vertAlign w:val="superscript"/>
        </w:rPr>
        <w:footnoteReference w:id="385"/>
      </w:r>
      <w:r w:rsidRPr="00AE7A5B">
        <w:rPr>
          <w:bCs/>
          <w:szCs w:val="20"/>
        </w:rPr>
        <w:t xml:space="preserve"> Departament Nadzoru Geologicznego i Polityki Surowcowej </w:t>
      </w:r>
      <w:r w:rsidRPr="00AE7A5B">
        <w:rPr>
          <w:bCs/>
          <w:szCs w:val="20"/>
        </w:rPr>
        <w:t>MKiŚ</w:t>
      </w:r>
      <w:r w:rsidRPr="00AE7A5B">
        <w:rPr>
          <w:bCs/>
          <w:szCs w:val="20"/>
        </w:rPr>
        <w:t xml:space="preserve"> poinformował PIG, że w związku z trwającymi pracami nad nowelizacją ustawy Prawo geologiczne i górnicze, podjęta została decyzja o usunięciu z katalogu zadań PSG zadania dotyczącego poboru próbek oraz zalecił skrócenie terminu realizacji do 30 czerwca 2021 r.</w:t>
      </w:r>
      <w:r>
        <w:rPr>
          <w:bCs/>
          <w:szCs w:val="20"/>
          <w:vertAlign w:val="superscript"/>
        </w:rPr>
        <w:footnoteReference w:id="386"/>
      </w:r>
      <w:r w:rsidRPr="00AE7A5B">
        <w:rPr>
          <w:bCs/>
          <w:szCs w:val="20"/>
        </w:rPr>
        <w:t xml:space="preserve"> Do zakończenia czynności kontrolnych nadal obowiązywały zapisy ustawy </w:t>
      </w:r>
      <w:r w:rsidRPr="00AE7A5B">
        <w:rPr>
          <w:rFonts w:eastAsia="Times New Roman" w:cs="Times New Roman"/>
          <w:bCs/>
          <w:szCs w:val="20"/>
          <w:lang w:eastAsia="pl-PL"/>
        </w:rPr>
        <w:t xml:space="preserve">Prawo geologiczne i górnicze dotyczące </w:t>
      </w:r>
      <w:r w:rsidRPr="00AE7A5B">
        <w:rPr>
          <w:bCs/>
          <w:szCs w:val="20"/>
        </w:rPr>
        <w:t xml:space="preserve">sprawdzenia prawidłowości poboru próbek, zgodnie z art. 162 ust. 1 pkt 11 ww. ustawy;  </w:t>
      </w:r>
    </w:p>
    <w:p w:rsidR="00AE7A5B" w:rsidRPr="00AE7A5B" w:rsidP="00AE7A5B">
      <w:pPr>
        <w:spacing w:after="120" w:line="240" w:lineRule="auto"/>
        <w:ind w:left="641"/>
        <w:jc w:val="left"/>
        <w:rPr>
          <w:bCs/>
          <w:szCs w:val="20"/>
        </w:rPr>
      </w:pPr>
      <w:r w:rsidRPr="00AE7A5B">
        <w:rPr>
          <w:bCs/>
          <w:szCs w:val="20"/>
        </w:rPr>
        <w:t>[Dowód: akta kontroli str. IV/100-101, IV/292-334, IV/426-429]</w:t>
      </w:r>
    </w:p>
    <w:p w:rsidR="00AE7A5B" w:rsidRPr="00AE7A5B" w:rsidP="00AE7A5B">
      <w:pPr>
        <w:numPr>
          <w:ilvl w:val="0"/>
          <w:numId w:val="20"/>
        </w:numPr>
        <w:spacing w:before="120" w:after="0" w:line="240" w:lineRule="auto"/>
        <w:ind w:left="641" w:hanging="284"/>
        <w:jc w:val="left"/>
        <w:rPr>
          <w:bCs/>
          <w:szCs w:val="20"/>
        </w:rPr>
      </w:pPr>
      <w:r w:rsidRPr="00AE7A5B">
        <w:rPr>
          <w:bCs/>
          <w:szCs w:val="20"/>
        </w:rPr>
        <w:t>zalecenie nr 3 w</w:t>
      </w:r>
      <w:r w:rsidRPr="00AE7A5B">
        <w:rPr>
          <w:rFonts w:eastAsia="Times New Roman" w:cs="Times New Roman"/>
          <w:bCs/>
          <w:szCs w:val="20"/>
          <w:lang w:eastAsia="pl-PL"/>
        </w:rPr>
        <w:t xml:space="preserve">ystąpienia pokontrolnego </w:t>
      </w:r>
      <w:r w:rsidRPr="00AE7A5B">
        <w:rPr>
          <w:rFonts w:eastAsia="Calibri" w:cs="Times New Roman"/>
          <w:bCs/>
          <w:szCs w:val="20"/>
        </w:rPr>
        <w:t>z</w:t>
      </w:r>
      <w:r w:rsidRPr="00AE7A5B">
        <w:rPr>
          <w:rFonts w:eastAsia="Times New Roman" w:cs="Times New Roman"/>
          <w:bCs/>
          <w:szCs w:val="20"/>
          <w:lang w:eastAsia="pl-PL"/>
        </w:rPr>
        <w:t xml:space="preserve"> 15 września 2015 r., znak KSI.411.001.01.2015, S/15/001</w:t>
      </w:r>
      <w:r w:rsidRPr="00AE7A5B">
        <w:rPr>
          <w:rFonts w:eastAsia="Calibri" w:cs="Times New Roman"/>
          <w:bCs/>
          <w:szCs w:val="20"/>
        </w:rPr>
        <w:t xml:space="preserve"> dotyczące podjęcia działań zapewniających rzetelne prowadzenie dokumentacji zlecania realizacji zadań na podstawie umów cywilnoprawnych zostało częściowo zrealizowane.  </w:t>
      </w:r>
    </w:p>
    <w:p w:rsidR="00AE7A5B" w:rsidRPr="00AE7A5B" w:rsidP="00AE7A5B">
      <w:pPr>
        <w:spacing w:before="120" w:after="0" w:line="240" w:lineRule="auto"/>
        <w:ind w:left="641"/>
        <w:jc w:val="left"/>
        <w:rPr>
          <w:bCs/>
          <w:szCs w:val="20"/>
        </w:rPr>
      </w:pPr>
      <w:r w:rsidRPr="00AE7A5B">
        <w:rPr>
          <w:rFonts w:cs="Times New Roman"/>
          <w:bCs/>
          <w:szCs w:val="20"/>
        </w:rPr>
        <w:t>Na próbie 10 umów</w:t>
      </w:r>
      <w:r>
        <w:rPr>
          <w:rFonts w:cs="Times New Roman"/>
          <w:bCs/>
          <w:szCs w:val="20"/>
          <w:vertAlign w:val="superscript"/>
        </w:rPr>
        <w:footnoteReference w:id="387"/>
      </w:r>
      <w:r w:rsidRPr="00AE7A5B">
        <w:rPr>
          <w:rFonts w:cs="Times New Roman"/>
          <w:bCs/>
          <w:szCs w:val="20"/>
        </w:rPr>
        <w:t xml:space="preserve"> ustalono, że w dokumentacjach do tych umów </w:t>
      </w:r>
      <w:r w:rsidRPr="00AE7A5B">
        <w:rPr>
          <w:bCs/>
          <w:szCs w:val="20"/>
        </w:rPr>
        <w:t xml:space="preserve">były protokoły odbioru oraz notatki z analizy rynku i potrzeb. Ponadto ustalono, że: przelew środków następował po złożeniu faktur przez wykonawców; protokoły odbioru sporządzane były po zakończeniu świadczenia usługi; przedmioty umów były zgodne z wnioskami; poprawki na umowach opatrzone były datą i czytelnym podpisem; wnioski zawierały termin realizacji zlecenia; nie stwierdzono braków lub błędów na wnioskach o zawarcie umów; nie stwierdzono niespójności w datach dotyczących sporządzania i rejestracji wniosku, sprawdzenia wniosku, zatwierdzenia zamówienia do realizacji i zawarcia umowy. </w:t>
      </w:r>
    </w:p>
    <w:p w:rsidR="00AE7A5B" w:rsidRPr="00AE7A5B" w:rsidP="00AE7A5B">
      <w:pPr>
        <w:spacing w:before="120" w:after="0" w:line="240" w:lineRule="auto"/>
        <w:ind w:left="641"/>
        <w:jc w:val="left"/>
        <w:rPr>
          <w:bCs/>
          <w:szCs w:val="20"/>
        </w:rPr>
      </w:pPr>
      <w:r w:rsidRPr="00AE7A5B">
        <w:rPr>
          <w:bCs/>
          <w:szCs w:val="20"/>
        </w:rPr>
        <w:t xml:space="preserve">Natomiast ustalono, że na wszystkich zweryfikowanych umowach nie było parafy Głównej Księgowej, co uniemożliwia służbom finansowym dokonanie oceny zaangażowania środków finansowych ujętych w planie finansowym Instytutu na wydatki bezosobowe. </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4 </w:t>
      </w:r>
      <w:r w:rsidRPr="00AE7A5B">
        <w:rPr>
          <w:rFonts w:eastAsia="Calibri" w:cs="Times New Roman"/>
          <w:bCs/>
          <w:szCs w:val="20"/>
        </w:rPr>
        <w:t>w</w:t>
      </w:r>
      <w:r w:rsidRPr="00AE7A5B">
        <w:rPr>
          <w:rFonts w:eastAsia="Times New Roman" w:cs="Times New Roman"/>
          <w:bCs/>
          <w:szCs w:val="20"/>
          <w:lang w:eastAsia="pl-PL"/>
        </w:rPr>
        <w:t xml:space="preserve">ystąpienia pokontrolnego </w:t>
      </w:r>
      <w:r w:rsidRPr="00AE7A5B">
        <w:rPr>
          <w:rFonts w:eastAsia="Calibri" w:cs="Times New Roman"/>
          <w:bCs/>
          <w:szCs w:val="20"/>
        </w:rPr>
        <w:t>z</w:t>
      </w:r>
      <w:r w:rsidRPr="00AE7A5B">
        <w:rPr>
          <w:rFonts w:eastAsia="Times New Roman" w:cs="Times New Roman"/>
          <w:bCs/>
          <w:szCs w:val="20"/>
          <w:lang w:eastAsia="pl-PL"/>
        </w:rPr>
        <w:t xml:space="preserve"> 15 września 2015 r., znak KSI.411.001.01.2015, S/15/001 dotyczące opracowania i wdrożenia procedur zapewniających dokumentowanie poszczególnych działań w procesie zlecania realizacji zadań na podstawie umów cywilnoprawnych umożliwiających ustalenie celowości i efektywności dokonanych wydatków ze środków publicznych</w:t>
      </w:r>
      <w:r w:rsidRPr="00AE7A5B">
        <w:rPr>
          <w:rFonts w:eastAsia="Calibri" w:cs="Times New Roman"/>
          <w:bCs/>
          <w:szCs w:val="20"/>
        </w:rPr>
        <w:t xml:space="preserve">, zostało niezrealizowane. </w:t>
      </w:r>
    </w:p>
    <w:p w:rsidR="00AE7A5B" w:rsidRPr="00AE7A5B" w:rsidP="00AE7A5B">
      <w:pPr>
        <w:spacing w:before="120" w:after="120" w:line="240" w:lineRule="auto"/>
        <w:ind w:left="641"/>
        <w:jc w:val="left"/>
        <w:rPr>
          <w:bCs/>
          <w:szCs w:val="20"/>
        </w:rPr>
      </w:pPr>
      <w:r w:rsidRPr="00AE7A5B">
        <w:rPr>
          <w:bCs/>
          <w:szCs w:val="20"/>
        </w:rPr>
        <w:t>Nie została opracowana i wdrożona procedura zapewniająca dokumentowanie poszczególnych działań w procesie zlecania realizacji zadań, na podstawie umów cywilnoprawnych, umożliwiających ustalenie celowości i efektywności dokonywanych wydatków ze środków publicznych.</w:t>
      </w:r>
    </w:p>
    <w:p w:rsidR="00AE7A5B" w:rsidRPr="00AE7A5B" w:rsidP="00AE7A5B">
      <w:pPr>
        <w:spacing w:after="120" w:line="240" w:lineRule="auto"/>
        <w:ind w:left="641"/>
        <w:jc w:val="left"/>
        <w:rPr>
          <w:rFonts w:cs="Times New Roman"/>
          <w:bCs/>
          <w:szCs w:val="20"/>
        </w:rPr>
      </w:pPr>
      <w:r w:rsidRPr="00AE7A5B">
        <w:rPr>
          <w:rFonts w:eastAsia="Calibri"/>
          <w:bCs/>
          <w:szCs w:val="20"/>
        </w:rPr>
        <w:t>[Dowód: akta kontroli str. IV/52-55, IV/354-359]</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1 wystąpienia pokontrolnego z 7 października 2016 r., znak BKA-I.0941.4.2016.MN zostało zrealizowane, a ustalenia zostały opisane powyżej </w:t>
      </w:r>
      <w:r w:rsidRPr="00AE7A5B">
        <w:rPr>
          <w:bCs/>
          <w:szCs w:val="20"/>
        </w:rPr>
        <w:br/>
        <w:t xml:space="preserve">w pkt 1 zaleceń; </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1 sprawozdania z kontroli z 14 września 2017 r., znak BKA-I.0943.10.2016.AG zostało zrealizowane, a ustalenia zostały opisane powyżej </w:t>
      </w:r>
      <w:r w:rsidRPr="00AE7A5B">
        <w:rPr>
          <w:bCs/>
          <w:szCs w:val="20"/>
        </w:rPr>
        <w:br/>
        <w:t xml:space="preserve">w pkt 4 zaleceń; </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2 sprawozdania z kontroli z 14 września 2017 r., znak BKA-I.0943.10.2016.AG zostało zrealizowane, a ustalenia zostały opisane powyżej </w:t>
      </w:r>
      <w:r w:rsidRPr="00AE7A5B">
        <w:rPr>
          <w:bCs/>
          <w:szCs w:val="20"/>
        </w:rPr>
        <w:br/>
        <w:t>w pkt 5 zaleceń;</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2 sprawozdania z kontroli z 15 września 2017 r., znak BKA-I.0943.10.2016.MN zostało niezrealizowane, a ustalenia zostały opisane powyżej </w:t>
      </w:r>
      <w:r w:rsidRPr="00AE7A5B">
        <w:rPr>
          <w:bCs/>
          <w:szCs w:val="20"/>
        </w:rPr>
        <w:br/>
        <w:t>w pkt 6 zaleceń;</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3 sprawozdania z kontroli z 15 września 2017 r., znak BKA-I.0943.10.2016.MN zostało niezrealizowane, a ustalenia zostały opisane powyżej </w:t>
      </w:r>
      <w:r w:rsidRPr="00AE7A5B">
        <w:rPr>
          <w:bCs/>
          <w:szCs w:val="20"/>
        </w:rPr>
        <w:br/>
        <w:t>w pkt 7;</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6 sprawozdania z kontroli z 15 września 2017 r., znak BKA-I.0943.10.2016. MN zostało niezrealizowane, a ustalenia zostały opisane powyżej </w:t>
      </w:r>
      <w:r w:rsidRPr="00AE7A5B">
        <w:rPr>
          <w:bCs/>
          <w:szCs w:val="20"/>
        </w:rPr>
        <w:br/>
        <w:t xml:space="preserve">w pkt 8 zaleceń; </w:t>
      </w:r>
    </w:p>
    <w:p w:rsidR="00AE7A5B" w:rsidRPr="00AE7A5B" w:rsidP="00AE7A5B">
      <w:pPr>
        <w:numPr>
          <w:ilvl w:val="0"/>
          <w:numId w:val="19"/>
        </w:numPr>
        <w:spacing w:before="120" w:after="120" w:line="240" w:lineRule="auto"/>
        <w:ind w:left="641" w:hanging="284"/>
        <w:jc w:val="left"/>
        <w:rPr>
          <w:bCs/>
          <w:szCs w:val="20"/>
        </w:rPr>
      </w:pPr>
      <w:r w:rsidRPr="00AE7A5B">
        <w:rPr>
          <w:bCs/>
          <w:szCs w:val="20"/>
        </w:rPr>
        <w:t xml:space="preserve">zalecenie nr 7 sprawozdania z kontroli z 15 września 2017 r., znak BKA-I.0943.10.2016.MN zostało zrealizowane, a ustalenia zostały opisane powyżej </w:t>
      </w:r>
      <w:r w:rsidRPr="00AE7A5B">
        <w:rPr>
          <w:bCs/>
          <w:szCs w:val="20"/>
        </w:rPr>
        <w:br/>
        <w:t>w pkt 9 zaleceń;</w:t>
      </w:r>
    </w:p>
    <w:p w:rsidR="00AE7A5B" w:rsidRPr="00AE7A5B" w:rsidP="00AE7A5B">
      <w:pPr>
        <w:spacing w:before="120" w:after="120" w:line="240" w:lineRule="auto"/>
        <w:ind w:left="284"/>
        <w:jc w:val="left"/>
        <w:rPr>
          <w:bCs/>
        </w:rPr>
      </w:pPr>
      <w:r w:rsidRPr="00AE7A5B">
        <w:rPr>
          <w:bCs/>
          <w:szCs w:val="20"/>
        </w:rPr>
        <w:t>[Dowód: akta kontroli str. IV/56-57, IV/62-73, IV/133-147, IV/153-177, IV/285-291]</w:t>
      </w:r>
    </w:p>
    <w:p w:rsidR="00AE7A5B" w:rsidRPr="00AE7A5B" w:rsidP="00AE7A5B">
      <w:pPr>
        <w:numPr>
          <w:ilvl w:val="0"/>
          <w:numId w:val="6"/>
        </w:numPr>
        <w:spacing w:after="0" w:line="240" w:lineRule="auto"/>
        <w:jc w:val="left"/>
        <w:rPr>
          <w:rFonts w:cs="Times New Roman"/>
          <w:bCs/>
          <w:szCs w:val="20"/>
        </w:rPr>
      </w:pPr>
      <w:r w:rsidRPr="00AE7A5B">
        <w:rPr>
          <w:bCs/>
          <w:szCs w:val="20"/>
        </w:rPr>
        <w:t xml:space="preserve">zalecenie </w:t>
      </w:r>
      <w:r w:rsidRPr="00AE7A5B">
        <w:rPr>
          <w:rFonts w:cs="Times New Roman"/>
          <w:bCs/>
          <w:szCs w:val="20"/>
        </w:rPr>
        <w:t>nr 5</w:t>
      </w:r>
      <w:r>
        <w:rPr>
          <w:rFonts w:cs="Times New Roman"/>
          <w:bCs/>
          <w:szCs w:val="20"/>
          <w:vertAlign w:val="superscript"/>
        </w:rPr>
        <w:footnoteReference w:id="388"/>
      </w:r>
      <w:r w:rsidRPr="00AE7A5B">
        <w:rPr>
          <w:rFonts w:cs="Times New Roman"/>
          <w:bCs/>
          <w:szCs w:val="20"/>
        </w:rPr>
        <w:t xml:space="preserve"> dotyczące p</w:t>
      </w:r>
      <w:r w:rsidRPr="00AE7A5B">
        <w:rPr>
          <w:rFonts w:eastAsia="Times New Roman" w:cs="Times New Roman"/>
          <w:bCs/>
          <w:szCs w:val="20"/>
          <w:lang w:eastAsia="pl-PL"/>
        </w:rPr>
        <w:t xml:space="preserve">odjęcia działań mających na celu wzmocnienie nadzoru nad aktualnością zakresów obowiązków pracowników, zostało niezrealizowane.  </w:t>
      </w:r>
    </w:p>
    <w:p w:rsidR="00AE7A5B" w:rsidRPr="00AE7A5B" w:rsidP="00AE7A5B">
      <w:pPr>
        <w:spacing w:before="120" w:after="0" w:line="240" w:lineRule="auto"/>
        <w:ind w:left="360"/>
        <w:jc w:val="left"/>
        <w:rPr>
          <w:rFonts w:cs="Times New Roman"/>
          <w:bCs/>
          <w:szCs w:val="20"/>
        </w:rPr>
      </w:pPr>
      <w:r w:rsidRPr="00AE7A5B">
        <w:rPr>
          <w:bCs/>
          <w:szCs w:val="20"/>
        </w:rPr>
        <w:t>Szczegółowe ustalenia zostały zawarte powyżej w części 3 pkt c)</w:t>
      </w:r>
      <w:r w:rsidRPr="00AE7A5B">
        <w:rPr>
          <w:rFonts w:cs="Times New Roman"/>
          <w:bCs/>
          <w:szCs w:val="20"/>
        </w:rPr>
        <w:t>.</w:t>
      </w:r>
    </w:p>
    <w:p w:rsidR="00AE7A5B" w:rsidRPr="00AE7A5B" w:rsidP="00AE7A5B">
      <w:pPr>
        <w:spacing w:before="120" w:after="120" w:line="240" w:lineRule="auto"/>
        <w:ind w:left="357"/>
        <w:jc w:val="left"/>
        <w:rPr>
          <w:rFonts w:cs="Times New Roman"/>
          <w:bCs/>
          <w:szCs w:val="20"/>
        </w:rPr>
      </w:pPr>
      <w:r w:rsidRPr="00AE7A5B">
        <w:rPr>
          <w:rFonts w:cs="Times New Roman"/>
          <w:bCs/>
          <w:szCs w:val="20"/>
        </w:rPr>
        <w:t>[Dowód: akta kontroli str. III/15-16, III/20, III/82-99, III/178, III/181-182, III/510-525, IV/180-182, IV/238-284, IV/430</w:t>
      </w:r>
      <w:r w:rsidRPr="00AE7A5B">
        <w:rPr>
          <w:bCs/>
          <w:szCs w:val="20"/>
          <w:lang w:eastAsia="ar-SA"/>
        </w:rPr>
        <w:t>]</w:t>
      </w:r>
    </w:p>
    <w:p w:rsidR="00AE7A5B" w:rsidRPr="00AE7A5B" w:rsidP="00AE7A5B">
      <w:pPr>
        <w:numPr>
          <w:ilvl w:val="0"/>
          <w:numId w:val="6"/>
        </w:numPr>
        <w:spacing w:before="120" w:after="0" w:line="240" w:lineRule="auto"/>
        <w:ind w:left="357" w:hanging="357"/>
        <w:jc w:val="left"/>
        <w:rPr>
          <w:bCs/>
          <w:szCs w:val="20"/>
        </w:rPr>
      </w:pPr>
      <w:r w:rsidRPr="00AE7A5B">
        <w:rPr>
          <w:bCs/>
          <w:szCs w:val="20"/>
        </w:rPr>
        <w:t xml:space="preserve">zalecenie nr </w:t>
      </w:r>
      <w:r w:rsidRPr="00AE7A5B">
        <w:rPr>
          <w:rFonts w:cs="Times New Roman"/>
          <w:bCs/>
          <w:szCs w:val="20"/>
        </w:rPr>
        <w:t>1</w:t>
      </w:r>
      <w:r>
        <w:rPr>
          <w:rFonts w:cs="Times New Roman"/>
          <w:bCs/>
          <w:szCs w:val="20"/>
          <w:vertAlign w:val="superscript"/>
        </w:rPr>
        <w:footnoteReference w:id="389"/>
      </w:r>
      <w:r w:rsidRPr="00AE7A5B">
        <w:rPr>
          <w:rFonts w:cs="Times New Roman"/>
          <w:bCs/>
          <w:szCs w:val="20"/>
        </w:rPr>
        <w:t xml:space="preserve"> dotyczące </w:t>
      </w:r>
      <w:r w:rsidRPr="00AE7A5B">
        <w:rPr>
          <w:rFonts w:eastAsia="Times New Roman" w:cs="Times New Roman"/>
          <w:bCs/>
          <w:szCs w:val="20"/>
          <w:lang w:eastAsia="pl-PL"/>
        </w:rPr>
        <w:t>udzielania zamówień zgodnie z wewnętrznymi regulacjami</w:t>
      </w:r>
      <w:r w:rsidRPr="00AE7A5B">
        <w:rPr>
          <w:rFonts w:cs="Times New Roman"/>
          <w:bCs/>
          <w:szCs w:val="20"/>
        </w:rPr>
        <w:t xml:space="preserve"> zostało niezrealizowane</w:t>
      </w:r>
      <w:r w:rsidRPr="00AE7A5B">
        <w:rPr>
          <w:rFonts w:eastAsia="Times New Roman" w:cs="Times New Roman"/>
          <w:bCs/>
          <w:szCs w:val="20"/>
          <w:lang w:eastAsia="pl-PL"/>
        </w:rPr>
        <w:t>.</w:t>
      </w:r>
    </w:p>
    <w:p w:rsidR="00AE7A5B" w:rsidRPr="00AE7A5B" w:rsidP="00AE7A5B">
      <w:pPr>
        <w:spacing w:before="120" w:after="0" w:line="240" w:lineRule="auto"/>
        <w:ind w:left="357"/>
        <w:jc w:val="left"/>
        <w:rPr>
          <w:bCs/>
          <w:szCs w:val="20"/>
        </w:rPr>
      </w:pPr>
      <w:r w:rsidRPr="00AE7A5B">
        <w:rPr>
          <w:rFonts w:cs="Times New Roman"/>
          <w:bCs/>
          <w:szCs w:val="20"/>
        </w:rPr>
        <w:t xml:space="preserve">Na wybranej próbie zamówień publicznych ustalono, że zamówienia publiczne były udzielane niezgodnie z Regulaminem zamówień, co zostało szczegółowo opisane powyżej w części 1 pkt d). </w:t>
      </w:r>
    </w:p>
    <w:p w:rsidR="00AE7A5B" w:rsidRPr="00AE7A5B" w:rsidP="00AE7A5B">
      <w:pPr>
        <w:spacing w:before="120" w:after="120" w:line="240" w:lineRule="auto"/>
        <w:ind w:left="357"/>
        <w:jc w:val="left"/>
        <w:rPr>
          <w:rFonts w:cs="Times New Roman"/>
          <w:bCs/>
          <w:szCs w:val="20"/>
        </w:rPr>
      </w:pPr>
      <w:bookmarkStart w:id="69" w:name="_Hlk140667789"/>
      <w:r w:rsidRPr="00AE7A5B">
        <w:rPr>
          <w:rFonts w:eastAsia="Calibri"/>
          <w:bCs/>
          <w:szCs w:val="20"/>
        </w:rPr>
        <w:t xml:space="preserve">[Dowód: akta kontroli str. </w:t>
      </w:r>
      <w:bookmarkEnd w:id="69"/>
      <w:r w:rsidRPr="00AE7A5B">
        <w:rPr>
          <w:rFonts w:eastAsia="Calibri"/>
          <w:bCs/>
          <w:szCs w:val="20"/>
        </w:rPr>
        <w:t>IV/112-113, IV/162]</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2</w:t>
      </w:r>
      <w:r>
        <w:rPr>
          <w:rFonts w:cs="Times New Roman"/>
          <w:bCs/>
          <w:szCs w:val="20"/>
          <w:vertAlign w:val="superscript"/>
        </w:rPr>
        <w:footnoteReference w:id="390"/>
      </w:r>
      <w:r w:rsidRPr="00AE7A5B">
        <w:rPr>
          <w:rFonts w:cs="Times New Roman"/>
          <w:bCs/>
          <w:szCs w:val="20"/>
        </w:rPr>
        <w:t xml:space="preserve"> dotyczące g</w:t>
      </w:r>
      <w:r w:rsidRPr="00AE7A5B">
        <w:rPr>
          <w:rFonts w:eastAsia="Times New Roman" w:cs="Times New Roman"/>
          <w:bCs/>
          <w:szCs w:val="20"/>
          <w:lang w:eastAsia="pl-PL"/>
        </w:rPr>
        <w:t>romadzenia pełnej dokumentacji realizowanych umów zlecenia oraz umów na dostawy/usługi/roboty</w:t>
      </w:r>
      <w:r>
        <w:rPr>
          <w:rFonts w:eastAsia="Times New Roman" w:cs="Times New Roman"/>
          <w:bCs/>
          <w:szCs w:val="20"/>
          <w:vertAlign w:val="superscript"/>
          <w:lang w:eastAsia="pl-PL"/>
        </w:rPr>
        <w:footnoteReference w:id="391"/>
      </w:r>
      <w:r w:rsidRPr="00AE7A5B">
        <w:rPr>
          <w:rFonts w:eastAsia="Times New Roman" w:cs="Times New Roman"/>
          <w:bCs/>
          <w:szCs w:val="20"/>
          <w:lang w:eastAsia="pl-PL"/>
        </w:rPr>
        <w:t>, z</w:t>
      </w:r>
      <w:r w:rsidRPr="00AE7A5B">
        <w:rPr>
          <w:rFonts w:eastAsia="Calibri" w:cs="Times New Roman"/>
          <w:bCs/>
          <w:szCs w:val="20"/>
          <w:lang w:eastAsia="ar-SA"/>
        </w:rPr>
        <w:t>ostało częściowo zrealizowane.</w:t>
      </w:r>
    </w:p>
    <w:p w:rsidR="00AE7A5B" w:rsidRPr="00AE7A5B" w:rsidP="00AE7A5B">
      <w:pPr>
        <w:spacing w:before="120" w:after="120" w:line="240" w:lineRule="auto"/>
        <w:ind w:left="360"/>
        <w:jc w:val="left"/>
        <w:rPr>
          <w:bCs/>
        </w:rPr>
      </w:pPr>
      <w:r w:rsidRPr="00AE7A5B">
        <w:rPr>
          <w:bCs/>
        </w:rPr>
        <w:t xml:space="preserve">Ustalenia dotyczące zalecenia w m.in. </w:t>
      </w:r>
      <w:r w:rsidRPr="00AE7A5B">
        <w:rPr>
          <w:rFonts w:cs="Times New Roman"/>
          <w:bCs/>
          <w:szCs w:val="20"/>
        </w:rPr>
        <w:t xml:space="preserve">dokumentowania </w:t>
      </w:r>
      <w:r w:rsidRPr="00AE7A5B">
        <w:rPr>
          <w:bCs/>
          <w:szCs w:val="20"/>
        </w:rPr>
        <w:t xml:space="preserve">protokołów odbioru, notatek </w:t>
      </w:r>
      <w:r w:rsidRPr="00AE7A5B">
        <w:rPr>
          <w:bCs/>
          <w:szCs w:val="20"/>
        </w:rPr>
        <w:br/>
        <w:t xml:space="preserve">z  analizy rynku </w:t>
      </w:r>
      <w:r w:rsidRPr="00AE7A5B">
        <w:rPr>
          <w:bCs/>
        </w:rPr>
        <w:t xml:space="preserve">zostały opisane powyżej w pkt 26 zaleceń. </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IV/114-115, IV/349-353]</w:t>
      </w:r>
    </w:p>
    <w:p w:rsidR="00AE7A5B" w:rsidRPr="00AE7A5B" w:rsidP="00AE7A5B">
      <w:pPr>
        <w:numPr>
          <w:ilvl w:val="0"/>
          <w:numId w:val="6"/>
        </w:numPr>
        <w:spacing w:after="120" w:line="240" w:lineRule="auto"/>
        <w:ind w:left="357" w:hanging="357"/>
        <w:jc w:val="left"/>
        <w:rPr>
          <w:rFonts w:cs="Times New Roman"/>
          <w:bCs/>
          <w:szCs w:val="20"/>
        </w:rPr>
      </w:pPr>
      <w:r w:rsidRPr="00AE7A5B">
        <w:rPr>
          <w:bCs/>
          <w:szCs w:val="20"/>
        </w:rPr>
        <w:t xml:space="preserve">zalecenie nr </w:t>
      </w:r>
      <w:r w:rsidRPr="00AE7A5B">
        <w:rPr>
          <w:rFonts w:cs="Times New Roman"/>
          <w:bCs/>
          <w:szCs w:val="20"/>
        </w:rPr>
        <w:t>5</w:t>
      </w:r>
      <w:r>
        <w:rPr>
          <w:rFonts w:cs="Times New Roman"/>
          <w:bCs/>
          <w:szCs w:val="20"/>
          <w:vertAlign w:val="superscript"/>
        </w:rPr>
        <w:footnoteReference w:id="392"/>
      </w:r>
      <w:r w:rsidRPr="00AE7A5B">
        <w:rPr>
          <w:rFonts w:cs="Times New Roman"/>
          <w:bCs/>
          <w:szCs w:val="20"/>
        </w:rPr>
        <w:t xml:space="preserve"> dotyczące w</w:t>
      </w:r>
      <w:r w:rsidRPr="00AE7A5B">
        <w:rPr>
          <w:rFonts w:eastAsia="Times New Roman" w:cs="Times New Roman"/>
          <w:bCs/>
          <w:szCs w:val="20"/>
          <w:lang w:eastAsia="pl-PL"/>
        </w:rPr>
        <w:t xml:space="preserve">zmocnienia nadzoru nad aktualnością zakresów obowiązków pracowników, zostało </w:t>
      </w:r>
      <w:r w:rsidRPr="00AE7A5B">
        <w:rPr>
          <w:rFonts w:cs="Times New Roman"/>
          <w:bCs/>
          <w:szCs w:val="20"/>
        </w:rPr>
        <w:t>niezrealizowane.</w:t>
      </w:r>
    </w:p>
    <w:p w:rsidR="00AE7A5B" w:rsidRPr="00AE7A5B" w:rsidP="00AE7A5B">
      <w:pPr>
        <w:spacing w:after="120" w:line="240" w:lineRule="auto"/>
        <w:ind w:left="357"/>
        <w:jc w:val="left"/>
        <w:rPr>
          <w:bCs/>
          <w:szCs w:val="20"/>
        </w:rPr>
      </w:pPr>
      <w:r w:rsidRPr="00AE7A5B">
        <w:rPr>
          <w:bCs/>
          <w:szCs w:val="20"/>
        </w:rPr>
        <w:t xml:space="preserve">Szczegółowe ustalenia zostały zawarte powyżej w części 3 pkt c). </w:t>
      </w:r>
    </w:p>
    <w:p w:rsidR="00AE7A5B" w:rsidRPr="00AE7A5B" w:rsidP="00AE7A5B">
      <w:pPr>
        <w:spacing w:before="120" w:after="120" w:line="240" w:lineRule="auto"/>
        <w:ind w:left="357"/>
        <w:jc w:val="left"/>
        <w:rPr>
          <w:rFonts w:cs="Times New Roman"/>
          <w:bCs/>
          <w:szCs w:val="20"/>
        </w:rPr>
      </w:pPr>
      <w:r w:rsidRPr="00AE7A5B">
        <w:rPr>
          <w:rFonts w:cs="Times New Roman"/>
          <w:bCs/>
          <w:szCs w:val="20"/>
        </w:rPr>
        <w:t>[Dowód: akta kontroli str. III/15-16, III/20, III/82-99, III/178, III/181-182, III/510-525, IV/180-182, IV/238-284, IV/431</w:t>
      </w:r>
      <w:r w:rsidRPr="00AE7A5B">
        <w:rPr>
          <w:bCs/>
          <w:szCs w:val="20"/>
          <w:lang w:eastAsia="ar-SA"/>
        </w:rPr>
        <w:t>]</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5</w:t>
      </w:r>
      <w:r>
        <w:rPr>
          <w:rFonts w:cs="Times New Roman"/>
          <w:bCs/>
          <w:szCs w:val="20"/>
          <w:vertAlign w:val="superscript"/>
        </w:rPr>
        <w:footnoteReference w:id="393"/>
      </w:r>
      <w:r w:rsidRPr="00AE7A5B">
        <w:rPr>
          <w:rFonts w:cs="Times New Roman"/>
          <w:bCs/>
          <w:szCs w:val="20"/>
        </w:rPr>
        <w:t xml:space="preserve"> dotyczące pr</w:t>
      </w:r>
      <w:r w:rsidRPr="00AE7A5B">
        <w:rPr>
          <w:rFonts w:eastAsia="Times New Roman" w:cs="Times New Roman"/>
          <w:bCs/>
          <w:szCs w:val="20"/>
          <w:lang w:eastAsia="pl-PL"/>
        </w:rPr>
        <w:t xml:space="preserve">zeprowadzania inwentaryzacji zbiorów bibliotecznych </w:t>
      </w:r>
      <w:r w:rsidRPr="00AE7A5B">
        <w:rPr>
          <w:rFonts w:eastAsia="Times New Roman" w:cs="Times New Roman"/>
          <w:bCs/>
          <w:szCs w:val="20"/>
          <w:lang w:eastAsia="pl-PL"/>
        </w:rPr>
        <w:br/>
        <w:t>i muzealnych, zgodnie z wewnętrznymi procedurami oraz przepisami rozporządzenia Ministra Kultury i Dziedzictwa Narodowego w sprawie sposobu ewidencji materiałów bibliotecznych, z</w:t>
      </w:r>
      <w:r w:rsidRPr="00AE7A5B">
        <w:rPr>
          <w:rFonts w:eastAsia="Calibri" w:cs="Times New Roman"/>
          <w:bCs/>
          <w:szCs w:val="20"/>
          <w:lang w:eastAsia="ar-SA"/>
        </w:rPr>
        <w:t>ostało zrealizowane.</w:t>
      </w:r>
    </w:p>
    <w:p w:rsidR="00AE7A5B" w:rsidRPr="00AE7A5B" w:rsidP="00AE7A5B">
      <w:pPr>
        <w:spacing w:before="120" w:after="0" w:line="240" w:lineRule="auto"/>
        <w:ind w:left="357"/>
        <w:jc w:val="left"/>
        <w:rPr>
          <w:bCs/>
        </w:rPr>
      </w:pPr>
      <w:r w:rsidRPr="00AE7A5B">
        <w:rPr>
          <w:rFonts w:cs="Times New Roman"/>
          <w:bCs/>
          <w:szCs w:val="20"/>
        </w:rPr>
        <w:t xml:space="preserve">Ustalono, że inwentaryzacja zbiorów bibliotecznych za 2020 r. i 2021 r. została przeprowadzona zgodnie z </w:t>
      </w:r>
      <w:r w:rsidRPr="00AE7A5B">
        <w:rPr>
          <w:bCs/>
        </w:rPr>
        <w:t>Regulaminem skontrum zbiorów bibliotecznych Biblioteki Geologicznej PIG z 10 listopada 2020 r.</w:t>
      </w:r>
      <w:r>
        <w:rPr>
          <w:bCs/>
          <w:vertAlign w:val="superscript"/>
        </w:rPr>
        <w:footnoteReference w:id="394"/>
      </w:r>
      <w:r w:rsidRPr="00AE7A5B">
        <w:rPr>
          <w:rFonts w:cs="Times New Roman"/>
          <w:bCs/>
          <w:szCs w:val="20"/>
        </w:rPr>
        <w:t xml:space="preserve"> </w:t>
      </w:r>
      <w:r w:rsidRPr="00AE7A5B">
        <w:rPr>
          <w:rFonts w:cs="Times New Roman"/>
          <w:bCs/>
          <w:szCs w:val="20"/>
        </w:rPr>
        <w:t xml:space="preserve">oraz rozporządzeniem Ministra Kultury </w:t>
      </w:r>
      <w:r w:rsidRPr="00AE7A5B">
        <w:rPr>
          <w:rFonts w:cs="Times New Roman"/>
          <w:bCs/>
          <w:szCs w:val="20"/>
        </w:rPr>
        <w:br/>
        <w:t>i Dziedzictwa Narodowego z 29 października 2008 r. w sprawie sposobu ewidencji materiałów bibliotecznych</w:t>
      </w:r>
      <w:r>
        <w:rPr>
          <w:rFonts w:cs="Times New Roman"/>
          <w:bCs/>
          <w:szCs w:val="20"/>
          <w:vertAlign w:val="superscript"/>
        </w:rPr>
        <w:footnoteReference w:id="395"/>
      </w:r>
      <w:r w:rsidRPr="00AE7A5B">
        <w:rPr>
          <w:rFonts w:cs="Times New Roman"/>
          <w:bCs/>
          <w:szCs w:val="20"/>
        </w:rPr>
        <w:t>.</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IV/118-119, IV/349-353]</w:t>
      </w:r>
    </w:p>
    <w:p w:rsidR="00AE7A5B" w:rsidRPr="00AE7A5B" w:rsidP="00AE7A5B">
      <w:pPr>
        <w:numPr>
          <w:ilvl w:val="0"/>
          <w:numId w:val="6"/>
        </w:numPr>
        <w:spacing w:after="0" w:line="240" w:lineRule="auto"/>
        <w:ind w:left="357" w:hanging="357"/>
        <w:jc w:val="left"/>
        <w:rPr>
          <w:rFonts w:cs="Times New Roman"/>
          <w:bCs/>
          <w:szCs w:val="20"/>
        </w:rPr>
      </w:pPr>
      <w:r w:rsidRPr="00AE7A5B">
        <w:rPr>
          <w:rFonts w:cs="Times New Roman"/>
          <w:bCs/>
          <w:szCs w:val="20"/>
        </w:rPr>
        <w:t>zalecenie nr 6</w:t>
      </w:r>
      <w:r>
        <w:rPr>
          <w:rFonts w:cs="Times New Roman"/>
          <w:bCs/>
          <w:szCs w:val="20"/>
          <w:vertAlign w:val="superscript"/>
        </w:rPr>
        <w:footnoteReference w:id="396"/>
      </w:r>
      <w:r w:rsidRPr="00AE7A5B">
        <w:rPr>
          <w:rFonts w:eastAsia="Times New Roman" w:cs="Times New Roman"/>
          <w:bCs/>
          <w:szCs w:val="20"/>
          <w:lang w:eastAsia="pl-PL"/>
        </w:rPr>
        <w:t xml:space="preserve"> dotyczące weryfikacji kompletności, przekazywanych przez osoby odchodzące z pracy, dokumentów określonych m.in. w porozumieniach w sprawie rozwiązania stosunku pracy, zostało </w:t>
      </w:r>
      <w:r w:rsidRPr="00AE7A5B">
        <w:rPr>
          <w:rFonts w:cs="Times New Roman"/>
          <w:bCs/>
          <w:szCs w:val="20"/>
        </w:rPr>
        <w:t>niezrealizowane.</w:t>
      </w:r>
    </w:p>
    <w:p w:rsidR="00AE7A5B" w:rsidRPr="00AE7A5B" w:rsidP="00AE7A5B">
      <w:pPr>
        <w:spacing w:before="120" w:after="0" w:line="240" w:lineRule="auto"/>
        <w:ind w:left="357"/>
        <w:jc w:val="left"/>
        <w:rPr>
          <w:rFonts w:cs="Times New Roman"/>
          <w:bCs/>
          <w:szCs w:val="20"/>
        </w:rPr>
      </w:pPr>
      <w:r w:rsidRPr="00AE7A5B">
        <w:rPr>
          <w:rFonts w:cs="Times New Roman"/>
          <w:bCs/>
          <w:szCs w:val="20"/>
        </w:rPr>
        <w:t>Na próbie 29 osób które odeszły z pracy w badanym okresie ustalono, że 27</w:t>
      </w:r>
      <w:r>
        <w:rPr>
          <w:rFonts w:cs="Times New Roman"/>
          <w:bCs/>
          <w:szCs w:val="20"/>
          <w:vertAlign w:val="superscript"/>
        </w:rPr>
        <w:footnoteReference w:id="397"/>
      </w:r>
      <w:r w:rsidRPr="00AE7A5B">
        <w:rPr>
          <w:rFonts w:cs="Times New Roman"/>
          <w:bCs/>
          <w:szCs w:val="20"/>
        </w:rPr>
        <w:t xml:space="preserve"> pracowników nie rozliczyło się z kart obiegowych. Ponadto ustalono, że na 26 zawartych porozumień o rozwiązaniu stosunku pracy: w 3</w:t>
      </w:r>
      <w:r>
        <w:rPr>
          <w:rFonts w:cs="Times New Roman"/>
          <w:bCs/>
          <w:szCs w:val="20"/>
          <w:vertAlign w:val="superscript"/>
        </w:rPr>
        <w:footnoteReference w:id="398"/>
      </w:r>
      <w:r w:rsidRPr="00AE7A5B">
        <w:rPr>
          <w:rFonts w:cs="Times New Roman"/>
          <w:bCs/>
          <w:szCs w:val="20"/>
        </w:rPr>
        <w:t xml:space="preserve"> uregulowano tylko kwestię rozliczenia karty obiegowej, z której się nie rozliczyło 2 pracowników; w 19</w:t>
      </w:r>
      <w:r>
        <w:rPr>
          <w:rFonts w:cs="Times New Roman"/>
          <w:bCs/>
          <w:szCs w:val="20"/>
          <w:vertAlign w:val="superscript"/>
        </w:rPr>
        <w:footnoteReference w:id="399"/>
      </w:r>
      <w:r w:rsidRPr="00AE7A5B">
        <w:rPr>
          <w:rFonts w:cs="Times New Roman"/>
          <w:bCs/>
          <w:szCs w:val="20"/>
        </w:rPr>
        <w:t xml:space="preserve"> uregulowano kwestię rozliczenia z karty obiegowej i opisu stanu zaawansowania spraw prowadzonych przez pracownika, zaś PIG nie przedłożył dokumentów potwierdzających wywiązanie się pracownika z ww. obowiązków; w 4</w:t>
      </w:r>
      <w:r>
        <w:rPr>
          <w:rFonts w:cs="Times New Roman"/>
          <w:bCs/>
          <w:szCs w:val="20"/>
          <w:vertAlign w:val="superscript"/>
        </w:rPr>
        <w:footnoteReference w:id="400"/>
      </w:r>
      <w:r w:rsidRPr="00AE7A5B">
        <w:rPr>
          <w:rFonts w:cs="Times New Roman"/>
          <w:bCs/>
          <w:szCs w:val="20"/>
        </w:rPr>
        <w:t xml:space="preserve"> nie przewidziano żadnych obowiązków związanych z odejściem pracownika. </w:t>
      </w:r>
    </w:p>
    <w:p w:rsidR="00AE7A5B" w:rsidRPr="00AE7A5B" w:rsidP="00AE7A5B">
      <w:pPr>
        <w:spacing w:before="120" w:after="0" w:line="240" w:lineRule="auto"/>
        <w:ind w:left="357"/>
        <w:jc w:val="left"/>
        <w:rPr>
          <w:rFonts w:cs="Times New Roman"/>
          <w:bCs/>
          <w:szCs w:val="20"/>
        </w:rPr>
      </w:pPr>
      <w:r w:rsidRPr="00AE7A5B">
        <w:rPr>
          <w:rFonts w:cs="Times New Roman"/>
          <w:bCs/>
          <w:szCs w:val="20"/>
        </w:rPr>
        <w:t xml:space="preserve">Powyższe ustalenia świadczą o braku jednolitych zasad rozliczania pracowników </w:t>
      </w:r>
      <w:r w:rsidRPr="00AE7A5B">
        <w:rPr>
          <w:rFonts w:cs="Times New Roman"/>
          <w:bCs/>
          <w:szCs w:val="20"/>
        </w:rPr>
        <w:br/>
        <w:t xml:space="preserve">w związku z ustaniem stosunku pracy.    </w:t>
      </w:r>
    </w:p>
    <w:p w:rsidR="00AE7A5B" w:rsidRPr="00AE7A5B" w:rsidP="00AE7A5B">
      <w:pPr>
        <w:spacing w:before="120" w:after="120" w:line="240" w:lineRule="auto"/>
        <w:ind w:left="357"/>
        <w:jc w:val="left"/>
        <w:rPr>
          <w:rFonts w:cs="Times New Roman"/>
          <w:bCs/>
          <w:szCs w:val="20"/>
        </w:rPr>
      </w:pPr>
      <w:r w:rsidRPr="00AE7A5B">
        <w:rPr>
          <w:rFonts w:eastAsia="Calibri"/>
          <w:bCs/>
          <w:szCs w:val="20"/>
        </w:rPr>
        <w:t>[Dowód: akta kontroli str. IV/170-177, IV/186-220, IV/335-336, IV/432]</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7</w:t>
      </w:r>
      <w:r>
        <w:rPr>
          <w:rFonts w:cs="Times New Roman"/>
          <w:bCs/>
          <w:szCs w:val="20"/>
          <w:vertAlign w:val="superscript"/>
        </w:rPr>
        <w:footnoteReference w:id="401"/>
      </w:r>
      <w:r w:rsidRPr="00AE7A5B">
        <w:rPr>
          <w:rFonts w:cs="Times New Roman"/>
          <w:bCs/>
          <w:szCs w:val="20"/>
        </w:rPr>
        <w:t xml:space="preserve"> dotyczące p</w:t>
      </w:r>
      <w:r w:rsidRPr="00AE7A5B">
        <w:rPr>
          <w:rFonts w:eastAsia="Times New Roman" w:cs="Times New Roman"/>
          <w:bCs/>
          <w:szCs w:val="20"/>
          <w:lang w:eastAsia="pl-PL"/>
        </w:rPr>
        <w:t xml:space="preserve">odjęcia działań mających na celu rozliczenie umowy </w:t>
      </w:r>
      <w:r w:rsidRPr="00AE7A5B">
        <w:rPr>
          <w:rFonts w:eastAsia="Times New Roman" w:cs="Times New Roman"/>
          <w:bCs/>
          <w:szCs w:val="20"/>
          <w:lang w:eastAsia="pl-PL"/>
        </w:rPr>
        <w:br/>
        <w:t>o dzieło nr 04/2019 z 30 stycznia 2019 r.</w:t>
      </w:r>
    </w:p>
    <w:p w:rsidR="00AE7A5B" w:rsidRPr="00AE7A5B" w:rsidP="00AE7A5B">
      <w:pPr>
        <w:spacing w:before="120" w:after="120" w:line="240" w:lineRule="auto"/>
        <w:ind w:left="357"/>
        <w:jc w:val="left"/>
        <w:rPr>
          <w:rFonts w:cs="Times New Roman"/>
          <w:bCs/>
          <w:szCs w:val="20"/>
        </w:rPr>
      </w:pPr>
      <w:r w:rsidRPr="00AE7A5B">
        <w:rPr>
          <w:rFonts w:cs="Times New Roman"/>
          <w:bCs/>
          <w:szCs w:val="20"/>
        </w:rPr>
        <w:t xml:space="preserve">Roszczenie zgodnie z kodeksem cywilnym przedawniło się z końcem 2021 r. Zgodnie </w:t>
      </w:r>
      <w:r w:rsidRPr="00AE7A5B">
        <w:rPr>
          <w:rFonts w:cs="Times New Roman"/>
          <w:bCs/>
          <w:szCs w:val="20"/>
        </w:rPr>
        <w:br/>
        <w:t xml:space="preserve">z opinią prawną w zawartej umowie nie określono kryteriów  umożliwiających weryfikację wykonania umowy. </w:t>
      </w:r>
    </w:p>
    <w:p w:rsidR="00AE7A5B" w:rsidRPr="00AE7A5B" w:rsidP="00AE7A5B">
      <w:pPr>
        <w:spacing w:before="120" w:after="120" w:line="240" w:lineRule="auto"/>
        <w:ind w:left="357"/>
        <w:jc w:val="left"/>
        <w:rPr>
          <w:rFonts w:cs="Times New Roman"/>
          <w:bCs/>
          <w:szCs w:val="20"/>
        </w:rPr>
      </w:pPr>
      <w:r w:rsidRPr="00AE7A5B">
        <w:rPr>
          <w:rFonts w:cs="Times New Roman"/>
          <w:bCs/>
          <w:szCs w:val="20"/>
        </w:rPr>
        <w:t>[</w:t>
      </w:r>
      <w:r w:rsidRPr="00AE7A5B">
        <w:rPr>
          <w:rFonts w:eastAsia="Calibri"/>
          <w:bCs/>
          <w:szCs w:val="20"/>
        </w:rPr>
        <w:t>Dowód: akta kontroli str. IV/122-123, IV/349-353]</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11</w:t>
      </w:r>
      <w:r>
        <w:rPr>
          <w:rFonts w:cs="Times New Roman"/>
          <w:bCs/>
          <w:szCs w:val="20"/>
          <w:vertAlign w:val="superscript"/>
        </w:rPr>
        <w:footnoteReference w:id="402"/>
      </w:r>
      <w:r w:rsidRPr="00AE7A5B">
        <w:rPr>
          <w:rFonts w:cs="Times New Roman"/>
          <w:bCs/>
          <w:szCs w:val="20"/>
        </w:rPr>
        <w:t xml:space="preserve"> dotyczące p</w:t>
      </w:r>
      <w:r w:rsidRPr="00AE7A5B">
        <w:rPr>
          <w:rFonts w:eastAsia="Times New Roman" w:cs="Times New Roman"/>
          <w:bCs/>
          <w:szCs w:val="20"/>
          <w:lang w:eastAsia="pl-PL"/>
        </w:rPr>
        <w:t>rzestrzegania obowiązujących formularzy, określonych w zarządzeniach Dyrektora w sprawie podstawowego miejsca pracy oraz wykonywania dodatkowego zatrudnienia w ramach stosunku pracy, zostało niezrealizowane.</w:t>
      </w:r>
    </w:p>
    <w:p w:rsidR="00AE7A5B" w:rsidRPr="00AE7A5B" w:rsidP="00AE7A5B">
      <w:pPr>
        <w:spacing w:before="120" w:after="120" w:line="240" w:lineRule="auto"/>
        <w:ind w:left="360"/>
        <w:jc w:val="left"/>
        <w:rPr>
          <w:bCs/>
          <w:szCs w:val="20"/>
        </w:rPr>
      </w:pPr>
      <w:r w:rsidRPr="00AE7A5B">
        <w:rPr>
          <w:bCs/>
          <w:szCs w:val="20"/>
        </w:rPr>
        <w:t xml:space="preserve">Szczegółowe ustalenia zostały zawarte powyżej w części 3 pkt c).  </w:t>
      </w:r>
    </w:p>
    <w:p w:rsidR="00AE7A5B" w:rsidRPr="00AE7A5B" w:rsidP="00AE7A5B">
      <w:pPr>
        <w:spacing w:before="120" w:after="120" w:line="240" w:lineRule="auto"/>
        <w:ind w:left="357"/>
        <w:jc w:val="left"/>
        <w:rPr>
          <w:rFonts w:cs="Times New Roman"/>
          <w:bCs/>
          <w:szCs w:val="20"/>
        </w:rPr>
      </w:pPr>
      <w:r w:rsidRPr="00AE7A5B">
        <w:rPr>
          <w:bCs/>
          <w:szCs w:val="20"/>
        </w:rPr>
        <w:t>[</w:t>
      </w:r>
      <w:r w:rsidRPr="00AE7A5B">
        <w:rPr>
          <w:rFonts w:eastAsia="Calibri"/>
          <w:bCs/>
          <w:szCs w:val="20"/>
        </w:rPr>
        <w:t>Dowód: akta kontroli str.</w:t>
      </w:r>
      <w:r w:rsidRPr="00AE7A5B">
        <w:rPr>
          <w:bCs/>
          <w:szCs w:val="20"/>
          <w:lang w:eastAsia="ar-SA"/>
        </w:rPr>
        <w:t xml:space="preserve"> III/213-214, IV/221-228, IV/237, IV/433]</w:t>
      </w:r>
    </w:p>
    <w:p w:rsidR="00AE7A5B" w:rsidRPr="00AE7A5B" w:rsidP="00AE7A5B">
      <w:pPr>
        <w:numPr>
          <w:ilvl w:val="0"/>
          <w:numId w:val="6"/>
        </w:numPr>
        <w:spacing w:after="0" w:line="240" w:lineRule="auto"/>
        <w:jc w:val="left"/>
        <w:rPr>
          <w:rFonts w:cs="Times New Roman"/>
          <w:bCs/>
          <w:szCs w:val="20"/>
        </w:rPr>
      </w:pPr>
      <w:r w:rsidRPr="00AE7A5B">
        <w:rPr>
          <w:rFonts w:cs="Times New Roman"/>
          <w:bCs/>
          <w:szCs w:val="20"/>
        </w:rPr>
        <w:t>zalecenie nr 12</w:t>
      </w:r>
      <w:r>
        <w:rPr>
          <w:rFonts w:cs="Times New Roman"/>
          <w:bCs/>
          <w:szCs w:val="20"/>
          <w:vertAlign w:val="superscript"/>
        </w:rPr>
        <w:footnoteReference w:id="403"/>
      </w:r>
      <w:r w:rsidRPr="00AE7A5B">
        <w:rPr>
          <w:rFonts w:cs="Times New Roman"/>
          <w:bCs/>
          <w:szCs w:val="20"/>
        </w:rPr>
        <w:t xml:space="preserve"> dotyczące p</w:t>
      </w:r>
      <w:r w:rsidRPr="00AE7A5B">
        <w:rPr>
          <w:rFonts w:eastAsia="Times New Roman" w:cs="Times New Roman"/>
          <w:bCs/>
          <w:szCs w:val="20"/>
          <w:lang w:eastAsia="pl-PL"/>
        </w:rPr>
        <w:t xml:space="preserve">odjęcia działań doprowadzających do wyboru komisji dyscyplinarnej w Instytucie, zostało </w:t>
      </w:r>
      <w:r w:rsidRPr="00AE7A5B">
        <w:rPr>
          <w:rFonts w:eastAsia="Calibri" w:cs="Times New Roman"/>
          <w:bCs/>
          <w:szCs w:val="20"/>
        </w:rPr>
        <w:t>częściowo zrealizowane.</w:t>
      </w:r>
    </w:p>
    <w:p w:rsidR="00AE7A5B" w:rsidRPr="00AE7A5B" w:rsidP="00AE7A5B">
      <w:pPr>
        <w:spacing w:before="120" w:after="120" w:line="240" w:lineRule="auto"/>
        <w:ind w:left="360"/>
        <w:jc w:val="left"/>
        <w:rPr>
          <w:bCs/>
          <w:szCs w:val="20"/>
        </w:rPr>
      </w:pPr>
      <w:r w:rsidRPr="00AE7A5B">
        <w:rPr>
          <w:bCs/>
          <w:szCs w:val="20"/>
        </w:rPr>
        <w:t xml:space="preserve">Szczegółowe ustalenia zostały zawarte powyżej w części 3 pkt d). </w:t>
      </w:r>
    </w:p>
    <w:p w:rsidR="00AE7A5B" w:rsidRPr="00AE7A5B" w:rsidP="00AE7A5B">
      <w:pPr>
        <w:spacing w:before="120" w:after="120" w:line="240" w:lineRule="auto"/>
        <w:ind w:left="360"/>
        <w:jc w:val="left"/>
        <w:rPr>
          <w:rFonts w:cs="Times New Roman"/>
          <w:bCs/>
          <w:szCs w:val="20"/>
          <w:lang w:eastAsia="ar-SA"/>
        </w:rPr>
      </w:pPr>
      <w:r w:rsidRPr="00AE7A5B">
        <w:rPr>
          <w:rFonts w:eastAsia="Calibri"/>
          <w:bCs/>
          <w:szCs w:val="20"/>
        </w:rPr>
        <w:t>[Dowód: akta kontroli str.</w:t>
      </w:r>
      <w:r w:rsidRPr="00AE7A5B">
        <w:rPr>
          <w:bCs/>
          <w:szCs w:val="20"/>
          <w:lang w:eastAsia="ar-SA"/>
        </w:rPr>
        <w:t xml:space="preserve"> 155, 157, III/238-244, III/250-253, III/473-474, IV/434]</w:t>
      </w:r>
    </w:p>
    <w:p w:rsidR="00AE7A5B" w:rsidRPr="00AE7A5B" w:rsidP="00AE7A5B">
      <w:pPr>
        <w:spacing w:after="0" w:line="240" w:lineRule="auto"/>
        <w:jc w:val="left"/>
        <w:rPr>
          <w:rFonts w:cs="Times New Roman"/>
          <w:bCs/>
          <w:szCs w:val="20"/>
        </w:rPr>
      </w:pPr>
    </w:p>
    <w:p w:rsidR="00AE7A5B" w:rsidRPr="00AE7A5B" w:rsidP="00AE7A5B">
      <w:pPr>
        <w:spacing w:after="0" w:line="240" w:lineRule="auto"/>
        <w:jc w:val="left"/>
        <w:rPr>
          <w:rFonts w:cs="Times New Roman"/>
          <w:bCs/>
          <w:szCs w:val="20"/>
        </w:rPr>
      </w:pPr>
      <w:r w:rsidRPr="00AE7A5B">
        <w:rPr>
          <w:rFonts w:cs="Times New Roman"/>
          <w:bCs/>
          <w:szCs w:val="20"/>
        </w:rPr>
        <w:t>W zakresie oceny realizacji wniosków pokontrolnych ustalono, że na 35 zaleceń sformułowanych w poprzednich kontrolach (lata 2016-2020), 11 zaleceń nie zostało jeszcze wdrożonych.</w:t>
      </w:r>
    </w:p>
    <w:p w:rsidR="00AE7A5B" w:rsidRPr="00AE7A5B" w:rsidP="00AE7A5B">
      <w:pPr>
        <w:spacing w:after="0" w:line="240" w:lineRule="auto"/>
        <w:jc w:val="left"/>
        <w:rPr>
          <w:rFonts w:cs="Times New Roman"/>
          <w:bCs/>
          <w:szCs w:val="20"/>
        </w:rPr>
      </w:pPr>
    </w:p>
    <w:p w:rsidR="00AE7A5B" w:rsidRPr="00AE7A5B" w:rsidP="00AE7A5B">
      <w:pPr>
        <w:spacing w:after="120" w:line="240" w:lineRule="auto"/>
        <w:rPr>
          <w:rFonts w:eastAsia="Calibri" w:cs="Times New Roman"/>
          <w:b/>
          <w:bCs/>
        </w:rPr>
      </w:pPr>
      <w:r w:rsidRPr="00AE7A5B">
        <w:rPr>
          <w:rFonts w:eastAsia="Calibri" w:cs="Times New Roman"/>
          <w:b/>
          <w:bCs/>
        </w:rPr>
        <w:t>Biorąc pod uwagę powyższe oceny, uwagi i wnioski wnoszę o:</w:t>
      </w:r>
    </w:p>
    <w:p w:rsidR="00AE7A5B" w:rsidRPr="00AE7A5B" w:rsidP="00AE7A5B">
      <w:pPr>
        <w:numPr>
          <w:ilvl w:val="0"/>
          <w:numId w:val="38"/>
        </w:numPr>
        <w:autoSpaceDE w:val="0"/>
        <w:autoSpaceDN w:val="0"/>
        <w:adjustRightInd w:val="0"/>
        <w:spacing w:before="120" w:after="0" w:line="240" w:lineRule="auto"/>
        <w:ind w:left="284" w:hanging="284"/>
        <w:jc w:val="left"/>
        <w:rPr>
          <w:rFonts w:eastAsia="Calibri" w:cs="Lato-Regular"/>
          <w:szCs w:val="20"/>
        </w:rPr>
      </w:pPr>
      <w:bookmarkStart w:id="70" w:name="_Hlk152838751"/>
      <w:r w:rsidRPr="00AE7A5B">
        <w:rPr>
          <w:rFonts w:eastAsia="Calibri" w:cs="Lato-Regular"/>
          <w:szCs w:val="20"/>
        </w:rPr>
        <w:t xml:space="preserve">Podjęcie działań zapewniających przestrzeganie </w:t>
      </w:r>
      <w:bookmarkEnd w:id="70"/>
      <w:r w:rsidRPr="00AE7A5B">
        <w:rPr>
          <w:rFonts w:eastAsia="Calibri" w:cs="Lato-Regular"/>
          <w:szCs w:val="20"/>
        </w:rPr>
        <w:t>ustawy z 30 kwietnia 2010 r. o instytutach badawczych</w:t>
      </w:r>
      <w:r w:rsidRPr="00AE7A5B">
        <w:rPr>
          <w:rFonts w:eastAsia="Calibri" w:cs="Lato-Regular"/>
          <w:szCs w:val="20"/>
          <w:vertAlign w:val="superscript"/>
        </w:rPr>
        <w:t xml:space="preserve"> </w:t>
      </w:r>
      <w:r w:rsidRPr="00AE7A5B">
        <w:rPr>
          <w:rFonts w:eastAsia="Calibri" w:cs="Lato-Regular"/>
          <w:szCs w:val="20"/>
        </w:rPr>
        <w:t>oraz wewnętrznych regulacji, w celu wyeliminowania przypadków:</w:t>
      </w:r>
    </w:p>
    <w:p w:rsidR="00AE7A5B" w:rsidRPr="00AE7A5B" w:rsidP="00AE7A5B">
      <w:pPr>
        <w:numPr>
          <w:ilvl w:val="0"/>
          <w:numId w:val="40"/>
        </w:numPr>
        <w:autoSpaceDE w:val="0"/>
        <w:autoSpaceDN w:val="0"/>
        <w:adjustRightInd w:val="0"/>
        <w:spacing w:after="0" w:line="240" w:lineRule="auto"/>
        <w:ind w:left="641" w:hanging="357"/>
        <w:jc w:val="left"/>
        <w:rPr>
          <w:rFonts w:eastAsia="Calibri" w:cs="Lato-Regular"/>
          <w:szCs w:val="20"/>
        </w:rPr>
      </w:pPr>
      <w:r w:rsidRPr="00AE7A5B">
        <w:rPr>
          <w:rFonts w:eastAsia="Calibri" w:cs="Lato-Regular"/>
          <w:szCs w:val="20"/>
        </w:rPr>
        <w:t>nieterminowego przekazywania uchwał Rady Naukowej do ministra nadzorującego;</w:t>
      </w:r>
    </w:p>
    <w:p w:rsidR="00AE7A5B" w:rsidRPr="00AE7A5B" w:rsidP="00AE7A5B">
      <w:pPr>
        <w:numPr>
          <w:ilvl w:val="0"/>
          <w:numId w:val="40"/>
        </w:numPr>
        <w:autoSpaceDE w:val="0"/>
        <w:autoSpaceDN w:val="0"/>
        <w:adjustRightInd w:val="0"/>
        <w:spacing w:after="0" w:line="240" w:lineRule="auto"/>
        <w:ind w:left="641" w:hanging="357"/>
        <w:jc w:val="left"/>
        <w:rPr>
          <w:rFonts w:eastAsia="Calibri" w:cs="Lato-Regular"/>
          <w:szCs w:val="20"/>
        </w:rPr>
      </w:pPr>
      <w:r w:rsidRPr="00AE7A5B">
        <w:rPr>
          <w:rFonts w:eastAsia="Calibri" w:cs="Lato-Regular"/>
          <w:szCs w:val="20"/>
        </w:rPr>
        <w:t xml:space="preserve">opiniowania planów finansowych wraz z korektami po ich zatwierdzeniu; </w:t>
      </w:r>
    </w:p>
    <w:p w:rsidR="00AE7A5B" w:rsidRPr="00AE7A5B" w:rsidP="00AE7A5B">
      <w:pPr>
        <w:numPr>
          <w:ilvl w:val="0"/>
          <w:numId w:val="40"/>
        </w:numPr>
        <w:autoSpaceDE w:val="0"/>
        <w:autoSpaceDN w:val="0"/>
        <w:adjustRightInd w:val="0"/>
        <w:spacing w:after="120" w:line="240" w:lineRule="auto"/>
        <w:ind w:left="641" w:hanging="357"/>
        <w:jc w:val="left"/>
        <w:rPr>
          <w:rFonts w:eastAsia="Calibri" w:cs="Lato-Regular"/>
          <w:szCs w:val="20"/>
        </w:rPr>
      </w:pPr>
      <w:r w:rsidRPr="00AE7A5B">
        <w:rPr>
          <w:rFonts w:eastAsia="Calibri" w:cs="Lato-Regular"/>
          <w:szCs w:val="20"/>
        </w:rPr>
        <w:t xml:space="preserve">wykonywania przez pracowników dodatkowego zatrudnienia lub działalności gospodarczej, bez uzyskania wcześniejszej zgody Dyrektora. </w:t>
      </w:r>
    </w:p>
    <w:p w:rsidR="00AE7A5B" w:rsidRPr="00AE7A5B" w:rsidP="00AE7A5B">
      <w:pPr>
        <w:numPr>
          <w:ilvl w:val="0"/>
          <w:numId w:val="38"/>
        </w:numPr>
        <w:spacing w:after="0" w:line="240" w:lineRule="auto"/>
        <w:ind w:left="284" w:hanging="284"/>
        <w:jc w:val="left"/>
        <w:rPr>
          <w:rFonts w:eastAsia="Calibri" w:asciiTheme="minorHAnsi" w:hAnsiTheme="minorHAnsi" w:cs="Lato-Regular"/>
          <w:sz w:val="24"/>
          <w:szCs w:val="20"/>
        </w:rPr>
      </w:pPr>
      <w:r w:rsidRPr="00AE7A5B">
        <w:rPr>
          <w:rFonts w:eastAsia="Calibri" w:cs="Lato-Regular"/>
          <w:szCs w:val="20"/>
        </w:rPr>
        <w:t xml:space="preserve">Podjęcie działań </w:t>
      </w:r>
      <w:bookmarkStart w:id="71" w:name="_Hlk152947008"/>
      <w:r w:rsidRPr="00AE7A5B">
        <w:rPr>
          <w:rFonts w:eastAsia="Calibri" w:cs="Lato-Regular"/>
          <w:szCs w:val="20"/>
        </w:rPr>
        <w:t>w celu m.in.</w:t>
      </w:r>
      <w:bookmarkEnd w:id="71"/>
      <w:r w:rsidRPr="00AE7A5B">
        <w:rPr>
          <w:rFonts w:eastAsia="Calibri" w:cs="Lato-Regular"/>
          <w:szCs w:val="20"/>
        </w:rPr>
        <w:t>:</w:t>
      </w:r>
    </w:p>
    <w:p w:rsidR="00AE7A5B" w:rsidRPr="00AE7A5B" w:rsidP="00AE7A5B">
      <w:pPr>
        <w:numPr>
          <w:ilvl w:val="0"/>
          <w:numId w:val="40"/>
        </w:numPr>
        <w:autoSpaceDE w:val="0"/>
        <w:autoSpaceDN w:val="0"/>
        <w:adjustRightInd w:val="0"/>
        <w:spacing w:after="0" w:line="240" w:lineRule="auto"/>
        <w:ind w:left="641" w:hanging="357"/>
        <w:jc w:val="left"/>
        <w:rPr>
          <w:rFonts w:eastAsia="Calibri" w:cs="Lato-Regular"/>
          <w:szCs w:val="20"/>
        </w:rPr>
      </w:pPr>
      <w:r w:rsidRPr="00AE7A5B">
        <w:rPr>
          <w:rFonts w:eastAsia="Calibri" w:cs="Lato-Regular"/>
          <w:szCs w:val="20"/>
        </w:rPr>
        <w:t>wyeliminowania przypadków umów cywilnoprawnych noszących znamiona stosunku pracy w rozumieniu art. 22 § 1 Kodeksu pracy lub tożsamych z zadaniami komórek organizacyjnych PIG;</w:t>
      </w:r>
    </w:p>
    <w:p w:rsidR="00AE7A5B" w:rsidRPr="00AE7A5B" w:rsidP="00AE7A5B">
      <w:pPr>
        <w:numPr>
          <w:ilvl w:val="0"/>
          <w:numId w:val="40"/>
        </w:numPr>
        <w:autoSpaceDE w:val="0"/>
        <w:autoSpaceDN w:val="0"/>
        <w:adjustRightInd w:val="0"/>
        <w:spacing w:after="0" w:line="240" w:lineRule="auto"/>
        <w:ind w:left="641" w:hanging="357"/>
        <w:jc w:val="left"/>
        <w:rPr>
          <w:rFonts w:eastAsia="Calibri" w:cs="Lato-Regular"/>
          <w:szCs w:val="20"/>
        </w:rPr>
      </w:pPr>
      <w:r w:rsidRPr="00AE7A5B">
        <w:rPr>
          <w:rFonts w:eastAsia="Calibri" w:cs="Lato-Regular"/>
          <w:szCs w:val="20"/>
        </w:rPr>
        <w:t>podpisywania umów przez osoby wskazane do reprezentowania PIG;</w:t>
      </w:r>
    </w:p>
    <w:p w:rsidR="00AE7A5B" w:rsidRPr="00AE7A5B" w:rsidP="00AE7A5B">
      <w:pPr>
        <w:numPr>
          <w:ilvl w:val="0"/>
          <w:numId w:val="40"/>
        </w:numPr>
        <w:autoSpaceDE w:val="0"/>
        <w:autoSpaceDN w:val="0"/>
        <w:adjustRightInd w:val="0"/>
        <w:spacing w:after="0" w:line="240" w:lineRule="auto"/>
        <w:ind w:left="641" w:hanging="357"/>
        <w:jc w:val="left"/>
        <w:rPr>
          <w:rFonts w:eastAsia="Calibri" w:cs="Lato-Regular"/>
          <w:szCs w:val="20"/>
        </w:rPr>
      </w:pPr>
      <w:r w:rsidRPr="00AE7A5B">
        <w:rPr>
          <w:rFonts w:eastAsia="Calibri" w:cs="Lato-Regular"/>
          <w:szCs w:val="20"/>
        </w:rPr>
        <w:t xml:space="preserve">dokumentowania odbioru prac zgodnie z postanowieniami umów; </w:t>
      </w:r>
    </w:p>
    <w:p w:rsidR="00AE7A5B" w:rsidRPr="00AE7A5B" w:rsidP="00AE7A5B">
      <w:pPr>
        <w:numPr>
          <w:ilvl w:val="0"/>
          <w:numId w:val="40"/>
        </w:numPr>
        <w:autoSpaceDE w:val="0"/>
        <w:autoSpaceDN w:val="0"/>
        <w:adjustRightInd w:val="0"/>
        <w:spacing w:after="0" w:line="240" w:lineRule="auto"/>
        <w:ind w:left="641" w:hanging="357"/>
        <w:jc w:val="left"/>
        <w:rPr>
          <w:rFonts w:eastAsia="Calibri" w:cs="Lato-Regular"/>
          <w:szCs w:val="20"/>
        </w:rPr>
      </w:pPr>
      <w:r w:rsidRPr="00AE7A5B">
        <w:rPr>
          <w:rFonts w:eastAsia="Calibri" w:cs="Lato-Regular"/>
          <w:szCs w:val="20"/>
        </w:rPr>
        <w:t>parafowania umów przez Główną księgową celem potwierdzenia dostępności środków finansowych.</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 xml:space="preserve">Realizacja udzielania zamówień publicznych zgodnie z zapisami ustawy z 11 września 2019 r. Prawo zamówień publicznych oraz procedurami wewnętrznymi PIG.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Times New Roman"/>
        </w:rPr>
        <w:t xml:space="preserve">Podjęcie działań mających na celu zaopiniowanie przez zakładowe organizacje związkowe obowiązującego </w:t>
      </w:r>
      <w:r w:rsidRPr="00AE7A5B">
        <w:rPr>
          <w:rFonts w:eastAsia="Calibri" w:cs="Lato-Regular"/>
          <w:szCs w:val="20"/>
        </w:rPr>
        <w:t xml:space="preserve">regulaminu organizacyjnego Instytutu.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 xml:space="preserve">Podjęcie działań zapewniających przestrzeganie Statutu w zakresie odpowiedniego składu osobowego Rady Naukowej Instytutu, określonego w § 7 Statutu.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 xml:space="preserve">Podjęcie działań mających na celu sporządzanie kierunkowych planów tematycznych badań naukowych i prac rozwojowych oraz ich zaopiniowanie przez Radę Naukową zgodnie z art. 29 ust. 2 pkt 5 ustawy z 30 kwietnia 2010 r. o instytutach badawczych.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Podjęcie działań mających na celu rzetelne sporządzanie zakresów obowiązków pracowników Instytutu,</w:t>
      </w:r>
      <w:r w:rsidRPr="00AE7A5B">
        <w:t xml:space="preserve"> </w:t>
      </w:r>
      <w:r w:rsidRPr="00AE7A5B">
        <w:rPr>
          <w:rFonts w:eastAsia="Calibri" w:cs="Lato-Regular"/>
          <w:szCs w:val="20"/>
        </w:rPr>
        <w:t>m.in. poprzez wskazanie zadań i uprawnień w zakresach pracowników, którym powierzono funkcje kierownicze/koordynacyjne, a także bieżącą aktualizację zakresów.</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Stosowanie mechanizmów ograniczających ryzyko wystąpienia podległości służbowej osób, o których mowa w art. 39 ust. 2 ustawy z 30 kwietnia 2010 r. o instytutach badawczych.</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Times New Roman"/>
          <w:szCs w:val="20"/>
        </w:rPr>
        <w:t xml:space="preserve">Podjęcie działań zapewniających przestrzeganie wewnętrznych regulacji w zakresie powoływania komisji konkursowych i dokumentowania zamieszczania ogłoszeń na stanowiska naukowe na stronie internetowej Instytutu oraz stronie </w:t>
      </w:r>
      <w:r w:rsidRPr="00AE7A5B">
        <w:rPr>
          <w:szCs w:val="20"/>
        </w:rPr>
        <w:t xml:space="preserve">Komisji Europejskiej w </w:t>
      </w:r>
      <w:r w:rsidRPr="00AE7A5B">
        <w:rPr>
          <w:rFonts w:eastAsia="Calibri" w:cs="Times New Roman"/>
          <w:szCs w:val="20"/>
        </w:rPr>
        <w:t>europejskim portalu dla mobilnych naukowców</w:t>
      </w:r>
      <w:r w:rsidRPr="00AE7A5B">
        <w:rPr>
          <w:szCs w:val="20"/>
        </w:rPr>
        <w:t xml:space="preserve"> przeznaczonym do publikacji ofert pracy naukowców.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szCs w:val="20"/>
        </w:rPr>
        <w:t>Dostosowanie obowiązującego regulaminu konkursu na stanowiska naukowe do aktualnej struktury organizacyjnej PIG (Statut, regulamin organizacyjny).</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Times New Roman"/>
          <w:szCs w:val="20"/>
        </w:rPr>
        <w:t xml:space="preserve">Podjęcie działań zapewniających przestrzeganie </w:t>
      </w:r>
      <w:r w:rsidRPr="00AE7A5B">
        <w:rPr>
          <w:rFonts w:eastAsia="Calibri" w:cs="Lato-Regular"/>
          <w:szCs w:val="20"/>
        </w:rPr>
        <w:t xml:space="preserve">zakładowego układu zbiorowego pracy w zakresie ustalania  wynagrodzeń zasadniczych oraz spełniania wymogów formalnych przez nowo zatrudnione osoby.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Times New Roman"/>
          <w:szCs w:val="20"/>
        </w:rPr>
        <w:t>Podjęcie działań zapewniających przestrzeganie</w:t>
      </w:r>
      <w:r w:rsidRPr="00AE7A5B">
        <w:rPr>
          <w:rFonts w:eastAsia="Calibri" w:cs="Lato-Regular"/>
          <w:szCs w:val="20"/>
        </w:rPr>
        <w:t xml:space="preserve"> </w:t>
      </w:r>
      <w:r w:rsidRPr="00AE7A5B">
        <w:rPr>
          <w:rFonts w:cs="Times New Roman"/>
          <w:bCs/>
          <w:iCs/>
          <w:szCs w:val="20"/>
        </w:rPr>
        <w:t xml:space="preserve">rozporządzenia </w:t>
      </w:r>
      <w:r w:rsidRPr="00AE7A5B">
        <w:rPr>
          <w:rFonts w:cs="Times New Roman"/>
          <w:bCs/>
          <w:iCs/>
          <w:szCs w:val="20"/>
        </w:rPr>
        <w:t>ws</w:t>
      </w:r>
      <w:r w:rsidRPr="00AE7A5B">
        <w:rPr>
          <w:rFonts w:cs="Times New Roman"/>
          <w:bCs/>
          <w:iCs/>
          <w:szCs w:val="20"/>
        </w:rPr>
        <w:t xml:space="preserve">. dokumentacji pracowniczej, w celu </w:t>
      </w:r>
      <w:r w:rsidRPr="00AE7A5B">
        <w:rPr>
          <w:rFonts w:eastAsia="Calibri" w:cs="Lato-Regular"/>
          <w:szCs w:val="20"/>
        </w:rPr>
        <w:t xml:space="preserve">wyeliminowania przypadków braków w dokumentacji pracowniczej, m.in. oświadczeń, kart oceny dorobku naukowego.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Times New Roman"/>
          <w:szCs w:val="20"/>
        </w:rPr>
        <w:t xml:space="preserve">Podjęcie działań zapewniających przestrzeganie </w:t>
      </w:r>
      <w:r w:rsidRPr="00AE7A5B">
        <w:rPr>
          <w:rFonts w:eastAsia="Calibri" w:cs="Lato-Regular"/>
          <w:szCs w:val="20"/>
        </w:rPr>
        <w:t>regulaminu oceny pracowników, poprzez m.in. wyłączenie pracowników z procesu oceny własnego dorobku naukowego.</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color w:val="FF0000"/>
          <w:szCs w:val="20"/>
        </w:rPr>
      </w:pPr>
      <w:r w:rsidRPr="00AE7A5B">
        <w:rPr>
          <w:rFonts w:eastAsia="Times New Roman" w:cs="Times New Roman"/>
          <w:szCs w:val="20"/>
          <w:lang w:eastAsia="pl-PL"/>
        </w:rPr>
        <w:t>Podjęcie działań w celu realizacji zalecenia pokontrolnego z kontroli Ministra Środowiska z 28 lipca 2020 r., znak: BKA-I.0831.4.1.2020, wskazującego na konieczność</w:t>
      </w:r>
      <w:r w:rsidRPr="00AE7A5B">
        <w:rPr>
          <w:rFonts w:eastAsia="Calibri" w:cs="Lato-Regular"/>
          <w:szCs w:val="20"/>
        </w:rPr>
        <w:t xml:space="preserve"> powołania komisji dyscyplinarnej w Instytucie.</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 xml:space="preserve">Podjęcie działań zmierzających do przestrzegania rozporządzenia </w:t>
      </w:r>
      <w:r w:rsidRPr="00AE7A5B">
        <w:rPr>
          <w:rFonts w:eastAsia="Calibri" w:cs="Lato-Regular"/>
          <w:szCs w:val="20"/>
        </w:rPr>
        <w:t>ws</w:t>
      </w:r>
      <w:r w:rsidRPr="00AE7A5B">
        <w:rPr>
          <w:rFonts w:eastAsia="Calibri" w:cs="Lato-Regular"/>
          <w:szCs w:val="20"/>
        </w:rPr>
        <w:t>. przetargu środków trwałych.</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 xml:space="preserve">Podjęcie działań zapewniających przestrzeganie ustawy z 7 lipca 1994 r. Prawo budowlane w zakresie przeprowadzania kontroli okresowych stanu technicznego budynków, zgodnie z art. 62 ust. 1 pkt 1 i 2. </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 xml:space="preserve">Podjęcie działań zapewniających prowadzenie książek obiektów budowlanych zgodnie z § 2, §5 ust. 1 pkt b-d, ust. 2, ust. 4 rozporządzenia </w:t>
      </w:r>
      <w:r w:rsidRPr="00AE7A5B">
        <w:rPr>
          <w:rFonts w:eastAsia="Calibri" w:cs="Lato-Regular"/>
          <w:szCs w:val="20"/>
        </w:rPr>
        <w:t>ws</w:t>
      </w:r>
      <w:r w:rsidRPr="00AE7A5B">
        <w:rPr>
          <w:rFonts w:eastAsia="Calibri" w:cs="Lato-Regular"/>
          <w:szCs w:val="20"/>
        </w:rPr>
        <w:t>. książki obiektu budowlanego.</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Calibri" w:cs="Lato-Regular"/>
          <w:szCs w:val="20"/>
        </w:rPr>
        <w:t xml:space="preserve">Podjęcie działań zapewniających dochowanie należytej staranności przy sporządzaniu </w:t>
      </w:r>
      <w:r w:rsidRPr="00AE7A5B">
        <w:rPr>
          <w:rFonts w:eastAsia="Calibri" w:cs="Lato-Regular"/>
          <w:szCs w:val="20"/>
        </w:rPr>
        <w:br/>
        <w:t>i egzekwowaniu postanowień umów najmu w zakresie m.in. zabezpieczenia interesów Instytutu i terminów płatności.</w:t>
      </w:r>
    </w:p>
    <w:p w:rsidR="00AE7A5B" w:rsidRPr="00AE7A5B" w:rsidP="00AE7A5B">
      <w:pPr>
        <w:numPr>
          <w:ilvl w:val="0"/>
          <w:numId w:val="38"/>
        </w:numPr>
        <w:autoSpaceDE w:val="0"/>
        <w:autoSpaceDN w:val="0"/>
        <w:adjustRightInd w:val="0"/>
        <w:spacing w:before="120" w:after="120" w:line="240" w:lineRule="auto"/>
        <w:ind w:left="284" w:hanging="284"/>
        <w:jc w:val="left"/>
        <w:rPr>
          <w:rFonts w:eastAsia="Calibri" w:cs="Lato-Regular"/>
          <w:szCs w:val="20"/>
        </w:rPr>
      </w:pPr>
      <w:r w:rsidRPr="00AE7A5B">
        <w:rPr>
          <w:rFonts w:eastAsia="Times New Roman" w:cs="Times New Roman"/>
          <w:szCs w:val="20"/>
          <w:lang w:eastAsia="pl-PL"/>
        </w:rPr>
        <w:t xml:space="preserve">Podjęcie działań w celu realizacji zalecenia pokontrolnego z kontroli Ministra Środowiska z 7 października 2016 r., znak BKA-I.0941.4.2016.MN, dotyczącego </w:t>
      </w:r>
      <w:r w:rsidRPr="00AE7A5B">
        <w:rPr>
          <w:rFonts w:eastAsia="Calibri" w:cs="Lato-Regular"/>
          <w:szCs w:val="20"/>
        </w:rPr>
        <w:t>przestrzegania wewnętrznych regulacji w celu wyeliminowania przypadków nieterminowego przekazywania dokumentacji do archiwum zakładowego oraz niezachowania warunków przechowywania akt w pomieszczeniach archiwum.</w:t>
      </w:r>
    </w:p>
    <w:p w:rsidR="00AE7A5B" w:rsidRPr="00AE7A5B" w:rsidP="00AE7A5B">
      <w:pPr>
        <w:numPr>
          <w:ilvl w:val="0"/>
          <w:numId w:val="38"/>
        </w:numPr>
        <w:autoSpaceDE w:val="0"/>
        <w:autoSpaceDN w:val="0"/>
        <w:adjustRightInd w:val="0"/>
        <w:spacing w:before="120" w:after="120" w:line="240" w:lineRule="auto"/>
        <w:ind w:left="284" w:hanging="284"/>
        <w:jc w:val="left"/>
        <w:rPr>
          <w:rFonts w:eastAsia="Times New Roman" w:cs="Times New Roman"/>
          <w:szCs w:val="20"/>
          <w:lang w:eastAsia="pl-PL"/>
        </w:rPr>
      </w:pPr>
      <w:bookmarkStart w:id="72" w:name="_Hlk153364291"/>
      <w:r w:rsidRPr="00AE7A5B">
        <w:rPr>
          <w:rFonts w:eastAsia="Times New Roman" w:cs="Times New Roman"/>
          <w:szCs w:val="20"/>
          <w:lang w:eastAsia="pl-PL"/>
        </w:rPr>
        <w:t xml:space="preserve">Podjęcie działań w celu realizacji zalecenia pokontrolnego z kontroli </w:t>
      </w:r>
      <w:bookmarkEnd w:id="72"/>
      <w:r w:rsidRPr="00AE7A5B">
        <w:rPr>
          <w:rFonts w:eastAsia="Times New Roman" w:cs="Times New Roman"/>
          <w:szCs w:val="20"/>
          <w:lang w:eastAsia="pl-PL"/>
        </w:rPr>
        <w:t>Ministra Środowiska z 15 września 2017 r., znak: BKA-I.0943.10.2016.MN, dotyczącego rozważenia możliwości rozbudowania wewnętrznego systemu obiegu dokumentów o aplikację umożliwiającą automatyczne przesyłanie do właściwych jednostek organizacyjnych „obiegówki” do elektronicznego wypełnienia, w celu wyeliminowania przypadków nierozliczania się pracowników odchodzących z pracy.</w:t>
      </w:r>
    </w:p>
    <w:p w:rsidR="00AE7A5B" w:rsidRPr="00AE7A5B" w:rsidP="00AE7A5B">
      <w:pPr>
        <w:numPr>
          <w:ilvl w:val="0"/>
          <w:numId w:val="38"/>
        </w:numPr>
        <w:spacing w:before="120" w:after="120" w:line="240" w:lineRule="auto"/>
        <w:ind w:left="284" w:hanging="284"/>
        <w:jc w:val="left"/>
        <w:rPr>
          <w:rFonts w:eastAsia="Times New Roman" w:cs="Times New Roman"/>
          <w:szCs w:val="20"/>
          <w:u w:val="single"/>
          <w:lang w:eastAsia="pl-PL"/>
        </w:rPr>
      </w:pPr>
      <w:r w:rsidRPr="00AE7A5B">
        <w:rPr>
          <w:rFonts w:eastAsia="Calibri" w:cs="Lato-Regular"/>
          <w:szCs w:val="20"/>
        </w:rPr>
        <w:t>Podjęcie działań zapewniających przestrzeganie przez pracowników zasad dostępu do informacji geologicznych, w celu wyeliminowania przypadków niezwracania w terminie wypożyczonej dokumentacji. Ponadto podjęcie skutecznych działań w celu</w:t>
      </w:r>
      <w:r w:rsidRPr="00AE7A5B">
        <w:rPr>
          <w:rFonts w:asciiTheme="minorHAnsi" w:hAnsiTheme="minorHAnsi"/>
          <w:sz w:val="24"/>
          <w:szCs w:val="24"/>
        </w:rPr>
        <w:t xml:space="preserve"> </w:t>
      </w:r>
      <w:r w:rsidRPr="00AE7A5B">
        <w:rPr>
          <w:rFonts w:eastAsia="Calibri" w:cs="Lato-Regular"/>
          <w:szCs w:val="20"/>
        </w:rPr>
        <w:t xml:space="preserve">bieżącego </w:t>
      </w:r>
      <w:r w:rsidRPr="00AE7A5B">
        <w:rPr>
          <w:rFonts w:eastAsia="Calibri" w:cs="Lato-Regular"/>
          <w:szCs w:val="20"/>
        </w:rPr>
        <w:t xml:space="preserve">monitoringu korzystania z wypożyczonej dokumentacji oraz odzyskania od byłych pracowników wypożyczonej dokumentacji. </w:t>
      </w:r>
    </w:p>
    <w:p w:rsidR="00AE7A5B" w:rsidRPr="00AE7A5B" w:rsidP="00AE7A5B">
      <w:pPr>
        <w:numPr>
          <w:ilvl w:val="0"/>
          <w:numId w:val="38"/>
        </w:numPr>
        <w:spacing w:before="120" w:after="120" w:line="240" w:lineRule="auto"/>
        <w:ind w:left="284" w:hanging="284"/>
        <w:jc w:val="left"/>
        <w:rPr>
          <w:rFonts w:eastAsia="Times New Roman" w:cs="Times New Roman"/>
          <w:szCs w:val="20"/>
          <w:lang w:eastAsia="pl-PL"/>
        </w:rPr>
      </w:pPr>
      <w:r w:rsidRPr="00AE7A5B">
        <w:rPr>
          <w:rFonts w:eastAsia="Calibri" w:cs="Lato-Regular"/>
          <w:szCs w:val="20"/>
        </w:rPr>
        <w:t xml:space="preserve">Podjęcie działań w celu realizacji zalecenia pokontrolnego z kontroli </w:t>
      </w:r>
      <w:bookmarkStart w:id="73" w:name="_Hlk153365190"/>
      <w:r w:rsidRPr="00AE7A5B">
        <w:rPr>
          <w:rFonts w:eastAsia="Calibri" w:cs="Lato-Regular"/>
          <w:szCs w:val="20"/>
        </w:rPr>
        <w:t xml:space="preserve">Ministra Środowiska z 15 września 2017 r., znak: BKA-I.0943.10.2016.MN, </w:t>
      </w:r>
      <w:bookmarkEnd w:id="73"/>
      <w:r w:rsidRPr="00AE7A5B">
        <w:rPr>
          <w:rFonts w:eastAsia="Calibri" w:cs="Lato-Regular"/>
          <w:szCs w:val="20"/>
        </w:rPr>
        <w:t xml:space="preserve">dotyczącego </w:t>
      </w:r>
      <w:r w:rsidRPr="00AE7A5B">
        <w:rPr>
          <w:rFonts w:eastAsia="Times New Roman" w:cs="Times New Roman"/>
          <w:szCs w:val="20"/>
          <w:lang w:eastAsia="pl-PL"/>
        </w:rPr>
        <w:t>wprowadzenia obowiązku przeszkolenia nowo zatrudnianych pracowników oraz osób posiadających zgodę na dostęp do materiałów zawierających informacje geologiczne bieżącego dokumentowania w zakresie zasad dostępu i korzystania z dokumentacji geologicznej, w szczególności z materiałów zawierających informacje geologiczne bieżącego dokumentowania.</w:t>
      </w:r>
    </w:p>
    <w:p w:rsidR="00AE7A5B" w:rsidRPr="00AE7A5B" w:rsidP="00AE7A5B">
      <w:pPr>
        <w:numPr>
          <w:ilvl w:val="0"/>
          <w:numId w:val="38"/>
        </w:numPr>
        <w:spacing w:before="120" w:after="120" w:line="240" w:lineRule="auto"/>
        <w:ind w:left="284" w:hanging="284"/>
        <w:jc w:val="left"/>
        <w:rPr>
          <w:rFonts w:eastAsia="Times New Roman" w:cs="Times New Roman"/>
          <w:szCs w:val="20"/>
          <w:lang w:eastAsia="pl-PL"/>
        </w:rPr>
      </w:pPr>
      <w:r w:rsidRPr="00AE7A5B">
        <w:rPr>
          <w:rFonts w:eastAsia="Times New Roman" w:cs="Times New Roman"/>
          <w:szCs w:val="20"/>
          <w:lang w:eastAsia="pl-PL"/>
        </w:rPr>
        <w:t xml:space="preserve">Podjęcie działań w celu realizacji zalecenia pokontrolnego z kontroli </w:t>
      </w:r>
      <w:r w:rsidRPr="00AE7A5B">
        <w:rPr>
          <w:rFonts w:eastAsia="Calibri" w:cs="Lato-Regular"/>
          <w:szCs w:val="20"/>
        </w:rPr>
        <w:t xml:space="preserve">Ministra Środowiska z 15 września 2017 r., znak: BKA-I.0943.10.2016.MN, </w:t>
      </w:r>
      <w:r w:rsidRPr="00AE7A5B">
        <w:rPr>
          <w:rFonts w:eastAsia="Times New Roman" w:cs="Times New Roman"/>
          <w:szCs w:val="20"/>
          <w:lang w:eastAsia="pl-PL"/>
        </w:rPr>
        <w:t>dotyczącego przeprowadzania przez pracowników Narodowego Archiwum Geologicznego kontroli przechowywania dokumentacji zawierającej informacje geologiczne bieżącego dokumentowania w pomieszczeniach pracy wydzielonej.</w:t>
      </w:r>
    </w:p>
    <w:p w:rsidR="00AE7A5B" w:rsidRPr="00AE7A5B" w:rsidP="00AE7A5B">
      <w:pPr>
        <w:numPr>
          <w:ilvl w:val="0"/>
          <w:numId w:val="38"/>
        </w:numPr>
        <w:spacing w:before="120" w:after="120" w:line="240" w:lineRule="auto"/>
        <w:ind w:left="284" w:hanging="284"/>
        <w:jc w:val="left"/>
        <w:rPr>
          <w:rFonts w:eastAsia="Times New Roman" w:cs="Times New Roman"/>
          <w:szCs w:val="20"/>
          <w:lang w:eastAsia="pl-PL"/>
        </w:rPr>
      </w:pPr>
      <w:bookmarkStart w:id="74" w:name="_Hlk153365818"/>
      <w:r w:rsidRPr="00AE7A5B">
        <w:rPr>
          <w:rFonts w:eastAsia="Times New Roman" w:cs="Times New Roman"/>
          <w:szCs w:val="20"/>
          <w:lang w:eastAsia="pl-PL"/>
        </w:rPr>
        <w:t xml:space="preserve">Podjęcie działań w celu realizacji zalecenia pokontrolnego z kontroli </w:t>
      </w:r>
      <w:bookmarkEnd w:id="74"/>
      <w:r w:rsidRPr="00AE7A5B">
        <w:rPr>
          <w:rFonts w:eastAsia="Times New Roman" w:cs="Times New Roman"/>
          <w:szCs w:val="20"/>
          <w:lang w:eastAsia="pl-PL"/>
        </w:rPr>
        <w:t xml:space="preserve">Ministra Środowiska z 15 września 2017 r., znak: BKA-I.0943.10.2016.MN, dotyczącego okresowych szkoleń odnośnie rzetelności naukowej, etycznych zasad publikacji naukowych z uwzględnieniem najczęstszych naruszeń, w tym </w:t>
      </w:r>
      <w:r w:rsidRPr="00AE7A5B">
        <w:rPr>
          <w:rFonts w:eastAsia="Times New Roman" w:cs="Times New Roman"/>
          <w:szCs w:val="20"/>
          <w:lang w:eastAsia="pl-PL"/>
        </w:rPr>
        <w:t>autoplagiatów</w:t>
      </w:r>
      <w:r w:rsidRPr="00AE7A5B">
        <w:rPr>
          <w:rFonts w:eastAsia="Times New Roman" w:cs="Times New Roman"/>
          <w:szCs w:val="20"/>
          <w:lang w:eastAsia="pl-PL"/>
        </w:rPr>
        <w:t xml:space="preserve"> i nienależnego autorstwa.</w:t>
      </w:r>
    </w:p>
    <w:p w:rsidR="00AE7A5B" w:rsidRPr="00AE7A5B" w:rsidP="00AE7A5B">
      <w:pPr>
        <w:numPr>
          <w:ilvl w:val="0"/>
          <w:numId w:val="38"/>
        </w:numPr>
        <w:spacing w:before="120" w:after="120" w:line="240" w:lineRule="auto"/>
        <w:ind w:left="284" w:hanging="284"/>
        <w:jc w:val="left"/>
        <w:rPr>
          <w:rFonts w:eastAsia="Times New Roman" w:cs="Times New Roman"/>
          <w:szCs w:val="20"/>
          <w:lang w:eastAsia="pl-PL"/>
        </w:rPr>
      </w:pPr>
      <w:r w:rsidRPr="00AE7A5B">
        <w:rPr>
          <w:rFonts w:eastAsia="Times New Roman" w:cs="Times New Roman"/>
          <w:szCs w:val="20"/>
          <w:lang w:eastAsia="pl-PL"/>
        </w:rPr>
        <w:t xml:space="preserve">Podjęcie działań mających na celu wyeliminowanie przypadków braku oryginałów </w:t>
      </w:r>
      <w:r w:rsidRPr="00AE7A5B">
        <w:rPr>
          <w:rFonts w:eastAsia="Times New Roman" w:cs="Times New Roman"/>
          <w:szCs w:val="20"/>
          <w:lang w:eastAsia="pl-PL"/>
        </w:rPr>
        <w:br/>
        <w:t xml:space="preserve">umów/porozumień międzynarodowych w zasobach Centralnego Rejestru Umów oraz protokołów z przekazania oryginałów umów do zasobów ww. rejestru. </w:t>
      </w:r>
    </w:p>
    <w:p w:rsidR="00AE7A5B" w:rsidRPr="00AE7A5B" w:rsidP="00AE7A5B">
      <w:pPr>
        <w:numPr>
          <w:ilvl w:val="0"/>
          <w:numId w:val="38"/>
        </w:numPr>
        <w:spacing w:before="120" w:after="120" w:line="240" w:lineRule="auto"/>
        <w:ind w:left="284" w:hanging="284"/>
        <w:jc w:val="left"/>
        <w:rPr>
          <w:rFonts w:eastAsia="Times New Roman" w:cs="Times New Roman"/>
          <w:szCs w:val="20"/>
          <w:lang w:eastAsia="pl-PL"/>
        </w:rPr>
      </w:pPr>
      <w:r w:rsidRPr="00AE7A5B">
        <w:rPr>
          <w:rFonts w:eastAsia="Times New Roman" w:cs="Times New Roman"/>
          <w:szCs w:val="20"/>
          <w:lang w:eastAsia="pl-PL"/>
        </w:rPr>
        <w:t xml:space="preserve">Dokonanie przeglądu wszystkich obowiązujących umów, memorandów i innych porozumień międzynarodowych, pod kątem posiadania przez Instytut oryginałów tych dokumentów. </w:t>
      </w:r>
    </w:p>
    <w:p w:rsidR="00AE7A5B" w:rsidRPr="00AE7A5B" w:rsidP="00AE7A5B">
      <w:pPr>
        <w:numPr>
          <w:ilvl w:val="0"/>
          <w:numId w:val="38"/>
        </w:numPr>
        <w:spacing w:before="120" w:after="120" w:line="240" w:lineRule="auto"/>
        <w:ind w:left="284" w:hanging="284"/>
        <w:jc w:val="left"/>
        <w:rPr>
          <w:rFonts w:eastAsia="Times New Roman" w:cs="Times New Roman"/>
          <w:szCs w:val="20"/>
          <w:lang w:eastAsia="pl-PL"/>
        </w:rPr>
      </w:pPr>
      <w:r w:rsidRPr="00AE7A5B">
        <w:rPr>
          <w:rFonts w:eastAsia="Times New Roman" w:cs="Times New Roman"/>
          <w:szCs w:val="20"/>
          <w:lang w:eastAsia="pl-PL"/>
        </w:rPr>
        <w:t>Podjęcie działań w celu realizacji zalecenia pokontrolnego z kontroli Najwyższej Izby Kontroli z 15 września 2015 r., znak KSI.411.001.01.2015, S/15/001, dotyczącego opracowania i wdrożenia procedur zapewniających dokumentowanie poszczególnych działań w procesie zlecania realizacji zadań, na podstawie umów cywilnoprawnych, umożliwiających ustalenie celowości i efektywności dokonywanych wydatków ze środków publicznych.</w:t>
      </w:r>
    </w:p>
    <w:p w:rsidR="00AE7A5B" w:rsidRPr="00AE7A5B" w:rsidP="00AE7A5B">
      <w:pPr>
        <w:numPr>
          <w:ilvl w:val="0"/>
          <w:numId w:val="38"/>
        </w:numPr>
        <w:spacing w:after="0" w:line="240" w:lineRule="auto"/>
        <w:ind w:left="284" w:hanging="284"/>
        <w:jc w:val="left"/>
        <w:rPr>
          <w:rFonts w:eastAsia="Times New Roman" w:cs="Times New Roman"/>
          <w:szCs w:val="20"/>
          <w:lang w:eastAsia="pl-PL"/>
        </w:rPr>
      </w:pPr>
      <w:r w:rsidRPr="00AE7A5B">
        <w:rPr>
          <w:rFonts w:eastAsia="Times New Roman" w:cs="Times New Roman"/>
          <w:szCs w:val="20"/>
          <w:lang w:eastAsia="pl-PL"/>
        </w:rPr>
        <w:t>Podjęcie działań w celu realizacji zalecenia pokontrolnego z kontroli Ministra Środowiska z 28 lipca 2020 r., znak: BKA-I.0831.4.1.2020, dotyczącego weryfikacji kompletności przekazywanych przez osoby odchodzące z pracy dokumentów określonych m.in. w porozumieniach w sprawie rozwiązania stosunku pracy.</w:t>
      </w:r>
    </w:p>
    <w:p w:rsidR="00AE7A5B" w:rsidRPr="00AE7A5B" w:rsidP="00AE7A5B">
      <w:pPr>
        <w:numPr>
          <w:ilvl w:val="0"/>
          <w:numId w:val="38"/>
        </w:numPr>
        <w:spacing w:before="120" w:after="0" w:line="240" w:lineRule="auto"/>
        <w:ind w:left="284" w:hanging="284"/>
        <w:jc w:val="left"/>
        <w:rPr>
          <w:rFonts w:eastAsia="Times New Roman" w:cs="Times New Roman"/>
          <w:szCs w:val="20"/>
          <w:lang w:eastAsia="pl-PL"/>
        </w:rPr>
      </w:pPr>
      <w:r w:rsidRPr="00AE7A5B">
        <w:rPr>
          <w:rFonts w:eastAsia="Times New Roman" w:cs="Times New Roman"/>
          <w:szCs w:val="20"/>
          <w:lang w:eastAsia="pl-PL"/>
        </w:rPr>
        <w:t>Podjęcie działań zmierzających do zmiany lokalizacji pomieszczenia pracy wydzielonej tak, by umiejscowić je bezpośrednio przy pomieszczeniu, w którym opracowania zawierające informacje geologiczne bieżącego dokumentowania są przechowywane.</w:t>
      </w:r>
    </w:p>
    <w:p w:rsidR="00AE7A5B" w:rsidRPr="00AE7A5B" w:rsidP="00AE7A5B">
      <w:pPr>
        <w:spacing w:after="0" w:line="240" w:lineRule="auto"/>
        <w:ind w:left="720"/>
        <w:jc w:val="left"/>
        <w:rPr>
          <w:rFonts w:eastAsia="Times New Roman" w:cs="Times New Roman"/>
          <w:szCs w:val="20"/>
          <w:lang w:eastAsia="pl-PL"/>
        </w:rPr>
      </w:pPr>
    </w:p>
    <w:p w:rsidR="00AE7A5B" w:rsidRPr="00AE7A5B" w:rsidP="00AE7A5B">
      <w:pPr>
        <w:rPr>
          <w:rFonts w:eastAsia="Times New Roman" w:cs="Times New Roman"/>
          <w:szCs w:val="20"/>
          <w:lang w:eastAsia="pl-PL"/>
        </w:rPr>
      </w:pPr>
    </w:p>
    <w:p w:rsidR="00AE7A5B" w:rsidRPr="00AE7A5B" w:rsidP="00AE7A5B">
      <w:pPr>
        <w:spacing w:before="120" w:after="120" w:line="240" w:lineRule="auto"/>
        <w:jc w:val="left"/>
        <w:rPr>
          <w:rFonts w:eastAsia="Calibri" w:cs="Times New Roman"/>
          <w:b/>
          <w:bCs/>
        </w:rPr>
      </w:pPr>
      <w:r w:rsidRPr="00AE7A5B">
        <w:rPr>
          <w:rFonts w:eastAsia="Calibri" w:cs="Times New Roman"/>
        </w:rPr>
        <w:t xml:space="preserve">Przedstawiając powyższe wystąpienie pokontrolne z kontroli, proszę Pana Dyrektora o złożenie pisemnej informacji w sprawie sposobu wykorzystania wyników kontroli oraz o podjętych działaniach zmierzających do realizacji zaleceń pokontrolnych </w:t>
      </w:r>
      <w:r w:rsidRPr="00AE7A5B">
        <w:rPr>
          <w:rFonts w:eastAsia="Calibri" w:cs="Times New Roman"/>
          <w:b/>
          <w:bCs/>
        </w:rPr>
        <w:t>w terminie 30 dni od otrzymania wystąpienia pokontrolnego.</w:t>
      </w:r>
    </w:p>
    <w:p w:rsidR="00AE7A5B" w:rsidRPr="00AE7A5B" w:rsidP="00AE7A5B">
      <w:pPr>
        <w:spacing w:after="200" w:line="240" w:lineRule="auto"/>
        <w:jc w:val="left"/>
        <w:rPr>
          <w:rFonts w:eastAsia="Calibri" w:cs="Times New Roman"/>
        </w:rPr>
      </w:pPr>
      <w:r w:rsidRPr="00AE7A5B">
        <w:rPr>
          <w:rFonts w:eastAsia="Calibri" w:cs="Times New Roman"/>
        </w:rPr>
        <w:t>W przypadku realizacji zaleceń pokontrolnych, której efektem będzie zmiana wewnętrznych regulacji lub innych dokumentów, proszę o przesłanie ich kopii potwierdzonych za zgodność z oryginałem, wraz z powyższą informacją.</w:t>
      </w:r>
    </w:p>
    <w:p w:rsidR="00000000" w:rsidRPr="00D05E25" w:rsidP="00A440C9">
      <w:pPr>
        <w:spacing w:after="200" w:line="240" w:lineRule="auto"/>
      </w:pPr>
    </w:p>
    <w:p w:rsidR="00000000" w:rsidRPr="004215B7" w:rsidP="006E07D8">
      <w:pPr>
        <w:spacing w:after="0" w:line="240" w:lineRule="auto"/>
        <w:jc w:val="left"/>
      </w:pPr>
      <w:bookmarkStart w:id="75" w:name="ezdPracownikPodpisNazwa"/>
      <w:r w:rsidRPr="004215B7">
        <w:t>Anita Sowińska</w:t>
      </w:r>
      <w:bookmarkEnd w:id="75"/>
    </w:p>
    <w:p w:rsidR="00000000" w:rsidRPr="004215B7" w:rsidP="006E07D8">
      <w:pPr>
        <w:spacing w:after="0" w:line="240" w:lineRule="auto"/>
        <w:jc w:val="left"/>
      </w:pPr>
      <w:bookmarkStart w:id="76" w:name="ezdPracownikPodpisStanowisko"/>
      <w:r w:rsidRPr="004215B7">
        <w:t>Podsekretarz Stanu</w:t>
      </w:r>
      <w:bookmarkEnd w:id="76"/>
    </w:p>
    <w:p w:rsidR="00000000" w:rsidRPr="004215B7" w:rsidP="006E07D8">
      <w:pPr>
        <w:spacing w:after="0" w:line="240" w:lineRule="auto"/>
        <w:jc w:val="left"/>
      </w:pPr>
      <w:r w:rsidRPr="004215B7">
        <w:t>Ministerstwo Klimatu i Środowiska</w:t>
      </w:r>
      <w:r w:rsidRPr="004215B7">
        <w:br/>
        <w:t>/ – podpisany cyfrowo/</w:t>
      </w:r>
    </w:p>
    <w:p w:rsidR="00000000" w:rsidP="009276B2">
      <w:pPr>
        <w:spacing w:after="120" w:line="240" w:lineRule="auto"/>
      </w:pPr>
    </w:p>
    <w:p w:rsidR="00000000" w:rsidP="009D23DC"/>
    <w:p w:rsidR="00AE7A5B" w:rsidRPr="00BB0861" w:rsidP="00AE7A5B">
      <w:pPr>
        <w:spacing w:after="120" w:line="240" w:lineRule="auto"/>
        <w:rPr>
          <w:b/>
          <w:bCs/>
        </w:rPr>
      </w:pPr>
      <w:r w:rsidRPr="00BB0861">
        <w:rPr>
          <w:b/>
          <w:bCs/>
        </w:rPr>
        <w:t>Do wiadomości:</w:t>
      </w:r>
    </w:p>
    <w:p w:rsidR="00AE7A5B" w:rsidRPr="00BB0861" w:rsidP="00AE7A5B">
      <w:pPr>
        <w:spacing w:after="120" w:line="240" w:lineRule="auto"/>
        <w:jc w:val="left"/>
      </w:pPr>
      <w:r w:rsidRPr="00BB0861">
        <w:t>Pani Magdalena Piątkowska - Dyrektor Departamentu Nadzoru Geologicznego i Polityki Surowcowej</w:t>
      </w:r>
    </w:p>
    <w:p w:rsidR="00AE7A5B" w:rsidRPr="009D23DC" w:rsidP="009D23DC"/>
    <w:sectPr w:rsidSect="00A5787D">
      <w:headerReference w:type="default" r:id="rId6"/>
      <w:headerReference w:type="first" r:id="rId7"/>
      <w:footerReference w:type="first" r:id="rId8"/>
      <w:pgSz w:w="11906" w:h="16838"/>
      <w:pgMar w:top="2113" w:right="1985" w:bottom="1985"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embedRegular r:id="rId1" w:fontKey="{D389CBD3-895A-45E6-A6B7-FDD981103883}"/>
    <w:embedBold r:id="rId2" w:fontKey="{7E9BF9D1-1638-4E97-BABE-93797F923966}"/>
    <w:embedBoldItalic r:id="rId3" w:fontKey="{56E2DF4C-3063-42CB-9549-A6290E31042B}"/>
  </w:font>
  <w:font w:name="Calibri">
    <w:panose1 w:val="020F0502020204030204"/>
    <w:charset w:val="EE"/>
    <w:family w:val="swiss"/>
    <w:pitch w:val="variable"/>
    <w:sig w:usb0="E4002EFF" w:usb1="C200247B" w:usb2="00000009" w:usb3="00000000" w:csb0="000001FF" w:csb1="00000000"/>
    <w:embedRegular r:id="rId4" w:subsetted="1" w:fontKey="{3C6B1BC9-9F6E-4CAB-A4BF-9D3264AFEF6D}"/>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Jost">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ato-Bold">
    <w:altName w:val="Lato"/>
    <w:panose1 w:val="00000000000000000000"/>
    <w:charset w:val="00"/>
    <w:family w:val="swiss"/>
    <w:notTrueType/>
    <w:pitch w:val="default"/>
    <w:sig w:usb0="00000007" w:usb1="00000000" w:usb2="00000000" w:usb3="00000000" w:csb0="00000003" w:csb1="00000000"/>
  </w:font>
  <w:font w:name="SegoeUI">
    <w:altName w:val="Segoe UI"/>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EE"/>
    <w:family w:val="roman"/>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Lato-Regular">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8775A" w:rsidP="0020194A">
    <w:pPr>
      <w:pStyle w:val="Footer"/>
      <w:tabs>
        <w:tab w:val="clear" w:pos="4536"/>
        <w:tab w:val="left" w:pos="5103"/>
        <w:tab w:val="clear" w:pos="9072"/>
      </w:tabs>
    </w:pPr>
    <w:r w:rsidRPr="0078775A">
      <w:rPr>
        <w:noProof/>
        <w:sz w:val="14"/>
        <w:lang w:eastAsia="pl-PL"/>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-120650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xmlns:wps="http://schemas.microsoft.com/office/word/2010/wordprocessingShape">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2"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60288" from="0,-9.5pt" to="396.85pt,-9.5pt" strokecolor="black" strokeweight="0.5pt">
              <v:stroke joinstyle="miter"/>
              <w10:wrap anchorx="margin"/>
            </v:line>
          </w:pict>
        </mc:Fallback>
      </mc:AlternateContent>
    </w:r>
    <w:r w:rsidRPr="0078775A">
      <w:t>Telefon: (+48) 22</w:t>
    </w:r>
    <w:r>
      <w:t> </w:t>
    </w:r>
    <w:r w:rsidRPr="0078775A">
      <w:t>369</w:t>
    </w:r>
    <w:r>
      <w:t xml:space="preserve"> </w:t>
    </w:r>
    <w:r w:rsidRPr="0078775A">
      <w:t>29</w:t>
    </w:r>
    <w:r>
      <w:t xml:space="preserve"> </w:t>
    </w:r>
    <w:r w:rsidRPr="0078775A">
      <w:t>00</w:t>
    </w:r>
    <w:r w:rsidRPr="0078775A">
      <w:tab/>
      <w:t xml:space="preserve">ul. Wawelska 52/54, 00-922 Warszawa  </w:t>
    </w:r>
  </w:p>
  <w:p w:rsidR="00000000" w:rsidRPr="0078775A" w:rsidP="0020194A">
    <w:pPr>
      <w:pStyle w:val="Footer"/>
      <w:tabs>
        <w:tab w:val="clear" w:pos="4536"/>
        <w:tab w:val="left" w:pos="5387"/>
        <w:tab w:val="clear" w:pos="9072"/>
      </w:tabs>
    </w:pPr>
    <w:r w:rsidRPr="0078775A">
      <w:t>info@klimat.gov.pl</w:t>
    </w:r>
    <w:r w:rsidRPr="0078775A">
      <w:tab/>
      <w:t xml:space="preserve">Ministerstwo Klimatu i Środowiska  </w:t>
    </w:r>
  </w:p>
  <w:p w:rsidR="00000000" w:rsidRPr="0078775A" w:rsidP="0020194A">
    <w:pPr>
      <w:pStyle w:val="Footer"/>
      <w:tabs>
        <w:tab w:val="left" w:pos="5954"/>
      </w:tabs>
    </w:pPr>
    <w:r w:rsidRPr="0078775A">
      <w:t>www.gov.pl/klimat</w:t>
    </w:r>
  </w:p>
  <w:p w:rsidR="00000000" w:rsidRPr="0020194A" w:rsidP="0020194A">
    <w:pPr>
      <w:pStyle w:val="Footer"/>
      <w:jc w:val="center"/>
      <w:rPr>
        <w:sz w:val="14"/>
      </w:rPr>
    </w:pPr>
    <w:r w:rsidRPr="0078775A">
      <w:rPr>
        <w:sz w:val="14"/>
      </w:rPr>
      <w:t>Działamy zgodnie z EMAS - zarządzając instytucją, dbamy o środowisko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402F">
      <w:pPr>
        <w:spacing w:after="0" w:line="240" w:lineRule="auto"/>
      </w:pPr>
      <w:r>
        <w:separator/>
      </w:r>
    </w:p>
  </w:footnote>
  <w:footnote w:type="continuationSeparator" w:id="1">
    <w:p w:rsidR="0051402F">
      <w:pPr>
        <w:spacing w:after="0" w:line="240" w:lineRule="auto"/>
      </w:pPr>
      <w:r>
        <w:continuationSeparator/>
      </w:r>
    </w:p>
  </w:footnote>
  <w:footnote w:id="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Nr 28/2022 z 9 grudnia 2022 r., nr 2/2023 z 20 stycznia 2023 r., nr 5/2023 z 13 lutego 2023 r. i nr 12/2023 z 30 marca 2023 r.</w:t>
      </w:r>
    </w:p>
  </w:footnote>
  <w:footnote w:id="3">
    <w:p w:rsidR="00AE7A5B" w:rsidRPr="0061732F" w:rsidP="00AE7A5B">
      <w:pPr>
        <w:pStyle w:val="FootnoteText"/>
        <w:ind w:left="284" w:hanging="284"/>
        <w:rPr>
          <w:rFonts w:ascii="Lato" w:hAnsi="Lato"/>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T. j.  Dz. U. z 2020 r. poz. 224.</w:t>
      </w:r>
    </w:p>
  </w:footnote>
  <w:footnote w:id="4">
    <w:p w:rsidR="00AE7A5B" w:rsidRPr="0061732F" w:rsidP="00AE7A5B">
      <w:pPr>
        <w:pStyle w:val="FootnoteText"/>
        <w:ind w:left="284" w:hanging="284"/>
        <w:rPr>
          <w:rFonts w:ascii="Lato" w:hAnsi="Lato"/>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 xml:space="preserve">T. j.  Dz. U. z 2022 r. poz. 498 z </w:t>
      </w:r>
      <w:r w:rsidRPr="0061732F">
        <w:rPr>
          <w:rFonts w:ascii="Lato" w:hAnsi="Lato"/>
          <w:sz w:val="13"/>
          <w:szCs w:val="13"/>
        </w:rPr>
        <w:t>późn</w:t>
      </w:r>
      <w:r w:rsidRPr="0061732F">
        <w:rPr>
          <w:rFonts w:ascii="Lato" w:hAnsi="Lato"/>
          <w:sz w:val="13"/>
          <w:szCs w:val="13"/>
        </w:rPr>
        <w:t>. zm.</w:t>
      </w:r>
    </w:p>
  </w:footnote>
  <w:footnote w:id="5">
    <w:p w:rsidR="00AE7A5B" w:rsidRPr="0061732F" w:rsidP="00AE7A5B">
      <w:pPr>
        <w:pStyle w:val="FootnoteText"/>
        <w:ind w:left="284" w:hanging="284"/>
        <w:rPr>
          <w:rFonts w:ascii="Lato" w:hAnsi="Lato"/>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M. P. z 2021 r. poz. 374.</w:t>
      </w:r>
    </w:p>
  </w:footnote>
  <w:footnote w:id="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Ministra Środowiska z 4 października 2019 r.</w:t>
      </w:r>
    </w:p>
  </w:footnote>
  <w:footnote w:id="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Ustawa z 4 września 1997 r. o działach administracji rządowej, t. j. Dz.U. 2020 poz. 2512. </w:t>
      </w:r>
    </w:p>
  </w:footnote>
  <w:footnote w:id="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Rozporządzenie Prezesa Rady Ministrów z 27 października 2021 r. w sprawie szczegółowego zakresu działania Ministra Klimatu </w:t>
      </w:r>
      <w:r w:rsidRPr="0061732F">
        <w:rPr>
          <w:rFonts w:ascii="Lato" w:hAnsi="Lato"/>
          <w:sz w:val="13"/>
          <w:szCs w:val="13"/>
        </w:rPr>
        <w:br/>
        <w:t>i Środowiska, Dz. U. z 2021 r. poz. 1949.</w:t>
      </w:r>
    </w:p>
  </w:footnote>
  <w:footnote w:id="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 ocenie ogólnej stosuje się ocenę pozytywną, ocenę pozytywną z zastrzeżeniami, ocenę negatywną albo ocenę w formie opisowej. W niniejszym projekcie wystąpienia pokontrolnego sformułowano ocenę ogólną w formie opisowej.</w:t>
      </w:r>
    </w:p>
  </w:footnote>
  <w:footnote w:id="1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w:t>
      </w:r>
      <w:r w:rsidRPr="0061732F">
        <w:rPr>
          <w:rFonts w:ascii="Lato" w:hAnsi="Lato"/>
          <w:color w:val="000000"/>
          <w:sz w:val="13"/>
          <w:szCs w:val="13"/>
          <w:lang w:bidi="pl-PL"/>
        </w:rPr>
        <w:t xml:space="preserve">. j. Dz. U. z 2019 r. poz. 351, z </w:t>
      </w:r>
      <w:r w:rsidRPr="0061732F">
        <w:rPr>
          <w:rFonts w:ascii="Lato" w:hAnsi="Lato"/>
          <w:color w:val="000000"/>
          <w:sz w:val="13"/>
          <w:szCs w:val="13"/>
          <w:lang w:bidi="pl-PL"/>
        </w:rPr>
        <w:t>późn</w:t>
      </w:r>
      <w:r w:rsidRPr="0061732F">
        <w:rPr>
          <w:rFonts w:ascii="Lato" w:hAnsi="Lato"/>
          <w:color w:val="000000"/>
          <w:sz w:val="13"/>
          <w:szCs w:val="13"/>
          <w:lang w:bidi="pl-PL"/>
        </w:rPr>
        <w:t>. zm.</w:t>
      </w:r>
    </w:p>
  </w:footnote>
  <w:footnote w:id="1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Stanowiącej załącznik do zarządzenia Dyrektora nr 1 z 9 stycznia 2020 r. zmieniającego zarządzenia </w:t>
      </w:r>
      <w:r w:rsidRPr="0061732F">
        <w:rPr>
          <w:rFonts w:ascii="Lato" w:hAnsi="Lato"/>
          <w:sz w:val="13"/>
          <w:szCs w:val="13"/>
        </w:rPr>
        <w:t>ws</w:t>
      </w:r>
      <w:r w:rsidRPr="0061732F">
        <w:rPr>
          <w:rFonts w:ascii="Lato" w:hAnsi="Lato"/>
          <w:sz w:val="13"/>
          <w:szCs w:val="13"/>
        </w:rPr>
        <w:t xml:space="preserve">. Instrukcji sporządzania </w:t>
      </w:r>
      <w:r w:rsidRPr="0061732F">
        <w:rPr>
          <w:rFonts w:ascii="Lato" w:hAnsi="Lato"/>
          <w:sz w:val="13"/>
          <w:szCs w:val="13"/>
        </w:rPr>
        <w:br/>
        <w:t>i realizacji planu finansowego PIG.</w:t>
      </w:r>
    </w:p>
  </w:footnote>
  <w:footnote w:id="1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T. j. Dz. U. z 2020 r. poz. 1320 z </w:t>
      </w:r>
      <w:r w:rsidRPr="0061732F">
        <w:rPr>
          <w:rFonts w:ascii="Lato" w:hAnsi="Lato"/>
          <w:sz w:val="13"/>
          <w:szCs w:val="13"/>
        </w:rPr>
        <w:t>późn</w:t>
      </w:r>
      <w:r w:rsidRPr="0061732F">
        <w:rPr>
          <w:rFonts w:ascii="Lato" w:hAnsi="Lato"/>
          <w:sz w:val="13"/>
          <w:szCs w:val="13"/>
        </w:rPr>
        <w:t>. zm.</w:t>
      </w:r>
    </w:p>
  </w:footnote>
  <w:footnote w:id="1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T. j. obowiązujący od 1 czerwca 2019 r. do 30 czerwca 2020 r. i wprowadzony </w:t>
      </w:r>
      <w:r w:rsidRPr="0061732F">
        <w:rPr>
          <w:rFonts w:ascii="Lato" w:hAnsi="Lato"/>
          <w:color w:val="000000"/>
          <w:sz w:val="13"/>
          <w:szCs w:val="13"/>
        </w:rPr>
        <w:t>zarządzeniem Dyrektora nr 34 z 5 czerwca 2019 r.</w:t>
      </w:r>
      <w:r w:rsidRPr="0061732F">
        <w:rPr>
          <w:rFonts w:ascii="Lato" w:hAnsi="Lato"/>
          <w:sz w:val="13"/>
          <w:szCs w:val="13"/>
        </w:rPr>
        <w:t xml:space="preserve"> zmieniającym zarządzenie Dyrektora nr 43 z 14 grudnia 2018 r. </w:t>
      </w:r>
      <w:r w:rsidRPr="0061732F">
        <w:rPr>
          <w:rFonts w:ascii="Lato" w:hAnsi="Lato"/>
          <w:sz w:val="13"/>
          <w:szCs w:val="13"/>
        </w:rPr>
        <w:t>ws</w:t>
      </w:r>
      <w:r w:rsidRPr="0061732F">
        <w:rPr>
          <w:rFonts w:ascii="Lato" w:hAnsi="Lato"/>
          <w:sz w:val="13"/>
          <w:szCs w:val="13"/>
        </w:rPr>
        <w:t xml:space="preserve">. ustalenia Regulaminu organizacyjnego w PIG.  </w:t>
      </w:r>
    </w:p>
  </w:footnote>
  <w:footnote w:id="1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Obowiązujący od 1 lipca 2020 r. i wprowadzony z</w:t>
      </w:r>
      <w:r w:rsidRPr="0061732F">
        <w:rPr>
          <w:rFonts w:ascii="Lato" w:hAnsi="Lato"/>
          <w:color w:val="000000"/>
          <w:sz w:val="13"/>
          <w:szCs w:val="13"/>
        </w:rPr>
        <w:t xml:space="preserve">arządzeniem Dyrektora nr 15 z 23 czerwca 2020 r. </w:t>
      </w:r>
      <w:r w:rsidRPr="0061732F">
        <w:rPr>
          <w:rFonts w:ascii="Lato" w:hAnsi="Lato"/>
          <w:sz w:val="13"/>
          <w:szCs w:val="13"/>
        </w:rPr>
        <w:t>w sprawie ustalenia Regulaminu organizacyjnego w PIG,</w:t>
      </w:r>
      <w:r w:rsidRPr="0061732F">
        <w:rPr>
          <w:rFonts w:ascii="Lato" w:hAnsi="Lato"/>
          <w:color w:val="000000"/>
          <w:sz w:val="13"/>
          <w:szCs w:val="13"/>
        </w:rPr>
        <w:t xml:space="preserve"> zmieniony zarządzeniami Dyrektora: nr 17 z 29 czerwca 2020 r., nr 23 z 31 lipca 2020 r., nr 26 z 27 sierpnia 2020 r. i nr 38 z 29 października 2020 r.</w:t>
      </w:r>
    </w:p>
  </w:footnote>
  <w:footnote w:id="1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T. j. Dz. U. z 2019 r. poz. 1843 z </w:t>
      </w:r>
      <w:r w:rsidRPr="0061732F">
        <w:rPr>
          <w:rFonts w:ascii="Lato" w:hAnsi="Lato"/>
          <w:sz w:val="13"/>
          <w:szCs w:val="13"/>
        </w:rPr>
        <w:t>późn</w:t>
      </w:r>
      <w:r w:rsidRPr="0061732F">
        <w:rPr>
          <w:rFonts w:ascii="Lato" w:hAnsi="Lato"/>
          <w:sz w:val="13"/>
          <w:szCs w:val="13"/>
        </w:rPr>
        <w:t>. zm.</w:t>
      </w:r>
    </w:p>
  </w:footnote>
  <w:footnote w:id="1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Dz. U. z 2019 r. poz. 2019 z </w:t>
      </w:r>
      <w:r w:rsidRPr="0061732F">
        <w:rPr>
          <w:rFonts w:ascii="Lato" w:hAnsi="Lato"/>
          <w:sz w:val="13"/>
          <w:szCs w:val="13"/>
        </w:rPr>
        <w:t>późn</w:t>
      </w:r>
      <w:r w:rsidRPr="0061732F">
        <w:rPr>
          <w:rFonts w:ascii="Lato" w:hAnsi="Lato"/>
          <w:sz w:val="13"/>
          <w:szCs w:val="13"/>
        </w:rPr>
        <w:t>. zm.</w:t>
      </w:r>
    </w:p>
  </w:footnote>
  <w:footnote w:id="1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Wprowadzony zarządzeniem Dyrektora nr 32 z 26 października 2018 r. i zmieniony zarządzeniami Dyrektora nr: 4 z 24 stycznia 2019 r.; 31 z 11 września 2020 r.; 33 z 16 września 2020 r.; 3 z 4 stycznia 2021 r.; 11 z 10 lutego 2021 r.</w:t>
      </w:r>
    </w:p>
  </w:footnote>
  <w:footnote w:id="1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sz w:val="13"/>
          <w:szCs w:val="13"/>
          <w:lang w:bidi="pl-PL"/>
        </w:rPr>
        <w:t>Wprowadzony zarządzeniem nr 16 z 30 czerwca 2011 r.</w:t>
      </w:r>
    </w:p>
  </w:footnote>
  <w:footnote w:id="19">
    <w:p w:rsidR="00AE7A5B" w:rsidRPr="0061732F" w:rsidP="00AE7A5B">
      <w:pPr>
        <w:pStyle w:val="FootnoteText"/>
        <w:tabs>
          <w:tab w:val="left" w:pos="284"/>
        </w:tabs>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Wprowadzony </w:t>
      </w:r>
      <w:r w:rsidRPr="0061732F">
        <w:rPr>
          <w:rFonts w:ascii="Lato" w:hAnsi="Lato"/>
          <w:bCs/>
          <w:sz w:val="13"/>
          <w:szCs w:val="13"/>
          <w:lang w:eastAsia="ar-SA" w:bidi="pl-PL"/>
        </w:rPr>
        <w:t>zarządzeniem nr 31 z 30 sierpnia 2013 r., zmienionym zarządzeniem nr 20 z 2 sierpnia 2016 r.</w:t>
      </w:r>
    </w:p>
  </w:footnote>
  <w:footnote w:id="2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Zmieniony protokołem dodatkowym nr 1 do ZUZP z 27 lutego 2020 r.</w:t>
      </w:r>
    </w:p>
  </w:footnote>
  <w:footnote w:id="2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Wprowadzonym zarządzeniem nr 17 z 14 czerwca 2018 r.</w:t>
      </w:r>
    </w:p>
  </w:footnote>
  <w:footnote w:id="2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Dz. U. z 2018 r. poz. 2369.</w:t>
      </w:r>
    </w:p>
  </w:footnote>
  <w:footnote w:id="2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w:t>
      </w:r>
      <w:r w:rsidRPr="0061732F">
        <w:rPr>
          <w:rFonts w:ascii="Lato" w:eastAsia="Calibri" w:hAnsi="Lato"/>
          <w:sz w:val="13"/>
          <w:szCs w:val="13"/>
        </w:rPr>
        <w:t>prowadzony zarządzeniem nr 69 z 29 listopada 2019 r.</w:t>
      </w:r>
    </w:p>
  </w:footnote>
  <w:footnote w:id="2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Dz. U. z 1997 r. nr 97 poz. 443 z </w:t>
      </w:r>
      <w:r w:rsidRPr="0061732F">
        <w:rPr>
          <w:rFonts w:ascii="Lato" w:hAnsi="Lato"/>
          <w:sz w:val="13"/>
          <w:szCs w:val="13"/>
        </w:rPr>
        <w:t>późn</w:t>
      </w:r>
      <w:r w:rsidRPr="0061732F">
        <w:rPr>
          <w:rFonts w:ascii="Lato" w:hAnsi="Lato"/>
          <w:sz w:val="13"/>
          <w:szCs w:val="13"/>
        </w:rPr>
        <w:t>. zm.</w:t>
      </w:r>
    </w:p>
  </w:footnote>
  <w:footnote w:id="2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Dz. U. z 2021 r. poz. 2351 z </w:t>
      </w:r>
      <w:r w:rsidRPr="0061732F">
        <w:rPr>
          <w:rFonts w:ascii="Lato" w:hAnsi="Lato"/>
          <w:sz w:val="13"/>
          <w:szCs w:val="13"/>
        </w:rPr>
        <w:t>późn</w:t>
      </w:r>
      <w:r w:rsidRPr="0061732F">
        <w:rPr>
          <w:rFonts w:ascii="Lato" w:hAnsi="Lato"/>
          <w:sz w:val="13"/>
          <w:szCs w:val="13"/>
        </w:rPr>
        <w:t xml:space="preserve">. zm. </w:t>
      </w:r>
    </w:p>
  </w:footnote>
  <w:footnote w:id="2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Dz. U. nr 120 poz. 1134.</w:t>
      </w:r>
    </w:p>
  </w:footnote>
  <w:footnote w:id="27">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Pismo  z 30 marca 2017 r., znak NK.1106.56/2017.</w:t>
      </w:r>
    </w:p>
  </w:footnote>
  <w:footnote w:id="28">
    <w:p w:rsidR="00AE7A5B" w:rsidRPr="0061732F" w:rsidP="00AE7A5B">
      <w:pPr>
        <w:autoSpaceDE w:val="0"/>
        <w:autoSpaceDN w:val="0"/>
        <w:adjustRightInd w:val="0"/>
        <w:spacing w:after="0" w:line="240" w:lineRule="auto"/>
        <w:ind w:left="284" w:hanging="284"/>
        <w:jc w:val="left"/>
        <w:rPr>
          <w:bCs/>
          <w:sz w:val="13"/>
          <w:szCs w:val="13"/>
        </w:rPr>
      </w:pPr>
      <w:r w:rsidRPr="0061732F">
        <w:rPr>
          <w:rStyle w:val="FootnoteReference"/>
          <w:sz w:val="13"/>
          <w:szCs w:val="13"/>
        </w:rPr>
        <w:footnoteRef/>
      </w:r>
      <w:r w:rsidRPr="0061732F">
        <w:rPr>
          <w:sz w:val="13"/>
          <w:szCs w:val="13"/>
        </w:rPr>
        <w:t xml:space="preserve"> </w:t>
      </w:r>
      <w:r w:rsidRPr="0061732F">
        <w:rPr>
          <w:sz w:val="13"/>
          <w:szCs w:val="13"/>
        </w:rPr>
        <w:tab/>
        <w:t xml:space="preserve">Odpowiednio: </w:t>
      </w:r>
      <w:r w:rsidRPr="0061732F">
        <w:rPr>
          <w:rFonts w:cs="Times New Roman"/>
          <w:sz w:val="13"/>
          <w:szCs w:val="13"/>
        </w:rPr>
        <w:t xml:space="preserve">uchwałą nr 4/V/2020 z 13 maja 2020 r. i uchwałą nr 3/V/2021 z 21 maja 2021 r. </w:t>
      </w:r>
    </w:p>
  </w:footnote>
  <w:footnote w:id="29">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Przyjęta w formie uchwały  nr 45/XII/2020 z 21 grudnia 2020 r.</w:t>
      </w:r>
    </w:p>
  </w:footnote>
  <w:footnote w:id="3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3 grudnia 2020 r.</w:t>
      </w:r>
    </w:p>
  </w:footnote>
  <w:footnote w:id="3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roczny plan finansowy ustala dyrektor instytutu po zasięgnięciu opinii rady naukowej. </w:t>
      </w:r>
    </w:p>
  </w:footnote>
  <w:footnote w:id="3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Stanowiącej załącznik do zarządzenia Dyrektora nr 1 z 9 stycznia 2020 r., zmieniającego zarządzenia </w:t>
      </w:r>
      <w:r w:rsidRPr="0061732F">
        <w:rPr>
          <w:rFonts w:ascii="Lato" w:hAnsi="Lato"/>
          <w:sz w:val="13"/>
          <w:szCs w:val="13"/>
        </w:rPr>
        <w:t>ws</w:t>
      </w:r>
      <w:r w:rsidRPr="0061732F">
        <w:rPr>
          <w:rFonts w:ascii="Lato" w:hAnsi="Lato"/>
          <w:sz w:val="13"/>
          <w:szCs w:val="13"/>
        </w:rPr>
        <w:t xml:space="preserve">. Instrukcji sporządzania </w:t>
      </w:r>
      <w:r w:rsidRPr="0061732F">
        <w:rPr>
          <w:rFonts w:ascii="Lato" w:hAnsi="Lato"/>
          <w:sz w:val="13"/>
          <w:szCs w:val="13"/>
        </w:rPr>
        <w:br/>
        <w:t xml:space="preserve">i realizacji planu finansowego PIG. Zgodnie z § 6 pkt 7 </w:t>
      </w:r>
      <w:r w:rsidRPr="0061732F">
        <w:rPr>
          <w:rFonts w:ascii="Lato" w:hAnsi="Lato"/>
          <w:sz w:val="13"/>
          <w:szCs w:val="13"/>
          <w:shd w:val="clear" w:color="auto" w:fill="FFFFFF"/>
        </w:rPr>
        <w:t xml:space="preserve">po otrzymaniu opinii Rady Naukowej Dyrektor podejmuje decyzję odnośnie zatwierdzenia korekty planu finansowego </w:t>
      </w:r>
      <w:r w:rsidRPr="0061732F">
        <w:rPr>
          <w:rFonts w:ascii="Lato" w:hAnsi="Lato"/>
          <w:sz w:val="13"/>
          <w:szCs w:val="13"/>
        </w:rPr>
        <w:t xml:space="preserve">(…). </w:t>
      </w:r>
    </w:p>
  </w:footnote>
  <w:footnote w:id="3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22 marca 2023 r.</w:t>
      </w:r>
    </w:p>
  </w:footnote>
  <w:footnote w:id="34">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 xml:space="preserve">W tym </w:t>
      </w:r>
      <w:r w:rsidRPr="0061732F">
        <w:rPr>
          <w:rFonts w:ascii="Lato" w:hAnsi="Lato"/>
          <w:color w:val="000000"/>
          <w:sz w:val="13"/>
          <w:szCs w:val="13"/>
        </w:rPr>
        <w:t>przychody wskazane w art. 18 ust. 7 ustawy o instytutach badawczych, w wysokości 19 140 tys. zł – 2020 r. i 20 440 tys. zł – 2021 r.</w:t>
      </w:r>
    </w:p>
  </w:footnote>
  <w:footnote w:id="3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26 kwietnia 2023 r.</w:t>
      </w:r>
    </w:p>
  </w:footnote>
  <w:footnote w:id="3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24 kwietnia 2023 r.</w:t>
      </w:r>
    </w:p>
  </w:footnote>
  <w:footnote w:id="3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Art. 45 ust. 1, 1f, 1g, 2, 5; art. 46 ust. 1 i 5 pkt 1; art. 47 ust. 1 i 4 pkt 1; art. 48 ust. 1; art. 52 ust. 1 i 2 oraz art. 53 ust. 1 ustawy </w:t>
      </w:r>
      <w:r w:rsidRPr="0061732F">
        <w:rPr>
          <w:rFonts w:ascii="Lato" w:hAnsi="Lato"/>
          <w:sz w:val="13"/>
          <w:szCs w:val="13"/>
        </w:rPr>
        <w:br/>
        <w:t>o rachunkowości.</w:t>
      </w:r>
    </w:p>
  </w:footnote>
  <w:footnote w:id="3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art. 29 ust. 2 pkt 10 ustawy o instytutach badawczych, przyjmując odpowiednio  uchwałę nr 1/V/2021 z 21 maja 2021 r. </w:t>
      </w:r>
      <w:r w:rsidRPr="0061732F">
        <w:rPr>
          <w:rFonts w:ascii="Lato" w:hAnsi="Lato"/>
          <w:sz w:val="13"/>
          <w:szCs w:val="13"/>
        </w:rPr>
        <w:br/>
        <w:t xml:space="preserve">i nr 1/V/2022 z 25 maja 2022 r. </w:t>
      </w:r>
    </w:p>
  </w:footnote>
  <w:footnote w:id="39">
    <w:p w:rsidR="00AE7A5B" w:rsidRPr="0061732F" w:rsidP="00AE7A5B">
      <w:pPr>
        <w:spacing w:after="0" w:line="240" w:lineRule="auto"/>
        <w:ind w:left="284" w:hanging="284"/>
        <w:jc w:val="left"/>
        <w:rPr>
          <w:sz w:val="13"/>
          <w:szCs w:val="13"/>
        </w:rPr>
      </w:pPr>
      <w:r w:rsidRPr="0061732F">
        <w:rPr>
          <w:rStyle w:val="FootnoteReference"/>
          <w:sz w:val="13"/>
          <w:szCs w:val="13"/>
        </w:rPr>
        <w:footnoteRef/>
      </w:r>
      <w:r w:rsidRPr="0061732F">
        <w:rPr>
          <w:sz w:val="13"/>
          <w:szCs w:val="13"/>
        </w:rPr>
        <w:t xml:space="preserve"> </w:t>
      </w:r>
      <w:r w:rsidRPr="0061732F">
        <w:rPr>
          <w:sz w:val="13"/>
          <w:szCs w:val="13"/>
        </w:rPr>
        <w:tab/>
        <w:t xml:space="preserve">21 czerwca 2021 r. i 21 czerwca 2022 r. </w:t>
      </w:r>
    </w:p>
  </w:footnote>
  <w:footnote w:id="40">
    <w:p w:rsidR="00AE7A5B" w:rsidRPr="0061732F" w:rsidP="00AE7A5B">
      <w:pPr>
        <w:pStyle w:val="Stopka1"/>
        <w:shd w:val="clear" w:color="auto" w:fill="auto"/>
        <w:spacing w:line="240" w:lineRule="auto"/>
        <w:ind w:left="284" w:hanging="284"/>
        <w:jc w:val="left"/>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lang w:eastAsia="pl-PL" w:bidi="pl-PL"/>
        </w:rPr>
        <w:t>Postanowienie Ministra Klimatu i Środowiska z 21 czerwca 2021 r. znak DNGS-WPN.313.1.2021.MLD dot. zatwierdzenia sprawozdania finansowego PIG i pokrycia straty za 2020 r.</w:t>
      </w:r>
    </w:p>
  </w:footnote>
  <w:footnote w:id="41">
    <w:p w:rsidR="00AE7A5B" w:rsidRPr="0061732F" w:rsidP="00AE7A5B">
      <w:pPr>
        <w:pStyle w:val="Stopka1"/>
        <w:shd w:val="clear" w:color="auto" w:fill="auto"/>
        <w:spacing w:line="240" w:lineRule="auto"/>
        <w:ind w:left="284" w:hanging="300"/>
        <w:jc w:val="left"/>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lang w:eastAsia="pl-PL" w:bidi="pl-PL"/>
        </w:rPr>
        <w:t>Postanowienie Ministra Klimatu i Środowiska z 21 czerwca 2022 r. znak DNGS-WPN.0331.1.2022.MLD dot. zatwierdzenia sprawozdania finansowego PIG i pokrycia straty za 2021 r.</w:t>
      </w:r>
    </w:p>
  </w:footnote>
  <w:footnote w:id="4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czego subwencje Ministra Edukacji i Nauki wynosiły 9 983 tys.  </w:t>
      </w:r>
    </w:p>
  </w:footnote>
  <w:footnote w:id="4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czego subwencje Ministra Edukacji i Nauki wynosiły 10 021 tys.  </w:t>
      </w:r>
    </w:p>
  </w:footnote>
  <w:footnote w:id="4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Co stanowiło </w:t>
      </w:r>
      <w:r w:rsidRPr="0061732F">
        <w:rPr>
          <w:rFonts w:ascii="Lato" w:hAnsi="Lato"/>
          <w:bCs/>
          <w:iCs/>
          <w:sz w:val="13"/>
          <w:szCs w:val="13"/>
        </w:rPr>
        <w:t>57% kosztów ogółem w 2020 r.</w:t>
      </w:r>
    </w:p>
  </w:footnote>
  <w:footnote w:id="4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Co stanowiło 56</w:t>
      </w:r>
      <w:r w:rsidRPr="0061732F">
        <w:rPr>
          <w:rFonts w:ascii="Lato" w:hAnsi="Lato"/>
          <w:bCs/>
          <w:iCs/>
          <w:sz w:val="13"/>
          <w:szCs w:val="13"/>
        </w:rPr>
        <w:t>% kosztów ogółem w 2021 r.</w:t>
      </w:r>
    </w:p>
  </w:footnote>
  <w:footnote w:id="4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 rozdziale III pkt 4 Metody wyceny aktywów i pasywów – należności.</w:t>
      </w:r>
    </w:p>
  </w:footnote>
  <w:footnote w:id="4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3, 5, 6, 8, 10, 11, 12, 21 i 23 Tabeli 6b. Zestawienie stanu należności wymagalnych Instytutu na 31 grudzień 2021 r.</w:t>
      </w:r>
    </w:p>
  </w:footnote>
  <w:footnote w:id="4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8 Tabeli 6b Zestawienie stanu należności wymagalnych Instytutu na 31 grudzień 2021 r.</w:t>
      </w:r>
    </w:p>
  </w:footnote>
  <w:footnote w:id="4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23 Tabeli 6b Zestawienie stanu należności wymagalnych Instytutu na 31 grudzień 2021 r.</w:t>
      </w:r>
    </w:p>
  </w:footnote>
  <w:footnote w:id="5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11 Tabeli 6b Zestawienie stanu należności wymagalnych Instytutu na 31 grudzień 2021 r.</w:t>
      </w:r>
    </w:p>
  </w:footnote>
  <w:footnote w:id="5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 uwagi na braki w dokumentacji.</w:t>
      </w:r>
    </w:p>
  </w:footnote>
  <w:footnote w:id="5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umową nr O/20/2015/TMR/JB z 25 czerwca 2015 r. </w:t>
      </w:r>
    </w:p>
  </w:footnote>
  <w:footnote w:id="5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 sprawie jednolitych wzorów umów o dzieło i świadczenia usług finansowanych z bezosobowego funduszu płac, zmienione zarządzeniem Dyrektora nr 24 z 11 sierpnia 2020 r.</w:t>
      </w:r>
    </w:p>
  </w:footnote>
  <w:footnote w:id="54">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Pismo z 24 kwietnia 2023 r.</w:t>
      </w:r>
    </w:p>
  </w:footnote>
  <w:footnote w:id="5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eastAsia="Calibri" w:hAnsi="Lato"/>
          <w:sz w:val="13"/>
          <w:szCs w:val="13"/>
          <w:lang w:eastAsia="en-US"/>
        </w:rPr>
        <w:t>W tym 9 umów z 2020 r. o nr: 04/2020</w:t>
      </w:r>
      <w:r w:rsidRPr="0061732F">
        <w:rPr>
          <w:rFonts w:ascii="Lato" w:eastAsia="Calibri" w:hAnsi="Lato"/>
          <w:color w:val="000000"/>
          <w:sz w:val="13"/>
          <w:szCs w:val="13"/>
          <w:lang w:eastAsia="en-US"/>
        </w:rPr>
        <w:t xml:space="preserve"> z 29 stycznia 2020 r., 13/2020 z 6 lutego 2020 r., 191/2020 z 11 sierpnia 2020 r., 245/2020 </w:t>
      </w:r>
      <w:r w:rsidRPr="0061732F">
        <w:rPr>
          <w:rFonts w:ascii="Lato" w:eastAsia="Calibri" w:hAnsi="Lato"/>
          <w:color w:val="000000"/>
          <w:sz w:val="13"/>
          <w:szCs w:val="13"/>
          <w:lang w:eastAsia="en-US"/>
        </w:rPr>
        <w:br/>
        <w:t>z 13 listopada 2020 r., 262/2020 z 16 listopada 2020 r.,</w:t>
      </w:r>
      <w:r w:rsidRPr="0061732F">
        <w:rPr>
          <w:rFonts w:ascii="Lato" w:hAnsi="Lato"/>
          <w:sz w:val="13"/>
          <w:szCs w:val="13"/>
        </w:rPr>
        <w:t xml:space="preserve"> 71/2020 z 1 czerwca 2020 r.,</w:t>
      </w:r>
      <w:r w:rsidRPr="0061732F">
        <w:rPr>
          <w:rFonts w:ascii="Lato" w:eastAsia="Calibri" w:hAnsi="Lato"/>
          <w:color w:val="000000"/>
          <w:sz w:val="13"/>
          <w:szCs w:val="13"/>
          <w:lang w:eastAsia="en-US"/>
        </w:rPr>
        <w:t xml:space="preserve"> </w:t>
      </w:r>
      <w:r w:rsidRPr="0061732F">
        <w:rPr>
          <w:rFonts w:ascii="Lato" w:hAnsi="Lato"/>
          <w:sz w:val="13"/>
          <w:szCs w:val="13"/>
        </w:rPr>
        <w:t xml:space="preserve">202/2020 z 1 października 2020 r., 02/2020 </w:t>
      </w:r>
      <w:r w:rsidRPr="0061732F">
        <w:rPr>
          <w:rFonts w:ascii="Lato" w:hAnsi="Lato"/>
          <w:sz w:val="13"/>
          <w:szCs w:val="13"/>
        </w:rPr>
        <w:br/>
        <w:t xml:space="preserve">z 7 stycznia 2020 r., 49/2020 z 1 kwietnia 2020 r. </w:t>
      </w:r>
      <w:r w:rsidRPr="0061732F">
        <w:rPr>
          <w:rFonts w:ascii="Lato" w:eastAsia="Calibri" w:hAnsi="Lato"/>
          <w:color w:val="000000"/>
          <w:sz w:val="13"/>
          <w:szCs w:val="13"/>
          <w:lang w:eastAsia="en-US"/>
        </w:rPr>
        <w:t>oraz 18 umów</w:t>
      </w:r>
      <w:r w:rsidRPr="0061732F">
        <w:rPr>
          <w:rFonts w:ascii="Lato" w:eastAsia="Calibri" w:hAnsi="Lato"/>
          <w:sz w:val="13"/>
          <w:szCs w:val="13"/>
          <w:lang w:eastAsia="en-US"/>
        </w:rPr>
        <w:t xml:space="preserve"> z 2021  r. o nr: 27/2021</w:t>
      </w:r>
      <w:r w:rsidRPr="0061732F">
        <w:rPr>
          <w:rFonts w:ascii="Lato" w:eastAsia="Calibri" w:hAnsi="Lato"/>
          <w:color w:val="000000"/>
          <w:sz w:val="13"/>
          <w:szCs w:val="13"/>
          <w:lang w:eastAsia="en-US"/>
        </w:rPr>
        <w:t xml:space="preserve"> z 25 lutego 2021 r., 52/2021 z 4 marca 2021 r., 76/2021 z 1 kwietnia 2021 r., 219/2021 z 30 czerwca 2021 r., 386/2021 z 22 marca 2021 r.,</w:t>
      </w:r>
      <w:r w:rsidRPr="0061732F">
        <w:rPr>
          <w:rFonts w:ascii="Lato" w:hAnsi="Lato"/>
          <w:sz w:val="13"/>
          <w:szCs w:val="13"/>
        </w:rPr>
        <w:t xml:space="preserve"> 01/2021 z 4 stycznia 2021 r., 287/2021 </w:t>
      </w:r>
      <w:r w:rsidRPr="0061732F">
        <w:rPr>
          <w:rFonts w:ascii="Lato" w:hAnsi="Lato"/>
          <w:sz w:val="13"/>
          <w:szCs w:val="13"/>
        </w:rPr>
        <w:br/>
        <w:t xml:space="preserve">z 1 października 2021 r., 397/2021 z 31 grudnia 2021 r., 02/2021 z 4 stycznia 2021 r., 77/2021 z 1 kwietnia 2021 r., 286/2021 </w:t>
      </w:r>
      <w:r w:rsidRPr="0061732F">
        <w:rPr>
          <w:rFonts w:ascii="Lato" w:hAnsi="Lato"/>
          <w:sz w:val="13"/>
          <w:szCs w:val="13"/>
        </w:rPr>
        <w:br/>
        <w:t>z 1 października 2021 r., 398/2021 z 31 grudnia 2021 r., 78/2021 z 1 kwietnia 2021 r., 251/2021 z 9 sierpnia 2021 r., 10/2021 z 25 stycznia 2021 r., 240/2021 z 3 sierpnia 2021 r., 255/2021 z 18 sierpnia 2021 r., 313/2021 z 20 października 2021 r.</w:t>
      </w:r>
    </w:p>
  </w:footnote>
  <w:footnote w:id="5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Tj. umowa nr: 76/2021 z 1 kwietnia 2021 r., 71/2020 z 1 czerwca 2020 r., 01/2021 z 4 stycznia 2021 r., 287/2021 z 1 października 2021 r., 397/2021 z 31 grudnia 2021 r.,</w:t>
      </w:r>
      <w:r w:rsidRPr="0061732F">
        <w:rPr>
          <w:rFonts w:ascii="Lato" w:hAnsi="Lato" w:eastAsiaTheme="minorHAnsi" w:cstheme="minorBidi"/>
          <w:sz w:val="13"/>
          <w:szCs w:val="13"/>
          <w:lang w:eastAsia="en-US"/>
        </w:rPr>
        <w:t xml:space="preserve"> </w:t>
      </w:r>
      <w:r w:rsidRPr="0061732F">
        <w:rPr>
          <w:rFonts w:ascii="Lato" w:hAnsi="Lato"/>
          <w:sz w:val="13"/>
          <w:szCs w:val="13"/>
        </w:rPr>
        <w:t>202/2020 z 1 października 2020 r., 02/2021 z 4 stycznia 2021 r., 77/2021 z 1 kwietnia 2021 r., 286/2021 z 1 października 2021 r., 398/2021 z 31 grudnia 2021 r.</w:t>
      </w:r>
    </w:p>
  </w:footnote>
  <w:footnote w:id="5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przez nawiązanie stosunku pracy pracownik zobowiązuje się do wykonywania pracy określonego rodzaju na rzecz pracodawcy i pod jego kierownictwem oraz w miejscu i czasie wyznaczonym przez pracodawcę, a pracodawca - do zatrudniania pracownika za wynagrodzeniem.</w:t>
      </w:r>
    </w:p>
  </w:footnote>
  <w:footnote w:id="58">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Pismo Dyrektora z 26 kwietnia 2023 r., znak N.0.90.2.2023.</w:t>
      </w:r>
    </w:p>
  </w:footnote>
  <w:footnote w:id="59">
    <w:p w:rsidR="00AE7A5B" w:rsidRPr="0061732F" w:rsidP="00AE7A5B">
      <w:pPr>
        <w:spacing w:after="0" w:line="240" w:lineRule="auto"/>
        <w:ind w:left="284" w:hanging="284"/>
        <w:jc w:val="left"/>
        <w:rPr>
          <w:sz w:val="13"/>
          <w:szCs w:val="13"/>
        </w:rPr>
      </w:pPr>
      <w:r w:rsidRPr="0061732F">
        <w:rPr>
          <w:rStyle w:val="FootnoteReference"/>
          <w:sz w:val="13"/>
          <w:szCs w:val="13"/>
        </w:rPr>
        <w:footnoteRef/>
      </w:r>
      <w:r w:rsidRPr="0061732F">
        <w:rPr>
          <w:sz w:val="13"/>
          <w:szCs w:val="13"/>
        </w:rPr>
        <w:t xml:space="preserve"> </w:t>
      </w:r>
      <w:r w:rsidRPr="0061732F">
        <w:rPr>
          <w:sz w:val="13"/>
          <w:szCs w:val="13"/>
        </w:rPr>
        <w:tab/>
        <w:t xml:space="preserve">Na m.in. </w:t>
      </w:r>
      <w:r w:rsidRPr="0061732F">
        <w:rPr>
          <w:rFonts w:eastAsia="Times New Roman" w:cs="Times New Roman"/>
          <w:sz w:val="13"/>
          <w:szCs w:val="13"/>
          <w:lang w:eastAsia="pl-PL"/>
        </w:rPr>
        <w:t>analizę danych finansowo-księgowych, przychodów i kosztów dotyczących poszczególnych obszarów działalności Instytutu; przygotowaniu innych analiz ekonomicznych na zlecenie kierownictwa Instytutu, w tym analiz dotyczących realizowanych projektów; sporządzeniu planu finansowego PIG na rok 2021 oraz korekty planu za rok 2020 (zgodnie z zarządzeniami PIG i regulacjami zewnętrznymi).</w:t>
      </w:r>
    </w:p>
  </w:footnote>
  <w:footnote w:id="6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do zakresu działania Zespołu Controllingu należało przygotowywanie analiz ekonomicznych, między innymi sporządzanie planów finansowych, analiz stopnia realizacji tych planów, analiz przychodów i kosztów poszczególnych obszarów działalności PIG.</w:t>
      </w:r>
    </w:p>
  </w:footnote>
  <w:footnote w:id="61">
    <w:p w:rsidR="00AE7A5B" w:rsidRPr="0061732F" w:rsidP="00AE7A5B">
      <w:pPr>
        <w:spacing w:after="0" w:line="240" w:lineRule="auto"/>
        <w:ind w:left="284" w:hanging="284"/>
        <w:jc w:val="left"/>
        <w:rPr>
          <w:sz w:val="13"/>
          <w:szCs w:val="13"/>
        </w:rPr>
      </w:pPr>
      <w:r w:rsidRPr="0061732F">
        <w:rPr>
          <w:rStyle w:val="FootnoteReference"/>
          <w:sz w:val="13"/>
          <w:szCs w:val="13"/>
        </w:rPr>
        <w:footnoteRef/>
      </w:r>
      <w:r w:rsidRPr="0061732F">
        <w:rPr>
          <w:sz w:val="13"/>
          <w:szCs w:val="13"/>
        </w:rPr>
        <w:t xml:space="preserve"> </w:t>
      </w:r>
      <w:r w:rsidRPr="0061732F">
        <w:rPr>
          <w:sz w:val="13"/>
          <w:szCs w:val="13"/>
        </w:rPr>
        <w:tab/>
        <w:t>Tj. u</w:t>
      </w:r>
      <w:r w:rsidRPr="0061732F">
        <w:rPr>
          <w:rFonts w:eastAsia="Calibri"/>
          <w:sz w:val="13"/>
          <w:szCs w:val="13"/>
        </w:rPr>
        <w:t>mowę nr: 02/2020 z 7 stycznia 2020 r., 49/2020 z 1 kwietnia 2020 r., 78/2021 z 1 kwietnia 2021 r., 251/2021 z 9 sierpnia 2021 r. na</w:t>
      </w:r>
      <w:r w:rsidRPr="0061732F">
        <w:rPr>
          <w:sz w:val="13"/>
          <w:szCs w:val="13"/>
        </w:rPr>
        <w:t xml:space="preserve"> łączną kwotę 46 150,00 zł. Przykładowo przedmiotem było: </w:t>
      </w:r>
      <w:r w:rsidRPr="0061732F">
        <w:rPr>
          <w:rFonts w:eastAsia="Times New Roman" w:cs="Times New Roman"/>
          <w:sz w:val="13"/>
          <w:szCs w:val="13"/>
          <w:lang w:eastAsia="pl-PL"/>
        </w:rPr>
        <w:t xml:space="preserve">sporządzenie planu finansowego PIG wraz z korektą;  analiza danych finansowo-księgowych, przychodów i kosztów dotyczących poszczególnych obszarów działalności Instytutu; konsolidacja danych finansowych z różnych komórek w celu ustalenia zbiorczego planu finansowego. </w:t>
      </w:r>
    </w:p>
  </w:footnote>
  <w:footnote w:id="6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do zakresu działania Zespołu Controllingu należało przygotowywanie analiz ekonomicznych, między innymi sporządzanie planów finansowych, analiz stopnia realizacji tych planów, analiz przychodów i kosztów poszczególnych obszarów działalności PIG.</w:t>
      </w:r>
    </w:p>
  </w:footnote>
  <w:footnote w:id="6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22 marca 2023 r.</w:t>
      </w:r>
    </w:p>
  </w:footnote>
  <w:footnote w:id="6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Na przygotowywanie 500 metrów bieżących archiwaliów do procesu dezynfekcji gazowej wraz z uporządkowaniem archiwaliów po ich dezynfekowaniu. </w:t>
      </w:r>
    </w:p>
  </w:footnote>
  <w:footnote w:id="6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do zakresu działania NAG należy realizacja zadań państwa w zakresie prowadzenia centralnego archiwum geologicznego, gromadzenia, udostępniania i archiwizowania danych analogowych i cyfrowych, a w szczególności: gromadzenie, ewidencjonowanie, archiwizowanie materiałów geologicznych; obsługa, utrzymanie, konserwacja i zabezpieczenie zbiorów dokumentów papierowych oraz próbek geologicznych.</w:t>
      </w:r>
    </w:p>
  </w:footnote>
  <w:footnote w:id="6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Tj. u</w:t>
      </w:r>
      <w:r w:rsidRPr="0061732F">
        <w:rPr>
          <w:rFonts w:ascii="Lato" w:eastAsia="Calibri" w:hAnsi="Lato"/>
          <w:sz w:val="13"/>
          <w:szCs w:val="13"/>
          <w:lang w:eastAsia="en-US"/>
        </w:rPr>
        <w:t xml:space="preserve">mowę nr: </w:t>
      </w:r>
      <w:r w:rsidRPr="0061732F">
        <w:rPr>
          <w:rFonts w:ascii="Lato" w:hAnsi="Lato"/>
          <w:sz w:val="13"/>
          <w:szCs w:val="13"/>
        </w:rPr>
        <w:t xml:space="preserve">71/2020 z 1 czerwca 2020 r., 01/2021 z 4 stycznia 2021 r., 287/2021 z 1 października 2021 r., 397/2021 z 31 grudnia 2021 r. na łączną kwotę 107 950,00 zł. Przykładowo przedmiotem było: porządkowanie, oczyszczanie, pakowanie, opracowywanie </w:t>
      </w:r>
      <w:r w:rsidRPr="0061732F">
        <w:rPr>
          <w:rFonts w:ascii="Lato" w:hAnsi="Lato"/>
          <w:sz w:val="13"/>
          <w:szCs w:val="13"/>
        </w:rPr>
        <w:br/>
        <w:t xml:space="preserve">i archiwizowanie archiwalnych dokumentów geologicznych; przygotowania do relokacji archiwaliów NAG wraz z ich opracowaniem </w:t>
      </w:r>
      <w:r w:rsidRPr="0061732F">
        <w:rPr>
          <w:rFonts w:ascii="Lato" w:hAnsi="Lato"/>
          <w:sz w:val="13"/>
          <w:szCs w:val="13"/>
        </w:rPr>
        <w:br/>
        <w:t xml:space="preserve">w systemach bazodanowych.  </w:t>
      </w:r>
    </w:p>
  </w:footnote>
  <w:footnote w:id="6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do zakresu działania NAG należy realizacja zadań państwa w zakresie prowadzenia centralnego archiwum geologicznego, gromadzenia, udostępniania i archiwizowania danych analogowych i cyfrowych, a w szczególności: gromadzenie, ewidencjonowanie, archiwizowanie materiałów geologicznych; obsługa, utrzymanie, konserwacja i zabezpieczenie zbiorów dokumentów papierowych oraz próbek geologicznych.</w:t>
      </w:r>
    </w:p>
  </w:footnote>
  <w:footnote w:id="6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Tj. umowę nr</w:t>
      </w:r>
      <w:r w:rsidRPr="0061732F">
        <w:rPr>
          <w:rFonts w:ascii="Lato" w:eastAsia="Calibri" w:hAnsi="Lato"/>
          <w:sz w:val="13"/>
          <w:szCs w:val="13"/>
          <w:lang w:eastAsia="en-US"/>
        </w:rPr>
        <w:t>:</w:t>
      </w:r>
      <w:r w:rsidRPr="0061732F">
        <w:rPr>
          <w:rFonts w:ascii="Lato" w:hAnsi="Lato"/>
          <w:sz w:val="13"/>
          <w:szCs w:val="13"/>
        </w:rPr>
        <w:t xml:space="preserve"> 202/2020 z 1 października 2020 r., 02/2021 z 4 stycznia 2021 r., 77/2021 z 1 kwietnia 2021 r., 286/2021 </w:t>
      </w:r>
      <w:r w:rsidRPr="0061732F">
        <w:rPr>
          <w:rFonts w:ascii="Lato" w:hAnsi="Lato"/>
          <w:sz w:val="13"/>
          <w:szCs w:val="13"/>
        </w:rPr>
        <w:br/>
        <w:t>z 1 października 2021 r., 398/2021 z 31 grudnia 2021 r. na łączną kwotę 109 450,00 zł.  Przykładowo przedmiotem było porządkowanie, oczyszczanie i przygotowanie do opracowywania archiwalnych dokumentów geologicznych.</w:t>
      </w:r>
    </w:p>
  </w:footnote>
  <w:footnote w:id="6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Pismo z 26 kwietnia 2023 r., znak N.0.90.2.2023. </w:t>
      </w:r>
    </w:p>
  </w:footnote>
  <w:footnote w:id="7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Stanowiącym załącznik do decyzji Ministra Środowiska z 4 maja 2020 r., Dz. Urz. Ministra Środowiska z 5 maja 2020 r., poz. 3.  </w:t>
      </w:r>
    </w:p>
  </w:footnote>
  <w:footnote w:id="7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eastAsia="Calibri" w:hAnsi="Lato"/>
          <w:sz w:val="13"/>
          <w:szCs w:val="13"/>
          <w:lang w:eastAsia="en-US"/>
        </w:rPr>
        <w:t>Na p</w:t>
      </w:r>
      <w:r w:rsidRPr="0061732F">
        <w:rPr>
          <w:rFonts w:ascii="Lato" w:hAnsi="Lato"/>
          <w:color w:val="000000"/>
          <w:sz w:val="13"/>
          <w:szCs w:val="13"/>
        </w:rPr>
        <w:t>ełnienie funkcji inspektora ochrony radiologicznej nadzoru nad urządzeniami rentgenowskimi.</w:t>
      </w:r>
    </w:p>
  </w:footnote>
  <w:footnote w:id="7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 10 grudnia 2021 r.</w:t>
      </w:r>
    </w:p>
  </w:footnote>
  <w:footnote w:id="7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w:t>
      </w:r>
      <w:r w:rsidRPr="0061732F">
        <w:rPr>
          <w:rFonts w:ascii="Lato" w:eastAsia="Calibri" w:hAnsi="Lato"/>
          <w:sz w:val="13"/>
          <w:szCs w:val="13"/>
          <w:lang w:eastAsia="en-US"/>
        </w:rPr>
        <w:t>odbiór prac dokonywany będzie po zakończeniu każdego miesiąca trwania umowy. Podstawę odbioru stanowić będzie sporządzony przez zleceniobiorcę protokół odbioru.</w:t>
      </w:r>
    </w:p>
  </w:footnote>
  <w:footnote w:id="7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w:t>
      </w:r>
      <w:r w:rsidRPr="0061732F">
        <w:rPr>
          <w:rFonts w:ascii="Lato" w:eastAsia="Calibri" w:hAnsi="Lato"/>
          <w:sz w:val="13"/>
          <w:szCs w:val="13"/>
          <w:lang w:eastAsia="en-US"/>
        </w:rPr>
        <w:t>w</w:t>
      </w:r>
      <w:r w:rsidRPr="0061732F">
        <w:rPr>
          <w:rFonts w:ascii="Lato" w:hAnsi="Lato"/>
          <w:color w:val="000000"/>
          <w:sz w:val="13"/>
          <w:szCs w:val="13"/>
        </w:rPr>
        <w:t>ynagrodzenie wypłacone będzie w ratach miesięcznych, na podstawie rachunku zleceniobiorcy.</w:t>
      </w:r>
    </w:p>
  </w:footnote>
  <w:footnote w:id="7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27 marca 2023 r.</w:t>
      </w:r>
    </w:p>
  </w:footnote>
  <w:footnote w:id="7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27 marca 2023 r.</w:t>
      </w:r>
    </w:p>
  </w:footnote>
  <w:footnote w:id="7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Rachunki: 03/05/2021 z 5 maja 2021 r.; 04/06/2021 z 1 czerwca 2021 r.; 05/07/2021 z 1 lipca 2021 r.; 04/08/2021 z 6 sierpnia 2021 r.; 03/09/2021 z 7 września 2021 r.; 03/10/2021 z 8 października 2021 r.; 04/11/2021 z 4 listopada 2021 r.; 04/12/2021 z 1 grudnia 2021 r. i 01/01/2022 z 31 grudnia 2021 r.</w:t>
      </w:r>
    </w:p>
  </w:footnote>
  <w:footnote w:id="7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zapłata wynagrodzenia będzie odbywała się 20 dnia następnego miesiąca w formie przelewu na rachunek bankowy wskazany na rachunku zleceniobiorcy. Podstawą wypłaty wynagrodzenia za dany miesiąc świadczonych usług stanowi prawidłowo wypełniony i złożony zleceniodawcy rachunek wystawiony przez zleceniobiorcę.</w:t>
      </w:r>
    </w:p>
  </w:footnote>
  <w:footnote w:id="7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27 marca 2023 r.</w:t>
      </w:r>
    </w:p>
  </w:footnote>
  <w:footnote w:id="80">
    <w:p w:rsidR="00AE7A5B" w:rsidRPr="0061732F" w:rsidP="00AE7A5B">
      <w:pPr>
        <w:pStyle w:val="FootnoteText"/>
        <w:ind w:left="284" w:hanging="284"/>
        <w:rPr>
          <w:rFonts w:ascii="Lato" w:hAnsi="Lato"/>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Odpowiednio 1 marca 2021 r. i 25 lutego 2022 r.</w:t>
      </w:r>
    </w:p>
  </w:footnote>
  <w:footnote w:id="81">
    <w:p w:rsidR="00AE7A5B" w:rsidRPr="0061732F" w:rsidP="00AE7A5B">
      <w:pPr>
        <w:pStyle w:val="FootnoteText"/>
        <w:ind w:left="284" w:hanging="284"/>
        <w:rPr>
          <w:rFonts w:ascii="Lato" w:hAnsi="Lato"/>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Z czego w 2020 r. udzielono 84 zamówienia na łączną kwotę 39 381 tys. zł i w 2021 r. 138 zamówień na łączną kwotę 37 936 tys. zł.</w:t>
      </w:r>
    </w:p>
  </w:footnote>
  <w:footnote w:id="82">
    <w:p w:rsidR="00AE7A5B" w:rsidRPr="0061732F" w:rsidP="00AE7A5B">
      <w:pPr>
        <w:pStyle w:val="FootnoteText"/>
        <w:widowControl w:val="0"/>
        <w:ind w:left="284" w:hanging="284"/>
        <w:rPr>
          <w:rFonts w:ascii="Lato" w:hAnsi="Lato"/>
          <w:color w:val="000000"/>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 xml:space="preserve">W tym: 2 zamówienia z 2020 r.: NZP-240-39/2020 i EZP-240-71/2020 </w:t>
      </w:r>
      <w:r w:rsidRPr="0061732F">
        <w:rPr>
          <w:rStyle w:val="Strong"/>
          <w:rFonts w:ascii="Lato" w:hAnsi="Lato"/>
          <w:b w:val="0"/>
          <w:bCs w:val="0"/>
          <w:color w:val="000000"/>
          <w:sz w:val="13"/>
          <w:szCs w:val="13"/>
        </w:rPr>
        <w:t>oraz 2 zamówienia</w:t>
      </w:r>
      <w:r w:rsidRPr="0061732F">
        <w:rPr>
          <w:rFonts w:ascii="Lato" w:hAnsi="Lato"/>
          <w:sz w:val="13"/>
          <w:szCs w:val="13"/>
        </w:rPr>
        <w:t xml:space="preserve"> z 2021 r.: EZP.26.3.2021 i EZP.26.137.2021.</w:t>
      </w:r>
    </w:p>
  </w:footnote>
  <w:footnote w:id="8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 czego 2 osoby podpisujące umowę nr CRZP/240/1136/2020 z 13 kwietnia 2021 r. w postępowaniu nr EZP-240-71/2020.</w:t>
      </w:r>
    </w:p>
  </w:footnote>
  <w:footnote w:id="84">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nr EZP.26.3.2021 i EZP.26.137.2021, w których osoby dokonywały opiniowania projektu umowy pod względem formalno-prawnym.</w:t>
      </w:r>
    </w:p>
  </w:footnote>
  <w:footnote w:id="8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nr EZP.26.137.2021.</w:t>
      </w:r>
    </w:p>
  </w:footnote>
  <w:footnote w:id="8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osoby wykonujące czynności w postępowaniu o udzielenie zamówienia składają, pod rygorem odpowiedzialności karnej za złożenie fałszywego oświadczenia, w formie pisemnej oświadczenie o braku lub istnieniu okoliczności, o których mowa w ust. 1 (…).</w:t>
      </w:r>
    </w:p>
  </w:footnote>
  <w:footnote w:id="8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osoby, o których mowa w ust. 1 i 3, składają, pod rygorem odpowiedzialności karnej za złożenie fałszywego oświadczenia, oświadczenie w formie pisemnej o istnieniu albo braku istnienia okoliczności, o których mowa odpowiednio w ust. 2 lub 3 (…).</w:t>
      </w:r>
    </w:p>
  </w:footnote>
  <w:footnote w:id="8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kierownik zamawiającego, członek komisji przetargowej oraz inne osoby wykonujące czynności związane </w:t>
      </w:r>
      <w:r w:rsidRPr="0061732F">
        <w:rPr>
          <w:rFonts w:ascii="Lato" w:hAnsi="Lato"/>
          <w:sz w:val="13"/>
          <w:szCs w:val="13"/>
        </w:rPr>
        <w:br/>
        <w:t>z przeprowadzeniem postępowania o udzielenie zamówienia po stronie zamawiającego lub osoby mogące wpłynąć na wynik tego postępowania lub osoby udzielające zamówienia podlegają wyłączeniu z dokonywania tych czynności, jeżeli po ich stronie występuje konflikt interesów.</w:t>
      </w:r>
    </w:p>
  </w:footnote>
  <w:footnote w:id="8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Oświadczenie o istnieniu okoliczności, o których mowa w ust. 2, składa się niezwłocznie po powzięciu wiadomości o ich istnieniu, </w:t>
      </w:r>
      <w:r w:rsidRPr="0061732F">
        <w:rPr>
          <w:rFonts w:ascii="Lato" w:hAnsi="Lato"/>
          <w:sz w:val="13"/>
          <w:szCs w:val="13"/>
        </w:rPr>
        <w:br/>
        <w:t>a oświadczenie o braku istnienia tych okoliczności nie później niż przed zakończeniem postępowania o udzielenie zamówienia.</w:t>
      </w:r>
    </w:p>
  </w:footnote>
  <w:footnote w:id="9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 czego 1 osoba podpisująca umowę nr CRZP/26/35/2021 z 14 czerwca 2021 r. w postępowaniu nr EZP.26.3.2021 oraz 2 osoby podpisujące umowę nr CRZP/26/1068/2021 z 7 lutego 2022 r. w postępowaniu nr EZP.26.137.2021.</w:t>
      </w:r>
    </w:p>
  </w:footnote>
  <w:footnote w:id="9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postępowania nr EZP.26.3.2021 wszczętego 28 kwietnia 2021 r. i nr EZP.26.137.2021 wszczętego 15 listopada 2021 r., gdzie kierownik Biura Zamówień Publicznych złożył 4 stycznia 2021 r. jedno oświadczenie do wszystkich postępowań. </w:t>
      </w:r>
    </w:p>
  </w:footnote>
  <w:footnote w:id="9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EZP.26.137.2021, w którym osoba dokonywała opiniowania projektu umowy pod względem formalno-prawnym.</w:t>
      </w:r>
    </w:p>
  </w:footnote>
  <w:footnote w:id="9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nr EZP.26.3.2021.</w:t>
      </w:r>
    </w:p>
  </w:footnote>
  <w:footnote w:id="9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Postępowanie o udzielenie zamówienia zostało zakończone 14 czerwca 2021 r. a osoba złożyła oświadczenie 5 lipca 2021 r.</w:t>
      </w:r>
    </w:p>
  </w:footnote>
  <w:footnote w:id="9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osoby, o których mowa w ust. 1 i 3, składają, pod rygorem odpowiedzialności karnej za złożenie fałszywego oświadczenia, oświadczenie w formie pisemnej o istnieniu albo braku istnienia okoliczności, o których mowa odpowiednio w ust. 2 lub 3 (…).</w:t>
      </w:r>
    </w:p>
  </w:footnote>
  <w:footnote w:id="9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kierownika zamawiającego, członka komisji przetargowej oraz innych osób wykonujących czynności związane </w:t>
      </w:r>
      <w:r w:rsidRPr="0061732F">
        <w:rPr>
          <w:rFonts w:ascii="Lato" w:hAnsi="Lato"/>
          <w:sz w:val="13"/>
          <w:szCs w:val="13"/>
        </w:rPr>
        <w:br/>
        <w:t>z przeprowadzeniem postępowania o udzielenie zamówienia po stronie zamawiającego lub osób mogących wpłynąć na wynik tego postępowania lub osób udzielających zamówienia (…).</w:t>
      </w:r>
    </w:p>
  </w:footnote>
  <w:footnote w:id="9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oświadczenie o niekaralności składa się przed rozpoczęciem wykonywania czynności związanych </w:t>
      </w:r>
      <w:r w:rsidRPr="0061732F">
        <w:rPr>
          <w:rFonts w:ascii="Lato" w:hAnsi="Lato"/>
          <w:sz w:val="13"/>
          <w:szCs w:val="13"/>
        </w:rPr>
        <w:br/>
        <w:t>z przeprowadzeniem postępowania o udzielenie zamówienia.</w:t>
      </w:r>
    </w:p>
  </w:footnote>
  <w:footnote w:id="9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Wyjaśnienia z 16 lutego 2023 r. </w:t>
      </w:r>
    </w:p>
  </w:footnote>
  <w:footnote w:id="9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w:t>
      </w:r>
    </w:p>
  </w:footnote>
  <w:footnote w:id="10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nr NZP-240-39/2020, nr EZP-240-71/2020 i nr EZP.26.3.2021.</w:t>
      </w:r>
    </w:p>
  </w:footnote>
  <w:footnote w:id="10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komórka realizująca zamówienie potwierdza zgodność z planem wskazując czy wniosek został ujęty bądź nie w planie finansowym PIG wraz z informacją o pozycji z planu finansowego.</w:t>
      </w:r>
    </w:p>
  </w:footnote>
  <w:footnote w:id="10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nr NZP-240-39/2020.</w:t>
      </w:r>
    </w:p>
  </w:footnote>
  <w:footnote w:id="10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kierownik zamawiającego może powołać komisję przetargową.</w:t>
      </w:r>
    </w:p>
  </w:footnote>
  <w:footnote w:id="10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Komisja przetargowa powoływana jest każdorazowo do przeprowadzenia postępowania o udzielnie zamówienia publicznego powyżej 30 tys. euro, przez kierownik zamawiającego lub osoba której powierzone zastrzeżone dla niego czynności (…). Komisja przetargowa rozpoczyna działalność z dniem powołania.</w:t>
      </w:r>
    </w:p>
  </w:footnote>
  <w:footnote w:id="10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nr EZP-240-71/2020.</w:t>
      </w:r>
    </w:p>
  </w:footnote>
  <w:footnote w:id="10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zamawiający informuje niezwłocznie wszystkich wykonawców o wyborze najkorzystniejszej oferty (…).</w:t>
      </w:r>
    </w:p>
  </w:footnote>
  <w:footnote w:id="107">
    <w:p w:rsidR="00AE7A5B" w:rsidRPr="0061732F" w:rsidP="00AE7A5B">
      <w:pPr>
        <w:pStyle w:val="FootnoteText"/>
        <w:ind w:left="284" w:hanging="284"/>
        <w:rPr>
          <w:rFonts w:ascii="Lato" w:hAnsi="Lato"/>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W tym 114 zamówień w 2020 r. na łączną kwotę 3 670 tys. zł, 31 tys. euro i 18 tys. USD oraz 128 zamówień w 2021 r. na łączną kwotę 3 945 tys. zł.</w:t>
      </w:r>
    </w:p>
  </w:footnote>
  <w:footnote w:id="108">
    <w:p w:rsidR="00AE7A5B" w:rsidRPr="0061732F" w:rsidP="00AE7A5B">
      <w:pPr>
        <w:pStyle w:val="FootnoteText"/>
        <w:widowControl w:val="0"/>
        <w:ind w:left="284" w:hanging="284"/>
        <w:rPr>
          <w:rFonts w:ascii="Lato" w:hAnsi="Lato"/>
          <w:color w:val="000000"/>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 xml:space="preserve">W tym: 4 zamówienia z 2020 r. – NZP-244-3/2020, EZP-244-107/2020, EZP-244-123/2020 i EZP-244-131/2020 </w:t>
      </w:r>
      <w:r w:rsidRPr="0061732F">
        <w:rPr>
          <w:rStyle w:val="Strong"/>
          <w:rFonts w:ascii="Lato" w:hAnsi="Lato"/>
          <w:b w:val="0"/>
          <w:bCs w:val="0"/>
          <w:color w:val="000000"/>
          <w:sz w:val="13"/>
          <w:szCs w:val="13"/>
        </w:rPr>
        <w:t>oraz 2 zamówienia</w:t>
      </w:r>
      <w:r w:rsidRPr="0061732F">
        <w:rPr>
          <w:rFonts w:ascii="Lato" w:hAnsi="Lato"/>
          <w:sz w:val="13"/>
          <w:szCs w:val="13"/>
        </w:rPr>
        <w:t xml:space="preserve"> </w:t>
      </w:r>
      <w:r w:rsidRPr="0061732F">
        <w:rPr>
          <w:rFonts w:ascii="Lato" w:hAnsi="Lato"/>
          <w:sz w:val="13"/>
          <w:szCs w:val="13"/>
        </w:rPr>
        <w:br/>
        <w:t>z 2021 r. – EZP.26.151.2021 i EZP.26.208.2021.</w:t>
      </w:r>
    </w:p>
  </w:footnote>
  <w:footnote w:id="10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postępowania nr EZP-244-107/2020.</w:t>
      </w:r>
    </w:p>
  </w:footnote>
  <w:footnote w:id="11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Pkt 6 ust. 2 zapytania ofertowego z 23 września 2020 r.: za posiadanie autorskiej bazy danych gospodarki surowcami mineralnymi obejmującej obroty (import/export) surowców mineralnych oraz produkcji surowców mineralnych na terenie Polski za okres 25 lat przed upływem terminu składania ofert zamawiający mógł przyznać maksymalnie 45 pkt, a w przypadku nieposiadania ww. bazy danych 0 pkt.</w:t>
      </w:r>
    </w:p>
  </w:footnote>
  <w:footnote w:id="11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kryteriami oceny ofert są cena lub koszt albo cena lub koszt i inne kryteria odnoszące się do przedmiotu zamówienia, w szczególności:1) jakość, w tym parametry techniczne, właściwości estetyczne i funkcjonalne; 2) aspekty społeczne, w tym integracja zawodowa i społeczna osób, o których mowa w art. 22 ust. 2, dostępność dla osób niepełnosprawnych lub uwzględnianie potrzeb użytkowników; 3) aspekty środowiskowe, w tym efektywność energetyczna przedmiotu zamówienia; 4) aspekty innowacyjne; </w:t>
      </w:r>
      <w:r w:rsidRPr="0061732F">
        <w:rPr>
          <w:rFonts w:ascii="Lato" w:hAnsi="Lato"/>
          <w:sz w:val="13"/>
          <w:szCs w:val="13"/>
        </w:rPr>
        <w:br/>
        <w:t>5) organizacja, kwalifikacje zawodowe i doświadczenie osób wyznaczonych do realizacji zamówienia, jeżeli mogą mieć znaczący wpływ na jakość wykonania zamówienia; 6) serwis posprzedażny oraz pomoc techniczna, warunki dostawy, takie jak termin dostawy, sposób dostawy oraz czas dostawy lub okres realizacji.</w:t>
      </w:r>
    </w:p>
  </w:footnote>
  <w:footnote w:id="11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zamówienia udzielane są na podstawie obiektywnych kryteriów, zapewniających zgodność z zasadami przejrzystości, niedyskryminacji, równego traktowania oraz gwarantujących, że oferty są oceniane w warunkach efektywnej konkurencji.</w:t>
      </w:r>
    </w:p>
  </w:footnote>
  <w:footnote w:id="11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zamówienia publiczne, których przedmiotem są usługi badawcze i rozwojowe są udzielane w sposób zapewniający przejrzystość, równe traktowanie podmiotów zainteresowanych wykonaniem tych zamówień oraz z uwzględnieniem wszelkich okoliczności mogących mieć wpływ na ich udzielenie.</w:t>
      </w:r>
    </w:p>
  </w:footnote>
  <w:footnote w:id="11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zamówienia nr NZP-244-3/2020, nr EZP-244-107/2020, nr EZP-244-123/2020, nr EZP-244-131/2020, nr EZP.26.151.2021, nr EZP.26.208.2021.</w:t>
      </w:r>
    </w:p>
  </w:footnote>
  <w:footnote w:id="11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komórka realizująca zamówienie potwierdza zgodność z planem wskazując czy wniosek został ujęty bądź nie w planie finansowym PIG, wraz z informacją o pozycji z planu finansowego.</w:t>
      </w:r>
    </w:p>
  </w:footnote>
  <w:footnote w:id="11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w:t>
      </w:r>
      <w:r w:rsidRPr="0061732F">
        <w:rPr>
          <w:rStyle w:val="Strong"/>
          <w:rFonts w:ascii="Lato" w:hAnsi="Lato"/>
          <w:b w:val="0"/>
          <w:bCs w:val="0"/>
          <w:color w:val="000000"/>
          <w:sz w:val="13"/>
          <w:szCs w:val="13"/>
        </w:rPr>
        <w:t>zamówienia nr:</w:t>
      </w:r>
      <w:r w:rsidRPr="0061732F">
        <w:rPr>
          <w:rStyle w:val="Strong"/>
          <w:rFonts w:ascii="Lato" w:hAnsi="Lato"/>
          <w:color w:val="000000"/>
          <w:sz w:val="13"/>
          <w:szCs w:val="13"/>
        </w:rPr>
        <w:t xml:space="preserve"> </w:t>
      </w:r>
      <w:r w:rsidRPr="0061732F">
        <w:rPr>
          <w:rFonts w:ascii="Lato" w:hAnsi="Lato"/>
          <w:sz w:val="13"/>
          <w:szCs w:val="13"/>
        </w:rPr>
        <w:t>NZP-244-3/2020, EZP-244-131/2020 i EZP.26.208.2021.</w:t>
      </w:r>
    </w:p>
  </w:footnote>
  <w:footnote w:id="11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osoby wykonujące czynności w postepowaniu o udzielenie zamówienia podlegają wyłączeniu w przypadkach określonych w tym artykule.</w:t>
      </w:r>
    </w:p>
  </w:footnote>
  <w:footnote w:id="11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w:t>
      </w:r>
      <w:r w:rsidRPr="0061732F">
        <w:rPr>
          <w:rStyle w:val="Strong"/>
          <w:rFonts w:ascii="Lato" w:hAnsi="Lato"/>
          <w:b w:val="0"/>
          <w:bCs w:val="0"/>
          <w:color w:val="000000"/>
          <w:sz w:val="13"/>
          <w:szCs w:val="13"/>
        </w:rPr>
        <w:t>zamówienia nr:</w:t>
      </w:r>
      <w:r w:rsidRPr="0061732F">
        <w:rPr>
          <w:rStyle w:val="Strong"/>
          <w:rFonts w:ascii="Lato" w:hAnsi="Lato"/>
          <w:color w:val="000000"/>
          <w:sz w:val="13"/>
          <w:szCs w:val="13"/>
        </w:rPr>
        <w:t xml:space="preserve"> </w:t>
      </w:r>
      <w:r w:rsidRPr="0061732F">
        <w:rPr>
          <w:rFonts w:ascii="Lato" w:hAnsi="Lato"/>
          <w:sz w:val="13"/>
          <w:szCs w:val="13"/>
        </w:rPr>
        <w:t>NZP-244-3/2020 i EZP-244-131/2020.</w:t>
      </w:r>
    </w:p>
  </w:footnote>
  <w:footnote w:id="11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konflikt interesów występuje wówczas, gdy wystąpią przesłanki wymienione w tym przepisie.</w:t>
      </w:r>
    </w:p>
  </w:footnote>
  <w:footnote w:id="12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w:t>
      </w:r>
      <w:r w:rsidRPr="0061732F">
        <w:rPr>
          <w:rStyle w:val="Strong"/>
          <w:rFonts w:ascii="Lato" w:hAnsi="Lato"/>
          <w:b w:val="0"/>
          <w:bCs w:val="0"/>
          <w:color w:val="000000"/>
          <w:sz w:val="13"/>
          <w:szCs w:val="13"/>
        </w:rPr>
        <w:t>zamówienia nr</w:t>
      </w:r>
      <w:r w:rsidRPr="0061732F">
        <w:rPr>
          <w:rFonts w:ascii="Lato" w:hAnsi="Lato"/>
          <w:sz w:val="13"/>
          <w:szCs w:val="13"/>
        </w:rPr>
        <w:t xml:space="preserve"> EZP.26.208.2021.</w:t>
      </w:r>
    </w:p>
  </w:footnote>
  <w:footnote w:id="12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w:t>
      </w:r>
      <w:r w:rsidRPr="0061732F">
        <w:rPr>
          <w:rFonts w:ascii="Lato" w:hAnsi="Lato" w:eastAsiaTheme="minorHAnsi" w:cstheme="minorBidi"/>
          <w:sz w:val="13"/>
          <w:szCs w:val="13"/>
          <w:lang w:eastAsia="en-US"/>
        </w:rPr>
        <w:t xml:space="preserve"> członkowie komisji przetargowej składają pisemne oświadczenie o braku lub istnieniu okoliczności, o których mowa </w:t>
      </w:r>
      <w:r w:rsidRPr="0061732F">
        <w:rPr>
          <w:rFonts w:ascii="Lato" w:hAnsi="Lato" w:eastAsiaTheme="minorHAnsi" w:cstheme="minorBidi"/>
          <w:sz w:val="13"/>
          <w:szCs w:val="13"/>
          <w:lang w:eastAsia="en-US"/>
        </w:rPr>
        <w:br/>
        <w:t xml:space="preserve">w art. 17 ust. 1 </w:t>
      </w:r>
      <w:r w:rsidRPr="0061732F">
        <w:rPr>
          <w:rFonts w:ascii="Lato" w:hAnsi="Lato" w:eastAsiaTheme="minorHAnsi" w:cstheme="minorBidi"/>
          <w:sz w:val="13"/>
          <w:szCs w:val="13"/>
          <w:lang w:eastAsia="en-US"/>
        </w:rPr>
        <w:t>Pzp</w:t>
      </w:r>
      <w:r w:rsidRPr="0061732F">
        <w:rPr>
          <w:rFonts w:ascii="Lato" w:hAnsi="Lato" w:eastAsiaTheme="minorHAnsi" w:cstheme="minorBidi"/>
          <w:sz w:val="13"/>
          <w:szCs w:val="13"/>
          <w:lang w:eastAsia="en-US"/>
        </w:rPr>
        <w:t xml:space="preserve">/art. 56 ust. 2 </w:t>
      </w:r>
      <w:r w:rsidRPr="0061732F">
        <w:rPr>
          <w:rFonts w:ascii="Lato" w:hAnsi="Lato" w:eastAsiaTheme="minorHAnsi" w:cstheme="minorBidi"/>
          <w:sz w:val="13"/>
          <w:szCs w:val="13"/>
          <w:lang w:eastAsia="en-US"/>
        </w:rPr>
        <w:t>nPzp</w:t>
      </w:r>
      <w:r w:rsidRPr="0061732F">
        <w:rPr>
          <w:rFonts w:ascii="Lato" w:hAnsi="Lato" w:eastAsiaTheme="minorHAnsi" w:cstheme="minorBidi"/>
          <w:sz w:val="13"/>
          <w:szCs w:val="13"/>
          <w:lang w:eastAsia="en-US"/>
        </w:rPr>
        <w:t xml:space="preserve"> i przekazują je przewodniczącemu tej komisji.</w:t>
      </w:r>
    </w:p>
  </w:footnote>
  <w:footnote w:id="12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w:t>
      </w:r>
      <w:r w:rsidRPr="0061732F">
        <w:rPr>
          <w:rFonts w:ascii="Lato" w:hAnsi="Lato" w:eastAsiaTheme="minorHAnsi" w:cstheme="minorBidi"/>
          <w:sz w:val="13"/>
          <w:szCs w:val="13"/>
          <w:lang w:eastAsia="en-US"/>
        </w:rPr>
        <w:t xml:space="preserve"> w przypadku zapytania ofertowego kierownik zamawiającego w uzasadnionych przypadkach może powołać komisję do przeprowadzenia postepowania o udzielenie zamówienia publicznego w trybie zapytania ofertowego : do prac komisji przepisy rozdziału IX stosuje się odpowiednio.</w:t>
      </w:r>
    </w:p>
  </w:footnote>
  <w:footnote w:id="123">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w:t>
      </w:r>
    </w:p>
  </w:footnote>
  <w:footnote w:id="12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w:t>
      </w:r>
      <w:r w:rsidRPr="0061732F">
        <w:rPr>
          <w:rStyle w:val="Strong"/>
          <w:rFonts w:ascii="Lato" w:hAnsi="Lato"/>
          <w:b w:val="0"/>
          <w:bCs w:val="0"/>
          <w:color w:val="000000"/>
          <w:sz w:val="13"/>
          <w:szCs w:val="13"/>
        </w:rPr>
        <w:t>zamówienia nr</w:t>
      </w:r>
      <w:r w:rsidRPr="0061732F">
        <w:rPr>
          <w:rStyle w:val="Strong"/>
          <w:rFonts w:ascii="Lato" w:hAnsi="Lato"/>
          <w:color w:val="000000"/>
          <w:sz w:val="13"/>
          <w:szCs w:val="13"/>
        </w:rPr>
        <w:t xml:space="preserve"> </w:t>
      </w:r>
      <w:r w:rsidRPr="0061732F">
        <w:rPr>
          <w:rFonts w:ascii="Lato" w:hAnsi="Lato"/>
          <w:sz w:val="13"/>
          <w:szCs w:val="13"/>
        </w:rPr>
        <w:t xml:space="preserve">EZP.26.208.2021 zakończonego podpisaniem umowy </w:t>
      </w:r>
      <w:bookmarkStart w:id="25" w:name="_Hlk146554468"/>
      <w:r w:rsidRPr="0061732F">
        <w:rPr>
          <w:rFonts w:ascii="Lato" w:hAnsi="Lato"/>
          <w:sz w:val="13"/>
          <w:szCs w:val="13"/>
        </w:rPr>
        <w:t>nr CRZP/26/1664/2021 z 29 grudnia 2021 r.</w:t>
      </w:r>
      <w:bookmarkEnd w:id="25"/>
      <w:r w:rsidRPr="0061732F">
        <w:rPr>
          <w:rFonts w:ascii="Lato" w:hAnsi="Lato"/>
          <w:sz w:val="13"/>
          <w:szCs w:val="13"/>
        </w:rPr>
        <w:t xml:space="preserve"> </w:t>
      </w:r>
    </w:p>
  </w:footnote>
  <w:footnote w:id="12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w:t>
      </w:r>
      <w:r w:rsidRPr="0061732F">
        <w:rPr>
          <w:rFonts w:ascii="Lato" w:hAnsi="Lato" w:eastAsiaTheme="minorHAnsi" w:cstheme="minorBidi"/>
          <w:sz w:val="13"/>
          <w:szCs w:val="13"/>
          <w:lang w:eastAsia="en-US"/>
        </w:rPr>
        <w:t xml:space="preserve"> umowy zawierane w wyniku rozstrzygniętego postępowania o udzielenie zamówienia publicznego przygotowuje komórka ds. zamówień publicznych i przed ich zawarciem przekazuje je do akceptacji radcy prawnego.</w:t>
      </w:r>
    </w:p>
  </w:footnote>
  <w:footnote w:id="12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w:t>
      </w:r>
    </w:p>
  </w:footnote>
  <w:footnote w:id="12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bookmarkStart w:id="26" w:name="_Hlk148615869"/>
      <w:r w:rsidRPr="0061732F">
        <w:rPr>
          <w:rFonts w:ascii="Lato" w:hAnsi="Lato"/>
          <w:sz w:val="13"/>
          <w:szCs w:val="13"/>
        </w:rPr>
        <w:t>Decyzja nr 1 Ministra Środowiska z 10 stycznia 2018 r. w sprawie nadania statutu PIG, Dz. Urz. Ministra Środowiska z 2018 r. poz. 8. Decyzja nr 54 Ministra Środowiska z 7 października 2019 r. zmieniająca decyzję w sprawie nadania statutu PIG, Dz. Urz. Ministra Środowiska z 2019 r. poz. 57. Decyzja Ministra Środowiska z 4 maja 2020 r. zmieniająca decyzję w sprawie nadania statutu PIG, Dz. Urz. Ministra Środowiska z 2020 r. poz. 3.</w:t>
      </w:r>
    </w:p>
  </w:footnote>
  <w:footnote w:id="128">
    <w:p w:rsidR="00AE7A5B" w:rsidRPr="0061732F" w:rsidP="00AE7A5B">
      <w:pPr>
        <w:pStyle w:val="Footer"/>
        <w:ind w:left="284" w:hanging="284"/>
        <w:rPr>
          <w:sz w:val="13"/>
          <w:szCs w:val="13"/>
          <w:lang w:eastAsia="pl-PL"/>
        </w:rPr>
      </w:pPr>
      <w:bookmarkEnd w:id="26"/>
      <w:r w:rsidRPr="0061732F">
        <w:rPr>
          <w:rStyle w:val="FootnoteReference"/>
          <w:sz w:val="13"/>
          <w:szCs w:val="13"/>
        </w:rPr>
        <w:footnoteRef/>
      </w:r>
      <w:r w:rsidRPr="0061732F">
        <w:rPr>
          <w:sz w:val="13"/>
          <w:szCs w:val="13"/>
        </w:rPr>
        <w:t xml:space="preserve">  </w:t>
      </w:r>
      <w:r w:rsidRPr="0061732F">
        <w:rPr>
          <w:sz w:val="13"/>
          <w:szCs w:val="13"/>
        </w:rPr>
        <w:tab/>
        <w:t xml:space="preserve">T. j. Dz.U. z 2019 r. poz. 868 z </w:t>
      </w:r>
      <w:r w:rsidRPr="0061732F">
        <w:rPr>
          <w:sz w:val="13"/>
          <w:szCs w:val="13"/>
        </w:rPr>
        <w:t>późn</w:t>
      </w:r>
      <w:r w:rsidRPr="0061732F">
        <w:rPr>
          <w:sz w:val="13"/>
          <w:szCs w:val="13"/>
        </w:rPr>
        <w:t>. zm.</w:t>
      </w:r>
    </w:p>
  </w:footnote>
  <w:footnote w:id="129">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 xml:space="preserve">T. j. Dz. U. z 2018 r. poz. 2268 z </w:t>
      </w:r>
      <w:r w:rsidRPr="0061732F">
        <w:rPr>
          <w:rFonts w:ascii="Lato" w:hAnsi="Lato"/>
          <w:sz w:val="13"/>
          <w:szCs w:val="13"/>
        </w:rPr>
        <w:t>późn</w:t>
      </w:r>
      <w:r w:rsidRPr="0061732F">
        <w:rPr>
          <w:rFonts w:ascii="Lato" w:hAnsi="Lato"/>
          <w:sz w:val="13"/>
          <w:szCs w:val="13"/>
        </w:rPr>
        <w:t>. zm.</w:t>
      </w:r>
    </w:p>
  </w:footnote>
  <w:footnote w:id="130">
    <w:p w:rsidR="00AE7A5B" w:rsidRPr="0061732F" w:rsidP="00AE7A5B">
      <w:pPr>
        <w:pStyle w:val="FootnoteText"/>
        <w:ind w:left="284" w:hanging="284"/>
        <w:rPr>
          <w:rFonts w:ascii="Lato" w:hAnsi="Lato"/>
          <w:color w:val="000000"/>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Obowiązujący od 1 stycznia 2019 r. do 30 czerwca 2020 r. i wprowadzony zarządzeniem Dyrektora nr 43 z 14 grudnia 2018 r. w</w:t>
      </w:r>
      <w:r>
        <w:rPr>
          <w:rFonts w:ascii="Lato" w:hAnsi="Lato"/>
          <w:sz w:val="13"/>
          <w:szCs w:val="13"/>
        </w:rPr>
        <w:t xml:space="preserve"> </w:t>
      </w:r>
      <w:r w:rsidRPr="0061732F">
        <w:rPr>
          <w:rFonts w:ascii="Lato" w:hAnsi="Lato"/>
          <w:sz w:val="13"/>
          <w:szCs w:val="13"/>
        </w:rPr>
        <w:t xml:space="preserve">sprawie ustalenia Regulaminu organizacyjnego w PIG, zmieniony </w:t>
      </w:r>
      <w:r w:rsidRPr="0061732F">
        <w:rPr>
          <w:rFonts w:ascii="Lato" w:hAnsi="Lato"/>
          <w:color w:val="000000"/>
          <w:sz w:val="13"/>
          <w:szCs w:val="13"/>
        </w:rPr>
        <w:t>zarządzeniem Dyrektora nr 34 z 5 czerwca 2019 r.</w:t>
      </w:r>
      <w:r w:rsidRPr="0061732F">
        <w:rPr>
          <w:rFonts w:ascii="Lato" w:hAnsi="Lato"/>
          <w:sz w:val="13"/>
          <w:szCs w:val="13"/>
        </w:rPr>
        <w:t xml:space="preserve"> Obowiązujący od 1 lipca 2020 r. i wprowadzony z</w:t>
      </w:r>
      <w:r w:rsidRPr="0061732F">
        <w:rPr>
          <w:rFonts w:ascii="Lato" w:hAnsi="Lato"/>
          <w:color w:val="000000"/>
          <w:sz w:val="13"/>
          <w:szCs w:val="13"/>
        </w:rPr>
        <w:t xml:space="preserve">arządzeniem Dyrektora nr 15 z 23 czerwca 2020 r. </w:t>
      </w:r>
      <w:r w:rsidRPr="0061732F">
        <w:rPr>
          <w:rFonts w:ascii="Lato" w:hAnsi="Lato"/>
          <w:sz w:val="13"/>
          <w:szCs w:val="13"/>
        </w:rPr>
        <w:t>w sprawie ustalenia Regulaminu organizacyjnego w PIG</w:t>
      </w:r>
      <w:r w:rsidRPr="0061732F">
        <w:rPr>
          <w:rFonts w:ascii="Lato" w:hAnsi="Lato"/>
          <w:color w:val="000000"/>
          <w:sz w:val="13"/>
          <w:szCs w:val="13"/>
        </w:rPr>
        <w:t>.</w:t>
      </w:r>
    </w:p>
  </w:footnote>
  <w:footnote w:id="13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Uchwała 1/VII/2018 z 11 grudnia 2018 r. w sprawie Regulaminu organizacyjnego PIG, Uchwała 3/V/2019 z 7 maja 2019 r. w sprawie zaopiniowania zmian w Regulaminie organizacyjnym PIG z tytułu koniecznych zmian związanych z regulacjami dotyczącymi bezpieczeństwa, Uchwała 8/VI/2020  z 23 czerwca 2020 r. w sprawie zaopiniowania Regulaminu organizacyjnego PIG. </w:t>
      </w:r>
    </w:p>
  </w:footnote>
  <w:footnote w:id="132">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rPr>
        <w:t>Zgodnie z którym strukturę organizacyjną instytutu określa regulamin organizacyjny ustalony przez dyrektora, po zasięgnięciu opinii rady naukowej oraz zakładowych organizacji związkowych.</w:t>
      </w:r>
    </w:p>
  </w:footnote>
  <w:footnote w:id="133">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rPr>
        <w:t>Pismo z 31 maja 2023 r., znak NPA.091.1/3.2022.</w:t>
      </w:r>
    </w:p>
  </w:footnote>
  <w:footnote w:id="134">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rPr>
        <w:t>Zmienione zarządzeniami Dyrektora: nr 18 z 29 czerwca 2020 r., nr 20 z 1 lipca 2020 r., nr 47 z 18 grudnia 2020 r., nr 7 z 15 stycznia 2021 r., nr 12 z 11 lutego 2021 r. i nr 14 z 25 marca 2021 r.</w:t>
      </w:r>
    </w:p>
  </w:footnote>
  <w:footnote w:id="13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Wprowadzonym zarządzeniem Dyrektora nr 27 z 6 lipca 2021 r. w sprawie ustalenia Regulaminu wyborów Rady Naukowej spośród pracowników PIG (na lata 2021-2025). Zarządzenie Dyrektora nr 30 z 30 lipca 2021 r. zmieniające powyższe zarządzenie.</w:t>
      </w:r>
    </w:p>
  </w:footnote>
  <w:footnote w:id="136">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rPr>
        <w:t>Zgodnie z którym miejsca w radzie naukowej dla członków, wskazanych w ust. 2 pkt 1, są podzielone w następujący sposób: pracownikom, którzy nie posiadają tytułu naukowego lub stopnia naukowego doktora habilitowanego, przypada 25 % ustalonych miejsc, tj. 2 miejsca.</w:t>
      </w:r>
    </w:p>
  </w:footnote>
  <w:footnote w:id="137">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rPr>
        <w:t>Pismo z 31 maja 2023 r., znak NPA.091.1/3.2022.</w:t>
      </w:r>
    </w:p>
  </w:footnote>
  <w:footnote w:id="138">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 xml:space="preserve">Uchwała nr 3/IX/2019 Rady Naukowej z 27 września 2019 r. w sprawie uchwalenia Regulaminu Rady Naukowej PIG. Uchwała </w:t>
      </w:r>
      <w:r w:rsidRPr="0061732F">
        <w:rPr>
          <w:rFonts w:ascii="Lato" w:hAnsi="Lato"/>
          <w:sz w:val="13"/>
          <w:szCs w:val="13"/>
        </w:rPr>
        <w:br/>
        <w:t>nr 7/VI/2020 Rady Naukowej z 18 czerwca 2020 r. w sprawie zmiany Regulaminu Rady Naukowej PIG oraz wprowadzeniu tekstu jednolitego Regulaminu Rady Naukowej PIG. Uchwała nr 58/XI/2021 Rady Naukowej z 10 listopada 2021 r. w sprawie zmiany Regulaminu Rady Naukowej PIG oraz wprowadzeniu tekstu jednolitego Regulaminu Rady Naukowej PIG.</w:t>
      </w:r>
    </w:p>
  </w:footnote>
  <w:footnote w:id="13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N</w:t>
      </w:r>
      <w:r w:rsidRPr="0061732F">
        <w:rPr>
          <w:rFonts w:ascii="Lato" w:hAnsi="Lato"/>
          <w:color w:val="000000"/>
          <w:sz w:val="13"/>
          <w:szCs w:val="13"/>
        </w:rPr>
        <w:t>r 2/VI/2021 z 28 czerwca 2021 r. dotyczącej zaopiniowania Regulaminu zarządzania prawami autorskimi i prawami własności przemysłowej oraz zasad komercjalizacji wyników badań naukowych i prac rozwojowych w PIG.</w:t>
      </w:r>
    </w:p>
  </w:footnote>
  <w:footnote w:id="140">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Zgodnie ze zwrotnym potwierdzeniem odbioru RPW/42096/2022 P z 6 grudnia 2022 r.</w:t>
      </w:r>
    </w:p>
  </w:footnote>
  <w:footnote w:id="141">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przewodniczący rady naukowej przekazuje ministrowi nadzorującemu uchwały rady w sprawach, o których mowa </w:t>
      </w:r>
      <w:r w:rsidRPr="0061732F">
        <w:rPr>
          <w:rFonts w:ascii="Lato" w:hAnsi="Lato"/>
          <w:sz w:val="13"/>
          <w:szCs w:val="13"/>
        </w:rPr>
        <w:br/>
        <w:t>w art. 29 ust. 2 pkt 5-11 i 17-19, w terminie 7 dni od dnia ich podjęcia.</w:t>
      </w:r>
    </w:p>
  </w:footnote>
  <w:footnote w:id="14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w:t>
      </w:r>
    </w:p>
  </w:footnote>
  <w:footnote w:id="143">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Uchwałą nr 4/V/2021 z 21 maja 2021 r. oraz uchwała nr 5/V/2022 z 25 maja 2021 r.</w:t>
      </w:r>
    </w:p>
  </w:footnote>
  <w:footnote w:id="14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Tabela nr 11</w:t>
      </w:r>
      <w:r w:rsidRPr="0061732F">
        <w:rPr>
          <w:rFonts w:ascii="Lato" w:hAnsi="Lato"/>
          <w:noProof/>
          <w:sz w:val="13"/>
          <w:szCs w:val="13"/>
        </w:rPr>
        <w:t xml:space="preserve"> Informacje podstawowe.</w:t>
      </w:r>
    </w:p>
  </w:footnote>
  <w:footnote w:id="14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Tj. środki pochodzące z Unii Europejskiej tj. w ramach programu HORYZONT 2020.</w:t>
      </w:r>
    </w:p>
  </w:footnote>
  <w:footnote w:id="14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Tj. środki pochodzące z </w:t>
      </w:r>
      <w:r w:rsidRPr="0061732F">
        <w:rPr>
          <w:rFonts w:ascii="Lato" w:hAnsi="Lato"/>
          <w:sz w:val="13"/>
          <w:szCs w:val="13"/>
        </w:rPr>
        <w:t>MNiSW</w:t>
      </w:r>
      <w:r w:rsidRPr="0061732F">
        <w:rPr>
          <w:rFonts w:ascii="Lato" w:hAnsi="Lato"/>
          <w:sz w:val="13"/>
          <w:szCs w:val="13"/>
        </w:rPr>
        <w:t>, MI, NCN, Narodowego Centrum Badań i Rozwoju, NFOŚiGW/GIOŚ.</w:t>
      </w:r>
    </w:p>
  </w:footnote>
  <w:footnote w:id="147">
    <w:p w:rsidR="00AE7A5B" w:rsidRPr="0061732F" w:rsidP="00AE7A5B">
      <w:pPr>
        <w:spacing w:after="0" w:line="240" w:lineRule="auto"/>
        <w:ind w:left="284" w:hanging="284"/>
        <w:jc w:val="left"/>
        <w:rPr>
          <w:bCs/>
          <w:sz w:val="13"/>
          <w:szCs w:val="13"/>
        </w:rPr>
      </w:pPr>
      <w:r w:rsidRPr="0061732F">
        <w:rPr>
          <w:rStyle w:val="FootnoteReference"/>
          <w:sz w:val="13"/>
          <w:szCs w:val="13"/>
        </w:rPr>
        <w:footnoteRef/>
      </w:r>
      <w:r w:rsidRPr="0061732F">
        <w:rPr>
          <w:sz w:val="13"/>
          <w:szCs w:val="13"/>
        </w:rPr>
        <w:t xml:space="preserve">  </w:t>
      </w:r>
      <w:r w:rsidRPr="0061732F">
        <w:rPr>
          <w:sz w:val="13"/>
          <w:szCs w:val="13"/>
        </w:rPr>
        <w:tab/>
        <w:t xml:space="preserve">Uchwała </w:t>
      </w:r>
      <w:r w:rsidRPr="0061732F">
        <w:rPr>
          <w:rFonts w:cs="Times New Roman"/>
          <w:bCs/>
          <w:sz w:val="13"/>
          <w:szCs w:val="13"/>
        </w:rPr>
        <w:t>nr 2/V/2020 z 13 maja 2020 r. i uchwała nr 8/V/2021 z 21 maja 2021 r.</w:t>
      </w:r>
    </w:p>
  </w:footnote>
  <w:footnote w:id="14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w:t>
      </w:r>
    </w:p>
  </w:footnote>
  <w:footnote w:id="14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Tj. z 505 w 2020 r. do 600 w 2021 r.</w:t>
      </w:r>
    </w:p>
  </w:footnote>
  <w:footnote w:id="15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Roczne sprawozdania z wykonania zadań PIG z 2020 i 2021 r. </w:t>
      </w:r>
      <w:r w:rsidRPr="0061732F">
        <w:rPr>
          <w:rFonts w:ascii="Lato" w:hAnsi="Lato"/>
          <w:color w:val="000000"/>
          <w:sz w:val="13"/>
          <w:szCs w:val="13"/>
        </w:rPr>
        <w:t>Liczba cytowani wyniosła 2 557 w 2020 r. a 3 224 w 2021 r.</w:t>
      </w:r>
    </w:p>
  </w:footnote>
  <w:footnote w:id="151">
    <w:p w:rsidR="00AE7A5B" w:rsidRPr="0061732F" w:rsidP="00AE7A5B">
      <w:pPr>
        <w:spacing w:after="0" w:line="240" w:lineRule="auto"/>
        <w:ind w:left="284" w:hanging="284"/>
        <w:jc w:val="left"/>
        <w:rPr>
          <w:bCs/>
          <w:sz w:val="13"/>
          <w:szCs w:val="13"/>
        </w:rPr>
      </w:pPr>
      <w:r w:rsidRPr="0061732F">
        <w:rPr>
          <w:rStyle w:val="FootnoteReference"/>
          <w:sz w:val="13"/>
          <w:szCs w:val="13"/>
        </w:rPr>
        <w:footnoteRef/>
      </w:r>
      <w:r w:rsidRPr="0061732F">
        <w:rPr>
          <w:sz w:val="13"/>
          <w:szCs w:val="13"/>
        </w:rPr>
        <w:t xml:space="preserve">  </w:t>
      </w:r>
      <w:r w:rsidRPr="0061732F">
        <w:rPr>
          <w:sz w:val="13"/>
          <w:szCs w:val="13"/>
        </w:rPr>
        <w:tab/>
        <w:t xml:space="preserve">Pismo z 21 grudnia 2022 r. </w:t>
      </w:r>
    </w:p>
  </w:footnote>
  <w:footnote w:id="15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Tj. 2 stopnie doktora w 2020 r. i 7 stopni doktora w 2021 r.</w:t>
      </w:r>
    </w:p>
  </w:footnote>
  <w:footnote w:id="153">
    <w:p w:rsidR="00AE7A5B" w:rsidRPr="0061732F" w:rsidP="00AE7A5B">
      <w:pPr>
        <w:spacing w:after="0" w:line="240" w:lineRule="auto"/>
        <w:ind w:left="284" w:hanging="284"/>
        <w:jc w:val="left"/>
        <w:rPr>
          <w:rFonts w:cs="Times New Roman"/>
          <w:sz w:val="13"/>
          <w:szCs w:val="13"/>
        </w:rPr>
      </w:pPr>
      <w:r w:rsidRPr="0061732F">
        <w:rPr>
          <w:rStyle w:val="FootnoteReference"/>
          <w:sz w:val="13"/>
          <w:szCs w:val="13"/>
        </w:rPr>
        <w:footnoteRef/>
      </w:r>
      <w:r w:rsidRPr="0061732F">
        <w:rPr>
          <w:rFonts w:cs="Times New Roman"/>
          <w:sz w:val="13"/>
          <w:szCs w:val="13"/>
        </w:rPr>
        <w:t xml:space="preserve"> </w:t>
      </w:r>
      <w:r w:rsidRPr="0061732F">
        <w:rPr>
          <w:rFonts w:cs="Times New Roman"/>
          <w:sz w:val="13"/>
          <w:szCs w:val="13"/>
        </w:rPr>
        <w:tab/>
        <w:t>Tj. 1 stopień doktora habilitowanego w 2020 r. i 3 stopnie doktora habilitowanego w 2021 r.</w:t>
      </w:r>
    </w:p>
  </w:footnote>
  <w:footnote w:id="15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Decyzją </w:t>
      </w:r>
      <w:r w:rsidRPr="0061732F">
        <w:rPr>
          <w:rFonts w:ascii="Lato" w:hAnsi="Lato"/>
          <w:sz w:val="13"/>
          <w:szCs w:val="13"/>
          <w:lang w:bidi="pl-PL"/>
        </w:rPr>
        <w:t xml:space="preserve">nr </w:t>
      </w:r>
      <w:r w:rsidRPr="0061732F">
        <w:rPr>
          <w:rFonts w:ascii="Lato" w:hAnsi="Lato"/>
          <w:sz w:val="13"/>
          <w:szCs w:val="13"/>
        </w:rPr>
        <w:t>652/607/2022.</w:t>
      </w:r>
    </w:p>
  </w:footnote>
  <w:footnote w:id="15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decyzją</w:t>
      </w:r>
      <w:r w:rsidRPr="0061732F">
        <w:rPr>
          <w:rFonts w:ascii="Lato" w:eastAsia="Calibri" w:hAnsi="Lato"/>
          <w:sz w:val="13"/>
          <w:szCs w:val="13"/>
          <w:lang w:eastAsia="ar-SA"/>
        </w:rPr>
        <w:t xml:space="preserve"> Ministra Nauki i Szkolnictwa Wyższego</w:t>
      </w:r>
      <w:r w:rsidRPr="0061732F">
        <w:rPr>
          <w:rFonts w:ascii="Lato" w:eastAsia="Arial" w:hAnsi="Lato"/>
          <w:color w:val="000000"/>
          <w:sz w:val="13"/>
          <w:szCs w:val="13"/>
          <w:lang w:bidi="pl-PL"/>
        </w:rPr>
        <w:t xml:space="preserve"> w 2017 r.</w:t>
      </w:r>
      <w:r w:rsidRPr="0061732F">
        <w:rPr>
          <w:rFonts w:ascii="Lato" w:hAnsi="Lato"/>
          <w:sz w:val="13"/>
          <w:szCs w:val="13"/>
        </w:rPr>
        <w:t>, znak nr 381/KAT/2017 z 15 listopada 2017 r.</w:t>
      </w:r>
    </w:p>
  </w:footnote>
  <w:footnote w:id="156">
    <w:p w:rsidR="00AE7A5B" w:rsidRPr="0061732F" w:rsidP="00AE7A5B">
      <w:pPr>
        <w:spacing w:after="0" w:line="240" w:lineRule="auto"/>
        <w:ind w:left="284" w:hanging="284"/>
        <w:jc w:val="left"/>
        <w:rPr>
          <w:rFonts w:cs="Times New Roman"/>
          <w:sz w:val="13"/>
          <w:szCs w:val="13"/>
        </w:rPr>
      </w:pPr>
      <w:r w:rsidRPr="0061732F">
        <w:rPr>
          <w:rStyle w:val="FootnoteReference"/>
          <w:sz w:val="13"/>
          <w:szCs w:val="13"/>
        </w:rPr>
        <w:footnoteRef/>
      </w:r>
      <w:r w:rsidRPr="0061732F">
        <w:rPr>
          <w:rFonts w:cs="Times New Roman"/>
          <w:sz w:val="13"/>
          <w:szCs w:val="13"/>
        </w:rPr>
        <w:t xml:space="preserve"> </w:t>
      </w:r>
      <w:r w:rsidRPr="0061732F">
        <w:rPr>
          <w:rFonts w:cs="Times New Roman"/>
          <w:sz w:val="13"/>
          <w:szCs w:val="13"/>
        </w:rPr>
        <w:tab/>
        <w:t>Wprowadzony zarządzeniem Dyrektora nr 9 z 25 marca 2015 r.</w:t>
      </w:r>
      <w:r w:rsidRPr="0061732F">
        <w:rPr>
          <w:sz w:val="13"/>
          <w:szCs w:val="13"/>
        </w:rPr>
        <w:t xml:space="preserve">, zmieniony </w:t>
      </w:r>
      <w:r w:rsidRPr="0061732F">
        <w:rPr>
          <w:rFonts w:cs="Times New Roman"/>
          <w:sz w:val="13"/>
          <w:szCs w:val="13"/>
        </w:rPr>
        <w:t>zarządzeniem Dyrektora nr 31 z 3 sierpnia 2021 r.</w:t>
      </w:r>
    </w:p>
  </w:footnote>
  <w:footnote w:id="15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Opinia z 5 marca 2015 r. i uchwała nr 2/VI/2021 z 28 czerwca 2021 r.</w:t>
      </w:r>
    </w:p>
  </w:footnote>
  <w:footnote w:id="15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informacją p.o. Kierownika Działu Spraw Personalnych, przekazaną  przy piśmie Dyrektora z 10 października 2022 r., znak: NPA 091-1/2022.</w:t>
      </w:r>
    </w:p>
  </w:footnote>
  <w:footnote w:id="15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Nr 0000122099.</w:t>
      </w:r>
    </w:p>
  </w:footnote>
  <w:footnote w:id="16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w:t>
      </w:r>
    </w:p>
  </w:footnote>
  <w:footnote w:id="16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sz w:val="13"/>
          <w:szCs w:val="13"/>
          <w:lang w:bidi="pl-PL"/>
        </w:rPr>
        <w:t>O 24,7 etatu</w:t>
      </w:r>
      <w:r w:rsidRPr="0061732F">
        <w:rPr>
          <w:rFonts w:ascii="Lato" w:hAnsi="Lato"/>
          <w:sz w:val="13"/>
          <w:szCs w:val="13"/>
        </w:rPr>
        <w:t xml:space="preserve">, zgodnie z tabelą nr  9 stan zatrudnienia, koszty wynagrodzeń oraz średni miesięczne wynagrodzenia na etat. </w:t>
      </w:r>
    </w:p>
  </w:footnote>
  <w:footnote w:id="16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42,4 </w:t>
      </w:r>
      <w:r w:rsidRPr="0061732F">
        <w:rPr>
          <w:rFonts w:ascii="Lato" w:hAnsi="Lato"/>
          <w:sz w:val="13"/>
          <w:szCs w:val="13"/>
          <w:lang w:bidi="pl-PL"/>
        </w:rPr>
        <w:t>na początek 2020 r. do 36,9 na koniec 2021 r.</w:t>
      </w:r>
      <w:r w:rsidRPr="0061732F">
        <w:rPr>
          <w:rFonts w:ascii="Lato" w:hAnsi="Lato"/>
          <w:sz w:val="13"/>
          <w:szCs w:val="13"/>
        </w:rPr>
        <w:t xml:space="preserve">, tj. o </w:t>
      </w:r>
      <w:r w:rsidRPr="0061732F">
        <w:rPr>
          <w:rFonts w:ascii="Lato" w:hAnsi="Lato"/>
          <w:sz w:val="13"/>
          <w:szCs w:val="13"/>
          <w:lang w:bidi="pl-PL"/>
        </w:rPr>
        <w:t>13%.</w:t>
      </w:r>
    </w:p>
  </w:footnote>
  <w:footnote w:id="16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 67,75</w:t>
      </w:r>
      <w:r w:rsidRPr="0061732F">
        <w:rPr>
          <w:rFonts w:ascii="Lato" w:hAnsi="Lato"/>
          <w:sz w:val="13"/>
          <w:szCs w:val="13"/>
          <w:lang w:bidi="pl-PL"/>
        </w:rPr>
        <w:t xml:space="preserve"> etatów na początek 2020 r. do 64,25 etatów na koniec 2021 r., tj. o 5%.</w:t>
      </w:r>
    </w:p>
  </w:footnote>
  <w:footnote w:id="16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11,5 </w:t>
      </w:r>
      <w:r w:rsidRPr="0061732F">
        <w:rPr>
          <w:rFonts w:ascii="Lato" w:hAnsi="Lato"/>
          <w:sz w:val="13"/>
          <w:szCs w:val="13"/>
          <w:lang w:bidi="pl-PL"/>
        </w:rPr>
        <w:t>na początek 2020 r. do 8,5 na koniec 2021 r.</w:t>
      </w:r>
      <w:r w:rsidRPr="0061732F">
        <w:rPr>
          <w:rFonts w:ascii="Lato" w:hAnsi="Lato"/>
          <w:sz w:val="13"/>
          <w:szCs w:val="13"/>
        </w:rPr>
        <w:t xml:space="preserve">, tj. o </w:t>
      </w:r>
      <w:r w:rsidRPr="0061732F">
        <w:rPr>
          <w:rFonts w:ascii="Lato" w:hAnsi="Lato"/>
          <w:sz w:val="13"/>
          <w:szCs w:val="13"/>
          <w:lang w:bidi="pl-PL"/>
        </w:rPr>
        <w:t>26%,</w:t>
      </w:r>
      <w:r w:rsidRPr="0061732F">
        <w:rPr>
          <w:rFonts w:ascii="Lato" w:hAnsi="Lato"/>
          <w:sz w:val="13"/>
          <w:szCs w:val="13"/>
        </w:rPr>
        <w:t xml:space="preserve">  </w:t>
      </w:r>
    </w:p>
  </w:footnote>
  <w:footnote w:id="16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czego 8 profesorów, 16 profesorów Instytutu, 13 adiunktów. </w:t>
      </w:r>
    </w:p>
  </w:footnote>
  <w:footnote w:id="16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13, 17, 72, 143, 313, 340, 416, 482, 484, 486, 502, 636, 675, 766 i 780 Imiennego wykazu pracowników na 31 grudnia 2021 r.</w:t>
      </w:r>
    </w:p>
  </w:footnote>
  <w:footnote w:id="16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sz w:val="13"/>
          <w:szCs w:val="13"/>
          <w:lang w:bidi="pl-PL"/>
        </w:rPr>
        <w:t>Podpisanym przez pracownika 23 sierpnia 2021 r., s</w:t>
      </w:r>
      <w:r w:rsidRPr="0061732F">
        <w:rPr>
          <w:rFonts w:ascii="Lato" w:hAnsi="Lato"/>
          <w:sz w:val="13"/>
          <w:szCs w:val="13"/>
        </w:rPr>
        <w:t>tr. 40 akt osobowych pracownika wskazanego pod poz. 72 Imiennego wykazu pracowników na 31 grudnia 2021 r.</w:t>
      </w:r>
      <w:r w:rsidRPr="0061732F">
        <w:rPr>
          <w:rFonts w:ascii="Lato" w:hAnsi="Lato"/>
          <w:sz w:val="13"/>
          <w:szCs w:val="13"/>
          <w:lang w:bidi="pl-PL"/>
        </w:rPr>
        <w:t xml:space="preserve"> </w:t>
      </w:r>
    </w:p>
  </w:footnote>
  <w:footnote w:id="16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Str. 43 akt osobowych pracownika wskazanego.</w:t>
      </w:r>
    </w:p>
  </w:footnote>
  <w:footnote w:id="16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Zapytanie e-mail z 25 kwietnia 2023 r.</w:t>
      </w:r>
    </w:p>
  </w:footnote>
  <w:footnote w:id="17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3, 8-9, 13-18, 20, 22 zestawienia rozpoczętych (pełnionych) funkcji w okresie od 1 stycznia 2020 do 31 grudnia 2021 </w:t>
      </w:r>
      <w:r w:rsidRPr="0061732F">
        <w:rPr>
          <w:rFonts w:ascii="Lato" w:hAnsi="Lato"/>
          <w:sz w:val="13"/>
          <w:szCs w:val="13"/>
        </w:rPr>
        <w:br/>
        <w:t xml:space="preserve">z 27 kwietnia 2023 r. </w:t>
      </w:r>
    </w:p>
  </w:footnote>
  <w:footnote w:id="17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E-maile z 9 i 10 maja 2023 r.</w:t>
      </w:r>
    </w:p>
  </w:footnote>
  <w:footnote w:id="17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13, 17, 72, 143, 313, 340, 416, 482, 484, 486, 502, 636, 675, 766, 780 Imiennego wykazu pracowników na 31 grudnia 2021 r.</w:t>
      </w:r>
    </w:p>
  </w:footnote>
  <w:footnote w:id="17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482 i 484 Imiennego wykazu pracowników na 31 grudnia 2021 r. Zmiany stanowisk tych pracowników nastąpiły odpowiednio 6 kwietnia 2020 r. i 5 lutego 2021 r.</w:t>
      </w:r>
    </w:p>
  </w:footnote>
  <w:footnote w:id="17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72 Imiennego wykazu pracowników na 31 grudnia 2021 r.</w:t>
      </w:r>
    </w:p>
  </w:footnote>
  <w:footnote w:id="17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Zapytanie e-mail z 25 kwietnia 2023 r.</w:t>
      </w:r>
    </w:p>
  </w:footnote>
  <w:footnote w:id="17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Tabela pracowników pełniących w okresie 2020-2021 funkcje kierownika lub koordynatora zadania/tematu w zakresie między innymi Polityki Surowcowej Państwa, z 28 kwietnia 2023 r.</w:t>
      </w:r>
    </w:p>
  </w:footnote>
  <w:footnote w:id="17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 zakresie między innymi Polityki Surowcowej Państwa.</w:t>
      </w:r>
    </w:p>
  </w:footnote>
  <w:footnote w:id="17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1-3 Tabeli naborów na stanowiska naukowe przeprowadzonych w 2021 r.</w:t>
      </w:r>
    </w:p>
  </w:footnote>
  <w:footnote w:id="17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68 Tabeli naborów przeprowadzonych w 2020 r.</w:t>
      </w:r>
    </w:p>
  </w:footnote>
  <w:footnote w:id="18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 Tabeli naborów na stanowiska naukowe przeprowadzonych w 2021 r.</w:t>
      </w:r>
    </w:p>
  </w:footnote>
  <w:footnote w:id="18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ogłoszenie o konkursie zamieszcza się na stronie internetowej Komisji Europejskiej w europejskim portalu dla mobilnych naukowców przeznaczonym do publikacji ofert pracy naukowców.</w:t>
      </w:r>
    </w:p>
  </w:footnote>
  <w:footnote w:id="18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12 maja 2023 r.</w:t>
      </w:r>
    </w:p>
  </w:footnote>
  <w:footnote w:id="18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68 Tabeli naborów przeprowadzonych w 2020 r.</w:t>
      </w:r>
    </w:p>
  </w:footnote>
  <w:footnote w:id="18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taryfikatorami kwalifikacyjnymi dla stanowisk administracyjno-ekonomicznych i stanowisk obsługi, w przypadku specjalisty </w:t>
      </w:r>
      <w:r w:rsidRPr="0061732F">
        <w:rPr>
          <w:rFonts w:ascii="Lato" w:hAnsi="Lato"/>
          <w:sz w:val="13"/>
          <w:szCs w:val="13"/>
        </w:rPr>
        <w:br/>
        <w:t>z wykształceniem wyższym wymagane było doświadczenie powyżej 2 lat.</w:t>
      </w:r>
    </w:p>
  </w:footnote>
  <w:footnote w:id="18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15 lutego 2023 r.</w:t>
      </w:r>
    </w:p>
  </w:footnote>
  <w:footnote w:id="18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68 Tabeli naborów przeprowadzonych w 2020 r.</w:t>
      </w:r>
    </w:p>
  </w:footnote>
  <w:footnote w:id="18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bookmarkStart w:id="37" w:name="_Hlk152854547"/>
      <w:r w:rsidRPr="0061732F">
        <w:rPr>
          <w:rFonts w:ascii="Lato" w:hAnsi="Lato"/>
          <w:sz w:val="13"/>
          <w:szCs w:val="13"/>
        </w:rPr>
        <w:t xml:space="preserve">Dotyczących wyznaczenia przez Dyrektora składu komisji konkursowej; wejścia w skład komisji co najmniej 3 osób, w tym zastępcy dyrektora, sekretarza naukowego lub innej osoby wyznaczonej przez ww. osoby; przewodniczenia komisji przez jedną z ww. osób. </w:t>
      </w:r>
      <w:bookmarkEnd w:id="37"/>
    </w:p>
  </w:footnote>
  <w:footnote w:id="18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1-3 Tabeli naborów na stanowiska naukowe przeprowadzonych w 2021 r.</w:t>
      </w:r>
    </w:p>
  </w:footnote>
  <w:footnote w:id="18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ogłoszenie o konkursie zawiera co najmniej oznaczenie konkursu; informację o możliwości zaproszenia kandydata spełniającego wymogi formalne na rozmowę kwalifikacyjną co najmniej na 7 dni przed planowanym terminem rozmowy; planowaną datę zatrudnienia i czas trwania umowy o pracę; informację o terminie rozstrzygnięcia konkursu; nazwisko i telefon osoby udzielającej dodatkowych informacji o konkursie.</w:t>
      </w:r>
    </w:p>
  </w:footnote>
  <w:footnote w:id="190">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2, 13, 17, 42, 53, 72, 74, 56, 143, 185, 221, 274, 313, 339, 340, 383, 385, 388, 416, 423, 454, 482, 484, 486, 502, 510, 523, 536, 582, 621, 636, 656, 658, 663, 675, 682, 712, 722, 766, 768, 780, 801, 818, 856, 891 Imiennego wykazu pracowników na 31 grudnia 2021 r. </w:t>
      </w:r>
    </w:p>
  </w:footnote>
  <w:footnote w:id="19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wysokość wynagrodzenia zasadniczego pracownika, uwzględniająca zakres jego odpowiedzialności i stopień złożoności powierzonych mu zadań, jest zgodna z obowiązującą w Instytucie Tabelą płac, stanowiącą załącznik nr 5 do układu, zawierającą wykaz kategorii płacowych oraz stawek wynagrodzenia zasadniczego pracowników, a także warunki awansu pracowników.</w:t>
      </w:r>
    </w:p>
  </w:footnote>
  <w:footnote w:id="192">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482 Imiennego wykazu pracowników na 31 grudnia 2021 r. </w:t>
      </w:r>
    </w:p>
  </w:footnote>
  <w:footnote w:id="19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sz w:val="13"/>
          <w:szCs w:val="13"/>
          <w:lang w:eastAsia="ar-SA"/>
        </w:rPr>
        <w:t>Od 1 października 2019 r. do 5 kwietnia 2020 r.</w:t>
      </w:r>
    </w:p>
  </w:footnote>
  <w:footnote w:id="19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300 i 513 </w:t>
      </w:r>
      <w:bookmarkStart w:id="40" w:name="_Hlk140500477"/>
      <w:r w:rsidRPr="0061732F">
        <w:rPr>
          <w:rFonts w:ascii="Lato" w:hAnsi="Lato"/>
          <w:sz w:val="13"/>
          <w:szCs w:val="13"/>
        </w:rPr>
        <w:t>Imiennego wykazu pracowników na 31 grudnia 2021 r.</w:t>
      </w:r>
    </w:p>
  </w:footnote>
  <w:footnote w:id="195">
    <w:p w:rsidR="00AE7A5B" w:rsidRPr="0061732F" w:rsidP="00AE7A5B">
      <w:pPr>
        <w:pStyle w:val="FootnoteText"/>
        <w:ind w:left="284" w:hanging="284"/>
        <w:rPr>
          <w:rFonts w:ascii="Lato" w:hAnsi="Lato"/>
          <w:sz w:val="13"/>
          <w:szCs w:val="13"/>
        </w:rPr>
      </w:pPr>
      <w:bookmarkEnd w:id="40"/>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w celu ustalenia wysokości wynagrodzenia zasadniczego przyznaje się pracownikowi kategorię zaszeregowania osobistego, w granicach kategorii określonych dla danego stanowiska, określonych w Tabeli płac.</w:t>
      </w:r>
    </w:p>
  </w:footnote>
  <w:footnote w:id="196">
    <w:p w:rsidR="00AE7A5B" w:rsidRPr="00723AB0" w:rsidP="00AE7A5B">
      <w:pPr>
        <w:spacing w:after="0" w:line="240" w:lineRule="auto"/>
        <w:jc w:val="left"/>
        <w:rPr>
          <w:sz w:val="13"/>
          <w:szCs w:val="13"/>
        </w:rPr>
      </w:pPr>
    </w:p>
  </w:footnote>
  <w:footnote w:id="19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Pismo </w:t>
      </w:r>
      <w:r w:rsidRPr="0061732F">
        <w:rPr>
          <w:rFonts w:ascii="Lato" w:hAnsi="Lato" w:cs="Calibri"/>
          <w:sz w:val="13"/>
          <w:szCs w:val="13"/>
        </w:rPr>
        <w:t xml:space="preserve">z 17 marca 2023 r., </w:t>
      </w:r>
      <w:r w:rsidRPr="0061732F">
        <w:rPr>
          <w:rFonts w:ascii="Lato" w:hAnsi="Lato"/>
          <w:sz w:val="13"/>
          <w:szCs w:val="13"/>
        </w:rPr>
        <w:t xml:space="preserve">znak </w:t>
      </w:r>
      <w:r w:rsidRPr="0061732F">
        <w:rPr>
          <w:rFonts w:ascii="Lato" w:hAnsi="Lato" w:cs="Calibri"/>
          <w:sz w:val="13"/>
          <w:szCs w:val="13"/>
        </w:rPr>
        <w:t xml:space="preserve">N.070.1.2023r. </w:t>
      </w:r>
    </w:p>
  </w:footnote>
  <w:footnote w:id="19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300 Imiennego wykazu pracowników na 31 grudnia 2021 r.</w:t>
      </w:r>
    </w:p>
  </w:footnote>
  <w:footnote w:id="19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513 Imiennego wykazu pracowników na 31 grudnia 2021 r.</w:t>
      </w:r>
    </w:p>
  </w:footnote>
  <w:footnote w:id="200">
    <w:p w:rsidR="00AE7A5B" w:rsidRPr="0061732F" w:rsidP="00AE7A5B">
      <w:pPr>
        <w:pStyle w:val="FootnoteText"/>
        <w:ind w:left="284" w:hanging="284"/>
        <w:rPr>
          <w:rFonts w:ascii="Lato" w:hAnsi="Lato"/>
          <w:sz w:val="13"/>
          <w:szCs w:val="13"/>
        </w:rPr>
      </w:pPr>
      <w:r w:rsidRPr="0061732F">
        <w:rPr>
          <w:rStyle w:val="FootnoteReference"/>
          <w:rFonts w:ascii="Lato" w:eastAsia="Calibri" w:hAnsi="Lato"/>
          <w:sz w:val="13"/>
          <w:szCs w:val="13"/>
        </w:rPr>
        <w:footnoteRef/>
      </w:r>
      <w:r w:rsidRPr="0061732F">
        <w:rPr>
          <w:rFonts w:ascii="Lato" w:hAnsi="Lato"/>
          <w:sz w:val="13"/>
          <w:szCs w:val="13"/>
        </w:rPr>
        <w:t xml:space="preserve"> </w:t>
      </w:r>
      <w:r w:rsidRPr="0061732F">
        <w:rPr>
          <w:rFonts w:ascii="Lato" w:hAnsi="Lato"/>
          <w:sz w:val="13"/>
          <w:szCs w:val="13"/>
        </w:rPr>
        <w:tab/>
        <w:t>T. j. Dz. U. z 2019 r., poz. 2136.</w:t>
      </w:r>
    </w:p>
  </w:footnote>
  <w:footnote w:id="20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109, 153, 331, 378, 502, 541, 609, 684,798, 837 Imiennego wykazu pracowników na 31 grudnia 2021 r.    </w:t>
      </w:r>
    </w:p>
  </w:footnote>
  <w:footnote w:id="20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Według stanu na koniec 2021 r.</w:t>
      </w:r>
    </w:p>
  </w:footnote>
  <w:footnote w:id="20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 2 ust. 2 w celu uzyskania zgody na dodatkowe zatrudnienie lub prowadzenie działalności gospodarczej pracownik, o którym mowa w ust. 1, przed podjęciem tego zatrudnienia lub rozpoczęcia tej działalności, składa wniosek o wyrażenie zgody.  </w:t>
      </w:r>
    </w:p>
  </w:footnote>
  <w:footnote w:id="20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1-3 Tabeli naborów na stanowiska naukowe, przeprowadzonych w 2021 r. i poz. 68 Tabeli naborów przeprowadzonych </w:t>
      </w:r>
      <w:r w:rsidRPr="0061732F">
        <w:rPr>
          <w:rFonts w:ascii="Lato" w:hAnsi="Lato"/>
          <w:sz w:val="13"/>
          <w:szCs w:val="13"/>
        </w:rPr>
        <w:br/>
        <w:t>w 2020 r.</w:t>
      </w:r>
    </w:p>
  </w:footnote>
  <w:footnote w:id="20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akta osobowe pracownika składają się z oświadczeń o potwierdzeniu zapoznania się pracownika z treścią </w:t>
      </w:r>
      <w:r w:rsidRPr="0061732F">
        <w:rPr>
          <w:rFonts w:ascii="Lato" w:hAnsi="Lato"/>
          <w:sz w:val="13"/>
          <w:szCs w:val="13"/>
        </w:rPr>
        <w:br/>
        <w:t xml:space="preserve">m.in. regulaminu pracy.    </w:t>
      </w:r>
    </w:p>
  </w:footnote>
  <w:footnote w:id="20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685 Imiennego wykazu pracowników na 31 grudnia 2021 r.</w:t>
      </w:r>
    </w:p>
  </w:footnote>
  <w:footnote w:id="20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4,10, 12, 14, 18, 22, 23, 23, 27, 30, 33 Wykazu pracowników, którzy uzyskali zgodę na dodatkowe zatrudnienie w okresie 2020-01-01 do 2021-12-31, z  7 lutego 2023 r.</w:t>
      </w:r>
    </w:p>
  </w:footnote>
  <w:footnote w:id="20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 10, 18, 27, 33 Wykazu pracowników, którzy uzyskali zgodę na dodatkowe zatrudnienie w okresie 2020-01-01 do 2021-12-31 z  7 lutego 2023 r.</w:t>
      </w:r>
    </w:p>
  </w:footnote>
  <w:footnote w:id="20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 poz. 18, 33 Wykazu pracowników, którzy uzyskali zgodę na dodatkowe zatrudnienie w okresie 2020-01-01 do 2021-12-31 </w:t>
      </w:r>
      <w:r w:rsidRPr="0061732F">
        <w:rPr>
          <w:rFonts w:ascii="Lato" w:hAnsi="Lato"/>
          <w:sz w:val="13"/>
          <w:szCs w:val="13"/>
        </w:rPr>
        <w:br/>
        <w:t>z  7 lutego 2023 r.</w:t>
      </w:r>
    </w:p>
  </w:footnote>
  <w:footnote w:id="21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4, 10, 18, 27, 33  Wykazu pracowników, którzy uzyskali zgodę na dodatkowe zatrudnienie w okresie 2020-01-01 do 2021-12-31 </w:t>
      </w:r>
      <w:r w:rsidRPr="0061732F">
        <w:rPr>
          <w:rFonts w:ascii="Lato" w:hAnsi="Lato"/>
          <w:sz w:val="13"/>
          <w:szCs w:val="13"/>
        </w:rPr>
        <w:br/>
        <w:t>z  7 lutego 2023 r.</w:t>
      </w:r>
    </w:p>
  </w:footnote>
  <w:footnote w:id="21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 Wykazu pracowników, którzy uzyskali zgodę na dodatkowe zatrudnienie w okresie 2020-01-01 do 2021-12-31 z  7 lutego 2023 r.</w:t>
      </w:r>
    </w:p>
  </w:footnote>
  <w:footnote w:id="21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w:t>
      </w:r>
      <w:r w:rsidRPr="0061732F">
        <w:rPr>
          <w:rFonts w:ascii="Lato" w:hAnsi="Lato"/>
          <w:bCs/>
          <w:sz w:val="13"/>
          <w:szCs w:val="13"/>
        </w:rPr>
        <w:t xml:space="preserve"> Dyrektora  z </w:t>
      </w:r>
      <w:r w:rsidRPr="0061732F">
        <w:rPr>
          <w:rFonts w:ascii="Lato" w:hAnsi="Lato"/>
          <w:sz w:val="13"/>
          <w:szCs w:val="13"/>
        </w:rPr>
        <w:t xml:space="preserve">20 marca 2023 r., znak BW.091.2.2023. </w:t>
      </w:r>
    </w:p>
  </w:footnote>
  <w:footnote w:id="21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 tym </w:t>
      </w:r>
      <w:r w:rsidRPr="0061732F">
        <w:rPr>
          <w:rFonts w:ascii="Lato" w:hAnsi="Lato"/>
          <w:bCs/>
          <w:sz w:val="13"/>
          <w:szCs w:val="13"/>
        </w:rPr>
        <w:t>17 profesorów instytutu, 7 profesorów, 13 adiunktów, 2 starszych specjalistów badawczo-technicznych oraz 1 głównego specjalisty badawczo-technicznego, z</w:t>
      </w:r>
      <w:r w:rsidRPr="0061732F">
        <w:rPr>
          <w:rFonts w:ascii="Lato" w:hAnsi="Lato"/>
          <w:sz w:val="13"/>
          <w:szCs w:val="13"/>
        </w:rPr>
        <w:t xml:space="preserve">godnie ze  </w:t>
      </w:r>
      <w:r w:rsidRPr="0061732F">
        <w:rPr>
          <w:rFonts w:ascii="Lato" w:eastAsia="Calibri" w:hAnsi="Lato"/>
          <w:sz w:val="13"/>
          <w:szCs w:val="13"/>
        </w:rPr>
        <w:t xml:space="preserve">sprawozdaniem </w:t>
      </w:r>
      <w:r w:rsidRPr="0061732F">
        <w:rPr>
          <w:rFonts w:ascii="Lato" w:hAnsi="Lato"/>
          <w:sz w:val="13"/>
          <w:szCs w:val="13"/>
        </w:rPr>
        <w:t xml:space="preserve">z okresowej oceny pracowników naukowych i badawczo-technicznych </w:t>
      </w:r>
      <w:r w:rsidRPr="0061732F">
        <w:rPr>
          <w:rFonts w:ascii="Lato" w:eastAsia="Calibri" w:hAnsi="Lato"/>
          <w:sz w:val="13"/>
          <w:szCs w:val="13"/>
        </w:rPr>
        <w:t>za lata 2018-2021 z 13 października 2022 r.</w:t>
      </w:r>
    </w:p>
  </w:footnote>
  <w:footnote w:id="21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 </w:t>
      </w:r>
      <w:r w:rsidRPr="0061732F">
        <w:rPr>
          <w:rFonts w:ascii="Lato" w:hAnsi="Lato"/>
          <w:bCs/>
          <w:sz w:val="13"/>
          <w:szCs w:val="13"/>
        </w:rPr>
        <w:t>przypadku 3 pracowników odstąpiono od przeprowadzenia oceny</w:t>
      </w:r>
      <w:r w:rsidRPr="0061732F">
        <w:rPr>
          <w:rFonts w:ascii="Lato" w:hAnsi="Lato"/>
          <w:sz w:val="13"/>
          <w:szCs w:val="13"/>
        </w:rPr>
        <w:t xml:space="preserve">, z uwagi na </w:t>
      </w:r>
      <w:r w:rsidRPr="0061732F">
        <w:rPr>
          <w:rFonts w:ascii="Lato" w:hAnsi="Lato"/>
          <w:bCs/>
          <w:sz w:val="13"/>
          <w:szCs w:val="13"/>
        </w:rPr>
        <w:t xml:space="preserve">odejście 2 pracowników na emeryturę oraz przeniesienie </w:t>
      </w:r>
      <w:r w:rsidRPr="0061732F">
        <w:rPr>
          <w:rFonts w:ascii="Lato" w:hAnsi="Lato"/>
          <w:bCs/>
          <w:sz w:val="13"/>
          <w:szCs w:val="13"/>
        </w:rPr>
        <w:br/>
        <w:t>1 pracownika w trakcie okresu podlegającego ocenie na stanowisko inżynieryjno-techniczne.</w:t>
      </w:r>
    </w:p>
  </w:footnote>
  <w:footnote w:id="21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153, 208, 238, 264, 378, 441, 502, 848 Imiennego wykazu pracowników na 31 grudnia 2021 r.</w:t>
      </w:r>
    </w:p>
  </w:footnote>
  <w:footnote w:id="21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208, 264, 378 i 502 Imiennego wykazu pracowników na 31 grudnia 2021 r.</w:t>
      </w:r>
    </w:p>
  </w:footnote>
  <w:footnote w:id="21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Karta oceny z 8 listopada 2022 r., 2 listopada 2022 r., 3 listopada 2022 r., 10 listopada 2022 r. </w:t>
      </w:r>
    </w:p>
  </w:footnote>
  <w:footnote w:id="21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członek komisji, którego dorobek jest oceniany, wyłącza się z prac komisji na czas dokonywania oceny jego dorobku.</w:t>
      </w:r>
    </w:p>
  </w:footnote>
  <w:footnote w:id="21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502 Imiennego wykazu pracowników na 31 grudnia 2021 r.</w:t>
      </w:r>
    </w:p>
  </w:footnote>
  <w:footnote w:id="22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do rozpatrzenia </w:t>
      </w:r>
      <w:r w:rsidRPr="0061732F">
        <w:rPr>
          <w:rFonts w:ascii="Lato" w:hAnsi="Lato"/>
          <w:sz w:val="13"/>
          <w:szCs w:val="13"/>
        </w:rPr>
        <w:t>odwołań</w:t>
      </w:r>
      <w:r w:rsidRPr="0061732F">
        <w:rPr>
          <w:rFonts w:ascii="Lato" w:hAnsi="Lato"/>
          <w:sz w:val="13"/>
          <w:szCs w:val="13"/>
        </w:rPr>
        <w:t>, Prezydium Rady Naukowej wyznacza recenzenta dorobku naukowego bądź badawczo-technicznego odwołującego się pracownika, specjalizującego się w dziedzinach tożsamych lub podobnych, co oceniany pracownik. Recenzent wyznaczony przez radę sporządza w terminie 7 dni pisemną opinię dotyczącą dorobku ocenianego pracownika.</w:t>
      </w:r>
    </w:p>
  </w:footnote>
  <w:footnote w:id="22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po otrzymaniu opinii od recenzenta, komisja ponownie, najpóźniej do końca grudnia każdego roku, dokonuje oceny dorobku odwołującego się pracownika, uwzględniając opinię przedstawioną przez recenzenta. Ponowna ocena jest ostateczna.</w:t>
      </w:r>
    </w:p>
  </w:footnote>
  <w:footnote w:id="22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19 kwietnia 2023 r.</w:t>
      </w:r>
    </w:p>
  </w:footnote>
  <w:footnote w:id="22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502 Imiennego wykazu pracowników na 31 grudnia 2021 r.</w:t>
      </w:r>
    </w:p>
  </w:footnote>
  <w:footnote w:id="22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oświadczenia lub dokumenty znajdujące się w poszczególnych częściach akt osobowych pracownika przechowuje się w porządku chronologicznym oraz numeruje; każda z części akt osobowych zawiera wykaz znajdujących się w niej oświadczeń lub dokumentów. </w:t>
      </w:r>
    </w:p>
  </w:footnote>
  <w:footnote w:id="22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153, 208, 238, 264, 378 i 848 Imiennego wykazu pracowników na 31 grudnia 2021 r.</w:t>
      </w:r>
    </w:p>
  </w:footnote>
  <w:footnote w:id="22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oryginał karty wraz z ankietą sprawozdawczą włącza się do akt osobowych pracownika, kopia zaś jest przekazywana ocenianemu pracownikowi.</w:t>
      </w:r>
    </w:p>
  </w:footnote>
  <w:footnote w:id="22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153, 208, 238, 264, 378, 441, 502 i 848 Imiennego wykazu pracowników na 31 grudnia 2021 r.</w:t>
      </w:r>
    </w:p>
  </w:footnote>
  <w:footnote w:id="22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153, 208, 264, 378, 441, 502 i 848 Imiennego wykazu pracowników na 31 grudnia 2021 r.</w:t>
      </w:r>
    </w:p>
  </w:footnote>
  <w:footnote w:id="22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238 Imiennego wykazu pracowników na 31 grudnia 2021 r.</w:t>
      </w:r>
    </w:p>
  </w:footnote>
  <w:footnote w:id="23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441 i 502 Imiennego wykazu pracowników na 31 grudnia 2021 r.</w:t>
      </w:r>
    </w:p>
  </w:footnote>
  <w:footnote w:id="23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Komisja Dyscyplinarna, o której mowa w art. 54 ust. 1 pkt 1, pochodzi z wyboru.</w:t>
      </w:r>
    </w:p>
  </w:footnote>
  <w:footnote w:id="23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Nr 32 z 15 września 2020 r. i nr 10 z 8 lutego 2021 r.</w:t>
      </w:r>
    </w:p>
  </w:footnote>
  <w:footnote w:id="23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Odpowiednio e-mail z 10 marca 2023 r. i pismo z 15 marca 2023 r., znak: BW.091.1.2023</w:t>
      </w:r>
    </w:p>
  </w:footnote>
  <w:footnote w:id="23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Pismo p.o. Kierownika Działu Spraw Personalnych, załączone do pisma Dyrektora z 10 października 2022 r.,  znak NPA 091-1/2022 </w:t>
      </w:r>
    </w:p>
  </w:footnote>
  <w:footnote w:id="23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Przyjmując uchwałę nr 1/I/2021.</w:t>
      </w:r>
    </w:p>
  </w:footnote>
  <w:footnote w:id="23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Wprowadzonego zarządzeniem </w:t>
      </w:r>
      <w:r w:rsidRPr="0061732F">
        <w:rPr>
          <w:rFonts w:ascii="Lato" w:hAnsi="Lato"/>
          <w:color w:val="000000"/>
          <w:sz w:val="13"/>
          <w:szCs w:val="13"/>
        </w:rPr>
        <w:t>Dyrektora nr 34 z 5 czerwca 2019 r.</w:t>
      </w:r>
      <w:r w:rsidRPr="0061732F">
        <w:rPr>
          <w:rFonts w:ascii="Lato" w:hAnsi="Lato"/>
          <w:sz w:val="13"/>
          <w:szCs w:val="13"/>
        </w:rPr>
        <w:t xml:space="preserve"> </w:t>
      </w:r>
      <w:r w:rsidRPr="0061732F">
        <w:rPr>
          <w:rFonts w:ascii="Lato" w:hAnsi="Lato"/>
          <w:sz w:val="13"/>
          <w:szCs w:val="13"/>
        </w:rPr>
        <w:t>ws</w:t>
      </w:r>
      <w:r w:rsidRPr="0061732F">
        <w:rPr>
          <w:rFonts w:ascii="Lato" w:hAnsi="Lato"/>
          <w:sz w:val="13"/>
          <w:szCs w:val="13"/>
        </w:rPr>
        <w:t xml:space="preserve">. zmiany zarządzenia Dyrektora nr 43 z 14 grudnia 2018 r. </w:t>
      </w:r>
    </w:p>
  </w:footnote>
  <w:footnote w:id="23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 9 Tabeli 21 Wykaz sprzedanych środków trwałych Instytutu w 2020-2021.</w:t>
      </w:r>
    </w:p>
  </w:footnote>
  <w:footnote w:id="23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4 Tabeli 21 Wykaz sprzedanych środków trwałych Instytutu w 2020 r. </w:t>
      </w:r>
    </w:p>
  </w:footnote>
  <w:footnote w:id="23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przetarg prowadzi powołana spośród pracowników sprzedawcy komisja przetargowa w składzie co najmniej </w:t>
      </w:r>
      <w:r w:rsidRPr="0061732F">
        <w:rPr>
          <w:rFonts w:ascii="Lato" w:hAnsi="Lato"/>
          <w:sz w:val="13"/>
          <w:szCs w:val="13"/>
        </w:rPr>
        <w:br/>
        <w:t>3-osobowym lub na zlecenie sprzedawcy podmiot gospodarczy dający rękojmię należytego wykonania zlecenia, zwane dalej prowadzącym przetarg.</w:t>
      </w:r>
    </w:p>
  </w:footnote>
  <w:footnote w:id="24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5 listopada 2019 r. i 3 lutego 2020 r. </w:t>
      </w:r>
    </w:p>
  </w:footnote>
  <w:footnote w:id="24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obwieszczenie o przetargu zamieszcza się w codziennej prasie krajowej lub lokalnej w zależności od wartości przedmiotu przetargu w sposób umożliwiający dotarcie do szerokiego kręgu zainteresowanych oraz na widocznym miejscu w lokalu sprzedawcy, a także w innych miejscach uznanych za celowe, jeżeli zaś przeprowadzenie przetargu zlecono podmiotowi gospodarczemu, o którym mowa w § 2 ust. 1 - również w lokalu tego podmiotu.</w:t>
      </w:r>
    </w:p>
  </w:footnote>
  <w:footnote w:id="24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w:t>
      </w:r>
      <w:r w:rsidRPr="0061732F">
        <w:rPr>
          <w:rFonts w:ascii="Lato" w:hAnsi="Lato" w:eastAsiaTheme="minorHAnsi" w:cstheme="minorBidi"/>
          <w:sz w:val="13"/>
          <w:szCs w:val="13"/>
          <w:lang w:eastAsia="en-US"/>
        </w:rPr>
        <w:t xml:space="preserve"> </w:t>
      </w:r>
      <w:r w:rsidRPr="0061732F">
        <w:rPr>
          <w:rFonts w:ascii="Lato" w:hAnsi="Lato"/>
          <w:sz w:val="13"/>
          <w:szCs w:val="13"/>
        </w:rPr>
        <w:t xml:space="preserve">z przebiegu przetargu sporządza się protokół. </w:t>
      </w:r>
    </w:p>
  </w:footnote>
  <w:footnote w:id="24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5 listopada 2019 r. i 3 lutego 2020 r. </w:t>
      </w:r>
    </w:p>
  </w:footnote>
  <w:footnote w:id="24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Cena wywoławcza wynosiła odpowiednio 7 200,00 zł netto i 8 856,00 zł, a wartość oszacowana z 28 października 2019 r. wynosiła 7 200,00 zł. </w:t>
      </w:r>
    </w:p>
  </w:footnote>
  <w:footnote w:id="24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cena oszacowania jest ceną wywoławczą.</w:t>
      </w:r>
    </w:p>
  </w:footnote>
  <w:footnote w:id="24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którymi w zaproszeniu do składania ofert określa się ponadto miejsce, termin i tryb składania ofert oraz okres wiązania ofert; zastrzeżenie, że sprzedawcy przysługuje prawo swobodnego wyboru oferty, jeżeli uczestnicy przetargu zaofiarowali tę samą cenę; zastrzeżenie, że wadium przepada na rzecz sprzedawcy, jeżeli oferent, którego oferta zostanie przyjęta, uchyli się od zawarcia umowy,</w:t>
      </w:r>
    </w:p>
  </w:footnote>
  <w:footnote w:id="24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obwieszczenie o przetargu określa w szczególności informację, że wadium złożone przez oferentów, których oferty nie zostaną przyjęte, zostanie zwrócone bezpośrednio po dokonaniu wyboru oferty, a oferentowi, którego oferta została przyjęta, zostanie zarachowane na poczet ceny; jeżeli wadium złożone przez nabywcę było w innej formie niż w gotówce, ulega zwrotowi po zapłaceniu ceny nabycia.</w:t>
      </w:r>
    </w:p>
  </w:footnote>
  <w:footnote w:id="24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17 marca 2023 r., znak</w:t>
      </w:r>
      <w:r w:rsidRPr="0061732F">
        <w:rPr>
          <w:rFonts w:ascii="Lato" w:hAnsi="Lato" w:eastAsiaTheme="minorHAnsi" w:cs="ArialMT"/>
          <w:sz w:val="13"/>
          <w:szCs w:val="13"/>
          <w:lang w:eastAsia="en-US"/>
        </w:rPr>
        <w:t xml:space="preserve"> </w:t>
      </w:r>
      <w:r w:rsidRPr="0061732F">
        <w:rPr>
          <w:rFonts w:ascii="Lato" w:hAnsi="Lato"/>
          <w:sz w:val="13"/>
          <w:szCs w:val="13"/>
        </w:rPr>
        <w:t>EA.20.2.2023.</w:t>
      </w:r>
    </w:p>
  </w:footnote>
  <w:footnote w:id="24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19 kwietnia 2023 r.</w:t>
      </w:r>
    </w:p>
  </w:footnote>
  <w:footnote w:id="25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E-mail z 21 kwietnia 2023 r. </w:t>
      </w:r>
    </w:p>
  </w:footnote>
  <w:footnote w:id="25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Tabela 24 Wykaz umów najmu/dzierżawy/użyczenia nieruchomości Instytutu, obowiązujący w latach 2020-2021.</w:t>
      </w:r>
    </w:p>
  </w:footnote>
  <w:footnote w:id="25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9 i 15 Tabeli 24 Wykaz umów najmu/dzierżawy/użyczenia nieruchomości Instytutu, obowiązujący w latach 2020-2021.</w:t>
      </w:r>
    </w:p>
  </w:footnote>
  <w:footnote w:id="25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15 Tabeli 24 Wykaz umów najmu/dzierżawy/użyczenia nieruchomości Instytutu, obowiązujący w latach 2020-2021.</w:t>
      </w:r>
    </w:p>
  </w:footnote>
  <w:footnote w:id="25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 e-mailu z 21 marca 2023 r. Kierownik Działu Administracyjnego poinformował, że</w:t>
      </w:r>
      <w:r w:rsidRPr="0061732F">
        <w:rPr>
          <w:rFonts w:ascii="Lato" w:hAnsi="Lato" w:eastAsiaTheme="minorHAnsi" w:cstheme="minorBidi"/>
          <w:color w:val="1F497D"/>
          <w:sz w:val="13"/>
          <w:szCs w:val="13"/>
          <w:lang w:eastAsia="en-US"/>
        </w:rPr>
        <w:t xml:space="preserve"> </w:t>
      </w:r>
      <w:r w:rsidRPr="0061732F">
        <w:rPr>
          <w:rFonts w:ascii="Lato" w:hAnsi="Lato"/>
          <w:sz w:val="13"/>
          <w:szCs w:val="13"/>
        </w:rPr>
        <w:t>w prowadzonej dokumentacji nie odnaleziono przedmiotowych informacji.</w:t>
      </w:r>
    </w:p>
  </w:footnote>
  <w:footnote w:id="25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najemca zobowiązany jest do przedłożenia wynajmującemu godzin pracy oraz danych personalnych pracowników wykonujących swoje obowiązki w pomieszczeniach biurowych, a w przypadku zmian dane te będą aktualizowane.</w:t>
      </w:r>
    </w:p>
  </w:footnote>
  <w:footnote w:id="25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29 marca 2023 r.</w:t>
      </w:r>
    </w:p>
  </w:footnote>
  <w:footnote w:id="25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9 Tabeli 24 Wykaz umów najmu/dzierżawy/użyczenia nieruchomości Instytutu, obowiązujący w latach 2020-2021.</w:t>
      </w:r>
    </w:p>
  </w:footnote>
  <w:footnote w:id="25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Umowa z poz. 9 przewidywała płatność czynszu po otrzymaniu faktury, nie później niż do 25 dnia miesiąca; płatność kaucji w dniu podpisania umowy; wskaźnik waloryzacji czynszu 3%. Natomiast w przypadku umowy z poz. 15 płatność czynszu miała nastąpić 7 dni </w:t>
      </w:r>
      <w:r w:rsidRPr="0061732F">
        <w:rPr>
          <w:rFonts w:ascii="Lato" w:hAnsi="Lato"/>
          <w:sz w:val="13"/>
          <w:szCs w:val="13"/>
        </w:rPr>
        <w:br/>
        <w:t>po otrzymaniu faktury; kaucja miała być płatna w dniu przekazania lokalu; wskaźnik waloryzacji czynszu równy był wskaźnikowi inflacji.</w:t>
      </w:r>
    </w:p>
  </w:footnote>
  <w:footnote w:id="25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Poz. 15 Tabeli 24 Wykaz umów najmu/dzierżawy/użyczenia nieruchomości Instytutu, obowiązujący w latach 2020-2021</w:t>
      </w:r>
    </w:p>
  </w:footnote>
  <w:footnote w:id="26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Nr OB/005/09/20/0 z 30 września 2020 r., nr OB/004/10/20/0 z 28 października 2020 r., nr OB/004/11/20/0 z 30 listopada 2020 r.</w:t>
      </w:r>
    </w:p>
  </w:footnote>
  <w:footnote w:id="26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w:t>
      </w:r>
      <w:r w:rsidRPr="0061732F">
        <w:rPr>
          <w:rFonts w:ascii="Lato" w:hAnsi="Lato"/>
          <w:bCs/>
          <w:sz w:val="13"/>
          <w:szCs w:val="13"/>
        </w:rPr>
        <w:t>§ 4 ust. 4 umowy, w terminie 7 dni od otrzymania przez najemcę faktury VAT.</w:t>
      </w:r>
    </w:p>
  </w:footnote>
  <w:footnote w:id="26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Na fakturach wskazano terminy 14 dni od ich wystawienia, natomiast z </w:t>
      </w:r>
      <w:r w:rsidRPr="0061732F">
        <w:rPr>
          <w:rFonts w:ascii="Lato" w:hAnsi="Lato"/>
          <w:bCs/>
          <w:sz w:val="13"/>
          <w:szCs w:val="13"/>
        </w:rPr>
        <w:t>§ 4 ust. 4 umowy wynikał termin 7 dni od otrzymania przez najemcę faktury.</w:t>
      </w:r>
    </w:p>
  </w:footnote>
  <w:footnote w:id="26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E-mail z 29 marca 2023 r.</w:t>
      </w:r>
    </w:p>
  </w:footnote>
  <w:footnote w:id="26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10, 47 Tabeli 23 Wykaz prowadzonych książek obiektów budowlanych w latach 2020-2021.</w:t>
      </w:r>
    </w:p>
  </w:footnote>
  <w:footnote w:id="26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Obiekty budowlane powinny być w czasie ich użytkowania poddawane przez właściciela lub zarządcę kontroli: 1) okresowej, co najmniej raz w roku, polegającej na sprawdzeniu stanu technicznego (…); 2) okresowej, co najmniej raz na 5 lat, polegającej na sprawdzeniu stanu technicznego i przydatności do użytkowania obiektu budowlanego, estetyki obiektu budowlanego oraz jego otoczenia.</w:t>
      </w:r>
    </w:p>
  </w:footnote>
  <w:footnote w:id="26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47 Tabeli 23 Wykaz prowadzonych książek obiektów budowlanych w latach 2020-2021.</w:t>
      </w:r>
    </w:p>
  </w:footnote>
  <w:footnote w:id="26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bCs/>
          <w:sz w:val="13"/>
          <w:szCs w:val="13"/>
        </w:rPr>
        <w:t xml:space="preserve">Pomimo użytkowania przynajmniej od 2016 r. o czym świadczy wpis w tablicy 6 pkt 1  dotyczący opinii  </w:t>
      </w:r>
      <w:r w:rsidRPr="0061732F">
        <w:rPr>
          <w:rFonts w:ascii="Lato" w:hAnsi="Lato"/>
          <w:bCs/>
          <w:sz w:val="13"/>
          <w:szCs w:val="13"/>
        </w:rPr>
        <w:t>ws</w:t>
      </w:r>
      <w:r w:rsidRPr="0061732F">
        <w:rPr>
          <w:rFonts w:ascii="Lato" w:hAnsi="Lato"/>
          <w:bCs/>
          <w:sz w:val="13"/>
          <w:szCs w:val="13"/>
        </w:rPr>
        <w:t>. wymagań przeciwpożarowych.</w:t>
      </w:r>
    </w:p>
  </w:footnote>
  <w:footnote w:id="26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Pomimo, że budynek był użytkowany od co najmniej 22 lipca 2016 r., zgodnie z książką obiektu budowalnego.  </w:t>
      </w:r>
    </w:p>
  </w:footnote>
  <w:footnote w:id="26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10 Tabeli </w:t>
      </w:r>
      <w:bookmarkStart w:id="49" w:name="_Hlk139823912"/>
      <w:r w:rsidRPr="0061732F">
        <w:rPr>
          <w:rFonts w:ascii="Lato" w:hAnsi="Lato"/>
          <w:sz w:val="13"/>
          <w:szCs w:val="13"/>
        </w:rPr>
        <w:t>23 Wykaz prowadzonych książek obiektów budowlanych w latach 2020-2021.</w:t>
      </w:r>
    </w:p>
  </w:footnote>
  <w:footnote w:id="270">
    <w:p w:rsidR="00AE7A5B" w:rsidRPr="0061732F" w:rsidP="00AE7A5B">
      <w:pPr>
        <w:pStyle w:val="FootnoteText"/>
        <w:ind w:left="284" w:hanging="284"/>
        <w:rPr>
          <w:rFonts w:ascii="Lato" w:hAnsi="Lato"/>
          <w:sz w:val="13"/>
          <w:szCs w:val="13"/>
        </w:rPr>
      </w:pPr>
      <w:bookmarkEnd w:id="49"/>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Przegląd stanu technicznego elementów obiektu budowlanego przeprowadzono 19 listopada 2021 r., protokół nr 17/11/2021/PIG, </w:t>
      </w:r>
      <w:r w:rsidRPr="0061732F">
        <w:rPr>
          <w:rFonts w:ascii="Lato" w:hAnsi="Lato"/>
          <w:sz w:val="13"/>
          <w:szCs w:val="13"/>
        </w:rPr>
        <w:br/>
        <w:t>zaś pozwolenie na użytkowanie obiektu zostało załączone do książki obiektu budowalnego 30 grudnia 2015 r.</w:t>
      </w:r>
    </w:p>
  </w:footnote>
  <w:footnote w:id="27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w:t>
      </w:r>
    </w:p>
  </w:footnote>
  <w:footnote w:id="27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 poz. 10 Tabeli 23 Wykaz prowadzonych książek obiektów budowlanych w latach 2020-2021.</w:t>
      </w:r>
    </w:p>
  </w:footnote>
  <w:footnote w:id="27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10 i 47 Tabeli 23 Wykaz prowadzonych książek obiektów budowlanych w latach 2020-2021.</w:t>
      </w:r>
    </w:p>
  </w:footnote>
  <w:footnote w:id="27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którymi wpisy do książki obejmują podstawowe dane identyfikujące obiekt: c) protokół odbioru obiektu,  numer i datę sporządzenia; d) pozwolenie na użytkowanie obiektu, nazwę organu, który wydał, numer i datę wydania.</w:t>
      </w:r>
    </w:p>
  </w:footnote>
  <w:footnote w:id="27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10 Tabeli 23 Wykaz prowadzonych książek obiektów budowlanych w latach 2020-2021</w:t>
      </w:r>
    </w:p>
  </w:footnote>
  <w:footnote w:id="27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wpisy do książki obejmują podstawowe dane identyfikujące obiekt: b) właściciela, zarządcę nazwę lub imię i nazwisko.</w:t>
      </w:r>
    </w:p>
  </w:footnote>
  <w:footnote w:id="27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47 Tabeli 23 Wykaz prowadzonych książek obiektów budowlanych w latach 2020-2021</w:t>
      </w:r>
    </w:p>
  </w:footnote>
  <w:footnote w:id="27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wpisy do książki obejmują dane ogólne o obiekcie wraz z wykazem dokumentacji, w tym dokumentacji technicznej przekazanej właścicielowi (zarządcy) przy zakładaniu książki.</w:t>
      </w:r>
    </w:p>
  </w:footnote>
  <w:footnote w:id="27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47 Tabeli 23 Wykaz prowadzonych książek obiektów budowlanych w latach 2020-2021.</w:t>
      </w:r>
    </w:p>
  </w:footnote>
  <w:footnote w:id="28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wpisy do książki obejmują protokoły kontroli oraz badań określonych w art. 62 ust. 1 i 2 Prawa budowlanego oraz przeprowadzonych remontów i przebudowy obiektu.</w:t>
      </w:r>
    </w:p>
  </w:footnote>
  <w:footnote w:id="28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protokół powinien zawierać m.in. podpis osoby przeprowadzającej kontrolę.</w:t>
      </w:r>
    </w:p>
  </w:footnote>
  <w:footnote w:id="28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10 Tabeli 23 Wykaz prowadzonych książek obiektów budowlanych w latach 2020-2021.</w:t>
      </w:r>
    </w:p>
  </w:footnote>
  <w:footnote w:id="28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Wpisano 19 grudnia 2021 r. zamiast 19 listopada 2021r. </w:t>
      </w:r>
    </w:p>
  </w:footnote>
  <w:footnote w:id="28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10 Tabeli 23 Wykaz prowadzonych książek obiektów budowlanych w latach 2020-2021.</w:t>
      </w:r>
    </w:p>
  </w:footnote>
  <w:footnote w:id="28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książka powinna być systematycznie prowadzona. </w:t>
      </w:r>
    </w:p>
  </w:footnote>
  <w:footnote w:id="28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wpisy do książki obejmują protokoły kontroli oraz badań określonych w art. 62 ust. 1 i 2 Prawa budowlanego oraz przeprowadzonych remontów i przebudowy obiektu.</w:t>
      </w:r>
    </w:p>
  </w:footnote>
  <w:footnote w:id="28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31 maja 2023 r., znak NPA.091.1/3.2022 .</w:t>
      </w:r>
    </w:p>
  </w:footnote>
  <w:footnote w:id="28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Wystąpienie pokontrolne z 7 października 2016 r., znak BKA-I.0941.4.2016.MN; Sprawozdanie z kontroli z 14 września 2017 r., znak BKA-I.0943.10.2016.AG; Sprawozdanie z kontroli z 15 września 2017 r., znak: BKA-I.0943.10.2016.MN; Sprawozdanie z kontroli </w:t>
      </w:r>
      <w:r w:rsidRPr="0061732F">
        <w:rPr>
          <w:rFonts w:ascii="Lato" w:hAnsi="Lato"/>
          <w:sz w:val="13"/>
          <w:szCs w:val="13"/>
        </w:rPr>
        <w:br/>
        <w:t>z 14 września 2017 r., BKA-I.0941.13.2016.KZ; Wystąpienie pokontrolne z 28 lipca 2020 r., znak: BKA-I.0831.4.1.2020.</w:t>
      </w:r>
    </w:p>
  </w:footnote>
  <w:footnote w:id="28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z 16 stycznia 2020 r., znak: BKA-I.0945.1.2018.KZ.</w:t>
      </w:r>
    </w:p>
  </w:footnote>
  <w:footnote w:id="29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7 października 2016 r., znak BKA-I.0941.4.2016.MN.</w:t>
      </w:r>
    </w:p>
  </w:footnote>
  <w:footnote w:id="29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w:t>
      </w:r>
      <w:r w:rsidRPr="0061732F">
        <w:rPr>
          <w:rFonts w:ascii="Lato" w:hAnsi="Lato"/>
          <w:color w:val="000000"/>
          <w:sz w:val="13"/>
          <w:szCs w:val="13"/>
        </w:rPr>
        <w:t>oprzez dokonanie przeglądu stanu realizacji systemu ZSI i rozliczenie się PIG z dotychczas wykorzystanych środków, przekazanych przez NFOŚiGW na realizację projektu w ramach umowy dotacji.</w:t>
      </w:r>
    </w:p>
  </w:footnote>
  <w:footnote w:id="29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Pismo znak DNG-wnsg.2163.897.2013.PD z 23 listopada 2020 r. </w:t>
      </w:r>
    </w:p>
  </w:footnote>
  <w:footnote w:id="29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pismem znak z 14 września 2021 r., znak NFOSiGW-DKU.3212.3.2021, NFOSiGW-21-256659.</w:t>
      </w:r>
    </w:p>
  </w:footnote>
  <w:footnote w:id="29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7 października 2016 r., znak BKA-I.0941.4.2016.MN.</w:t>
      </w:r>
    </w:p>
  </w:footnote>
  <w:footnote w:id="29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Protokół oględzin z 20 lutego 2023 r. </w:t>
      </w:r>
    </w:p>
  </w:footnote>
  <w:footnote w:id="29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Karta oceny realizacji zalecenia pokontrolnego z 3 października 2022 r.</w:t>
      </w:r>
    </w:p>
  </w:footnote>
  <w:footnote w:id="29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dokumentację przekazuje się do archiwum zakładowego nie później niż po upływie pełnych dwóch lat kalendarzowych, licząc od pierwszego stycznia roku następującego po roku zakończenia spraw.</w:t>
      </w:r>
    </w:p>
  </w:footnote>
  <w:footnote w:id="29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Stanowiącej załącznik nr 1 do zarządzenia Dyrektora nr 1 z 4 stycznia 2021 r. w sprawie wprowadzenia instrukcji kancelaryjnej, jednolitego rzeczowego wykazu akt oraz instrukcji w sprawie organizacji i zakresu działania archiwum zakładowego.</w:t>
      </w:r>
    </w:p>
  </w:footnote>
  <w:footnote w:id="29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Karta oceny realizacji zalecenia pokontrolnego z 3 października 2022 r.</w:t>
      </w:r>
    </w:p>
  </w:footnote>
  <w:footnote w:id="30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Protokół oględzin z 20 lutego 2023 r. </w:t>
      </w:r>
    </w:p>
  </w:footnote>
  <w:footnote w:id="30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Dotyczącym warunków wilgotności i temperatury w pomieszczeniach magazynowych archiwum zakładowego. </w:t>
      </w:r>
    </w:p>
  </w:footnote>
  <w:footnote w:id="30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Stanowiącej załącznik nr 3 do zarządzenia Dyrektora nr 1 z 4 stycznia 2021 r. w sprawie wprowadzenia instrukcji kancelaryjnej, jednolitego rzeczowego wykazu akt oraz instrukcji w sprawie organizacji i zakresu działania archiwum zakładowego.</w:t>
      </w:r>
    </w:p>
  </w:footnote>
  <w:footnote w:id="30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7 października 2016 r., znak BKA-I.0941.4.2016.MN.</w:t>
      </w:r>
    </w:p>
  </w:footnote>
  <w:footnote w:id="30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BKA-I.0943.10.2016.AG.</w:t>
      </w:r>
    </w:p>
  </w:footnote>
  <w:footnote w:id="30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czego 2 umowy z pracownikami na wydanie opinii dorobku naukowego, w związku z toczącymi się postępowaniami o nadanie stopnia doktora habilitowanego oraz 2 umowy z osobami niebędącymi pracownikami - jedna na wydanie recenzji dorobku naukowego a druga na wydanie opinii do </w:t>
      </w:r>
      <w:r w:rsidRPr="0061732F">
        <w:rPr>
          <w:rFonts w:ascii="Lato" w:hAnsi="Lato"/>
          <w:color w:val="000000" w:themeColor="text1"/>
          <w:sz w:val="13"/>
          <w:szCs w:val="13"/>
        </w:rPr>
        <w:t>opracowania mapy hydrogeologicznej Polski.</w:t>
      </w:r>
    </w:p>
  </w:footnote>
  <w:footnote w:id="30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BKA-I.0943.10.2016.AG.</w:t>
      </w:r>
    </w:p>
  </w:footnote>
  <w:footnote w:id="30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color w:val="000000"/>
          <w:sz w:val="13"/>
          <w:szCs w:val="13"/>
        </w:rPr>
        <w:t xml:space="preserve">Poprzez rozszerzenie zakresów czynności pracowników PIG w ramach stosunku pracy bądź przydzielenie dodatku finansowego </w:t>
      </w:r>
      <w:r w:rsidRPr="0061732F">
        <w:rPr>
          <w:rFonts w:ascii="Lato" w:hAnsi="Lato"/>
          <w:color w:val="000000"/>
          <w:sz w:val="13"/>
          <w:szCs w:val="13"/>
        </w:rPr>
        <w:br/>
        <w:t>w przypadku stałego powierzania zadań wykraczających poza zakres czynności wynikający ze stosunku pracy.</w:t>
      </w:r>
    </w:p>
  </w:footnote>
  <w:footnote w:id="30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Tj. spadek z 1 162 do 614 umów. </w:t>
      </w:r>
    </w:p>
  </w:footnote>
  <w:footnote w:id="30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 skład której wchodziła również Komisja Opracowań Kartograficznych.</w:t>
      </w:r>
    </w:p>
  </w:footnote>
  <w:footnote w:id="31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15 września 2017 r., znak: BKA-I.0943.10.2016.MN.</w:t>
      </w:r>
    </w:p>
  </w:footnote>
  <w:footnote w:id="31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w wyjaśnieniami na karcie oceny stanu realizacji zalecenia pokontrolnego z 3 października 2022 r.</w:t>
      </w:r>
    </w:p>
  </w:footnote>
  <w:footnote w:id="31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Tj. 70 z 166 osób, zgodnie z tabelą osób zwolnionych w 2020 r. oraz tabeli osób zwolnionych w 2021 r. z 9 lutego 2023 r. </w:t>
      </w:r>
      <w:r w:rsidRPr="0061732F">
        <w:rPr>
          <w:rFonts w:ascii="Lato" w:hAnsi="Lato"/>
          <w:sz w:val="13"/>
          <w:szCs w:val="13"/>
        </w:rPr>
        <w:br/>
        <w:t xml:space="preserve">wraz ze sprostowaniem e-mail z 12 maja 2023 r. </w:t>
      </w:r>
    </w:p>
  </w:footnote>
  <w:footnote w:id="31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w przypadku rozwiązania stosunku pracy, pracownik ma obowiązek m.in. rozliczyć się z Instytutem poprzez uzyskanie odpowiednich wpisów w karcie obiegowej.</w:t>
      </w:r>
    </w:p>
  </w:footnote>
  <w:footnote w:id="31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bookmarkStart w:id="63" w:name="_Hlk144823940"/>
      <w:r w:rsidRPr="0061732F">
        <w:rPr>
          <w:rFonts w:ascii="Lato" w:hAnsi="Lato"/>
          <w:sz w:val="13"/>
          <w:szCs w:val="13"/>
        </w:rPr>
        <w:t xml:space="preserve">Poz. 67 Tabeli osób zwolnionych w 2020 r.  i poz. 90 i 93 Tabeli osób zwolnionych w 2021 r. z 9 lutego 2023 r. </w:t>
      </w:r>
    </w:p>
  </w:footnote>
  <w:footnote w:id="315">
    <w:p w:rsidR="00AE7A5B" w:rsidRPr="0061732F" w:rsidP="00AE7A5B">
      <w:pPr>
        <w:pStyle w:val="FootnoteText"/>
        <w:ind w:left="284" w:hanging="284"/>
        <w:rPr>
          <w:rFonts w:ascii="Lato" w:hAnsi="Lato"/>
          <w:sz w:val="13"/>
          <w:szCs w:val="13"/>
        </w:rPr>
      </w:pPr>
      <w:bookmarkEnd w:id="63"/>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 </w:t>
      </w:r>
      <w:r w:rsidRPr="0061732F">
        <w:rPr>
          <w:rFonts w:ascii="Lato" w:hAnsi="Lato"/>
          <w:bCs/>
          <w:sz w:val="13"/>
          <w:szCs w:val="13"/>
        </w:rPr>
        <w:t>poz. 90 z zestawienia zwolnionych w 2021 r</w:t>
      </w:r>
      <w:bookmarkStart w:id="64" w:name="_Hlk144995843"/>
      <w:r w:rsidRPr="0061732F">
        <w:rPr>
          <w:rFonts w:ascii="Lato" w:hAnsi="Lato"/>
          <w:bCs/>
          <w:sz w:val="13"/>
          <w:szCs w:val="13"/>
        </w:rPr>
        <w:t>. z 9 lutego 2023 r.</w:t>
      </w:r>
      <w:bookmarkEnd w:id="64"/>
    </w:p>
  </w:footnote>
  <w:footnote w:id="31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 </w:t>
      </w:r>
      <w:r w:rsidRPr="0061732F">
        <w:rPr>
          <w:rFonts w:ascii="Lato" w:hAnsi="Lato"/>
          <w:bCs/>
          <w:sz w:val="13"/>
          <w:szCs w:val="13"/>
        </w:rPr>
        <w:t>poz. 67 z  zestawienia zwolnionych w 2020 r. oraz poz. 93 z zestawienia zwolnionych w 2021 r. z 9 lutego 2023 r.</w:t>
      </w:r>
    </w:p>
  </w:footnote>
  <w:footnote w:id="31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r>
      <w:r w:rsidRPr="0061732F">
        <w:rPr>
          <w:rFonts w:ascii="Lato" w:hAnsi="Lato"/>
          <w:sz w:val="13"/>
          <w:szCs w:val="13"/>
        </w:rPr>
        <w:t>Ws</w:t>
      </w:r>
      <w:r w:rsidRPr="0061732F">
        <w:rPr>
          <w:rFonts w:ascii="Lato" w:hAnsi="Lato"/>
          <w:sz w:val="13"/>
          <w:szCs w:val="13"/>
        </w:rPr>
        <w:t xml:space="preserve">. wypożyczonych w okresie 2020-2021 materiałów i niezwróconych, według stanu na 9 lutego 2023 r. </w:t>
      </w:r>
    </w:p>
  </w:footnote>
  <w:footnote w:id="31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którym pracownik ma obowiązek najpóźniej w ostatnim dniu pracy zwrócić pobrane od pracodawcy m.in. materiały archiwalne, dokumenty, okazy skał i minerałów i skamieniałości.</w:t>
      </w:r>
    </w:p>
  </w:footnote>
  <w:footnote w:id="31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15 września 2017 r., znak: BKA-I.0943.10.2016.MN.</w:t>
      </w:r>
    </w:p>
  </w:footnote>
  <w:footnote w:id="32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Zarządzeniem Dyrektora nr 50 z 28 sierpnia 2019 r. w sprawie udostępniania informacji geologicznej, a następnie zarządzeniem Dyrektora nr 36 z 4 listopada 2021 r. w sprawie udostępniania informacji geologicznej. </w:t>
      </w:r>
    </w:p>
  </w:footnote>
  <w:footnote w:id="32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czego 148 w 2020 r. i 35 w 2021 r., zgodnie z zestawieniem z 8 lutego 2023 r. </w:t>
      </w:r>
      <w:r w:rsidRPr="0061732F">
        <w:rPr>
          <w:rFonts w:ascii="Lato" w:hAnsi="Lato"/>
          <w:sz w:val="13"/>
          <w:szCs w:val="13"/>
        </w:rPr>
        <w:t>ws</w:t>
      </w:r>
      <w:r w:rsidRPr="0061732F">
        <w:rPr>
          <w:rFonts w:ascii="Lato" w:hAnsi="Lato"/>
          <w:sz w:val="13"/>
          <w:szCs w:val="13"/>
        </w:rPr>
        <w:t xml:space="preserve">. wypożyczonych w okresie 2020-2021 materiałów </w:t>
      </w:r>
      <w:r w:rsidRPr="0061732F">
        <w:rPr>
          <w:rFonts w:ascii="Lato" w:hAnsi="Lato"/>
          <w:sz w:val="13"/>
          <w:szCs w:val="13"/>
        </w:rPr>
        <w:br/>
        <w:t xml:space="preserve">i zwróconych po terminie. </w:t>
      </w:r>
    </w:p>
  </w:footnote>
  <w:footnote w:id="322">
    <w:p w:rsidR="00AE7A5B" w:rsidRPr="0061732F" w:rsidP="00AE7A5B">
      <w:pPr>
        <w:spacing w:after="0" w:line="240" w:lineRule="auto"/>
        <w:ind w:left="284" w:hanging="284"/>
        <w:jc w:val="left"/>
        <w:rPr>
          <w:sz w:val="13"/>
          <w:szCs w:val="13"/>
        </w:rPr>
      </w:pPr>
      <w:r w:rsidRPr="0061732F">
        <w:rPr>
          <w:rStyle w:val="FootnoteReference"/>
          <w:sz w:val="13"/>
          <w:szCs w:val="13"/>
        </w:rPr>
        <w:footnoteRef/>
      </w:r>
      <w:r w:rsidRPr="0061732F">
        <w:rPr>
          <w:sz w:val="13"/>
          <w:szCs w:val="13"/>
        </w:rPr>
        <w:t xml:space="preserve">  </w:t>
      </w:r>
      <w:r w:rsidRPr="0061732F">
        <w:rPr>
          <w:sz w:val="13"/>
          <w:szCs w:val="13"/>
        </w:rPr>
        <w:tab/>
        <w:t xml:space="preserve">62 % zwrotów dokonano w ciągu roku od upływu regulaminowego terminu zwrotu, 33 % w terminie od roku do 2 lat, a pozostałe 5 % </w:t>
      </w:r>
      <w:r w:rsidRPr="0061732F">
        <w:rPr>
          <w:sz w:val="13"/>
          <w:szCs w:val="13"/>
        </w:rPr>
        <w:br/>
        <w:t>po upływie od 2 do 3 lat.</w:t>
      </w:r>
    </w:p>
  </w:footnote>
  <w:footnote w:id="32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czego 65 z 2020 r. i 66 z 2021 r., zgodnie z zestawieniem z 9 lutego 2023 r. </w:t>
      </w:r>
      <w:r w:rsidRPr="0061732F">
        <w:rPr>
          <w:rFonts w:ascii="Lato" w:hAnsi="Lato"/>
          <w:sz w:val="13"/>
          <w:szCs w:val="13"/>
        </w:rPr>
        <w:t>ws</w:t>
      </w:r>
      <w:r w:rsidRPr="0061732F">
        <w:rPr>
          <w:rFonts w:ascii="Lato" w:hAnsi="Lato"/>
          <w:sz w:val="13"/>
          <w:szCs w:val="13"/>
        </w:rPr>
        <w:t xml:space="preserve">. wypożyczonych w okresie 2020-2021 materiałów </w:t>
      </w:r>
      <w:r w:rsidRPr="0061732F">
        <w:rPr>
          <w:rFonts w:ascii="Lato" w:hAnsi="Lato"/>
          <w:sz w:val="13"/>
          <w:szCs w:val="13"/>
        </w:rPr>
        <w:br/>
        <w:t xml:space="preserve">i niezwróconych według stanu na 9 lutego 2023 r. </w:t>
      </w:r>
    </w:p>
  </w:footnote>
  <w:footnote w:id="32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Tj. 55 % dotyczyło wypożyczonych materiałów w przypadku których termin opóźnienia wyniosło od 1 do 2 lat, a 30 % dotyczyło wypożyczonych materiałów w przypadku których opóźnienie wyniosło od 2 do 3 lat. 15% dotyczyło wypożyczonych materiałów </w:t>
      </w:r>
      <w:r w:rsidRPr="0061732F">
        <w:rPr>
          <w:rFonts w:ascii="Lato" w:hAnsi="Lato"/>
          <w:sz w:val="13"/>
          <w:szCs w:val="13"/>
        </w:rPr>
        <w:br/>
        <w:t xml:space="preserve">w przypadku których opóźnienie wyniosło od roku. </w:t>
      </w:r>
    </w:p>
  </w:footnote>
  <w:footnote w:id="32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Numer rewersu: 24/20, 70/20, 321/20 zestawieniem z 9 lutego 2023 r. </w:t>
      </w:r>
      <w:r w:rsidRPr="0061732F">
        <w:rPr>
          <w:rFonts w:ascii="Lato" w:hAnsi="Lato"/>
          <w:sz w:val="13"/>
          <w:szCs w:val="13"/>
        </w:rPr>
        <w:t>ws</w:t>
      </w:r>
      <w:r w:rsidRPr="0061732F">
        <w:rPr>
          <w:rFonts w:ascii="Lato" w:hAnsi="Lato"/>
          <w:sz w:val="13"/>
          <w:szCs w:val="13"/>
        </w:rPr>
        <w:t xml:space="preserve">. wypożyczonych w okresie 2020-2021 materiałów </w:t>
      </w:r>
      <w:r w:rsidRPr="0061732F">
        <w:rPr>
          <w:rFonts w:ascii="Lato" w:hAnsi="Lato"/>
          <w:sz w:val="13"/>
          <w:szCs w:val="13"/>
        </w:rPr>
        <w:br/>
        <w:t xml:space="preserve">i niezwróconych według stanu na 9 lutego 2023 r.  </w:t>
      </w:r>
    </w:p>
  </w:footnote>
  <w:footnote w:id="32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90 – odejście z pracy 31 marca 2021 r., poz. 93 – odejście z pracy 30 września 2021 r., poz. 67 – odejście z pracy 29 luty 2020 r.   </w:t>
      </w:r>
    </w:p>
  </w:footnote>
  <w:footnote w:id="32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Tj. 2 lata i 11 miesięcy dotyczy rewersu nr 70/20 – data wypożyczenia 28 stycznia 2020 r., nr 20/24 – data wypożyczenia 15 stycznia 2020 r.; 2 lata dotyczy rewersu: nr 321/20 – data wypożyczenia 1 września 2020 r.</w:t>
      </w:r>
    </w:p>
  </w:footnote>
  <w:footnote w:id="32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Wyjaśnienia mailowe z 8 lutego 2023 r. </w:t>
      </w:r>
    </w:p>
  </w:footnote>
  <w:footnote w:id="32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15 września 2017 r., znak: BKA-I.0943.10.2016.MN.</w:t>
      </w:r>
    </w:p>
  </w:footnote>
  <w:footnote w:id="33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Karta oceny stanu realizacji zalecenia pokontrolnego z 4 października 2022 r.</w:t>
      </w:r>
    </w:p>
  </w:footnote>
  <w:footnote w:id="33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13-19 Tabeli naborów na stanowiska naukowe przeprowadzonych w 2021 r., z czego co najmniej 3 osoby były zatrudnione na stanowiskach merytorycznych. </w:t>
      </w:r>
    </w:p>
  </w:footnote>
  <w:footnote w:id="33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z kartą oceny stanu realizacji zalecenia pokontrolnego z 4 października 2022 r.</w:t>
      </w:r>
    </w:p>
  </w:footnote>
  <w:footnote w:id="33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pracownikom NAG przysługuje prawo kontroli stanu wypożyczonych materiałów oraz sposobu ich zabezpieczenia </w:t>
      </w:r>
      <w:r w:rsidRPr="0061732F">
        <w:rPr>
          <w:rFonts w:ascii="Lato" w:hAnsi="Lato"/>
          <w:sz w:val="13"/>
          <w:szCs w:val="13"/>
        </w:rPr>
        <w:br/>
        <w:t xml:space="preserve">w miejscu ich aktualnego przechowywania. </w:t>
      </w:r>
    </w:p>
  </w:footnote>
  <w:footnote w:id="33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Zarządzeniem Dyrektora nr 50 z 28 sierpnia 2019 r. w sprawie udostępniania informacji geologicznej, a następnie zarządzeniem Dyrektora nr 36 z 4 listopada 2021 r. w sprawie udostępniania informacji geologicznej. </w:t>
      </w:r>
    </w:p>
  </w:footnote>
  <w:footnote w:id="33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Wyjaśnienia mailowe z 8 lutego 2023 r.</w:t>
      </w:r>
    </w:p>
  </w:footnote>
  <w:footnote w:id="33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Sprawozdanie z kontroli Ministra Środowiska z 15 września 2017 r., znak: BKA-I.0943.10.2016.MN. </w:t>
      </w:r>
    </w:p>
  </w:footnote>
  <w:footnote w:id="33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Zarządzeniem Dyrektora nr 50 z 28 sierpnia 2019 r. w sprawie udostępniania informacji geologicznej, a następnie zarządzeniem Dyrektora nr 36 z 4 listopada 2021 r. w sprawie udostępniania informacji geologicznej. </w:t>
      </w:r>
    </w:p>
  </w:footnote>
  <w:footnote w:id="33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15 września 2017 r., znak: BKA-I.0943.10.2016.MN</w:t>
      </w:r>
    </w:p>
  </w:footnote>
  <w:footnote w:id="33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Karta oceny stanu realizacji zalecenia pokontrolnego z 4 października 2022 r.</w:t>
      </w:r>
    </w:p>
  </w:footnote>
  <w:footnote w:id="34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Umowy nr: 78/2020 z 4 maja 2020 r., 80/2020 z 30 kwietnia 2020 r. 191/2020 z 11 sierpnia 2020 r, 07/2021 z 25 stycznia 2021 r., 08/2021 z 25 stycznia 2021 r. i 134/2020 z 17 lipca 2020 r.</w:t>
      </w:r>
    </w:p>
  </w:footnote>
  <w:footnote w:id="34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15 września 2017 r., znak: BKA-I.0943.10.2016.MN.</w:t>
      </w:r>
    </w:p>
  </w:footnote>
  <w:footnote w:id="34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Umowy nr: 78/2020 z 4 maja 2020 r., 80/2020 z 30 kwietnia 2020 r., 191/2020 z 11 sierpnia 2020 r., 07/2021 25 stycznia 2021 r., 08/2021 z 25 stycznia 2021 r.</w:t>
      </w:r>
    </w:p>
  </w:footnote>
  <w:footnote w:id="34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15 września 2017 r., znak: BKA-I.0943.10.2016.MN.</w:t>
      </w:r>
    </w:p>
  </w:footnote>
  <w:footnote w:id="34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Zmienione zarządzeniem nr 8 z 22 marca 2018 r., a następnie zarządzeniami nr 22 z 13 lipca 2020 r. i nr 24  z 11 sierpnia 2020 r. </w:t>
      </w:r>
    </w:p>
  </w:footnote>
  <w:footnote w:id="34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Umowy nr: 78/2020 z 4 maja 2020 r., 80/2020 z 30 kwietnia 2020 r., 191/2020 z 11 sierpnia 2020 r., 07/2021 25 stycznia 2021 r., 08/2021 z 25 stycznia 2021 r.</w:t>
      </w:r>
    </w:p>
  </w:footnote>
  <w:footnote w:id="34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15 września 2017 r., znak: BKA-I.0943.10.2016.MN.</w:t>
      </w:r>
    </w:p>
  </w:footnote>
  <w:footnote w:id="34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Zgodnie a kartą oceny stanu realizacji zalecenia pokontrolnego z 3 października 2022 r.</w:t>
      </w:r>
    </w:p>
  </w:footnote>
  <w:footnote w:id="34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49">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16, 22, 50 zestawienia umów międzynarodowych, porozumień, memorandów i listów intencyjnych PIG z 24 stycznia 2023 r. </w:t>
      </w:r>
    </w:p>
  </w:footnote>
  <w:footnote w:id="35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A następnie Departamentu Nadzoru Geologicznego i Polityki Surowcowej.</w:t>
      </w:r>
    </w:p>
  </w:footnote>
  <w:footnote w:id="35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A następnie Departamentem Spraw Międzynarodowych.</w:t>
      </w:r>
    </w:p>
  </w:footnote>
  <w:footnote w:id="35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53">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10, 22, 50 zestawienia umów międzynarodowych, porozumień, memorandów i listów intencyjnych PIG z 24 stycznia 2023 r. </w:t>
      </w:r>
    </w:p>
  </w:footnote>
  <w:footnote w:id="35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5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3, 26, 34, 43 i 45-46 zestawienia umów międzynarodowych, porozumień, memorandów i listów intencyjnych PIG </w:t>
      </w:r>
      <w:r w:rsidRPr="0061732F">
        <w:rPr>
          <w:rFonts w:ascii="Lato" w:hAnsi="Lato"/>
          <w:sz w:val="13"/>
          <w:szCs w:val="13"/>
        </w:rPr>
        <w:br/>
        <w:t xml:space="preserve">z 24 stycznia 2023 r. </w:t>
      </w:r>
    </w:p>
  </w:footnote>
  <w:footnote w:id="356">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3-4, 8, 13, 16, 18, 20, 26-27, 29, 33-34, 38, 43-46, 49 zestawienia umów międzynarodowych, porozumień, memorandów i listów intencyjnych PIG z 24 stycznia 2023 r. </w:t>
      </w:r>
    </w:p>
  </w:footnote>
  <w:footnote w:id="35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kierownicy komórek organizacyjnych będących realizatorami umów zostali zobowiązani do przekazania najpóźniej do 31 sierpnia 2017 r. do rejestru w CRU wszystkich obowiązujących umów (…). </w:t>
      </w:r>
    </w:p>
  </w:footnote>
  <w:footnote w:id="35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Zgodnie z którym umowy do CRU należy przekazywać w terminie 7 dni kalendarzowych od dnia zawarcia umowy.   </w:t>
      </w:r>
    </w:p>
  </w:footnote>
  <w:footnote w:id="359">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45 i 47 zestawienia umów międzynarodowych, porozumień, memorandów i listów intencyjnych PIG z 24 stycznia 2023 r. </w:t>
      </w:r>
    </w:p>
  </w:footnote>
  <w:footnote w:id="36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Pismo z 6 lutego 2023 r., znak NPA.091.1.2022.</w:t>
      </w:r>
    </w:p>
  </w:footnote>
  <w:footnote w:id="36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62">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10, 22, 50 zestawienia umów międzynarodowych, porozumień, memorandów i listów intencyjnych PIG z 24 stycznia 2023 r. </w:t>
      </w:r>
    </w:p>
  </w:footnote>
  <w:footnote w:id="36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64">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10, 22, 50 zestawienia umów międzynarodowych, porozumień, memorandów i listów intencyjnych PIG z 24 stycznia 2023 r. </w:t>
      </w:r>
    </w:p>
  </w:footnote>
  <w:footnote w:id="36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66">
    <w:p w:rsidR="00AE7A5B" w:rsidRPr="0061732F" w:rsidP="00AE7A5B">
      <w:pPr>
        <w:pStyle w:val="FootnoteText"/>
        <w:ind w:left="284" w:hanging="284"/>
        <w:rPr>
          <w:rFonts w:ascii="Lato" w:hAnsi="Lato"/>
          <w:sz w:val="13"/>
          <w:szCs w:val="13"/>
          <w:lang w:val="en-US"/>
        </w:rPr>
      </w:pPr>
      <w:r w:rsidRPr="0061732F">
        <w:rPr>
          <w:rStyle w:val="FootnoteReference"/>
          <w:rFonts w:ascii="Lato" w:hAnsi="Lato"/>
          <w:sz w:val="13"/>
          <w:szCs w:val="13"/>
        </w:rPr>
        <w:footnoteRef/>
      </w:r>
      <w:r w:rsidRPr="0061732F">
        <w:rPr>
          <w:rFonts w:ascii="Lato" w:hAnsi="Lato"/>
          <w:sz w:val="13"/>
          <w:szCs w:val="13"/>
          <w:lang w:val="en-US"/>
        </w:rPr>
        <w:t xml:space="preserve">  </w:t>
      </w:r>
      <w:r w:rsidRPr="0061732F">
        <w:rPr>
          <w:rFonts w:ascii="Lato" w:hAnsi="Lato"/>
          <w:sz w:val="13"/>
          <w:szCs w:val="13"/>
          <w:lang w:val="en-US"/>
        </w:rPr>
        <w:tab/>
        <w:t>N</w:t>
      </w:r>
      <w:r w:rsidRPr="0061732F">
        <w:rPr>
          <w:rFonts w:ascii="Lato" w:hAnsi="Lato"/>
          <w:color w:val="000000"/>
          <w:sz w:val="13"/>
          <w:szCs w:val="13"/>
          <w:lang w:val="en-US"/>
        </w:rPr>
        <w:t xml:space="preserve">p. </w:t>
      </w:r>
      <w:r w:rsidRPr="0061732F">
        <w:rPr>
          <w:rFonts w:ascii="Lato" w:hAnsi="Lato"/>
          <w:color w:val="000000"/>
          <w:sz w:val="13"/>
          <w:szCs w:val="13"/>
          <w:lang w:val="en-US"/>
        </w:rPr>
        <w:t>umieszczanie</w:t>
      </w:r>
      <w:r w:rsidRPr="0061732F">
        <w:rPr>
          <w:rFonts w:ascii="Lato" w:hAnsi="Lato"/>
          <w:color w:val="000000"/>
          <w:sz w:val="13"/>
          <w:szCs w:val="13"/>
          <w:lang w:val="en-US"/>
        </w:rPr>
        <w:t xml:space="preserve"> </w:t>
      </w:r>
      <w:r w:rsidRPr="0061732F">
        <w:rPr>
          <w:rFonts w:ascii="Lato" w:hAnsi="Lato"/>
          <w:color w:val="000000"/>
          <w:sz w:val="13"/>
          <w:szCs w:val="13"/>
          <w:lang w:val="en-US"/>
        </w:rPr>
        <w:t>akapitu</w:t>
      </w:r>
      <w:r w:rsidRPr="0061732F">
        <w:rPr>
          <w:rFonts w:ascii="Lato" w:hAnsi="Lato"/>
          <w:color w:val="000000"/>
          <w:sz w:val="13"/>
          <w:szCs w:val="13"/>
          <w:lang w:val="en-US"/>
        </w:rPr>
        <w:t xml:space="preserve"> o </w:t>
      </w:r>
      <w:r w:rsidRPr="0061732F">
        <w:rPr>
          <w:rFonts w:ascii="Lato" w:hAnsi="Lato"/>
          <w:color w:val="000000"/>
          <w:sz w:val="13"/>
          <w:szCs w:val="13"/>
          <w:lang w:val="en-US"/>
        </w:rPr>
        <w:t>brzmieniu</w:t>
      </w:r>
      <w:r w:rsidRPr="0061732F">
        <w:rPr>
          <w:rFonts w:ascii="Lato" w:hAnsi="Lato"/>
          <w:color w:val="000000"/>
          <w:sz w:val="13"/>
          <w:szCs w:val="13"/>
          <w:lang w:val="en-US"/>
        </w:rPr>
        <w:t xml:space="preserve"> „This Memorandum is not intended to create any binding obligations under international law” </w:t>
      </w:r>
      <w:r w:rsidRPr="0061732F">
        <w:rPr>
          <w:rFonts w:ascii="Lato" w:hAnsi="Lato"/>
          <w:color w:val="000000"/>
          <w:sz w:val="13"/>
          <w:szCs w:val="13"/>
          <w:lang w:val="en-US"/>
        </w:rPr>
        <w:br/>
      </w:r>
      <w:r w:rsidRPr="0061732F">
        <w:rPr>
          <w:rFonts w:ascii="Lato" w:hAnsi="Lato"/>
          <w:color w:val="000000"/>
          <w:sz w:val="13"/>
          <w:szCs w:val="13"/>
          <w:lang w:val="en-US"/>
        </w:rPr>
        <w:t>lub</w:t>
      </w:r>
      <w:r w:rsidRPr="0061732F">
        <w:rPr>
          <w:rFonts w:ascii="Lato" w:hAnsi="Lato"/>
          <w:color w:val="000000"/>
          <w:sz w:val="13"/>
          <w:szCs w:val="13"/>
          <w:lang w:val="en-US"/>
        </w:rPr>
        <w:t xml:space="preserve"> </w:t>
      </w:r>
      <w:r w:rsidRPr="0061732F">
        <w:rPr>
          <w:rFonts w:ascii="Lato" w:hAnsi="Lato"/>
          <w:color w:val="000000"/>
          <w:sz w:val="13"/>
          <w:szCs w:val="13"/>
          <w:lang w:val="en-US"/>
        </w:rPr>
        <w:t>równoważnym</w:t>
      </w:r>
      <w:r w:rsidRPr="0061732F">
        <w:rPr>
          <w:rFonts w:ascii="Lato" w:hAnsi="Lato"/>
          <w:color w:val="000000"/>
          <w:sz w:val="13"/>
          <w:szCs w:val="13"/>
          <w:lang w:val="en-US"/>
        </w:rPr>
        <w:t>.</w:t>
      </w:r>
    </w:p>
  </w:footnote>
  <w:footnote w:id="367">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10, 22, 50 zestawienia umów międzynarodowych, porozumień, memorandów i listów intencyjnych PIG z 24 stycznia 2023 r. </w:t>
      </w:r>
    </w:p>
  </w:footnote>
  <w:footnote w:id="36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69">
    <w:p w:rsidR="00AE7A5B" w:rsidRPr="0061732F" w:rsidP="00AE7A5B">
      <w:pPr>
        <w:spacing w:after="0" w:line="240" w:lineRule="auto"/>
        <w:ind w:left="284" w:hanging="284"/>
        <w:jc w:val="left"/>
        <w:rPr>
          <w:sz w:val="13"/>
          <w:szCs w:val="13"/>
        </w:rPr>
      </w:pPr>
      <w:r w:rsidRPr="0061732F">
        <w:rPr>
          <w:rStyle w:val="FootnoteReference"/>
          <w:sz w:val="13"/>
          <w:szCs w:val="13"/>
        </w:rPr>
        <w:footnoteRef/>
      </w:r>
      <w:r w:rsidRPr="0061732F">
        <w:rPr>
          <w:rFonts w:eastAsia="Times New Roman" w:cs="Times New Roman"/>
          <w:color w:val="000000"/>
          <w:sz w:val="13"/>
          <w:szCs w:val="13"/>
          <w:lang w:eastAsia="pl-PL"/>
        </w:rPr>
        <w:t xml:space="preserve">  </w:t>
      </w:r>
      <w:r w:rsidRPr="0061732F">
        <w:rPr>
          <w:rFonts w:eastAsia="Times New Roman" w:cs="Times New Roman"/>
          <w:color w:val="000000"/>
          <w:sz w:val="13"/>
          <w:szCs w:val="13"/>
          <w:lang w:eastAsia="pl-PL"/>
        </w:rPr>
        <w:tab/>
        <w:t>W celu wyeliminowania wątpliwości, czy Memorandum nie stanowi umowy międzynarodowej w rozumieniu ustawy z 14 kwietnia 2000 r. o umowach międzynarodowych: „Uczestnicy” (</w:t>
      </w:r>
      <w:r w:rsidRPr="0061732F">
        <w:rPr>
          <w:rFonts w:eastAsia="Times New Roman" w:cs="Times New Roman"/>
          <w:color w:val="000000"/>
          <w:sz w:val="13"/>
          <w:szCs w:val="13"/>
          <w:lang w:eastAsia="pl-PL"/>
        </w:rPr>
        <w:t>Participants</w:t>
      </w:r>
      <w:r w:rsidRPr="0061732F">
        <w:rPr>
          <w:rFonts w:eastAsia="Times New Roman" w:cs="Times New Roman"/>
          <w:color w:val="000000"/>
          <w:sz w:val="13"/>
          <w:szCs w:val="13"/>
          <w:lang w:eastAsia="pl-PL"/>
        </w:rPr>
        <w:t>), a nie „Strony” (</w:t>
      </w:r>
      <w:r w:rsidRPr="0061732F">
        <w:rPr>
          <w:rFonts w:eastAsia="Times New Roman" w:cs="Times New Roman"/>
          <w:color w:val="000000"/>
          <w:sz w:val="13"/>
          <w:szCs w:val="13"/>
          <w:lang w:eastAsia="pl-PL"/>
        </w:rPr>
        <w:t>Parties</w:t>
      </w:r>
      <w:r w:rsidRPr="0061732F">
        <w:rPr>
          <w:rFonts w:eastAsia="Times New Roman" w:cs="Times New Roman"/>
          <w:color w:val="000000"/>
          <w:sz w:val="13"/>
          <w:szCs w:val="13"/>
          <w:lang w:eastAsia="pl-PL"/>
        </w:rPr>
        <w:t>); czas przyszły („</w:t>
      </w:r>
      <w:r w:rsidRPr="0061732F">
        <w:rPr>
          <w:rFonts w:eastAsia="Times New Roman" w:cs="Times New Roman"/>
          <w:color w:val="000000"/>
          <w:sz w:val="13"/>
          <w:szCs w:val="13"/>
          <w:lang w:eastAsia="pl-PL"/>
        </w:rPr>
        <w:t>will</w:t>
      </w:r>
      <w:r w:rsidRPr="0061732F">
        <w:rPr>
          <w:rFonts w:eastAsia="Times New Roman" w:cs="Times New Roman"/>
          <w:color w:val="000000"/>
          <w:sz w:val="13"/>
          <w:szCs w:val="13"/>
          <w:lang w:eastAsia="pl-PL"/>
        </w:rPr>
        <w:t>”), a nie teraźniejszy („</w:t>
      </w:r>
      <w:r w:rsidRPr="0061732F">
        <w:rPr>
          <w:rFonts w:eastAsia="Times New Roman" w:cs="Times New Roman"/>
          <w:color w:val="000000"/>
          <w:sz w:val="13"/>
          <w:szCs w:val="13"/>
          <w:lang w:eastAsia="pl-PL"/>
        </w:rPr>
        <w:t>shall</w:t>
      </w:r>
      <w:r w:rsidRPr="0061732F">
        <w:rPr>
          <w:rFonts w:eastAsia="Times New Roman" w:cs="Times New Roman"/>
          <w:color w:val="000000"/>
          <w:sz w:val="13"/>
          <w:szCs w:val="13"/>
          <w:lang w:eastAsia="pl-PL"/>
        </w:rPr>
        <w:t>”); „Jest skuteczne” („</w:t>
      </w:r>
      <w:r w:rsidRPr="0061732F">
        <w:rPr>
          <w:rFonts w:eastAsia="Times New Roman" w:cs="Times New Roman"/>
          <w:color w:val="000000"/>
          <w:sz w:val="13"/>
          <w:szCs w:val="13"/>
          <w:lang w:eastAsia="pl-PL"/>
        </w:rPr>
        <w:t>is</w:t>
      </w:r>
      <w:r w:rsidRPr="0061732F">
        <w:rPr>
          <w:rFonts w:eastAsia="Times New Roman" w:cs="Times New Roman"/>
          <w:color w:val="000000"/>
          <w:sz w:val="13"/>
          <w:szCs w:val="13"/>
          <w:lang w:eastAsia="pl-PL"/>
        </w:rPr>
        <w:t xml:space="preserve"> </w:t>
      </w:r>
      <w:r w:rsidRPr="0061732F">
        <w:rPr>
          <w:rFonts w:eastAsia="Times New Roman" w:cs="Times New Roman"/>
          <w:color w:val="000000"/>
          <w:sz w:val="13"/>
          <w:szCs w:val="13"/>
          <w:lang w:eastAsia="pl-PL"/>
        </w:rPr>
        <w:t>effective</w:t>
      </w:r>
      <w:r w:rsidRPr="0061732F">
        <w:rPr>
          <w:rFonts w:eastAsia="Times New Roman" w:cs="Times New Roman"/>
          <w:color w:val="000000"/>
          <w:sz w:val="13"/>
          <w:szCs w:val="13"/>
          <w:lang w:eastAsia="pl-PL"/>
        </w:rPr>
        <w:t>”), a nie „obowiązuje/wchodzi w życie” („</w:t>
      </w:r>
      <w:r w:rsidRPr="0061732F">
        <w:rPr>
          <w:rFonts w:eastAsia="Times New Roman" w:cs="Times New Roman"/>
          <w:color w:val="000000"/>
          <w:sz w:val="13"/>
          <w:szCs w:val="13"/>
          <w:lang w:eastAsia="pl-PL"/>
        </w:rPr>
        <w:t>enters</w:t>
      </w:r>
      <w:r w:rsidRPr="0061732F">
        <w:rPr>
          <w:rFonts w:eastAsia="Times New Roman" w:cs="Times New Roman"/>
          <w:color w:val="000000"/>
          <w:sz w:val="13"/>
          <w:szCs w:val="13"/>
          <w:lang w:eastAsia="pl-PL"/>
        </w:rPr>
        <w:t xml:space="preserve"> </w:t>
      </w:r>
      <w:r w:rsidRPr="0061732F">
        <w:rPr>
          <w:rFonts w:eastAsia="Times New Roman" w:cs="Times New Roman"/>
          <w:color w:val="000000"/>
          <w:sz w:val="13"/>
          <w:szCs w:val="13"/>
          <w:lang w:eastAsia="pl-PL"/>
        </w:rPr>
        <w:t>into</w:t>
      </w:r>
      <w:r w:rsidRPr="0061732F">
        <w:rPr>
          <w:rFonts w:eastAsia="Times New Roman" w:cs="Times New Roman"/>
          <w:color w:val="000000"/>
          <w:sz w:val="13"/>
          <w:szCs w:val="13"/>
          <w:lang w:eastAsia="pl-PL"/>
        </w:rPr>
        <w:t xml:space="preserve"> </w:t>
      </w:r>
      <w:r w:rsidRPr="0061732F">
        <w:rPr>
          <w:rFonts w:eastAsia="Times New Roman" w:cs="Times New Roman"/>
          <w:color w:val="000000"/>
          <w:sz w:val="13"/>
          <w:szCs w:val="13"/>
          <w:lang w:eastAsia="pl-PL"/>
        </w:rPr>
        <w:t>force</w:t>
      </w:r>
      <w:r w:rsidRPr="0061732F">
        <w:rPr>
          <w:rFonts w:eastAsia="Times New Roman" w:cs="Times New Roman"/>
          <w:color w:val="000000"/>
          <w:sz w:val="13"/>
          <w:szCs w:val="13"/>
          <w:lang w:eastAsia="pl-PL"/>
        </w:rPr>
        <w:t>”).</w:t>
      </w:r>
    </w:p>
  </w:footnote>
  <w:footnote w:id="370">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10, 22, 50 zestawienia umów międzynarodowych, porozumień, memorandów i listów intencyjnych PIG z 24 stycznia 2023 r. </w:t>
      </w:r>
    </w:p>
  </w:footnote>
  <w:footnote w:id="37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72">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10, 22, 50 zestawienia umów międzynarodowych, porozumień, memorandów i listów intencyjnych PIG z 24 stycznia 2023 r. </w:t>
      </w:r>
    </w:p>
  </w:footnote>
  <w:footnote w:id="37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Sprawozdanie z kontroli Ministra Środowiska z 14 września 2017 r., znak: BKA-I.0941.13.2016.KZ.</w:t>
      </w:r>
    </w:p>
  </w:footnote>
  <w:footnote w:id="374">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8 zestawienia umów międzynarodowych, porozumień, memorandów i listów intencyjnych PIG z 24 stycznia 2023 r. </w:t>
      </w:r>
    </w:p>
  </w:footnote>
  <w:footnote w:id="375">
    <w:p w:rsidR="00AE7A5B" w:rsidRPr="0061732F" w:rsidP="00AE7A5B">
      <w:pPr>
        <w:pStyle w:val="FootnoteText"/>
        <w:ind w:left="284" w:hanging="284"/>
        <w:rPr>
          <w:rFonts w:ascii="Lato" w:hAnsi="Lato"/>
          <w:color w:val="FF0000"/>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9 zestawienia umów międzynarodowych, porozumień, memorandów i listów intencyjnych PIG z 24 stycznia 2023 r. </w:t>
      </w:r>
    </w:p>
  </w:footnote>
  <w:footnote w:id="37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Klimatu z 16 stycznia 2020 r., znak: BKA-I.0945.1.2018.KZ.</w:t>
      </w:r>
    </w:p>
  </w:footnote>
  <w:footnote w:id="37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Klimatu z 16 stycznia 2020 r., znak: BKA-I.0945.1.2018.KZ.</w:t>
      </w:r>
    </w:p>
  </w:footnote>
  <w:footnote w:id="37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Umowy nr: 04/2020 z 29 stycznia 2020 r., 13/2020 z 6 lutego 2020 r., 191/2020 z 11 sierpnia 2020 r., 245/2020 z 13 listopada 2020 r., 262/2020 z 16 listopada 2020 r. oraz 5 umów z 2021  r. o numerach: 27/2021 z 25 lutego 2021 r., 52/2021 z 4 marca 2021 r., 76/2021 </w:t>
      </w:r>
      <w:r w:rsidRPr="0061732F">
        <w:rPr>
          <w:rFonts w:ascii="Lato" w:hAnsi="Lato"/>
          <w:sz w:val="13"/>
          <w:szCs w:val="13"/>
        </w:rPr>
        <w:br/>
        <w:t>z 1 kwietnia 2021 r., 219/2021 z 30 czerwca 2021 r., 386/2021 z 22 marca 2021 r.</w:t>
      </w:r>
    </w:p>
  </w:footnote>
  <w:footnote w:id="37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Klimatu z 16 stycznia 2020 r., znak: BKA-I.0945.1.2018.KZ.</w:t>
      </w:r>
    </w:p>
  </w:footnote>
  <w:footnote w:id="38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Umowy: 71/2020 z 1 czerwca 2020 r., 01/2021 z 4 stycznia 2021 r., 76/2021 z 1 kwietnia 2021 r., 287/2021 z 1 października 2021 r., 397/2021 z 31 grudnia 2021 r.; 202/2020 z 1 października 2020 r., 02/2021 z 4 stycznia 2021 r., 77/2021 z 1 kwietnia 2021 r., 286/2021 z 1 października 2021 r. i 398/2021 z 31 grudnia 2021 r.</w:t>
      </w:r>
    </w:p>
  </w:footnote>
  <w:footnote w:id="381">
    <w:p w:rsidR="00AE7A5B" w:rsidRPr="0061732F" w:rsidP="00AE7A5B">
      <w:pPr>
        <w:spacing w:after="0" w:line="240" w:lineRule="auto"/>
        <w:ind w:left="284" w:hanging="284"/>
        <w:jc w:val="left"/>
        <w:rPr>
          <w:rFonts w:eastAsia="Times New Roman" w:cs="Times New Roman"/>
          <w:sz w:val="13"/>
          <w:szCs w:val="13"/>
          <w:lang w:eastAsia="pl-PL"/>
        </w:rPr>
      </w:pPr>
      <w:r w:rsidRPr="0061732F">
        <w:rPr>
          <w:rStyle w:val="FootnoteReference"/>
          <w:sz w:val="13"/>
          <w:szCs w:val="13"/>
        </w:rPr>
        <w:footnoteRef/>
      </w:r>
      <w:r w:rsidRPr="0061732F">
        <w:rPr>
          <w:sz w:val="13"/>
          <w:szCs w:val="13"/>
        </w:rPr>
        <w:t xml:space="preserve">  </w:t>
      </w:r>
      <w:r w:rsidRPr="0061732F">
        <w:rPr>
          <w:sz w:val="13"/>
          <w:szCs w:val="13"/>
        </w:rPr>
        <w:tab/>
        <w:t xml:space="preserve">Umowy: </w:t>
      </w:r>
      <w:r w:rsidRPr="0061732F">
        <w:rPr>
          <w:rFonts w:eastAsia="Times New Roman" w:cs="Times New Roman"/>
          <w:sz w:val="13"/>
          <w:szCs w:val="13"/>
          <w:lang w:eastAsia="pl-PL"/>
        </w:rPr>
        <w:t>02/2020 z 7 stycznia 2020 r., 49/2020 z 1 kwietnia 2020 r., 245/2020 z 13 listopada 2020 r., 78/2021 z 1 kwietnia 2021 r., 251/2021  z 9 sierpnia 2021 r.</w:t>
      </w:r>
    </w:p>
  </w:footnote>
  <w:footnote w:id="382">
    <w:p w:rsidR="00AE7A5B" w:rsidRPr="0061732F" w:rsidP="00AE7A5B">
      <w:pPr>
        <w:spacing w:after="0" w:line="240" w:lineRule="auto"/>
        <w:ind w:left="284" w:hanging="284"/>
        <w:jc w:val="left"/>
        <w:rPr>
          <w:rFonts w:eastAsia="Calibri" w:cs="Times New Roman"/>
          <w:sz w:val="13"/>
          <w:szCs w:val="13"/>
          <w:lang w:eastAsia="ar-SA"/>
        </w:rPr>
      </w:pPr>
      <w:r w:rsidRPr="0061732F">
        <w:rPr>
          <w:rStyle w:val="FootnoteReference"/>
          <w:sz w:val="13"/>
          <w:szCs w:val="13"/>
        </w:rPr>
        <w:footnoteRef/>
      </w:r>
      <w:r w:rsidRPr="0061732F">
        <w:rPr>
          <w:sz w:val="13"/>
          <w:szCs w:val="13"/>
        </w:rPr>
        <w:t xml:space="preserve"> </w:t>
      </w:r>
      <w:r w:rsidRPr="0061732F">
        <w:rPr>
          <w:sz w:val="13"/>
          <w:szCs w:val="13"/>
        </w:rPr>
        <w:tab/>
        <w:t>W</w:t>
      </w:r>
      <w:r w:rsidRPr="0061732F">
        <w:rPr>
          <w:rFonts w:cs="Times New Roman"/>
          <w:sz w:val="13"/>
          <w:szCs w:val="13"/>
        </w:rPr>
        <w:t xml:space="preserve">ystąpienie pokontrolne Ministra Klimatu z 16 stycznia 2020 r., znak: BKA-I.0945.1.2018.KZ, dotyczy </w:t>
      </w:r>
      <w:r w:rsidRPr="0061732F">
        <w:rPr>
          <w:sz w:val="13"/>
          <w:szCs w:val="13"/>
        </w:rPr>
        <w:t>zaleceń wydanych w ramach kontroli:</w:t>
      </w:r>
    </w:p>
    <w:p w:rsidR="00AE7A5B" w:rsidRPr="0061732F" w:rsidP="00AE7A5B">
      <w:pPr>
        <w:numPr>
          <w:ilvl w:val="0"/>
          <w:numId w:val="7"/>
        </w:numPr>
        <w:suppressAutoHyphens/>
        <w:spacing w:after="0" w:line="240" w:lineRule="auto"/>
        <w:ind w:left="426" w:hanging="142"/>
        <w:jc w:val="left"/>
        <w:rPr>
          <w:rFonts w:eastAsia="Calibri" w:cs="Times New Roman"/>
          <w:sz w:val="13"/>
          <w:szCs w:val="13"/>
        </w:rPr>
      </w:pPr>
      <w:r w:rsidRPr="0061732F">
        <w:rPr>
          <w:rFonts w:eastAsia="Times New Roman" w:cs="Times New Roman"/>
          <w:sz w:val="13"/>
          <w:szCs w:val="13"/>
          <w:lang w:eastAsia="pl-PL"/>
        </w:rPr>
        <w:t>Najwyższ</w:t>
      </w:r>
      <w:r w:rsidRPr="0061732F">
        <w:rPr>
          <w:rFonts w:eastAsia="Calibri" w:cs="Times New Roman"/>
          <w:sz w:val="13"/>
          <w:szCs w:val="13"/>
        </w:rPr>
        <w:t>ej</w:t>
      </w:r>
      <w:r w:rsidRPr="0061732F">
        <w:rPr>
          <w:rFonts w:eastAsia="Times New Roman" w:cs="Times New Roman"/>
          <w:sz w:val="13"/>
          <w:szCs w:val="13"/>
          <w:lang w:eastAsia="pl-PL"/>
        </w:rPr>
        <w:t xml:space="preserve"> Izb</w:t>
      </w:r>
      <w:r w:rsidRPr="0061732F">
        <w:rPr>
          <w:rFonts w:eastAsia="Calibri" w:cs="Times New Roman"/>
          <w:sz w:val="13"/>
          <w:szCs w:val="13"/>
        </w:rPr>
        <w:t>y</w:t>
      </w:r>
      <w:r w:rsidRPr="0061732F">
        <w:rPr>
          <w:rFonts w:eastAsia="Times New Roman" w:cs="Times New Roman"/>
          <w:sz w:val="13"/>
          <w:szCs w:val="13"/>
          <w:lang w:eastAsia="pl-PL"/>
        </w:rPr>
        <w:t xml:space="preserve"> Kontroli</w:t>
      </w:r>
      <w:r w:rsidRPr="0061732F">
        <w:rPr>
          <w:rFonts w:eastAsia="Calibri" w:cs="Times New Roman"/>
          <w:sz w:val="13"/>
          <w:szCs w:val="13"/>
        </w:rPr>
        <w:t>:</w:t>
      </w:r>
    </w:p>
    <w:p w:rsidR="00AE7A5B" w:rsidRPr="0061732F" w:rsidP="00AE7A5B">
      <w:pPr>
        <w:numPr>
          <w:ilvl w:val="0"/>
          <w:numId w:val="8"/>
        </w:numPr>
        <w:suppressAutoHyphens/>
        <w:spacing w:after="0" w:line="240" w:lineRule="auto"/>
        <w:ind w:left="567" w:hanging="141"/>
        <w:jc w:val="left"/>
        <w:rPr>
          <w:rFonts w:eastAsia="Times New Roman" w:cs="Times New Roman"/>
          <w:sz w:val="13"/>
          <w:szCs w:val="13"/>
          <w:lang w:eastAsia="pl-PL"/>
        </w:rPr>
      </w:pPr>
      <w:r w:rsidRPr="0061732F">
        <w:rPr>
          <w:rFonts w:eastAsia="Calibri" w:cs="Times New Roman"/>
          <w:sz w:val="13"/>
          <w:szCs w:val="13"/>
        </w:rPr>
        <w:t>W</w:t>
      </w:r>
      <w:r w:rsidRPr="0061732F">
        <w:rPr>
          <w:rFonts w:eastAsia="Times New Roman" w:cs="Times New Roman"/>
          <w:sz w:val="13"/>
          <w:szCs w:val="13"/>
          <w:lang w:eastAsia="pl-PL"/>
        </w:rPr>
        <w:t xml:space="preserve">ystąpienie pokontrolne </w:t>
      </w:r>
      <w:r w:rsidRPr="0061732F">
        <w:rPr>
          <w:rFonts w:eastAsia="Calibri" w:cs="Times New Roman"/>
          <w:sz w:val="13"/>
          <w:szCs w:val="13"/>
        </w:rPr>
        <w:t>z</w:t>
      </w:r>
      <w:r w:rsidRPr="0061732F">
        <w:rPr>
          <w:rFonts w:eastAsia="Times New Roman" w:cs="Times New Roman"/>
          <w:sz w:val="13"/>
          <w:szCs w:val="13"/>
          <w:lang w:eastAsia="pl-PL"/>
        </w:rPr>
        <w:t xml:space="preserve"> 15 września 2015 r., znak KSI.411.001.01.2015, S/15/001, z</w:t>
      </w:r>
      <w:r w:rsidRPr="0061732F">
        <w:rPr>
          <w:rFonts w:eastAsia="Calibri" w:cs="Times New Roman"/>
          <w:sz w:val="13"/>
          <w:szCs w:val="13"/>
          <w:lang w:eastAsia="ar-SA"/>
        </w:rPr>
        <w:t xml:space="preserve">alecenie </w:t>
      </w:r>
      <w:r w:rsidRPr="0061732F">
        <w:rPr>
          <w:rFonts w:eastAsia="Calibri" w:cs="Times New Roman"/>
          <w:sz w:val="13"/>
          <w:szCs w:val="13"/>
        </w:rPr>
        <w:t xml:space="preserve">nr </w:t>
      </w:r>
      <w:r w:rsidRPr="0061732F">
        <w:rPr>
          <w:rFonts w:eastAsia="Times New Roman" w:cs="Times New Roman"/>
          <w:sz w:val="13"/>
          <w:szCs w:val="13"/>
          <w:lang w:eastAsia="pl-PL"/>
        </w:rPr>
        <w:t xml:space="preserve">3 i 4. </w:t>
      </w:r>
    </w:p>
    <w:p w:rsidR="00AE7A5B" w:rsidRPr="0061732F" w:rsidP="00AE7A5B">
      <w:pPr>
        <w:numPr>
          <w:ilvl w:val="0"/>
          <w:numId w:val="8"/>
        </w:numPr>
        <w:suppressAutoHyphens/>
        <w:spacing w:after="0" w:line="240" w:lineRule="auto"/>
        <w:ind w:left="567" w:hanging="141"/>
        <w:jc w:val="left"/>
        <w:rPr>
          <w:rFonts w:eastAsia="Calibri" w:cs="Times New Roman"/>
          <w:sz w:val="13"/>
          <w:szCs w:val="13"/>
        </w:rPr>
      </w:pPr>
      <w:r w:rsidRPr="0061732F">
        <w:rPr>
          <w:rFonts w:eastAsia="Times New Roman" w:cs="Times New Roman"/>
          <w:color w:val="000000"/>
          <w:sz w:val="13"/>
          <w:szCs w:val="13"/>
          <w:lang w:eastAsia="pl-PL"/>
        </w:rPr>
        <w:t>Wystąpienie pokontrolne z 13 października 2017 r. znak P/17/015.</w:t>
      </w:r>
    </w:p>
    <w:p w:rsidR="00AE7A5B" w:rsidRPr="0061732F" w:rsidP="00AE7A5B">
      <w:pPr>
        <w:numPr>
          <w:ilvl w:val="0"/>
          <w:numId w:val="7"/>
        </w:numPr>
        <w:suppressAutoHyphens/>
        <w:spacing w:after="0" w:line="240" w:lineRule="auto"/>
        <w:ind w:left="426" w:hanging="142"/>
        <w:jc w:val="left"/>
        <w:rPr>
          <w:rFonts w:eastAsia="Calibri" w:cs="Times New Roman"/>
          <w:sz w:val="13"/>
          <w:szCs w:val="13"/>
        </w:rPr>
      </w:pPr>
      <w:r w:rsidRPr="0061732F">
        <w:rPr>
          <w:rFonts w:eastAsia="Calibri" w:cs="Times New Roman"/>
          <w:sz w:val="13"/>
          <w:szCs w:val="13"/>
        </w:rPr>
        <w:t>Ministerstwa Środowiska:</w:t>
      </w:r>
    </w:p>
    <w:p w:rsidR="00AE7A5B" w:rsidRPr="0061732F" w:rsidP="00AE7A5B">
      <w:pPr>
        <w:numPr>
          <w:ilvl w:val="0"/>
          <w:numId w:val="9"/>
        </w:numPr>
        <w:suppressAutoHyphens/>
        <w:spacing w:after="0" w:line="240" w:lineRule="auto"/>
        <w:ind w:left="567" w:hanging="141"/>
        <w:jc w:val="left"/>
        <w:rPr>
          <w:rFonts w:eastAsia="Calibri" w:cs="Times New Roman"/>
          <w:sz w:val="13"/>
          <w:szCs w:val="13"/>
        </w:rPr>
      </w:pPr>
      <w:r w:rsidRPr="0061732F">
        <w:rPr>
          <w:rFonts w:eastAsia="Times New Roman" w:cs="Times New Roman"/>
          <w:color w:val="000000"/>
          <w:sz w:val="13"/>
          <w:szCs w:val="13"/>
          <w:lang w:eastAsia="pl-PL"/>
        </w:rPr>
        <w:t xml:space="preserve">     Wystąpienie pokontrolne z 7 października 2016 r., znak BKA-I.0941.4.2016.MN, zalecenie nr 1.</w:t>
      </w:r>
    </w:p>
    <w:p w:rsidR="00AE7A5B" w:rsidRPr="0061732F" w:rsidP="00AE7A5B">
      <w:pPr>
        <w:numPr>
          <w:ilvl w:val="0"/>
          <w:numId w:val="9"/>
        </w:numPr>
        <w:suppressAutoHyphens/>
        <w:spacing w:after="0" w:line="240" w:lineRule="auto"/>
        <w:ind w:left="567" w:hanging="141"/>
        <w:jc w:val="left"/>
        <w:rPr>
          <w:rFonts w:eastAsia="Calibri" w:cs="Times New Roman"/>
          <w:sz w:val="13"/>
          <w:szCs w:val="13"/>
        </w:rPr>
      </w:pPr>
      <w:r w:rsidRPr="0061732F">
        <w:rPr>
          <w:rFonts w:eastAsia="Times New Roman" w:cs="Times New Roman"/>
          <w:color w:val="000000"/>
          <w:sz w:val="13"/>
          <w:szCs w:val="13"/>
          <w:lang w:eastAsia="pl-PL"/>
        </w:rPr>
        <w:t xml:space="preserve">     Sprawozdanie z kontroli z 14 września 2017 r., znak BKA-I.0943.10.2016.AG, zalecenie nr 1 i 2.</w:t>
      </w:r>
    </w:p>
    <w:p w:rsidR="00AE7A5B" w:rsidRPr="0061732F" w:rsidP="00AE7A5B">
      <w:pPr>
        <w:numPr>
          <w:ilvl w:val="0"/>
          <w:numId w:val="9"/>
        </w:numPr>
        <w:suppressAutoHyphens/>
        <w:spacing w:after="0" w:line="240" w:lineRule="auto"/>
        <w:ind w:left="567" w:hanging="141"/>
        <w:jc w:val="left"/>
        <w:rPr>
          <w:rFonts w:eastAsia="Calibri" w:cs="Times New Roman"/>
          <w:sz w:val="13"/>
          <w:szCs w:val="13"/>
        </w:rPr>
      </w:pPr>
      <w:r w:rsidRPr="0061732F">
        <w:rPr>
          <w:rFonts w:eastAsia="Times New Roman" w:cs="Times New Roman"/>
          <w:color w:val="000000"/>
          <w:sz w:val="13"/>
          <w:szCs w:val="13"/>
          <w:lang w:eastAsia="pl-PL"/>
        </w:rPr>
        <w:t>Sprawozdanie z kontroli z 15 września 2017 r., znak: BKA-I.0943.10.2016.MN, zalecenie nr 2, 3, 6 i 7.</w:t>
      </w:r>
    </w:p>
  </w:footnote>
  <w:footnote w:id="38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M.in. przeprowadzenie co najmniej 5 kontroli terenowych w ciągu roku a efektem tych prac miały być protokoły z przeprowadzonych kontroli terenowych, opracowanie roboczej procedury kontroli.</w:t>
      </w:r>
    </w:p>
  </w:footnote>
  <w:footnote w:id="38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Podpisując umowę nr 1100/2020/Wn-07/FG-go-</w:t>
      </w:r>
      <w:r w:rsidRPr="0061732F">
        <w:rPr>
          <w:rFonts w:ascii="Lato" w:hAnsi="Lato"/>
          <w:sz w:val="13"/>
          <w:szCs w:val="13"/>
        </w:rPr>
        <w:t>dn</w:t>
      </w:r>
      <w:r w:rsidRPr="0061732F">
        <w:rPr>
          <w:rFonts w:ascii="Lato" w:hAnsi="Lato"/>
          <w:sz w:val="13"/>
          <w:szCs w:val="13"/>
        </w:rPr>
        <w:t>/D z 8 maja 2020 r.</w:t>
      </w:r>
    </w:p>
  </w:footnote>
  <w:footnote w:id="38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Znak DNGS-WPN.4751.1100.2020.PD.</w:t>
      </w:r>
    </w:p>
  </w:footnote>
  <w:footnote w:id="386">
    <w:p w:rsidR="00AE7A5B" w:rsidRPr="0061732F" w:rsidP="00AE7A5B">
      <w:pPr>
        <w:spacing w:after="0" w:line="240" w:lineRule="auto"/>
        <w:ind w:left="284" w:hanging="284"/>
        <w:jc w:val="left"/>
        <w:rPr>
          <w:sz w:val="13"/>
          <w:szCs w:val="13"/>
        </w:rPr>
      </w:pPr>
      <w:r w:rsidRPr="0061732F">
        <w:rPr>
          <w:rStyle w:val="FootnoteReference"/>
          <w:sz w:val="13"/>
          <w:szCs w:val="13"/>
        </w:rPr>
        <w:footnoteRef/>
      </w:r>
      <w:r w:rsidRPr="0061732F">
        <w:rPr>
          <w:sz w:val="13"/>
          <w:szCs w:val="13"/>
        </w:rPr>
        <w:tab/>
        <w:t>Aneksem nr 3 z 23 czerwca 2021 r. do ww. umowy o dofinansowanie w formie dotacji zmniejszono liczbę zaplanowanych kontroli terenowych z 5 do co najmniej 1 oraz skrócono termin realizacji do 30 czerwca 2021 r. Zgodnie ze sprawozdaniem końcowym z realizacji ww. przedsięwzięcia z 20 września 2021 r., zrealizowano 1 kontrolę terenową.</w:t>
      </w:r>
    </w:p>
  </w:footnote>
  <w:footnote w:id="387">
    <w:p w:rsidR="00AE7A5B" w:rsidRPr="0061732F" w:rsidP="00AE7A5B">
      <w:pPr>
        <w:pStyle w:val="FootnoteText"/>
        <w:ind w:left="284" w:hanging="284"/>
        <w:rPr>
          <w:rFonts w:ascii="Lato" w:hAnsi="Lato"/>
          <w:sz w:val="13"/>
          <w:szCs w:val="13"/>
        </w:rPr>
      </w:pPr>
      <w:r w:rsidRPr="0061732F">
        <w:rPr>
          <w:rStyle w:val="FootnoteReference"/>
          <w:rFonts w:ascii="Lato" w:hAnsi="Lato" w:eastAsiaTheme="majorEastAsia"/>
          <w:sz w:val="13"/>
          <w:szCs w:val="13"/>
        </w:rPr>
        <w:footnoteRef/>
      </w:r>
      <w:r w:rsidRPr="0061732F">
        <w:rPr>
          <w:rFonts w:ascii="Lato" w:hAnsi="Lato"/>
          <w:sz w:val="13"/>
          <w:szCs w:val="13"/>
        </w:rPr>
        <w:t xml:space="preserve">  </w:t>
      </w:r>
      <w:r w:rsidRPr="0061732F">
        <w:rPr>
          <w:rFonts w:ascii="Lato" w:hAnsi="Lato"/>
          <w:sz w:val="13"/>
          <w:szCs w:val="13"/>
        </w:rPr>
        <w:tab/>
        <w:t xml:space="preserve">Umowy nr: 04/2020 z 29 stycznia 2020 r., 13/2020 z 6 lutego 2020 r., 191/2020 z 11 sierpnia 2020 r., 245/2020 z 13 listopada 2020 r., 262/2020 z 16 listopada 2020 r. oraz 5 umów z 2021  r. o numerach: 27/2021 z 25 lutego 2021 r., 52/2021 z 4 marca 2021 r., 76/2021 </w:t>
      </w:r>
      <w:r w:rsidRPr="0061732F">
        <w:rPr>
          <w:rFonts w:ascii="Lato" w:hAnsi="Lato"/>
          <w:sz w:val="13"/>
          <w:szCs w:val="13"/>
        </w:rPr>
        <w:br/>
        <w:t>z 1 kwietnia 2021 r., 219/2021 z 30 czerwca 2021 r., 386/2021 z 22 marca 2021 r.</w:t>
      </w:r>
    </w:p>
  </w:footnote>
  <w:footnote w:id="38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Klimatu z 16 stycznia 2020 r., znak: BKA-I.0945.1.2018.KZ.</w:t>
      </w:r>
    </w:p>
  </w:footnote>
  <w:footnote w:id="38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28 lipca 2020 r., znak: BKA-I.0831.4.1.2020.</w:t>
      </w:r>
    </w:p>
  </w:footnote>
  <w:footnote w:id="39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28 lipca 2020 r., znak: BKA-I.0831.4.1.2020.</w:t>
      </w:r>
    </w:p>
  </w:footnote>
  <w:footnote w:id="39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Z wyłączeniem weryfikacji spełnienia wymogu § 16 ust. 2 pkt 1 i 7 Instrukcji kancelaryjnej PIG.  </w:t>
      </w:r>
    </w:p>
  </w:footnote>
  <w:footnote w:id="39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28 lipca 2020 r., znak: BKA-I.0831.4.1.2020.</w:t>
      </w:r>
    </w:p>
  </w:footnote>
  <w:footnote w:id="39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28 lipca 2020 r., znak: BKA-I.0831.4.1.2020.</w:t>
      </w:r>
    </w:p>
  </w:footnote>
  <w:footnote w:id="394">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Wprowadzonym zarządzeniem Dyrektora nr 40/2020 z 10 listopada 2020 r.</w:t>
      </w:r>
    </w:p>
  </w:footnote>
  <w:footnote w:id="395">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Dz. U. z 2008 r. nr 205 poz. 1283.</w:t>
      </w:r>
    </w:p>
  </w:footnote>
  <w:footnote w:id="396">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28 lipca 2020 r., znak: BKA-I.0831.4.1.2020.</w:t>
      </w:r>
    </w:p>
  </w:footnote>
  <w:footnote w:id="397">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Dotyczy poz. 3, 19, 21, 28, 30, 44, 53, 56 i 66 Tabeli osób zwolnionych w 2020 r. z 9 lutego 2023 r. oraz poz. 10, 12, 14, 24, 25, 28, 30, 36, 42, 46, 50, 52, 54, 57, 64, 77, 86 i 92 Tabeli osób zwolnionych w 2021 r. z 9 lutego 2023 r.</w:t>
      </w:r>
    </w:p>
  </w:footnote>
  <w:footnote w:id="398">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7, 42, 50 Tabeli osób zwolnionych w 2021 r. z 9 lutego 2023 r. </w:t>
      </w:r>
    </w:p>
  </w:footnote>
  <w:footnote w:id="399">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Dotyczy poz. 28, 30, 44, 53, 56 i 66 Tabeli osób zwolnionych w 2020 r. z 9 lutego 2023 r oraz poz. 10, 12, 14, 24, 28, 30, 36, 52, 54, 58, 64, 77 i 92 Tabeli osób zwolnionych w 2021 r. z 9 lutego 2023 r. </w:t>
      </w:r>
    </w:p>
  </w:footnote>
  <w:footnote w:id="400">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Poz. 19, 21 Tabeli osób zwolnionych w 2020 r. z 9 lutego 2023 r. oraz poz. 25, 57 Tabeli osób zwolnionych w 2021 r. z 9 lutego 2023 r. </w:t>
      </w:r>
    </w:p>
  </w:footnote>
  <w:footnote w:id="401">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28 lipca 2020 r., znak: BKA-I.0831.4.1.2020.</w:t>
      </w:r>
    </w:p>
  </w:footnote>
  <w:footnote w:id="402">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 xml:space="preserve">Wystąpienie pokontrolnego Ministra Środowiska z 28 lipca 2020 r., znak: BKA-I.0831.4.1.2020.       </w:t>
      </w:r>
    </w:p>
  </w:footnote>
  <w:footnote w:id="403">
    <w:p w:rsidR="00AE7A5B" w:rsidRPr="0061732F" w:rsidP="00AE7A5B">
      <w:pPr>
        <w:pStyle w:val="FootnoteText"/>
        <w:ind w:left="284" w:hanging="284"/>
        <w:rPr>
          <w:rFonts w:ascii="Lato" w:hAnsi="Lato"/>
          <w:sz w:val="13"/>
          <w:szCs w:val="13"/>
        </w:rPr>
      </w:pPr>
      <w:r w:rsidRPr="0061732F">
        <w:rPr>
          <w:rStyle w:val="FootnoteReference"/>
          <w:rFonts w:ascii="Lato" w:hAnsi="Lato"/>
          <w:sz w:val="13"/>
          <w:szCs w:val="13"/>
        </w:rPr>
        <w:footnoteRef/>
      </w:r>
      <w:r w:rsidRPr="0061732F">
        <w:rPr>
          <w:rFonts w:ascii="Lato" w:hAnsi="Lato"/>
          <w:sz w:val="13"/>
          <w:szCs w:val="13"/>
        </w:rPr>
        <w:t xml:space="preserve">  </w:t>
      </w:r>
      <w:r w:rsidRPr="0061732F">
        <w:rPr>
          <w:rFonts w:ascii="Lato" w:hAnsi="Lato"/>
          <w:sz w:val="13"/>
          <w:szCs w:val="13"/>
        </w:rPr>
        <w:tab/>
        <w:t>Wystąpienie pokontrolne Ministra Środowiska z 28 lipca 2020 r., znak: BKA-I.0831.4.1.2020.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P="009276B2">
    <w:pPr>
      <w:pStyle w:val="Header"/>
      <w:tabs>
        <w:tab w:val="clear" w:pos="453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pPr>
    <w:r>
      <w:rPr>
        <w:noProof/>
        <w:lang w:eastAsia="pl-PL"/>
      </w:rPr>
      <w:drawing>
        <wp:anchor distT="0" distB="0" distL="114300" distR="114300" simplePos="0" relativeHeight="251658240" behindDoc="0" locked="0" layoutInCell="1" allowOverlap="1">
          <wp:simplePos x="0" y="0"/>
          <wp:positionH relativeFrom="column">
            <wp:posOffset>-908050</wp:posOffset>
          </wp:positionH>
          <wp:positionV relativeFrom="paragraph">
            <wp:posOffset>-67310</wp:posOffset>
          </wp:positionV>
          <wp:extent cx="3146425" cy="1061720"/>
          <wp:effectExtent l="0" t="0" r="0" b="0"/>
          <wp:wrapThrough wrapText="bothSides">
            <wp:wrapPolygon>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F4701"/>
    <w:multiLevelType w:val="hybridMultilevel"/>
    <w:tmpl w:val="7C0682B6"/>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1108BD"/>
    <w:multiLevelType w:val="hybridMultilevel"/>
    <w:tmpl w:val="F88A5AB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33F3C53"/>
    <w:multiLevelType w:val="hybridMultilevel"/>
    <w:tmpl w:val="E2789746"/>
    <w:lvl w:ilvl="0">
      <w:start w:val="1"/>
      <w:numFmt w:val="bullet"/>
      <w:lvlText w:val=""/>
      <w:lvlJc w:val="left"/>
      <w:pPr>
        <w:ind w:left="2424" w:hanging="360"/>
      </w:pPr>
      <w:rPr>
        <w:rFonts w:ascii="Wingdings" w:hAnsi="Wingdings" w:hint="default"/>
        <w:sz w:val="20"/>
        <w:szCs w:val="20"/>
      </w:rPr>
    </w:lvl>
    <w:lvl w:ilvl="1">
      <w:start w:val="1"/>
      <w:numFmt w:val="bullet"/>
      <w:lvlText w:val="o"/>
      <w:lvlJc w:val="left"/>
      <w:pPr>
        <w:ind w:left="3144" w:hanging="360"/>
      </w:pPr>
      <w:rPr>
        <w:rFonts w:ascii="Courier New" w:hAnsi="Courier New" w:cs="Courier New" w:hint="default"/>
      </w:rPr>
    </w:lvl>
    <w:lvl w:ilvl="2" w:tentative="1">
      <w:start w:val="1"/>
      <w:numFmt w:val="bullet"/>
      <w:lvlText w:val=""/>
      <w:lvlJc w:val="left"/>
      <w:pPr>
        <w:ind w:left="3864" w:hanging="360"/>
      </w:pPr>
      <w:rPr>
        <w:rFonts w:ascii="Wingdings" w:hAnsi="Wingdings" w:hint="default"/>
      </w:rPr>
    </w:lvl>
    <w:lvl w:ilvl="3" w:tentative="1">
      <w:start w:val="1"/>
      <w:numFmt w:val="bullet"/>
      <w:lvlText w:val=""/>
      <w:lvlJc w:val="left"/>
      <w:pPr>
        <w:ind w:left="4584" w:hanging="360"/>
      </w:pPr>
      <w:rPr>
        <w:rFonts w:ascii="Symbol" w:hAnsi="Symbol" w:hint="default"/>
      </w:rPr>
    </w:lvl>
    <w:lvl w:ilvl="4" w:tentative="1">
      <w:start w:val="1"/>
      <w:numFmt w:val="bullet"/>
      <w:lvlText w:val="o"/>
      <w:lvlJc w:val="left"/>
      <w:pPr>
        <w:ind w:left="5304" w:hanging="360"/>
      </w:pPr>
      <w:rPr>
        <w:rFonts w:ascii="Courier New" w:hAnsi="Courier New" w:cs="Courier New" w:hint="default"/>
      </w:rPr>
    </w:lvl>
    <w:lvl w:ilvl="5" w:tentative="1">
      <w:start w:val="1"/>
      <w:numFmt w:val="bullet"/>
      <w:lvlText w:val=""/>
      <w:lvlJc w:val="left"/>
      <w:pPr>
        <w:ind w:left="6024" w:hanging="360"/>
      </w:pPr>
      <w:rPr>
        <w:rFonts w:ascii="Wingdings" w:hAnsi="Wingdings" w:hint="default"/>
      </w:rPr>
    </w:lvl>
    <w:lvl w:ilvl="6" w:tentative="1">
      <w:start w:val="1"/>
      <w:numFmt w:val="bullet"/>
      <w:lvlText w:val=""/>
      <w:lvlJc w:val="left"/>
      <w:pPr>
        <w:ind w:left="6744" w:hanging="360"/>
      </w:pPr>
      <w:rPr>
        <w:rFonts w:ascii="Symbol" w:hAnsi="Symbol" w:hint="default"/>
      </w:rPr>
    </w:lvl>
    <w:lvl w:ilvl="7" w:tentative="1">
      <w:start w:val="1"/>
      <w:numFmt w:val="bullet"/>
      <w:lvlText w:val="o"/>
      <w:lvlJc w:val="left"/>
      <w:pPr>
        <w:ind w:left="7464" w:hanging="360"/>
      </w:pPr>
      <w:rPr>
        <w:rFonts w:ascii="Courier New" w:hAnsi="Courier New" w:cs="Courier New" w:hint="default"/>
      </w:rPr>
    </w:lvl>
    <w:lvl w:ilvl="8" w:tentative="1">
      <w:start w:val="1"/>
      <w:numFmt w:val="bullet"/>
      <w:lvlText w:val=""/>
      <w:lvlJc w:val="left"/>
      <w:pPr>
        <w:ind w:left="8184" w:hanging="360"/>
      </w:pPr>
      <w:rPr>
        <w:rFonts w:ascii="Wingdings" w:hAnsi="Wingdings" w:hint="default"/>
      </w:rPr>
    </w:lvl>
  </w:abstractNum>
  <w:abstractNum w:abstractNumId="3">
    <w:nsid w:val="057B72B0"/>
    <w:multiLevelType w:val="hybridMultilevel"/>
    <w:tmpl w:val="1D129D02"/>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8E6ED2"/>
    <w:multiLevelType w:val="hybridMultilevel"/>
    <w:tmpl w:val="91DC0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2C5B9F"/>
    <w:multiLevelType w:val="hybridMultilevel"/>
    <w:tmpl w:val="7CDED1D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4E70A8"/>
    <w:multiLevelType w:val="hybridMultilevel"/>
    <w:tmpl w:val="8C369422"/>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A46846"/>
    <w:multiLevelType w:val="hybridMultilevel"/>
    <w:tmpl w:val="42D8B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D12C0F"/>
    <w:multiLevelType w:val="hybridMultilevel"/>
    <w:tmpl w:val="7340BF84"/>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D607A2"/>
    <w:multiLevelType w:val="hybridMultilevel"/>
    <w:tmpl w:val="B7C6C1D2"/>
    <w:lvl w:ilvl="0">
      <w:start w:val="1"/>
      <w:numFmt w:val="bullet"/>
      <w:lvlText w:val=""/>
      <w:lvlJc w:val="left"/>
      <w:pPr>
        <w:ind w:left="720" w:hanging="360"/>
      </w:pPr>
      <w:rPr>
        <w:rFonts w:ascii="Wingdings" w:hAnsi="Wingdings" w:hint="default"/>
        <w:strike w:val="0"/>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EC432A"/>
    <w:multiLevelType w:val="hybridMultilevel"/>
    <w:tmpl w:val="48EE619A"/>
    <w:lvl w:ilvl="0">
      <w:start w:val="1"/>
      <w:numFmt w:val="upperRoman"/>
      <w:lvlText w:val="%1."/>
      <w:lvlJc w:val="left"/>
      <w:pPr>
        <w:ind w:left="1080" w:hanging="720"/>
      </w:pPr>
      <w:rPr>
        <w:rFonts w:ascii="Lato" w:eastAsia="Calibri" w:hAnsi="Lato" w:cs="Calibri" w:hint="default"/>
        <w:sz w:val="13"/>
        <w:szCs w:val="1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5773E8"/>
    <w:multiLevelType w:val="hybridMultilevel"/>
    <w:tmpl w:val="9A2C0EF2"/>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235C0F"/>
    <w:multiLevelType w:val="hybridMultilevel"/>
    <w:tmpl w:val="E1E84136"/>
    <w:lvl w:ilvl="0">
      <w:start w:val="1"/>
      <w:numFmt w:val="bullet"/>
      <w:lvlText w:val=""/>
      <w:lvlJc w:val="left"/>
      <w:pPr>
        <w:ind w:left="1155" w:hanging="360"/>
      </w:pPr>
      <w:rPr>
        <w:rFonts w:ascii="Wingdings" w:hAnsi="Wingdings" w:hint="default"/>
        <w:sz w:val="20"/>
        <w:szCs w:val="20"/>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13">
    <w:nsid w:val="385C688F"/>
    <w:multiLevelType w:val="hybridMultilevel"/>
    <w:tmpl w:val="7E68C1CC"/>
    <w:lvl w:ilvl="0">
      <w:start w:val="1"/>
      <w:numFmt w:val="decimal"/>
      <w:lvlText w:val="%1."/>
      <w:lvlJc w:val="left"/>
      <w:pPr>
        <w:ind w:left="502" w:hanging="360"/>
      </w:pPr>
      <w:rPr>
        <w:rFonts w:ascii="Lato" w:hAnsi="Lato" w:hint="default"/>
        <w:b w:val="0"/>
        <w:bCs w:val="0"/>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3B3B0BB5"/>
    <w:multiLevelType w:val="hybridMultilevel"/>
    <w:tmpl w:val="79123AC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7C42A8"/>
    <w:multiLevelType w:val="hybridMultilevel"/>
    <w:tmpl w:val="48FA228E"/>
    <w:lvl w:ilvl="0">
      <w:start w:val="1"/>
      <w:numFmt w:val="decimal"/>
      <w:lvlText w:val="%1)"/>
      <w:lvlJc w:val="left"/>
      <w:pPr>
        <w:ind w:left="360" w:hanging="360"/>
      </w:pPr>
      <w:rPr>
        <w:rFonts w:ascii="Lato" w:hAnsi="Lato" w:hint="default"/>
        <w:b w:val="0"/>
        <w:b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E10B71"/>
    <w:multiLevelType w:val="hybridMultilevel"/>
    <w:tmpl w:val="7E68C1CC"/>
    <w:lvl w:ilvl="0">
      <w:start w:val="1"/>
      <w:numFmt w:val="decimal"/>
      <w:lvlText w:val="%1."/>
      <w:lvlJc w:val="left"/>
      <w:pPr>
        <w:ind w:left="360" w:hanging="360"/>
      </w:pPr>
      <w:rPr>
        <w:rFonts w:ascii="Lato" w:hAnsi="Lato" w:hint="default"/>
        <w:b w:val="0"/>
        <w:bCs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3F863FAB"/>
    <w:multiLevelType w:val="hybridMultilevel"/>
    <w:tmpl w:val="45E012E8"/>
    <w:lvl w:ilvl="0">
      <w:start w:val="1"/>
      <w:numFmt w:val="bullet"/>
      <w:lvlText w:val=""/>
      <w:lvlJc w:val="left"/>
      <w:pPr>
        <w:ind w:left="757" w:hanging="360"/>
      </w:pPr>
      <w:rPr>
        <w:rFonts w:ascii="Wingdings" w:hAnsi="Wingdings"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8">
    <w:nsid w:val="40566720"/>
    <w:multiLevelType w:val="hybridMultilevel"/>
    <w:tmpl w:val="E6FAA152"/>
    <w:lvl w:ilvl="0">
      <w:start w:val="1"/>
      <w:numFmt w:val="bullet"/>
      <w:lvlText w:val=""/>
      <w:lvlJc w:val="left"/>
      <w:pPr>
        <w:ind w:left="1146" w:hanging="360"/>
      </w:pPr>
      <w:rPr>
        <w:rFonts w:ascii="Wingdings" w:hAnsi="Wingdings" w:hint="default"/>
        <w:sz w:val="20"/>
        <w:szCs w:val="20"/>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9">
    <w:nsid w:val="425F6E66"/>
    <w:multiLevelType w:val="hybridMultilevel"/>
    <w:tmpl w:val="679C3512"/>
    <w:lvl w:ilvl="0">
      <w:start w:val="1"/>
      <w:numFmt w:val="bullet"/>
      <w:lvlText w:val=""/>
      <w:lvlJc w:val="left"/>
      <w:pPr>
        <w:ind w:left="1112" w:hanging="360"/>
      </w:pPr>
      <w:rPr>
        <w:rFonts w:ascii="Symbol" w:hAnsi="Symbol" w:hint="default"/>
      </w:rPr>
    </w:lvl>
    <w:lvl w:ilvl="1" w:tentative="1">
      <w:start w:val="1"/>
      <w:numFmt w:val="bullet"/>
      <w:lvlText w:val="o"/>
      <w:lvlJc w:val="left"/>
      <w:pPr>
        <w:ind w:left="1832" w:hanging="360"/>
      </w:pPr>
      <w:rPr>
        <w:rFonts w:ascii="Courier New" w:hAnsi="Courier New" w:cs="Courier New" w:hint="default"/>
      </w:rPr>
    </w:lvl>
    <w:lvl w:ilvl="2" w:tentative="1">
      <w:start w:val="1"/>
      <w:numFmt w:val="bullet"/>
      <w:lvlText w:val=""/>
      <w:lvlJc w:val="left"/>
      <w:pPr>
        <w:ind w:left="2552" w:hanging="360"/>
      </w:pPr>
      <w:rPr>
        <w:rFonts w:ascii="Wingdings" w:hAnsi="Wingdings" w:hint="default"/>
      </w:rPr>
    </w:lvl>
    <w:lvl w:ilvl="3" w:tentative="1">
      <w:start w:val="1"/>
      <w:numFmt w:val="bullet"/>
      <w:lvlText w:val=""/>
      <w:lvlJc w:val="left"/>
      <w:pPr>
        <w:ind w:left="3272" w:hanging="360"/>
      </w:pPr>
      <w:rPr>
        <w:rFonts w:ascii="Symbol" w:hAnsi="Symbol" w:hint="default"/>
      </w:rPr>
    </w:lvl>
    <w:lvl w:ilvl="4" w:tentative="1">
      <w:start w:val="1"/>
      <w:numFmt w:val="bullet"/>
      <w:lvlText w:val="o"/>
      <w:lvlJc w:val="left"/>
      <w:pPr>
        <w:ind w:left="3992" w:hanging="360"/>
      </w:pPr>
      <w:rPr>
        <w:rFonts w:ascii="Courier New" w:hAnsi="Courier New" w:cs="Courier New" w:hint="default"/>
      </w:rPr>
    </w:lvl>
    <w:lvl w:ilvl="5" w:tentative="1">
      <w:start w:val="1"/>
      <w:numFmt w:val="bullet"/>
      <w:lvlText w:val=""/>
      <w:lvlJc w:val="left"/>
      <w:pPr>
        <w:ind w:left="4712" w:hanging="360"/>
      </w:pPr>
      <w:rPr>
        <w:rFonts w:ascii="Wingdings" w:hAnsi="Wingdings" w:hint="default"/>
      </w:rPr>
    </w:lvl>
    <w:lvl w:ilvl="6" w:tentative="1">
      <w:start w:val="1"/>
      <w:numFmt w:val="bullet"/>
      <w:lvlText w:val=""/>
      <w:lvlJc w:val="left"/>
      <w:pPr>
        <w:ind w:left="5432" w:hanging="360"/>
      </w:pPr>
      <w:rPr>
        <w:rFonts w:ascii="Symbol" w:hAnsi="Symbol" w:hint="default"/>
      </w:rPr>
    </w:lvl>
    <w:lvl w:ilvl="7" w:tentative="1">
      <w:start w:val="1"/>
      <w:numFmt w:val="bullet"/>
      <w:lvlText w:val="o"/>
      <w:lvlJc w:val="left"/>
      <w:pPr>
        <w:ind w:left="6152" w:hanging="360"/>
      </w:pPr>
      <w:rPr>
        <w:rFonts w:ascii="Courier New" w:hAnsi="Courier New" w:cs="Courier New" w:hint="default"/>
      </w:rPr>
    </w:lvl>
    <w:lvl w:ilvl="8" w:tentative="1">
      <w:start w:val="1"/>
      <w:numFmt w:val="bullet"/>
      <w:lvlText w:val=""/>
      <w:lvlJc w:val="left"/>
      <w:pPr>
        <w:ind w:left="6872" w:hanging="360"/>
      </w:pPr>
      <w:rPr>
        <w:rFonts w:ascii="Wingdings" w:hAnsi="Wingdings" w:hint="default"/>
      </w:rPr>
    </w:lvl>
  </w:abstractNum>
  <w:abstractNum w:abstractNumId="20">
    <w:nsid w:val="46697FF0"/>
    <w:multiLevelType w:val="hybridMultilevel"/>
    <w:tmpl w:val="E0B87A4A"/>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764101D"/>
    <w:multiLevelType w:val="hybridMultilevel"/>
    <w:tmpl w:val="934AE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2D26D0"/>
    <w:multiLevelType w:val="hybridMultilevel"/>
    <w:tmpl w:val="8B42C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E012D1"/>
    <w:multiLevelType w:val="hybridMultilevel"/>
    <w:tmpl w:val="C9E4AABC"/>
    <w:lvl w:ilvl="0">
      <w:start w:val="1"/>
      <w:numFmt w:val="bullet"/>
      <w:lvlText w:val=""/>
      <w:lvlJc w:val="left"/>
      <w:pPr>
        <w:ind w:left="1440" w:hanging="360"/>
      </w:pPr>
      <w:rPr>
        <w:rFonts w:ascii="Wingdings" w:hAnsi="Wingdings" w:hint="default"/>
        <w:color w:val="auto"/>
        <w:sz w:val="20"/>
        <w:szCs w:val="20"/>
      </w:rPr>
    </w:lvl>
    <w:lvl w:ilvl="1">
      <w:start w:val="1"/>
      <w:numFmt w:val="bullet"/>
      <w:lvlText w:val=""/>
      <w:lvlJc w:val="left"/>
      <w:pPr>
        <w:ind w:left="216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5D16C9F"/>
    <w:multiLevelType w:val="hybridMultilevel"/>
    <w:tmpl w:val="ADD4130E"/>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25">
    <w:nsid w:val="55E57CEB"/>
    <w:multiLevelType w:val="hybridMultilevel"/>
    <w:tmpl w:val="1A6E3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CB971B1"/>
    <w:multiLevelType w:val="hybridMultilevel"/>
    <w:tmpl w:val="D7F8B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2F0D57"/>
    <w:multiLevelType w:val="hybridMultilevel"/>
    <w:tmpl w:val="77B84BFA"/>
    <w:lvl w:ilvl="0">
      <w:start w:val="1"/>
      <w:numFmt w:val="bullet"/>
      <w:lvlText w:val=""/>
      <w:lvlJc w:val="left"/>
      <w:pPr>
        <w:tabs>
          <w:tab w:val="num" w:pos="360"/>
        </w:tabs>
        <w:ind w:left="360" w:hanging="360"/>
      </w:pPr>
      <w:rPr>
        <w:rFonts w:ascii="Wingdings" w:hAnsi="Wingdings" w:hint="default"/>
        <w:color w:val="auto"/>
        <w:sz w:val="22"/>
        <w:szCs w:val="22"/>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cs="Wingdings" w:hint="default"/>
      </w:rPr>
    </w:lvl>
    <w:lvl w:ilvl="3">
      <w:start w:val="1"/>
      <w:numFmt w:val="bullet"/>
      <w:lvlText w:val=""/>
      <w:lvlJc w:val="left"/>
      <w:pPr>
        <w:tabs>
          <w:tab w:val="num" w:pos="1260"/>
        </w:tabs>
        <w:ind w:left="1260" w:hanging="360"/>
      </w:pPr>
      <w:rPr>
        <w:rFonts w:ascii="Symbol" w:hAnsi="Symbol" w:cs="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cs="Wingdings" w:hint="default"/>
      </w:rPr>
    </w:lvl>
    <w:lvl w:ilvl="6">
      <w:start w:val="1"/>
      <w:numFmt w:val="bullet"/>
      <w:lvlText w:val=""/>
      <w:lvlJc w:val="left"/>
      <w:pPr>
        <w:tabs>
          <w:tab w:val="num" w:pos="3420"/>
        </w:tabs>
        <w:ind w:left="3420" w:hanging="360"/>
      </w:pPr>
      <w:rPr>
        <w:rFonts w:ascii="Symbol" w:hAnsi="Symbol" w:cs="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cs="Wingdings" w:hint="default"/>
      </w:rPr>
    </w:lvl>
  </w:abstractNum>
  <w:abstractNum w:abstractNumId="28">
    <w:nsid w:val="5FEF19FB"/>
    <w:multiLevelType w:val="hybridMultilevel"/>
    <w:tmpl w:val="B9104660"/>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6F72F4"/>
    <w:multiLevelType w:val="hybridMultilevel"/>
    <w:tmpl w:val="97483A6E"/>
    <w:lvl w:ilvl="0">
      <w:start w:val="1"/>
      <w:numFmt w:val="bullet"/>
      <w:lvlText w:val=""/>
      <w:lvlJc w:val="left"/>
      <w:pPr>
        <w:ind w:left="-82" w:hanging="360"/>
      </w:pPr>
      <w:rPr>
        <w:rFonts w:ascii="Symbol" w:hAnsi="Symbol" w:hint="default"/>
      </w:rPr>
    </w:lvl>
    <w:lvl w:ilvl="1" w:tentative="1">
      <w:start w:val="1"/>
      <w:numFmt w:val="bullet"/>
      <w:lvlText w:val="o"/>
      <w:lvlJc w:val="left"/>
      <w:pPr>
        <w:ind w:left="638" w:hanging="360"/>
      </w:pPr>
      <w:rPr>
        <w:rFonts w:ascii="Courier New" w:hAnsi="Courier New" w:cs="Courier New" w:hint="default"/>
      </w:rPr>
    </w:lvl>
    <w:lvl w:ilvl="2" w:tentative="1">
      <w:start w:val="1"/>
      <w:numFmt w:val="bullet"/>
      <w:lvlText w:val=""/>
      <w:lvlJc w:val="left"/>
      <w:pPr>
        <w:ind w:left="1358" w:hanging="360"/>
      </w:pPr>
      <w:rPr>
        <w:rFonts w:ascii="Wingdings" w:hAnsi="Wingdings" w:hint="default"/>
      </w:rPr>
    </w:lvl>
    <w:lvl w:ilvl="3" w:tentative="1">
      <w:start w:val="1"/>
      <w:numFmt w:val="bullet"/>
      <w:lvlText w:val=""/>
      <w:lvlJc w:val="left"/>
      <w:pPr>
        <w:ind w:left="2078" w:hanging="360"/>
      </w:pPr>
      <w:rPr>
        <w:rFonts w:ascii="Symbol" w:hAnsi="Symbol" w:hint="default"/>
      </w:rPr>
    </w:lvl>
    <w:lvl w:ilvl="4" w:tentative="1">
      <w:start w:val="1"/>
      <w:numFmt w:val="bullet"/>
      <w:lvlText w:val="o"/>
      <w:lvlJc w:val="left"/>
      <w:pPr>
        <w:ind w:left="2798" w:hanging="360"/>
      </w:pPr>
      <w:rPr>
        <w:rFonts w:ascii="Courier New" w:hAnsi="Courier New" w:cs="Courier New" w:hint="default"/>
      </w:rPr>
    </w:lvl>
    <w:lvl w:ilvl="5" w:tentative="1">
      <w:start w:val="1"/>
      <w:numFmt w:val="bullet"/>
      <w:lvlText w:val=""/>
      <w:lvlJc w:val="left"/>
      <w:pPr>
        <w:ind w:left="3518" w:hanging="360"/>
      </w:pPr>
      <w:rPr>
        <w:rFonts w:ascii="Wingdings" w:hAnsi="Wingdings" w:hint="default"/>
      </w:rPr>
    </w:lvl>
    <w:lvl w:ilvl="6" w:tentative="1">
      <w:start w:val="1"/>
      <w:numFmt w:val="bullet"/>
      <w:lvlText w:val=""/>
      <w:lvlJc w:val="left"/>
      <w:pPr>
        <w:ind w:left="4238" w:hanging="360"/>
      </w:pPr>
      <w:rPr>
        <w:rFonts w:ascii="Symbol" w:hAnsi="Symbol" w:hint="default"/>
      </w:rPr>
    </w:lvl>
    <w:lvl w:ilvl="7" w:tentative="1">
      <w:start w:val="1"/>
      <w:numFmt w:val="bullet"/>
      <w:lvlText w:val="o"/>
      <w:lvlJc w:val="left"/>
      <w:pPr>
        <w:ind w:left="4958" w:hanging="360"/>
      </w:pPr>
      <w:rPr>
        <w:rFonts w:ascii="Courier New" w:hAnsi="Courier New" w:cs="Courier New" w:hint="default"/>
      </w:rPr>
    </w:lvl>
    <w:lvl w:ilvl="8" w:tentative="1">
      <w:start w:val="1"/>
      <w:numFmt w:val="bullet"/>
      <w:lvlText w:val=""/>
      <w:lvlJc w:val="left"/>
      <w:pPr>
        <w:ind w:left="5678" w:hanging="360"/>
      </w:pPr>
      <w:rPr>
        <w:rFonts w:ascii="Wingdings" w:hAnsi="Wingdings" w:hint="default"/>
      </w:rPr>
    </w:lvl>
  </w:abstractNum>
  <w:abstractNum w:abstractNumId="30">
    <w:nsid w:val="63C54C15"/>
    <w:multiLevelType w:val="hybridMultilevel"/>
    <w:tmpl w:val="F0940A66"/>
    <w:lvl w:ilvl="0">
      <w:start w:val="1"/>
      <w:numFmt w:val="decimal"/>
      <w:lvlText w:val="%1."/>
      <w:lvlJc w:val="left"/>
      <w:pPr>
        <w:ind w:left="360" w:hanging="360"/>
      </w:pPr>
      <w:rPr>
        <w:rFonts w:ascii="Lato" w:hAnsi="Lato" w:hint="default"/>
        <w:b w:val="0"/>
        <w:bCs w:val="0"/>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nsid w:val="67353491"/>
    <w:multiLevelType w:val="hybridMultilevel"/>
    <w:tmpl w:val="A24CE5F6"/>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2">
    <w:nsid w:val="679D4ABD"/>
    <w:multiLevelType w:val="hybridMultilevel"/>
    <w:tmpl w:val="ABC0740A"/>
    <w:lvl w:ilvl="0">
      <w:start w:val="1"/>
      <w:numFmt w:val="bullet"/>
      <w:lvlText w:val=""/>
      <w:lvlJc w:val="left"/>
      <w:pPr>
        <w:ind w:left="360" w:hanging="360"/>
      </w:pPr>
      <w:rPr>
        <w:rFonts w:ascii="Wingdings" w:hAnsi="Wingdings" w:hint="default"/>
        <w:color w:val="auto"/>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D32E77"/>
    <w:multiLevelType w:val="hybridMultilevel"/>
    <w:tmpl w:val="E9A62930"/>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1D30787"/>
    <w:multiLevelType w:val="hybridMultilevel"/>
    <w:tmpl w:val="CF3E344A"/>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33F14C7"/>
    <w:multiLevelType w:val="hybridMultilevel"/>
    <w:tmpl w:val="E89AF45E"/>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597373"/>
    <w:multiLevelType w:val="hybridMultilevel"/>
    <w:tmpl w:val="704A4F66"/>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nsid w:val="7A893D8E"/>
    <w:multiLevelType w:val="hybridMultilevel"/>
    <w:tmpl w:val="8D2C37FE"/>
    <w:lvl w:ilvl="0">
      <w:start w:val="1"/>
      <w:numFmt w:val="bullet"/>
      <w:lvlText w:val=""/>
      <w:lvlJc w:val="left"/>
      <w:pPr>
        <w:ind w:left="757" w:hanging="360"/>
      </w:pPr>
      <w:rPr>
        <w:rFonts w:ascii="Wingdings" w:hAnsi="Wingdings" w:hint="default"/>
        <w:sz w:val="22"/>
        <w:szCs w:val="22"/>
      </w:rPr>
    </w:lvl>
    <w:lvl w:ilvl="1" w:tentative="1">
      <w:start w:val="1"/>
      <w:numFmt w:val="bullet"/>
      <w:lvlText w:val="o"/>
      <w:lvlJc w:val="left"/>
      <w:pPr>
        <w:ind w:left="1477" w:hanging="360"/>
      </w:pPr>
      <w:rPr>
        <w:rFonts w:ascii="Courier New" w:hAnsi="Courier New" w:cs="Courier New" w:hint="default"/>
      </w:rPr>
    </w:lvl>
    <w:lvl w:ilvl="2" w:tentative="1">
      <w:start w:val="1"/>
      <w:numFmt w:val="bullet"/>
      <w:lvlText w:val=""/>
      <w:lvlJc w:val="left"/>
      <w:pPr>
        <w:ind w:left="2197" w:hanging="360"/>
      </w:pPr>
      <w:rPr>
        <w:rFonts w:ascii="Wingdings" w:hAnsi="Wingdings" w:hint="default"/>
      </w:rPr>
    </w:lvl>
    <w:lvl w:ilvl="3" w:tentative="1">
      <w:start w:val="1"/>
      <w:numFmt w:val="bullet"/>
      <w:lvlText w:val=""/>
      <w:lvlJc w:val="left"/>
      <w:pPr>
        <w:ind w:left="2917" w:hanging="360"/>
      </w:pPr>
      <w:rPr>
        <w:rFonts w:ascii="Symbol" w:hAnsi="Symbol" w:hint="default"/>
      </w:rPr>
    </w:lvl>
    <w:lvl w:ilvl="4" w:tentative="1">
      <w:start w:val="1"/>
      <w:numFmt w:val="bullet"/>
      <w:lvlText w:val="o"/>
      <w:lvlJc w:val="left"/>
      <w:pPr>
        <w:ind w:left="3637" w:hanging="360"/>
      </w:pPr>
      <w:rPr>
        <w:rFonts w:ascii="Courier New" w:hAnsi="Courier New" w:cs="Courier New" w:hint="default"/>
      </w:rPr>
    </w:lvl>
    <w:lvl w:ilvl="5" w:tentative="1">
      <w:start w:val="1"/>
      <w:numFmt w:val="bullet"/>
      <w:lvlText w:val=""/>
      <w:lvlJc w:val="left"/>
      <w:pPr>
        <w:ind w:left="4357" w:hanging="360"/>
      </w:pPr>
      <w:rPr>
        <w:rFonts w:ascii="Wingdings" w:hAnsi="Wingdings" w:hint="default"/>
      </w:rPr>
    </w:lvl>
    <w:lvl w:ilvl="6" w:tentative="1">
      <w:start w:val="1"/>
      <w:numFmt w:val="bullet"/>
      <w:lvlText w:val=""/>
      <w:lvlJc w:val="left"/>
      <w:pPr>
        <w:ind w:left="5077" w:hanging="360"/>
      </w:pPr>
      <w:rPr>
        <w:rFonts w:ascii="Symbol" w:hAnsi="Symbol" w:hint="default"/>
      </w:rPr>
    </w:lvl>
    <w:lvl w:ilvl="7" w:tentative="1">
      <w:start w:val="1"/>
      <w:numFmt w:val="bullet"/>
      <w:lvlText w:val="o"/>
      <w:lvlJc w:val="left"/>
      <w:pPr>
        <w:ind w:left="5797" w:hanging="360"/>
      </w:pPr>
      <w:rPr>
        <w:rFonts w:ascii="Courier New" w:hAnsi="Courier New" w:cs="Courier New" w:hint="default"/>
      </w:rPr>
    </w:lvl>
    <w:lvl w:ilvl="8" w:tentative="1">
      <w:start w:val="1"/>
      <w:numFmt w:val="bullet"/>
      <w:lvlText w:val=""/>
      <w:lvlJc w:val="left"/>
      <w:pPr>
        <w:ind w:left="6517" w:hanging="360"/>
      </w:pPr>
      <w:rPr>
        <w:rFonts w:ascii="Wingdings" w:hAnsi="Wingdings" w:hint="default"/>
      </w:rPr>
    </w:lvl>
  </w:abstractNum>
  <w:abstractNum w:abstractNumId="38">
    <w:nsid w:val="7DDE0554"/>
    <w:multiLevelType w:val="hybridMultilevel"/>
    <w:tmpl w:val="3C68EA0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E142A65"/>
    <w:multiLevelType w:val="hybridMultilevel"/>
    <w:tmpl w:val="4A8C3B2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2"/>
  </w:num>
  <w:num w:numId="4">
    <w:abstractNumId w:val="27"/>
  </w:num>
  <w:num w:numId="5">
    <w:abstractNumId w:val="9"/>
  </w:num>
  <w:num w:numId="6">
    <w:abstractNumId w:val="15"/>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3"/>
  </w:num>
  <w:num w:numId="12">
    <w:abstractNumId w:val="6"/>
  </w:num>
  <w:num w:numId="13">
    <w:abstractNumId w:val="39"/>
  </w:num>
  <w:num w:numId="14">
    <w:abstractNumId w:val="1"/>
  </w:num>
  <w:num w:numId="15">
    <w:abstractNumId w:val="31"/>
  </w:num>
  <w:num w:numId="16">
    <w:abstractNumId w:val="12"/>
  </w:num>
  <w:num w:numId="17">
    <w:abstractNumId w:val="19"/>
  </w:num>
  <w:num w:numId="18">
    <w:abstractNumId w:val="37"/>
  </w:num>
  <w:num w:numId="19">
    <w:abstractNumId w:val="18"/>
  </w:num>
  <w:num w:numId="20">
    <w:abstractNumId w:val="8"/>
  </w:num>
  <w:num w:numId="21">
    <w:abstractNumId w:val="28"/>
  </w:num>
  <w:num w:numId="22">
    <w:abstractNumId w:val="23"/>
  </w:num>
  <w:num w:numId="23">
    <w:abstractNumId w:val="22"/>
  </w:num>
  <w:num w:numId="24">
    <w:abstractNumId w:val="10"/>
  </w:num>
  <w:num w:numId="25">
    <w:abstractNumId w:val="11"/>
  </w:num>
  <w:num w:numId="26">
    <w:abstractNumId w:val="35"/>
  </w:num>
  <w:num w:numId="27">
    <w:abstractNumId w:val="7"/>
  </w:num>
  <w:num w:numId="28">
    <w:abstractNumId w:val="26"/>
  </w:num>
  <w:num w:numId="29">
    <w:abstractNumId w:val="21"/>
  </w:num>
  <w:num w:numId="30">
    <w:abstractNumId w:val="4"/>
  </w:num>
  <w:num w:numId="31">
    <w:abstractNumId w:val="0"/>
  </w:num>
  <w:num w:numId="32">
    <w:abstractNumId w:val="34"/>
  </w:num>
  <w:num w:numId="33">
    <w:abstractNumId w:val="20"/>
  </w:num>
  <w:num w:numId="34">
    <w:abstractNumId w:val="3"/>
  </w:num>
  <w:num w:numId="35">
    <w:abstractNumId w:val="1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0"/>
  </w:num>
  <w:num w:numId="39">
    <w:abstractNumId w:val="14"/>
  </w:num>
  <w:num w:numId="40">
    <w:abstractNumId w:val="24"/>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TrueTypeFonts/>
  <w:embedSystemFonts/>
  <w:saveSubsetFonts/>
  <w:proofState w:spelling="clean"/>
  <w:defaultTabStop w:val="709"/>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7D8"/>
    <w:pPr>
      <w:jc w:val="both"/>
    </w:pPr>
    <w:rPr>
      <w:rFonts w:ascii="Lato" w:hAnsi="Lato"/>
      <w:sz w:val="20"/>
    </w:rPr>
  </w:style>
  <w:style w:type="paragraph" w:styleId="Heading1">
    <w:name w:val="heading 1"/>
    <w:basedOn w:val="Normal"/>
    <w:next w:val="Normal"/>
    <w:link w:val="Nagwek1Znak"/>
    <w:qFormat/>
    <w:rsid w:val="00AE7A5B"/>
    <w:pPr>
      <w:keepNext/>
      <w:keepLines/>
      <w:suppressAutoHyphens/>
      <w:spacing w:before="240" w:after="0" w:line="276" w:lineRule="auto"/>
      <w:jc w:val="left"/>
      <w:outlineLvl w:val="0"/>
    </w:pPr>
    <w:rPr>
      <w:rFonts w:asciiTheme="majorHAnsi" w:eastAsiaTheme="majorEastAsia" w:hAnsiTheme="majorHAnsi" w:cstheme="majorBidi"/>
      <w:color w:val="2E74B5" w:themeColor="accent1" w:themeShade="BF"/>
      <w:sz w:val="32"/>
      <w:szCs w:val="32"/>
      <w:lang w:eastAsia="ar-SA"/>
    </w:rPr>
  </w:style>
  <w:style w:type="paragraph" w:styleId="Heading2">
    <w:name w:val="heading 2"/>
    <w:basedOn w:val="Normal"/>
    <w:next w:val="Normal"/>
    <w:link w:val="Nagwek2Znak"/>
    <w:unhideWhenUsed/>
    <w:qFormat/>
    <w:rsid w:val="00AE7A5B"/>
    <w:pPr>
      <w:keepNext/>
      <w:keepLines/>
      <w:suppressAutoHyphens/>
      <w:spacing w:before="40" w:after="0" w:line="276" w:lineRule="auto"/>
      <w:jc w:val="left"/>
      <w:outlineLvl w:val="1"/>
    </w:pPr>
    <w:rPr>
      <w:rFonts w:asciiTheme="majorHAnsi" w:eastAsiaTheme="majorEastAsia" w:hAnsiTheme="majorHAnsi" w:cstheme="majorBidi"/>
      <w:color w:val="2E74B5" w:themeColor="accent1" w:themeShade="BF"/>
      <w:sz w:val="26"/>
      <w:szCs w:val="26"/>
      <w:lang w:eastAsia="ar-SA"/>
    </w:rPr>
  </w:style>
  <w:style w:type="paragraph" w:styleId="Heading5">
    <w:name w:val="heading 5"/>
    <w:basedOn w:val="Normal"/>
    <w:next w:val="Normal"/>
    <w:link w:val="Nagwek5Znak"/>
    <w:semiHidden/>
    <w:unhideWhenUsed/>
    <w:qFormat/>
    <w:rsid w:val="00AE7A5B"/>
    <w:pPr>
      <w:keepNext/>
      <w:keepLines/>
      <w:suppressAutoHyphens/>
      <w:spacing w:before="40" w:after="0" w:line="276" w:lineRule="auto"/>
      <w:jc w:val="left"/>
      <w:outlineLvl w:val="4"/>
    </w:pPr>
    <w:rPr>
      <w:rFonts w:asciiTheme="majorHAnsi" w:eastAsiaTheme="majorEastAsia" w:hAnsiTheme="majorHAnsi" w:cstheme="majorBidi"/>
      <w:color w:val="2E74B5" w:themeColor="accent1" w:themeShade="BF"/>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9276B2"/>
  </w:style>
  <w:style w:type="paragraph" w:styleId="Footer">
    <w:name w:val="footer"/>
    <w:basedOn w:val="Normal"/>
    <w:link w:val="StopkaZnak"/>
    <w:uiPriority w:val="99"/>
    <w:unhideWhenUsed/>
    <w:qFormat/>
    <w:rsid w:val="006939C0"/>
    <w:pPr>
      <w:tabs>
        <w:tab w:val="center" w:pos="4536"/>
        <w:tab w:val="right" w:pos="9072"/>
      </w:tabs>
      <w:spacing w:after="0" w:line="240" w:lineRule="auto"/>
      <w:jc w:val="left"/>
    </w:pPr>
    <w:rPr>
      <w:sz w:val="16"/>
    </w:rPr>
  </w:style>
  <w:style w:type="character" w:customStyle="1" w:styleId="StopkaZnak">
    <w:name w:val="Stopka Znak"/>
    <w:basedOn w:val="DefaultParagraphFont"/>
    <w:link w:val="Footer"/>
    <w:uiPriority w:val="99"/>
    <w:rsid w:val="006939C0"/>
    <w:rPr>
      <w:rFonts w:ascii="Lato" w:hAnsi="Lato"/>
      <w:sz w:val="16"/>
    </w:rPr>
  </w:style>
  <w:style w:type="character" w:customStyle="1" w:styleId="Nagwek1Znak">
    <w:name w:val="Nagłówek 1 Znak"/>
    <w:basedOn w:val="DefaultParagraphFont"/>
    <w:link w:val="Heading1"/>
    <w:rsid w:val="00AE7A5B"/>
    <w:rPr>
      <w:rFonts w:asciiTheme="majorHAnsi" w:eastAsiaTheme="majorEastAsia" w:hAnsiTheme="majorHAnsi" w:cstheme="majorBidi"/>
      <w:color w:val="2E74B5" w:themeColor="accent1" w:themeShade="BF"/>
      <w:sz w:val="32"/>
      <w:szCs w:val="32"/>
      <w:lang w:eastAsia="ar-SA"/>
    </w:rPr>
  </w:style>
  <w:style w:type="character" w:customStyle="1" w:styleId="Nagwek2Znak">
    <w:name w:val="Nagłówek 2 Znak"/>
    <w:basedOn w:val="DefaultParagraphFont"/>
    <w:link w:val="Heading2"/>
    <w:rsid w:val="00AE7A5B"/>
    <w:rPr>
      <w:rFonts w:asciiTheme="majorHAnsi" w:eastAsiaTheme="majorEastAsia" w:hAnsiTheme="majorHAnsi" w:cstheme="majorBidi"/>
      <w:color w:val="2E74B5" w:themeColor="accent1" w:themeShade="BF"/>
      <w:sz w:val="26"/>
      <w:szCs w:val="26"/>
      <w:lang w:eastAsia="ar-SA"/>
    </w:rPr>
  </w:style>
  <w:style w:type="character" w:customStyle="1" w:styleId="Nagwek5Znak">
    <w:name w:val="Nagłówek 5 Znak"/>
    <w:basedOn w:val="DefaultParagraphFont"/>
    <w:link w:val="Heading5"/>
    <w:semiHidden/>
    <w:rsid w:val="00AE7A5B"/>
    <w:rPr>
      <w:rFonts w:asciiTheme="majorHAnsi" w:eastAsiaTheme="majorEastAsia" w:hAnsiTheme="majorHAnsi" w:cstheme="majorBidi"/>
      <w:color w:val="2E74B5" w:themeColor="accent1" w:themeShade="BF"/>
      <w:lang w:eastAsia="ar-SA"/>
    </w:rPr>
  </w:style>
  <w:style w:type="character" w:styleId="Hyperlink">
    <w:name w:val="Hyperlink"/>
    <w:uiPriority w:val="99"/>
    <w:rsid w:val="00AE7A5B"/>
    <w:rPr>
      <w:color w:val="0000FF"/>
      <w:u w:val="single"/>
    </w:rPr>
  </w:style>
  <w:style w:type="paragraph" w:styleId="BalloonText">
    <w:name w:val="Balloon Text"/>
    <w:basedOn w:val="Normal"/>
    <w:link w:val="TekstdymkaZnak"/>
    <w:rsid w:val="00AE7A5B"/>
    <w:pPr>
      <w:suppressAutoHyphens/>
      <w:spacing w:after="0" w:line="240" w:lineRule="auto"/>
      <w:jc w:val="left"/>
    </w:pPr>
    <w:rPr>
      <w:rFonts w:ascii="Tahoma" w:eastAsia="Calibri" w:hAnsi="Tahoma" w:cs="Tahoma"/>
      <w:sz w:val="16"/>
      <w:szCs w:val="16"/>
      <w:lang w:eastAsia="ar-SA"/>
    </w:rPr>
  </w:style>
  <w:style w:type="character" w:customStyle="1" w:styleId="TekstdymkaZnak">
    <w:name w:val="Tekst dymka Znak"/>
    <w:basedOn w:val="DefaultParagraphFont"/>
    <w:link w:val="BalloonText"/>
    <w:rsid w:val="00AE7A5B"/>
    <w:rPr>
      <w:rFonts w:ascii="Tahoma" w:eastAsia="Calibri" w:hAnsi="Tahoma" w:cs="Tahoma"/>
      <w:sz w:val="16"/>
      <w:szCs w:val="16"/>
      <w:lang w:eastAsia="ar-SA"/>
    </w:rPr>
  </w:style>
  <w:style w:type="paragraph" w:customStyle="1" w:styleId="menfont">
    <w:name w:val="men font"/>
    <w:basedOn w:val="Normal"/>
    <w:rsid w:val="00AE7A5B"/>
    <w:pPr>
      <w:spacing w:after="0" w:line="240" w:lineRule="auto"/>
      <w:jc w:val="left"/>
    </w:pPr>
    <w:rPr>
      <w:rFonts w:ascii="Arial" w:eastAsia="Times New Roman" w:hAnsi="Arial" w:cs="Arial"/>
      <w:sz w:val="24"/>
      <w:szCs w:val="24"/>
      <w:lang w:eastAsia="pl-PL"/>
    </w:rPr>
  </w:style>
  <w:style w:type="paragraph" w:styleId="FootnoteText">
    <w:name w:val="footnote text"/>
    <w:aliases w:val="Footnote,Podrozdzia3,Podrozdział,Tekst przypisu,Tekst przypisu Znak Znak Znak Znak,Tekst przypisu Znak Znak Znak Znak Znak,Tekst przypisu Znak Znak Znak Znak Znak Znak Znak,Tekst przypisu Znak Znak Znak Znak Znak Znak Znak Znak Zn"/>
    <w:basedOn w:val="Normal"/>
    <w:link w:val="TekstprzypisudolnegoZnak"/>
    <w:uiPriority w:val="99"/>
    <w:qFormat/>
    <w:rsid w:val="00AE7A5B"/>
    <w:pPr>
      <w:spacing w:after="0" w:line="240" w:lineRule="auto"/>
      <w:jc w:val="left"/>
    </w:pPr>
    <w:rPr>
      <w:rFonts w:ascii="Times New Roman" w:eastAsia="Times New Roman" w:hAnsi="Times New Roman" w:cs="Times New Roman"/>
      <w:szCs w:val="20"/>
      <w:lang w:eastAsia="pl-PL"/>
    </w:rPr>
  </w:style>
  <w:style w:type="character" w:customStyle="1" w:styleId="TekstprzypisudolnegoZnak">
    <w:name w:val="Tekst przypisu dolnego Znak"/>
    <w:aliases w:val="Footnote Znak,Podrozdzia3 Znak,Podrozdział Znak,Tekst przypisu Znak,Tekst przypisu Znak Znak Znak Znak Znak Znak,Tekst przypisu Znak Znak Znak Znak Znak Znak Znak Znak,Tekst przypisu Znak Znak Znak Znak Znak1"/>
    <w:basedOn w:val="DefaultParagraphFont"/>
    <w:link w:val="FootnoteText"/>
    <w:uiPriority w:val="99"/>
    <w:qFormat/>
    <w:rsid w:val="00AE7A5B"/>
    <w:rPr>
      <w:rFonts w:ascii="Times New Roman" w:eastAsia="Times New Roman" w:hAnsi="Times New Roman" w:cs="Times New Roman"/>
      <w:sz w:val="20"/>
      <w:szCs w:val="20"/>
      <w:lang w:eastAsia="pl-PL"/>
    </w:rPr>
  </w:style>
  <w:style w:type="character" w:styleId="FootnoteReference">
    <w:name w:val="footnote reference"/>
    <w:aliases w:val="1_przypis,EN Footnote Reference,Footnote Reference Number,Footnote Reference Superscript,Footnote number,Footnote reference number,Footnote symbol,Odwołanie przypisu,SUPERS,note TESI"/>
    <w:uiPriority w:val="99"/>
    <w:qFormat/>
    <w:rsid w:val="00AE7A5B"/>
    <w:rPr>
      <w:vertAlign w:val="superscript"/>
    </w:rPr>
  </w:style>
  <w:style w:type="character" w:customStyle="1" w:styleId="AkapitzlistZnak">
    <w:name w:val="Akapit z listą Znak"/>
    <w:aliases w:val="Dot pt Znak,Indicator Text Znak,LISTA Znak,List Paragraph Char Char Char Znak,List Paragraph à moi Znak,Listaszerű bekezdés1 Znak,Listaszerű bekezdés2 Znak,Listaszerű bekezdés3 Znak,No Spacing1 Znak,Numbered Para 1 Znak"/>
    <w:link w:val="ListParagraph"/>
    <w:uiPriority w:val="34"/>
    <w:qFormat/>
    <w:locked/>
    <w:rsid w:val="00AE7A5B"/>
    <w:rPr>
      <w:sz w:val="24"/>
      <w:szCs w:val="24"/>
    </w:rPr>
  </w:style>
  <w:style w:type="paragraph" w:styleId="ListParagraph">
    <w:name w:val="List Paragraph"/>
    <w:aliases w:val="Dot pt,F5 List Paragraph,Indicator Text,LISTA,List Paragraph Char Char Char,List Paragraph à moi,List Paragraph1,List Paragraph11,Listaszerű bekezdés1,Listaszerű bekezdés2,Listaszerű bekezdés3,No Spacing1,Numbered Para 1,Recommendation"/>
    <w:basedOn w:val="Normal"/>
    <w:link w:val="AkapitzlistZnak"/>
    <w:uiPriority w:val="34"/>
    <w:qFormat/>
    <w:rsid w:val="00AE7A5B"/>
    <w:pPr>
      <w:spacing w:after="0" w:line="240" w:lineRule="auto"/>
      <w:ind w:left="720"/>
      <w:jc w:val="left"/>
    </w:pPr>
    <w:rPr>
      <w:rFonts w:asciiTheme="minorHAnsi" w:hAnsiTheme="minorHAnsi"/>
      <w:sz w:val="24"/>
      <w:szCs w:val="24"/>
    </w:rPr>
  </w:style>
  <w:style w:type="paragraph" w:customStyle="1" w:styleId="Default">
    <w:name w:val="Default"/>
    <w:rsid w:val="00AE7A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leGrid">
    <w:name w:val="Table Grid"/>
    <w:basedOn w:val="TableNormal"/>
    <w:uiPriority w:val="39"/>
    <w:rsid w:val="00AE7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TableNormal"/>
    <w:uiPriority w:val="49"/>
    <w:rsid w:val="00AE7A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unhideWhenUsed/>
    <w:rsid w:val="00AE7A5B"/>
    <w:rPr>
      <w:sz w:val="16"/>
      <w:szCs w:val="16"/>
    </w:rPr>
  </w:style>
  <w:style w:type="paragraph" w:styleId="CommentText">
    <w:name w:val="annotation text"/>
    <w:basedOn w:val="Normal"/>
    <w:link w:val="TekstkomentarzaZnak"/>
    <w:uiPriority w:val="99"/>
    <w:unhideWhenUsed/>
    <w:rsid w:val="00AE7A5B"/>
    <w:pPr>
      <w:suppressAutoHyphens/>
      <w:spacing w:after="200" w:line="240" w:lineRule="auto"/>
      <w:jc w:val="left"/>
    </w:pPr>
    <w:rPr>
      <w:rFonts w:ascii="Calibri" w:eastAsia="Calibri" w:hAnsi="Calibri" w:cs="Calibri"/>
      <w:szCs w:val="20"/>
      <w:lang w:eastAsia="ar-SA"/>
    </w:rPr>
  </w:style>
  <w:style w:type="character" w:customStyle="1" w:styleId="TekstkomentarzaZnak">
    <w:name w:val="Tekst komentarza Znak"/>
    <w:basedOn w:val="DefaultParagraphFont"/>
    <w:link w:val="CommentText"/>
    <w:uiPriority w:val="99"/>
    <w:rsid w:val="00AE7A5B"/>
    <w:rPr>
      <w:rFonts w:ascii="Calibri" w:eastAsia="Calibri" w:hAnsi="Calibri" w:cs="Calibri"/>
      <w:sz w:val="20"/>
      <w:szCs w:val="20"/>
      <w:lang w:eastAsia="ar-SA"/>
    </w:rPr>
  </w:style>
  <w:style w:type="paragraph" w:styleId="CommentSubject">
    <w:name w:val="annotation subject"/>
    <w:basedOn w:val="CommentText"/>
    <w:next w:val="CommentText"/>
    <w:link w:val="TematkomentarzaZnak"/>
    <w:semiHidden/>
    <w:unhideWhenUsed/>
    <w:rsid w:val="00AE7A5B"/>
    <w:rPr>
      <w:b/>
      <w:bCs/>
    </w:rPr>
  </w:style>
  <w:style w:type="character" w:customStyle="1" w:styleId="TematkomentarzaZnak">
    <w:name w:val="Temat komentarza Znak"/>
    <w:basedOn w:val="TekstkomentarzaZnak"/>
    <w:link w:val="CommentSubject"/>
    <w:semiHidden/>
    <w:rsid w:val="00AE7A5B"/>
    <w:rPr>
      <w:rFonts w:ascii="Calibri" w:eastAsia="Calibri" w:hAnsi="Calibri" w:cs="Calibri"/>
      <w:b/>
      <w:bCs/>
      <w:sz w:val="20"/>
      <w:szCs w:val="20"/>
      <w:lang w:eastAsia="ar-SA"/>
    </w:rPr>
  </w:style>
  <w:style w:type="paragraph" w:styleId="Revision">
    <w:name w:val="Revision"/>
    <w:hidden/>
    <w:uiPriority w:val="99"/>
    <w:semiHidden/>
    <w:rsid w:val="00AE7A5B"/>
    <w:pPr>
      <w:spacing w:after="0" w:line="240" w:lineRule="auto"/>
    </w:pPr>
    <w:rPr>
      <w:rFonts w:ascii="Calibri" w:eastAsia="Calibri" w:hAnsi="Calibri" w:cs="Calibri"/>
      <w:lang w:eastAsia="ar-SA"/>
    </w:rPr>
  </w:style>
  <w:style w:type="character" w:styleId="Strong">
    <w:name w:val="Strong"/>
    <w:basedOn w:val="DefaultParagraphFont"/>
    <w:uiPriority w:val="22"/>
    <w:qFormat/>
    <w:rsid w:val="00AE7A5B"/>
    <w:rPr>
      <w:b/>
      <w:bCs/>
    </w:rPr>
  </w:style>
  <w:style w:type="character" w:customStyle="1" w:styleId="markedcontent">
    <w:name w:val="markedcontent"/>
    <w:basedOn w:val="DefaultParagraphFont"/>
    <w:rsid w:val="00AE7A5B"/>
  </w:style>
  <w:style w:type="character" w:styleId="PlaceholderText">
    <w:name w:val="Placeholder Text"/>
    <w:basedOn w:val="DefaultParagraphFont"/>
    <w:uiPriority w:val="99"/>
    <w:semiHidden/>
    <w:rsid w:val="00AE7A5B"/>
    <w:rPr>
      <w:color w:val="808080"/>
    </w:rPr>
  </w:style>
  <w:style w:type="character" w:customStyle="1" w:styleId="hgkelc">
    <w:name w:val="hgkelc"/>
    <w:basedOn w:val="DefaultParagraphFont"/>
    <w:rsid w:val="00AE7A5B"/>
  </w:style>
  <w:style w:type="character" w:customStyle="1" w:styleId="Nierozpoznanawzmianka1">
    <w:name w:val="Nierozpoznana wzmianka1"/>
    <w:basedOn w:val="DefaultParagraphFont"/>
    <w:uiPriority w:val="99"/>
    <w:unhideWhenUsed/>
    <w:rsid w:val="00AE7A5B"/>
    <w:rPr>
      <w:color w:val="605E5C"/>
      <w:shd w:val="clear" w:color="auto" w:fill="E1DFDD"/>
    </w:rPr>
  </w:style>
  <w:style w:type="character" w:customStyle="1" w:styleId="pt-domylnaczcionkaakapitu-000009">
    <w:name w:val="pt-domylnaczcionkaakapitu-000009"/>
    <w:basedOn w:val="DefaultParagraphFont"/>
    <w:rsid w:val="00AE7A5B"/>
  </w:style>
  <w:style w:type="character" w:customStyle="1" w:styleId="pt-dokumnetpodstawowy">
    <w:name w:val="pt-dokumnetpodstawowy"/>
    <w:basedOn w:val="DefaultParagraphFont"/>
    <w:rsid w:val="00AE7A5B"/>
  </w:style>
  <w:style w:type="character" w:customStyle="1" w:styleId="pt-dokumentsygnatura">
    <w:name w:val="pt-dokumentsygnatura"/>
    <w:basedOn w:val="DefaultParagraphFont"/>
    <w:rsid w:val="00AE7A5B"/>
  </w:style>
  <w:style w:type="paragraph" w:styleId="EndnoteText">
    <w:name w:val="endnote text"/>
    <w:basedOn w:val="Normal"/>
    <w:link w:val="TekstprzypisukocowegoZnak"/>
    <w:uiPriority w:val="99"/>
    <w:semiHidden/>
    <w:unhideWhenUsed/>
    <w:rsid w:val="00AE7A5B"/>
    <w:pPr>
      <w:spacing w:after="0" w:line="240" w:lineRule="auto"/>
    </w:pPr>
    <w:rPr>
      <w:szCs w:val="20"/>
    </w:rPr>
  </w:style>
  <w:style w:type="character" w:customStyle="1" w:styleId="TekstprzypisukocowegoZnak">
    <w:name w:val="Tekst przypisu końcowego Znak"/>
    <w:basedOn w:val="DefaultParagraphFont"/>
    <w:link w:val="EndnoteText"/>
    <w:uiPriority w:val="99"/>
    <w:semiHidden/>
    <w:rsid w:val="00AE7A5B"/>
    <w:rPr>
      <w:rFonts w:ascii="Lato" w:hAnsi="Lato"/>
      <w:sz w:val="20"/>
      <w:szCs w:val="20"/>
    </w:rPr>
  </w:style>
  <w:style w:type="character" w:styleId="EndnoteReference">
    <w:name w:val="endnote reference"/>
    <w:basedOn w:val="DefaultParagraphFont"/>
    <w:uiPriority w:val="99"/>
    <w:semiHidden/>
    <w:unhideWhenUsed/>
    <w:rsid w:val="00AE7A5B"/>
    <w:rPr>
      <w:vertAlign w:val="superscript"/>
    </w:rPr>
  </w:style>
  <w:style w:type="character" w:styleId="Emphasis">
    <w:name w:val="Emphasis"/>
    <w:basedOn w:val="DefaultParagraphFont"/>
    <w:uiPriority w:val="20"/>
    <w:qFormat/>
    <w:rsid w:val="00AE7A5B"/>
    <w:rPr>
      <w:i/>
      <w:iCs/>
    </w:rPr>
  </w:style>
  <w:style w:type="character" w:customStyle="1" w:styleId="object">
    <w:name w:val="object"/>
    <w:basedOn w:val="DefaultParagraphFont"/>
    <w:rsid w:val="00AE7A5B"/>
  </w:style>
  <w:style w:type="character" w:customStyle="1" w:styleId="Stopka">
    <w:name w:val="Stopka_"/>
    <w:basedOn w:val="DefaultParagraphFont"/>
    <w:link w:val="Stopka1"/>
    <w:rsid w:val="00AE7A5B"/>
    <w:rPr>
      <w:rFonts w:ascii="Times New Roman" w:eastAsia="Times New Roman" w:hAnsi="Times New Roman" w:cs="Times New Roman"/>
      <w:sz w:val="15"/>
      <w:szCs w:val="15"/>
      <w:shd w:val="clear" w:color="auto" w:fill="FFFFFF"/>
    </w:rPr>
  </w:style>
  <w:style w:type="paragraph" w:customStyle="1" w:styleId="Stopka1">
    <w:name w:val="Stopka1"/>
    <w:basedOn w:val="Normal"/>
    <w:link w:val="Stopka"/>
    <w:rsid w:val="00AE7A5B"/>
    <w:pPr>
      <w:widowControl w:val="0"/>
      <w:shd w:val="clear" w:color="auto" w:fill="FFFFFF"/>
      <w:spacing w:after="0" w:line="184" w:lineRule="exact"/>
      <w:ind w:hanging="340"/>
    </w:pPr>
    <w:rPr>
      <w:rFonts w:ascii="Times New Roman" w:eastAsia="Times New Roman" w:hAnsi="Times New Roman" w:cs="Times New Roman"/>
      <w:sz w:val="15"/>
      <w:szCs w:val="15"/>
    </w:rPr>
  </w:style>
  <w:style w:type="character" w:customStyle="1" w:styleId="Spistreci2">
    <w:name w:val="Spis treści (2)_"/>
    <w:basedOn w:val="DefaultParagraphFont"/>
    <w:link w:val="Spistreci20"/>
    <w:rsid w:val="00AE7A5B"/>
    <w:rPr>
      <w:rFonts w:ascii="Times New Roman" w:eastAsia="Times New Roman" w:hAnsi="Times New Roman" w:cs="Times New Roman"/>
      <w:sz w:val="20"/>
      <w:szCs w:val="20"/>
      <w:shd w:val="clear" w:color="auto" w:fill="FFFFFF"/>
    </w:rPr>
  </w:style>
  <w:style w:type="paragraph" w:customStyle="1" w:styleId="Spistreci20">
    <w:name w:val="Spis treści (2)"/>
    <w:basedOn w:val="Normal"/>
    <w:link w:val="Spistreci2"/>
    <w:rsid w:val="00AE7A5B"/>
    <w:pPr>
      <w:widowControl w:val="0"/>
      <w:shd w:val="clear" w:color="auto" w:fill="FFFFFF"/>
      <w:spacing w:after="0" w:line="274" w:lineRule="exact"/>
    </w:pPr>
    <w:rPr>
      <w:rFonts w:ascii="Times New Roman" w:eastAsia="Times New Roman" w:hAnsi="Times New Roman" w:cs="Times New Roman"/>
      <w:szCs w:val="20"/>
    </w:rPr>
  </w:style>
  <w:style w:type="character" w:customStyle="1" w:styleId="A5">
    <w:name w:val="A5"/>
    <w:uiPriority w:val="99"/>
    <w:rsid w:val="00AE7A5B"/>
    <w:rPr>
      <w:rFonts w:cs="Jost"/>
      <w:b/>
      <w:bCs/>
      <w:color w:val="000000"/>
      <w:sz w:val="18"/>
      <w:szCs w:val="18"/>
    </w:rPr>
  </w:style>
  <w:style w:type="character" w:customStyle="1" w:styleId="highlight">
    <w:name w:val="highlight"/>
    <w:basedOn w:val="DefaultParagraphFont"/>
    <w:rsid w:val="00AE7A5B"/>
  </w:style>
  <w:style w:type="character" w:customStyle="1" w:styleId="zimbra3">
    <w:name w:val="zimbra3"/>
    <w:basedOn w:val="DefaultParagraphFont"/>
    <w:rsid w:val="00AE7A5B"/>
  </w:style>
  <w:style w:type="paragraph" w:customStyle="1" w:styleId="pf0">
    <w:name w:val="pf0"/>
    <w:basedOn w:val="Normal"/>
    <w:rsid w:val="00AE7A5B"/>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cf01">
    <w:name w:val="cf01"/>
    <w:basedOn w:val="DefaultParagraphFont"/>
    <w:rsid w:val="00AE7A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819E-6B7E-402B-A1BA-AF484019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16422</Words>
  <Characters>98532</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Minister Klimatu i Środowiska kolor</vt:lpstr>
    </vt:vector>
  </TitlesOfParts>
  <Company>Ministerstwo Klimatu i Środowiska</Company>
  <LinksUpToDate>false</LinksUpToDate>
  <CharactersWithSpaces>114725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 kolor</dc:title>
  <cp:keywords>PL, KOLOR</cp:keywords>
  <dc:description>Wersja 9.1, dostępna od 11.04.2023</dc:description>
  <cp:lastModifiedBy>Marczak Tomasz</cp:lastModifiedBy>
  <cp:revision>16</cp:revision>
  <cp:lastPrinted>2022-09-08T13:34:00Z</cp:lastPrinted>
  <dcterms:created xsi:type="dcterms:W3CDTF">2022-10-18T14:05:00Z</dcterms:created>
  <dcterms:modified xsi:type="dcterms:W3CDTF">2023-12-20T12:15:00Z</dcterms:modified>
  <cp:category>KIEROWNICTWO</cp:category>
</cp:coreProperties>
</file>