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0748BB" w14:paraId="09BD85D3" w14:textId="77777777" w:rsidTr="005462E9">
        <w:tc>
          <w:tcPr>
            <w:tcW w:w="5529" w:type="dxa"/>
          </w:tcPr>
          <w:p w14:paraId="03E496B3" w14:textId="77777777" w:rsidR="005462E9" w:rsidRPr="00AA5569" w:rsidRDefault="00291778" w:rsidP="00F202BC">
            <w:pPr>
              <w:spacing w:line="276" w:lineRule="auto"/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 </w:t>
            </w:r>
            <w:r w:rsidR="002525AC">
              <w:rPr>
                <w:rFonts w:ascii="Garamond" w:hAnsi="Garamond"/>
                <w:sz w:val="40"/>
              </w:rPr>
              <w:object w:dxaOrig="795" w:dyaOrig="795" w14:anchorId="62009D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2" o:title=""/>
                </v:shape>
                <o:OLEObject Type="Embed" ProgID="Word.Picture.8" ShapeID="_x0000_i1025" DrawAspect="Content" ObjectID="_1565514847" r:id="rId13"/>
              </w:object>
            </w:r>
          </w:p>
          <w:p w14:paraId="7375F1C5" w14:textId="77777777" w:rsidR="005462E9" w:rsidRPr="008737F6" w:rsidRDefault="005462E9" w:rsidP="00F202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EC8FADF" w14:textId="77777777" w:rsidR="005462E9" w:rsidRPr="004F390F" w:rsidRDefault="002525AC" w:rsidP="00F202BC">
            <w:pPr>
              <w:spacing w:line="276" w:lineRule="auto"/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4F4CEA7E" w14:textId="77777777" w:rsidR="005462E9" w:rsidRDefault="005462E9" w:rsidP="00F202BC">
            <w:pPr>
              <w:spacing w:line="276" w:lineRule="auto"/>
              <w:rPr>
                <w:rFonts w:ascii="Garamond" w:hAnsi="Garamond"/>
                <w:i/>
                <w:sz w:val="20"/>
                <w:szCs w:val="20"/>
              </w:rPr>
            </w:pPr>
          </w:p>
          <w:p w14:paraId="54CCC76D" w14:textId="77777777" w:rsidR="005462E9" w:rsidRPr="008C62D3" w:rsidRDefault="005462E9" w:rsidP="00F202BC">
            <w:pPr>
              <w:spacing w:line="276" w:lineRule="auto"/>
            </w:pPr>
          </w:p>
        </w:tc>
        <w:tc>
          <w:tcPr>
            <w:tcW w:w="3969" w:type="dxa"/>
          </w:tcPr>
          <w:p w14:paraId="4F0B90C4" w14:textId="6199E6B2" w:rsidR="005462E9" w:rsidRPr="004F390F" w:rsidRDefault="002525AC" w:rsidP="00F202BC">
            <w:pPr>
              <w:spacing w:line="27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  <w:r w:rsidR="0013099C">
              <w:t xml:space="preserve">            </w:t>
            </w:r>
            <w:r w:rsidR="0017163C" w:rsidRPr="00CD54B7">
              <w:rPr>
                <w:sz w:val="22"/>
                <w:szCs w:val="22"/>
              </w:rPr>
              <w:t xml:space="preserve"> 2017</w:t>
            </w:r>
            <w:r w:rsidRPr="00CD54B7">
              <w:rPr>
                <w:sz w:val="22"/>
                <w:szCs w:val="22"/>
              </w:rP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14:paraId="46C3A23B" w14:textId="77777777" w:rsidR="005462E9" w:rsidRDefault="002525AC" w:rsidP="00F202BC">
      <w:pPr>
        <w:pStyle w:val="menfont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BKA-I.0941.13.2016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KZ</w:t>
      </w:r>
      <w:bookmarkEnd w:id="1"/>
    </w:p>
    <w:p w14:paraId="59C4AB36" w14:textId="77777777" w:rsidR="0017163C" w:rsidRPr="0017163C" w:rsidRDefault="0017163C" w:rsidP="00F202BC">
      <w:pPr>
        <w:suppressAutoHyphens/>
        <w:spacing w:line="276" w:lineRule="auto"/>
        <w:rPr>
          <w:b/>
          <w:bCs/>
          <w:sz w:val="22"/>
          <w:szCs w:val="22"/>
          <w:lang w:eastAsia="ar-SA"/>
        </w:rPr>
      </w:pPr>
    </w:p>
    <w:p w14:paraId="68E913AD" w14:textId="77777777" w:rsidR="0017163C" w:rsidRPr="00AD5407" w:rsidRDefault="0017163C" w:rsidP="00AD5407">
      <w:pPr>
        <w:suppressAutoHyphens/>
        <w:spacing w:line="276" w:lineRule="auto"/>
        <w:ind w:left="5245"/>
        <w:rPr>
          <w:b/>
          <w:bCs/>
          <w:sz w:val="22"/>
          <w:szCs w:val="22"/>
          <w:lang w:eastAsia="ar-SA"/>
        </w:rPr>
      </w:pPr>
      <w:r w:rsidRPr="00AD5407">
        <w:rPr>
          <w:b/>
          <w:bCs/>
          <w:sz w:val="22"/>
          <w:szCs w:val="22"/>
          <w:lang w:eastAsia="ar-SA"/>
        </w:rPr>
        <w:t>Pan</w:t>
      </w:r>
    </w:p>
    <w:p w14:paraId="50A4C49D" w14:textId="050915C1" w:rsidR="0017163C" w:rsidRPr="00AD5407" w:rsidRDefault="0017163C" w:rsidP="00AD5407">
      <w:pPr>
        <w:suppressAutoHyphens/>
        <w:spacing w:line="276" w:lineRule="auto"/>
        <w:ind w:left="5245"/>
        <w:rPr>
          <w:b/>
          <w:bCs/>
          <w:i/>
          <w:iCs/>
          <w:sz w:val="22"/>
          <w:szCs w:val="22"/>
          <w:lang w:eastAsia="ar-SA"/>
        </w:rPr>
      </w:pPr>
      <w:r w:rsidRPr="00AD5407">
        <w:rPr>
          <w:b/>
          <w:bCs/>
          <w:i/>
          <w:iCs/>
          <w:sz w:val="22"/>
          <w:szCs w:val="22"/>
          <w:lang w:eastAsia="ar-SA"/>
        </w:rPr>
        <w:t xml:space="preserve">dr </w:t>
      </w:r>
      <w:r w:rsidR="00E26615">
        <w:rPr>
          <w:b/>
          <w:bCs/>
          <w:i/>
          <w:iCs/>
          <w:sz w:val="22"/>
          <w:szCs w:val="22"/>
          <w:lang w:eastAsia="ar-SA"/>
        </w:rPr>
        <w:t>Sławomir Grzegorz Mazurek</w:t>
      </w:r>
    </w:p>
    <w:p w14:paraId="5C17A309" w14:textId="06B2F347" w:rsidR="0017163C" w:rsidRPr="00AD5407" w:rsidRDefault="00E26615" w:rsidP="00AD5407">
      <w:pPr>
        <w:suppressAutoHyphens/>
        <w:spacing w:line="276" w:lineRule="auto"/>
        <w:ind w:left="5245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Dyrektor</w:t>
      </w:r>
    </w:p>
    <w:p w14:paraId="11D66E9B" w14:textId="77777777" w:rsidR="0017163C" w:rsidRPr="00AD5407" w:rsidRDefault="0017163C" w:rsidP="00AD5407">
      <w:pPr>
        <w:suppressAutoHyphens/>
        <w:spacing w:line="276" w:lineRule="auto"/>
        <w:ind w:left="5245"/>
        <w:rPr>
          <w:b/>
          <w:bCs/>
          <w:sz w:val="22"/>
          <w:szCs w:val="22"/>
          <w:lang w:eastAsia="ar-SA"/>
        </w:rPr>
      </w:pPr>
      <w:r w:rsidRPr="00AD5407">
        <w:rPr>
          <w:b/>
          <w:bCs/>
          <w:sz w:val="22"/>
          <w:szCs w:val="22"/>
          <w:lang w:eastAsia="ar-SA"/>
        </w:rPr>
        <w:t>Państwowego Instytutu Geologicznego -</w:t>
      </w:r>
    </w:p>
    <w:p w14:paraId="6A5DFE15" w14:textId="77777777" w:rsidR="0017163C" w:rsidRPr="00AD5407" w:rsidRDefault="0017163C" w:rsidP="00AD5407">
      <w:pPr>
        <w:suppressAutoHyphens/>
        <w:spacing w:line="276" w:lineRule="auto"/>
        <w:ind w:left="5245"/>
        <w:rPr>
          <w:b/>
          <w:bCs/>
          <w:sz w:val="22"/>
          <w:szCs w:val="22"/>
          <w:lang w:eastAsia="ar-SA"/>
        </w:rPr>
      </w:pPr>
      <w:r w:rsidRPr="00AD5407">
        <w:rPr>
          <w:b/>
          <w:bCs/>
          <w:sz w:val="22"/>
          <w:szCs w:val="22"/>
          <w:lang w:eastAsia="ar-SA"/>
        </w:rPr>
        <w:t xml:space="preserve">Państwowego Instytutu Badawczego </w:t>
      </w:r>
    </w:p>
    <w:p w14:paraId="32E95A4D" w14:textId="2CEB2F73" w:rsidR="0017163C" w:rsidRPr="00AD5407" w:rsidRDefault="0017163C" w:rsidP="00AD5407">
      <w:pPr>
        <w:suppressAutoHyphens/>
        <w:spacing w:line="276" w:lineRule="auto"/>
        <w:ind w:left="5245"/>
        <w:rPr>
          <w:b/>
          <w:bCs/>
          <w:sz w:val="22"/>
          <w:szCs w:val="22"/>
          <w:lang w:eastAsia="ar-SA"/>
        </w:rPr>
      </w:pPr>
      <w:r w:rsidRPr="00AD5407">
        <w:rPr>
          <w:b/>
          <w:bCs/>
          <w:sz w:val="22"/>
          <w:szCs w:val="22"/>
          <w:lang w:eastAsia="ar-SA"/>
        </w:rPr>
        <w:t>w Warszawie</w:t>
      </w:r>
    </w:p>
    <w:p w14:paraId="3D39FA50" w14:textId="77777777" w:rsidR="0017163C" w:rsidRPr="00AD5407" w:rsidRDefault="0017163C" w:rsidP="00AD5407">
      <w:pPr>
        <w:suppressAutoHyphens/>
        <w:spacing w:line="276" w:lineRule="auto"/>
        <w:ind w:hanging="4920"/>
        <w:rPr>
          <w:b/>
          <w:bCs/>
          <w:sz w:val="22"/>
          <w:szCs w:val="22"/>
          <w:lang w:eastAsia="ar-SA"/>
        </w:rPr>
      </w:pPr>
      <w:r w:rsidRPr="00AD5407">
        <w:rPr>
          <w:b/>
          <w:bCs/>
          <w:sz w:val="22"/>
          <w:szCs w:val="22"/>
          <w:lang w:eastAsia="ar-SA"/>
        </w:rPr>
        <w:t xml:space="preserve">                      </w:t>
      </w:r>
      <w:r w:rsidR="000B5C0C" w:rsidRPr="00AD5407">
        <w:rPr>
          <w:b/>
          <w:bCs/>
          <w:sz w:val="22"/>
          <w:szCs w:val="22"/>
          <w:lang w:eastAsia="ar-SA"/>
        </w:rPr>
        <w:t xml:space="preserve">                            </w:t>
      </w:r>
    </w:p>
    <w:p w14:paraId="7444ADB2" w14:textId="77777777" w:rsidR="0017163C" w:rsidRPr="00AD5407" w:rsidRDefault="0017163C" w:rsidP="00AD5407">
      <w:pPr>
        <w:suppressAutoHyphens/>
        <w:spacing w:line="276" w:lineRule="auto"/>
        <w:ind w:hanging="4920"/>
        <w:rPr>
          <w:b/>
          <w:bCs/>
          <w:sz w:val="22"/>
          <w:szCs w:val="22"/>
          <w:lang w:eastAsia="ar-SA"/>
        </w:rPr>
      </w:pPr>
    </w:p>
    <w:p w14:paraId="09C86F51" w14:textId="1BAB7A8F" w:rsidR="0017163C" w:rsidRPr="00AD5407" w:rsidRDefault="0017163C" w:rsidP="00D86A6B">
      <w:pPr>
        <w:tabs>
          <w:tab w:val="left" w:pos="3130"/>
        </w:tabs>
        <w:suppressAutoHyphens/>
        <w:spacing w:line="276" w:lineRule="auto"/>
        <w:ind w:hanging="4920"/>
        <w:rPr>
          <w:b/>
          <w:bCs/>
          <w:sz w:val="22"/>
          <w:szCs w:val="22"/>
          <w:lang w:eastAsia="ar-SA"/>
        </w:rPr>
      </w:pPr>
      <w:r w:rsidRPr="00AD5407">
        <w:rPr>
          <w:b/>
          <w:bCs/>
          <w:sz w:val="22"/>
          <w:szCs w:val="22"/>
          <w:lang w:eastAsia="ar-SA"/>
        </w:rPr>
        <w:t xml:space="preserve">                         </w:t>
      </w:r>
      <w:r w:rsidR="00D52C5F" w:rsidRPr="00AD5407">
        <w:rPr>
          <w:b/>
          <w:bCs/>
          <w:sz w:val="22"/>
          <w:szCs w:val="22"/>
          <w:lang w:eastAsia="ar-SA"/>
        </w:rPr>
        <w:t xml:space="preserve">                         </w:t>
      </w:r>
    </w:p>
    <w:p w14:paraId="69632E65" w14:textId="77777777" w:rsidR="0017163C" w:rsidRPr="00AD5407" w:rsidRDefault="0017163C" w:rsidP="00AD5407">
      <w:pPr>
        <w:suppressAutoHyphens/>
        <w:spacing w:line="276" w:lineRule="auto"/>
        <w:jc w:val="center"/>
        <w:outlineLvl w:val="0"/>
        <w:rPr>
          <w:b/>
          <w:bCs/>
          <w:sz w:val="22"/>
          <w:szCs w:val="22"/>
          <w:lang w:eastAsia="ar-SA"/>
        </w:rPr>
      </w:pPr>
      <w:r w:rsidRPr="00AD5407">
        <w:rPr>
          <w:b/>
          <w:bCs/>
          <w:sz w:val="22"/>
          <w:szCs w:val="22"/>
          <w:lang w:eastAsia="ar-SA"/>
        </w:rPr>
        <w:t>SPRAWOZDANIE Z KONTROLI</w:t>
      </w:r>
    </w:p>
    <w:p w14:paraId="1CF7CCD5" w14:textId="77777777" w:rsidR="0017163C" w:rsidRPr="00AD5407" w:rsidRDefault="0017163C" w:rsidP="00AD5407">
      <w:pPr>
        <w:suppressAutoHyphens/>
        <w:spacing w:line="276" w:lineRule="auto"/>
        <w:jc w:val="center"/>
        <w:outlineLvl w:val="0"/>
        <w:rPr>
          <w:b/>
          <w:bCs/>
          <w:sz w:val="22"/>
          <w:szCs w:val="22"/>
          <w:lang w:eastAsia="ar-SA"/>
        </w:rPr>
      </w:pPr>
    </w:p>
    <w:p w14:paraId="5678E033" w14:textId="6F2B1CB8" w:rsidR="00E74FC9" w:rsidRDefault="0017163C" w:rsidP="00AD5407">
      <w:pPr>
        <w:jc w:val="both"/>
        <w:rPr>
          <w:rFonts w:eastAsia="Calibri"/>
          <w:i/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>Działając na podstawie upoważnienia Ministra Środowiska nr 22/2016 z dnia 7 grudnia 2016 r. zespół kontrolujący Ministerstwa Środowiska przeprowadził w dniach 15 gru</w:t>
      </w:r>
      <w:r w:rsidR="009C4731" w:rsidRPr="00AD5407">
        <w:rPr>
          <w:sz w:val="22"/>
          <w:szCs w:val="22"/>
          <w:lang w:eastAsia="ar-SA"/>
        </w:rPr>
        <w:t xml:space="preserve">dnia 2016 r. – 13 stycznia 2017 r. </w:t>
      </w:r>
      <w:r w:rsidRPr="00AD5407">
        <w:rPr>
          <w:sz w:val="22"/>
          <w:szCs w:val="22"/>
          <w:lang w:eastAsia="ar-SA"/>
        </w:rPr>
        <w:t>kontrolę doraźną w Państwowym Instytucie Geologicznym – Pa</w:t>
      </w:r>
      <w:r w:rsidR="00AD5407">
        <w:rPr>
          <w:sz w:val="22"/>
          <w:szCs w:val="22"/>
          <w:lang w:eastAsia="ar-SA"/>
        </w:rPr>
        <w:t>ństwowym Instytucie Badawczym w </w:t>
      </w:r>
      <w:r w:rsidRPr="00AD5407">
        <w:rPr>
          <w:sz w:val="22"/>
          <w:szCs w:val="22"/>
          <w:lang w:eastAsia="ar-SA"/>
        </w:rPr>
        <w:t>Warszawie (</w:t>
      </w:r>
      <w:r w:rsidR="006D7286">
        <w:rPr>
          <w:sz w:val="22"/>
          <w:szCs w:val="22"/>
          <w:lang w:eastAsia="ar-SA"/>
        </w:rPr>
        <w:t xml:space="preserve">dalej: </w:t>
      </w:r>
      <w:r w:rsidRPr="00AD5407">
        <w:rPr>
          <w:sz w:val="22"/>
          <w:szCs w:val="22"/>
          <w:lang w:eastAsia="ar-SA"/>
        </w:rPr>
        <w:t>PIG-PIB</w:t>
      </w:r>
      <w:r w:rsidR="006D7286">
        <w:rPr>
          <w:sz w:val="22"/>
          <w:szCs w:val="22"/>
          <w:lang w:eastAsia="ar-SA"/>
        </w:rPr>
        <w:t xml:space="preserve"> lub Instytut</w:t>
      </w:r>
      <w:r w:rsidRPr="00AD5407">
        <w:rPr>
          <w:sz w:val="22"/>
          <w:szCs w:val="22"/>
          <w:lang w:eastAsia="ar-SA"/>
        </w:rPr>
        <w:t>) dotyczącą</w:t>
      </w:r>
      <w:r w:rsidRPr="00AD5407">
        <w:rPr>
          <w:i/>
          <w:sz w:val="22"/>
          <w:szCs w:val="22"/>
          <w:lang w:eastAsia="ar-SA"/>
        </w:rPr>
        <w:t xml:space="preserve"> </w:t>
      </w:r>
      <w:r w:rsidRPr="00AD5407">
        <w:rPr>
          <w:sz w:val="22"/>
          <w:szCs w:val="22"/>
          <w:lang w:eastAsia="ar-SA"/>
        </w:rPr>
        <w:t xml:space="preserve">wybranych zagadnień </w:t>
      </w:r>
      <w:r w:rsidR="005E2256">
        <w:rPr>
          <w:sz w:val="22"/>
          <w:szCs w:val="22"/>
          <w:lang w:eastAsia="ar-SA"/>
        </w:rPr>
        <w:t>z</w:t>
      </w:r>
      <w:r w:rsidRPr="00AD5407">
        <w:rPr>
          <w:sz w:val="22"/>
          <w:szCs w:val="22"/>
          <w:lang w:eastAsia="ar-SA"/>
        </w:rPr>
        <w:t xml:space="preserve"> zakresu</w:t>
      </w:r>
      <w:r w:rsidRPr="00AD5407">
        <w:rPr>
          <w:i/>
          <w:sz w:val="22"/>
          <w:szCs w:val="22"/>
          <w:lang w:eastAsia="ar-SA"/>
        </w:rPr>
        <w:t xml:space="preserve"> </w:t>
      </w:r>
      <w:r w:rsidR="00AD5407" w:rsidRPr="00AD5407">
        <w:rPr>
          <w:rFonts w:eastAsia="Calibri"/>
          <w:sz w:val="22"/>
          <w:szCs w:val="22"/>
          <w:lang w:eastAsia="ar-SA"/>
        </w:rPr>
        <w:t>zawierania przez jednostkę kontrolowaną umów</w:t>
      </w:r>
      <w:r w:rsidR="00AD5407">
        <w:rPr>
          <w:rFonts w:eastAsia="Calibri"/>
          <w:sz w:val="22"/>
          <w:szCs w:val="22"/>
          <w:lang w:eastAsia="ar-SA"/>
        </w:rPr>
        <w:t xml:space="preserve"> </w:t>
      </w:r>
      <w:r w:rsidR="00AD5407" w:rsidRPr="00AD5407">
        <w:rPr>
          <w:rFonts w:eastAsia="Calibri"/>
          <w:sz w:val="22"/>
          <w:szCs w:val="22"/>
          <w:lang w:eastAsia="ar-SA"/>
        </w:rPr>
        <w:t>i porozumień międzynarodowych w latach 1989-2016</w:t>
      </w:r>
      <w:r w:rsidR="00AD5407" w:rsidRPr="00AD5407">
        <w:rPr>
          <w:rFonts w:eastAsia="Calibri"/>
          <w:i/>
          <w:sz w:val="22"/>
          <w:szCs w:val="22"/>
          <w:lang w:eastAsia="ar-SA"/>
        </w:rPr>
        <w:t xml:space="preserve">. </w:t>
      </w:r>
    </w:p>
    <w:p w14:paraId="3A6DE49C" w14:textId="77777777" w:rsidR="0017163C" w:rsidRPr="00AD5407" w:rsidRDefault="0017163C" w:rsidP="00AD5407">
      <w:pPr>
        <w:tabs>
          <w:tab w:val="left" w:pos="6663"/>
          <w:tab w:val="left" w:pos="7514"/>
        </w:tabs>
        <w:spacing w:line="276" w:lineRule="auto"/>
        <w:ind w:left="360"/>
        <w:jc w:val="both"/>
        <w:rPr>
          <w:sz w:val="22"/>
          <w:szCs w:val="22"/>
        </w:rPr>
      </w:pPr>
    </w:p>
    <w:p w14:paraId="24E819D4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 xml:space="preserve">Kontrola została przeprowadzona przez zespół kontrolujący w składzie: </w:t>
      </w:r>
    </w:p>
    <w:p w14:paraId="773395BB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49BA3E0C" w14:textId="77777777" w:rsidR="00F87D08" w:rsidRPr="00AD5407" w:rsidRDefault="00F87D08" w:rsidP="00F87D08">
      <w:pPr>
        <w:numPr>
          <w:ilvl w:val="0"/>
          <w:numId w:val="1"/>
        </w:numPr>
        <w:suppressAutoHyphens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>Katarzyna Żebrowska – Starszy Specjalista w Biurze Kontroli i Audytu Wewnętrznego,</w:t>
      </w:r>
      <w:r>
        <w:rPr>
          <w:sz w:val="22"/>
          <w:szCs w:val="22"/>
          <w:lang w:eastAsia="ar-SA"/>
        </w:rPr>
        <w:t xml:space="preserve"> kierownik zespołu kontrolującego,</w:t>
      </w:r>
    </w:p>
    <w:p w14:paraId="08EB2DA0" w14:textId="77777777" w:rsidR="00F87D08" w:rsidRPr="00AD5407" w:rsidRDefault="00F87D08" w:rsidP="00F87D08">
      <w:pPr>
        <w:numPr>
          <w:ilvl w:val="0"/>
          <w:numId w:val="1"/>
        </w:numPr>
        <w:suppressAutoHyphens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 xml:space="preserve">Katarzyna </w:t>
      </w:r>
      <w:proofErr w:type="spellStart"/>
      <w:r w:rsidRPr="00AD5407">
        <w:rPr>
          <w:sz w:val="22"/>
          <w:szCs w:val="22"/>
          <w:lang w:eastAsia="ar-SA"/>
        </w:rPr>
        <w:t>Ilczuk</w:t>
      </w:r>
      <w:proofErr w:type="spellEnd"/>
      <w:r w:rsidRPr="00AD5407">
        <w:rPr>
          <w:sz w:val="22"/>
          <w:szCs w:val="22"/>
          <w:lang w:eastAsia="ar-SA"/>
        </w:rPr>
        <w:t xml:space="preserve"> – Specjalista w Departamencie Nadzoru Geologicznego,</w:t>
      </w:r>
    </w:p>
    <w:p w14:paraId="41420FBE" w14:textId="77777777" w:rsidR="00F87D08" w:rsidRPr="00AD5407" w:rsidRDefault="00F87D08" w:rsidP="00F87D08">
      <w:pPr>
        <w:numPr>
          <w:ilvl w:val="0"/>
          <w:numId w:val="1"/>
        </w:numPr>
        <w:suppressAutoHyphens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>Grzegorz Makuch – Zastępca Dyrektora Departamentu Polityki Surowcowej i Analiz,</w:t>
      </w:r>
    </w:p>
    <w:p w14:paraId="1E62C3D7" w14:textId="77777777" w:rsidR="00F87D08" w:rsidRPr="00AD5407" w:rsidRDefault="00F87D08" w:rsidP="00F87D08">
      <w:pPr>
        <w:numPr>
          <w:ilvl w:val="0"/>
          <w:numId w:val="1"/>
        </w:numPr>
        <w:suppressAutoHyphens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>Maja Urbanowicz – Naczelnik Wydziału w Departamencie Zrównoważonego Rozwoju</w:t>
      </w:r>
      <w:r w:rsidRPr="00AD5407">
        <w:rPr>
          <w:sz w:val="22"/>
          <w:szCs w:val="22"/>
          <w:lang w:eastAsia="ar-SA"/>
        </w:rPr>
        <w:br/>
        <w:t>i Współpracy Międzynarodowej,</w:t>
      </w:r>
    </w:p>
    <w:p w14:paraId="4DFFE473" w14:textId="77777777" w:rsidR="00F87D08" w:rsidRPr="00AD5407" w:rsidRDefault="00F87D08" w:rsidP="00F87D08">
      <w:pPr>
        <w:numPr>
          <w:ilvl w:val="0"/>
          <w:numId w:val="1"/>
        </w:numPr>
        <w:suppressAutoHyphens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 xml:space="preserve">Eliza </w:t>
      </w:r>
      <w:proofErr w:type="spellStart"/>
      <w:r w:rsidRPr="00AD5407">
        <w:rPr>
          <w:sz w:val="22"/>
          <w:szCs w:val="22"/>
          <w:lang w:eastAsia="ar-SA"/>
        </w:rPr>
        <w:t>Dejter</w:t>
      </w:r>
      <w:proofErr w:type="spellEnd"/>
      <w:r w:rsidRPr="00AD5407">
        <w:rPr>
          <w:sz w:val="22"/>
          <w:szCs w:val="22"/>
          <w:lang w:eastAsia="ar-SA"/>
        </w:rPr>
        <w:t xml:space="preserve"> – Audytor Wewnętrzny w Biurze Kontroli i Audytu Wewnętrznego,</w:t>
      </w:r>
    </w:p>
    <w:p w14:paraId="6CEBE558" w14:textId="77777777" w:rsidR="00F87D08" w:rsidRPr="00AD5407" w:rsidRDefault="00F87D08" w:rsidP="00F87D08">
      <w:pPr>
        <w:numPr>
          <w:ilvl w:val="0"/>
          <w:numId w:val="1"/>
        </w:numPr>
        <w:suppressAutoHyphens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>Michał Dajek – Administrator w Biurze Ministra.</w:t>
      </w:r>
    </w:p>
    <w:p w14:paraId="3790F849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4F91CE6E" w14:textId="77777777" w:rsidR="0017163C" w:rsidRDefault="0017163C" w:rsidP="00AD540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 xml:space="preserve">Kontrola została przeprowadzona na podstawie ustawy z dnia 15 lipca 2011 r. </w:t>
      </w:r>
      <w:r w:rsidR="00642F84" w:rsidRPr="00AD5407">
        <w:rPr>
          <w:i/>
          <w:iCs/>
          <w:sz w:val="22"/>
          <w:szCs w:val="22"/>
          <w:lang w:eastAsia="ar-SA"/>
        </w:rPr>
        <w:t>o kontroli</w:t>
      </w:r>
      <w:r w:rsidR="00642F84" w:rsidRPr="00AD5407">
        <w:rPr>
          <w:i/>
          <w:iCs/>
          <w:sz w:val="22"/>
          <w:szCs w:val="22"/>
          <w:lang w:eastAsia="ar-SA"/>
        </w:rPr>
        <w:br/>
      </w:r>
      <w:r w:rsidRPr="00AD5407">
        <w:rPr>
          <w:i/>
          <w:iCs/>
          <w:sz w:val="22"/>
          <w:szCs w:val="22"/>
          <w:lang w:eastAsia="ar-SA"/>
        </w:rPr>
        <w:t>w administracji rządowej</w:t>
      </w:r>
      <w:r w:rsidRPr="00AD5407">
        <w:rPr>
          <w:i/>
          <w:iCs/>
          <w:sz w:val="22"/>
          <w:szCs w:val="22"/>
          <w:vertAlign w:val="superscript"/>
          <w:lang w:eastAsia="ar-SA"/>
        </w:rPr>
        <w:footnoteReference w:id="1"/>
      </w:r>
      <w:r w:rsidRPr="00AD5407">
        <w:rPr>
          <w:sz w:val="22"/>
          <w:szCs w:val="22"/>
          <w:lang w:eastAsia="ar-SA"/>
        </w:rPr>
        <w:t xml:space="preserve">. </w:t>
      </w:r>
    </w:p>
    <w:p w14:paraId="748B9EDA" w14:textId="77777777" w:rsidR="00AD5407" w:rsidRPr="00AD5407" w:rsidRDefault="00AD5407" w:rsidP="00AD540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02B151E9" w14:textId="34A28A56" w:rsidR="005E2256" w:rsidRPr="004B1A87" w:rsidRDefault="005E2256" w:rsidP="005E2256">
      <w:pPr>
        <w:spacing w:line="276" w:lineRule="auto"/>
        <w:jc w:val="both"/>
        <w:rPr>
          <w:sz w:val="22"/>
          <w:szCs w:val="22"/>
        </w:rPr>
      </w:pPr>
      <w:r w:rsidRPr="004B1A87">
        <w:rPr>
          <w:sz w:val="22"/>
          <w:szCs w:val="22"/>
        </w:rPr>
        <w:t>Dyrektorem PIG-PIB w okresie od dnia 14 kwietnia 2</w:t>
      </w:r>
      <w:r>
        <w:rPr>
          <w:sz w:val="22"/>
          <w:szCs w:val="22"/>
        </w:rPr>
        <w:t>008 r. do 4 lipca 2014 r. był Pan</w:t>
      </w:r>
      <w:r w:rsidRPr="004B1A87">
        <w:rPr>
          <w:sz w:val="22"/>
          <w:szCs w:val="22"/>
        </w:rPr>
        <w:t xml:space="preserve"> prof. dr hab. Jerzy Nawrocki. Od dnia 5 lipca 2014 r. do 23 listopada 2015 r. na stanowisku Kierownika PIG-PIB był </w:t>
      </w:r>
      <w:r>
        <w:rPr>
          <w:sz w:val="22"/>
          <w:szCs w:val="22"/>
        </w:rPr>
        <w:t>Pan</w:t>
      </w:r>
      <w:r w:rsidRPr="004B1A87">
        <w:rPr>
          <w:sz w:val="22"/>
          <w:szCs w:val="22"/>
        </w:rPr>
        <w:t xml:space="preserve"> Roman Smółka. </w:t>
      </w:r>
      <w:r w:rsidR="00E26615" w:rsidRPr="00E26615">
        <w:rPr>
          <w:sz w:val="22"/>
          <w:szCs w:val="22"/>
        </w:rPr>
        <w:t>W okresie od 27 listopada 2015 r. do 5 marca 2017 r. pełnienie obowiązków Dyrekto</w:t>
      </w:r>
      <w:r w:rsidR="00E26615">
        <w:rPr>
          <w:sz w:val="22"/>
          <w:szCs w:val="22"/>
        </w:rPr>
        <w:t>ra PIG – PIB powierzono Panu</w:t>
      </w:r>
      <w:r w:rsidR="00E26615" w:rsidRPr="00E26615">
        <w:rPr>
          <w:sz w:val="22"/>
          <w:szCs w:val="22"/>
        </w:rPr>
        <w:t xml:space="preserve"> dr hab. Andrzejowi </w:t>
      </w:r>
      <w:proofErr w:type="spellStart"/>
      <w:r w:rsidR="00E26615" w:rsidRPr="00E26615">
        <w:rPr>
          <w:sz w:val="22"/>
          <w:szCs w:val="22"/>
        </w:rPr>
        <w:t>Gąsiewiczowi</w:t>
      </w:r>
      <w:proofErr w:type="spellEnd"/>
      <w:r w:rsidR="00E26615" w:rsidRPr="00E26615">
        <w:rPr>
          <w:sz w:val="22"/>
          <w:szCs w:val="22"/>
        </w:rPr>
        <w:t>.</w:t>
      </w:r>
      <w:r w:rsidR="00E26615">
        <w:rPr>
          <w:sz w:val="22"/>
          <w:szCs w:val="22"/>
        </w:rPr>
        <w:t xml:space="preserve"> </w:t>
      </w:r>
      <w:r w:rsidR="00E26615" w:rsidRPr="00E26615">
        <w:rPr>
          <w:sz w:val="22"/>
          <w:szCs w:val="22"/>
        </w:rPr>
        <w:t>Z dniem 6 marca 2017 r. na stanowisko Dyre</w:t>
      </w:r>
      <w:r w:rsidR="00E26615">
        <w:rPr>
          <w:sz w:val="22"/>
          <w:szCs w:val="22"/>
        </w:rPr>
        <w:t>ktora PIG-PIB został powołany Pan</w:t>
      </w:r>
      <w:r w:rsidR="00E26615" w:rsidRPr="00E26615">
        <w:rPr>
          <w:sz w:val="22"/>
          <w:szCs w:val="22"/>
        </w:rPr>
        <w:t xml:space="preserve"> dr Sławomir Grzegorz Mazurek.</w:t>
      </w:r>
    </w:p>
    <w:p w14:paraId="004C89CB" w14:textId="10C7321F" w:rsidR="000C5962" w:rsidRPr="00D86A6B" w:rsidRDefault="009E0BFC" w:rsidP="000C5962">
      <w:pPr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Theme="majorEastAsia"/>
          <w:b/>
          <w:sz w:val="22"/>
          <w:szCs w:val="22"/>
          <w:lang w:eastAsia="en-US"/>
        </w:rPr>
        <w:t>Ogólne u</w:t>
      </w:r>
      <w:r w:rsidR="000C5962" w:rsidRPr="00892C27">
        <w:rPr>
          <w:rFonts w:eastAsiaTheme="majorEastAsia"/>
          <w:b/>
          <w:sz w:val="22"/>
          <w:szCs w:val="22"/>
          <w:lang w:eastAsia="en-US"/>
        </w:rPr>
        <w:t>stalenia kontroli</w:t>
      </w:r>
    </w:p>
    <w:p w14:paraId="662440AD" w14:textId="77777777" w:rsidR="00D40DF1" w:rsidRDefault="00D40DF1" w:rsidP="00EC1C64">
      <w:pPr>
        <w:suppressAutoHyphens/>
        <w:spacing w:line="276" w:lineRule="auto"/>
        <w:jc w:val="both"/>
        <w:rPr>
          <w:sz w:val="22"/>
          <w:szCs w:val="22"/>
        </w:rPr>
      </w:pPr>
    </w:p>
    <w:p w14:paraId="540676D9" w14:textId="7CF9E92C" w:rsidR="000C5962" w:rsidRPr="00AD5407" w:rsidRDefault="000C5962" w:rsidP="000C5962">
      <w:pPr>
        <w:numPr>
          <w:ilvl w:val="0"/>
          <w:numId w:val="37"/>
        </w:numPr>
        <w:suppressAutoHyphens/>
        <w:spacing w:line="276" w:lineRule="auto"/>
        <w:ind w:left="360"/>
        <w:jc w:val="both"/>
        <w:rPr>
          <w:sz w:val="22"/>
          <w:szCs w:val="22"/>
        </w:rPr>
      </w:pPr>
      <w:r w:rsidRPr="00AD5407">
        <w:rPr>
          <w:sz w:val="22"/>
          <w:szCs w:val="22"/>
        </w:rPr>
        <w:t xml:space="preserve">Niektóre z analizowanych umów </w:t>
      </w:r>
      <w:r>
        <w:rPr>
          <w:sz w:val="22"/>
          <w:szCs w:val="22"/>
        </w:rPr>
        <w:t xml:space="preserve">i porozumień </w:t>
      </w:r>
      <w:r w:rsidRPr="00AD5407">
        <w:rPr>
          <w:sz w:val="22"/>
          <w:szCs w:val="22"/>
        </w:rPr>
        <w:t xml:space="preserve">zawierały postanowienia charakterystyczne dla umów międzynarodowych, mimo iż formalnie nie posiadały takiego statusu. </w:t>
      </w:r>
      <w:r>
        <w:rPr>
          <w:sz w:val="22"/>
          <w:szCs w:val="22"/>
        </w:rPr>
        <w:t>Wskazuje to na nierzetelność w sporządzaniu i uzgadnianiu treści tych dokumentów.</w:t>
      </w:r>
    </w:p>
    <w:p w14:paraId="170A3277" w14:textId="77777777" w:rsidR="000C5962" w:rsidRPr="00D86A6B" w:rsidRDefault="000C5962" w:rsidP="000C5962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14:paraId="7D3EBDCB" w14:textId="0E353A11" w:rsidR="000C5962" w:rsidRPr="00AD5407" w:rsidRDefault="000C5962" w:rsidP="000C5962">
      <w:pPr>
        <w:numPr>
          <w:ilvl w:val="0"/>
          <w:numId w:val="37"/>
        </w:numPr>
        <w:suppressAutoHyphens/>
        <w:spacing w:line="276" w:lineRule="auto"/>
        <w:ind w:left="360"/>
        <w:jc w:val="both"/>
        <w:rPr>
          <w:b/>
          <w:sz w:val="22"/>
          <w:szCs w:val="22"/>
          <w:lang w:eastAsia="ar-SA"/>
        </w:rPr>
      </w:pPr>
      <w:r w:rsidRPr="00AD5407">
        <w:rPr>
          <w:sz w:val="22"/>
          <w:szCs w:val="22"/>
        </w:rPr>
        <w:t xml:space="preserve">Kontrola wybranych </w:t>
      </w:r>
      <w:r w:rsidRPr="00194770">
        <w:rPr>
          <w:sz w:val="22"/>
          <w:szCs w:val="22"/>
        </w:rPr>
        <w:t>obowiązujących</w:t>
      </w:r>
      <w:r w:rsidRPr="00AD5407">
        <w:rPr>
          <w:sz w:val="22"/>
          <w:szCs w:val="22"/>
        </w:rPr>
        <w:t xml:space="preserve"> umów</w:t>
      </w:r>
      <w:r>
        <w:rPr>
          <w:sz w:val="22"/>
          <w:szCs w:val="22"/>
        </w:rPr>
        <w:t xml:space="preserve">, porozumień, listów intencyjnych i memorandów </w:t>
      </w:r>
      <w:r w:rsidRPr="00AD5407">
        <w:rPr>
          <w:sz w:val="22"/>
          <w:szCs w:val="22"/>
        </w:rPr>
        <w:t>wykazała, że:</w:t>
      </w:r>
    </w:p>
    <w:p w14:paraId="6B040849" w14:textId="1A8EA5B1" w:rsidR="000C5962" w:rsidRPr="00AD5407" w:rsidRDefault="000C5962" w:rsidP="000C5962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znaczna liczba tych dokumentów</w:t>
      </w:r>
      <w:r w:rsidRPr="00AD5407">
        <w:rPr>
          <w:sz w:val="22"/>
          <w:szCs w:val="22"/>
        </w:rPr>
        <w:t xml:space="preserve"> nie zawiera precyzyjnych postanowień odnośnie terminu ich obowiązywania. W sposób dorozumiany, jeśli z ich treści nie wynika nic odmiennego, należy przyjąć, że są bezterminowe. W przygotowanym przez PIG-PIB zestawieniu,</w:t>
      </w:r>
      <w:r w:rsidR="004D0F46">
        <w:rPr>
          <w:sz w:val="22"/>
          <w:szCs w:val="22"/>
        </w:rPr>
        <w:t xml:space="preserve"> </w:t>
      </w:r>
      <w:r w:rsidRPr="00AD5407">
        <w:rPr>
          <w:sz w:val="22"/>
          <w:szCs w:val="22"/>
        </w:rPr>
        <w:t>w kolumnie "data wygaśn</w:t>
      </w:r>
      <w:r>
        <w:rPr>
          <w:sz w:val="22"/>
          <w:szCs w:val="22"/>
        </w:rPr>
        <w:t xml:space="preserve">ięcia", w części </w:t>
      </w:r>
      <w:r w:rsidR="00000B18">
        <w:rPr>
          <w:sz w:val="22"/>
          <w:szCs w:val="22"/>
        </w:rPr>
        <w:t>ww. dokumentów (</w:t>
      </w:r>
      <w:r>
        <w:rPr>
          <w:sz w:val="22"/>
          <w:szCs w:val="22"/>
        </w:rPr>
        <w:t xml:space="preserve">umów i </w:t>
      </w:r>
      <w:r w:rsidRPr="00AD5407">
        <w:rPr>
          <w:sz w:val="22"/>
          <w:szCs w:val="22"/>
        </w:rPr>
        <w:t>porozumień</w:t>
      </w:r>
      <w:r w:rsidR="00000B18">
        <w:rPr>
          <w:sz w:val="22"/>
          <w:szCs w:val="22"/>
        </w:rPr>
        <w:t>)</w:t>
      </w:r>
      <w:r w:rsidRPr="00AD5407">
        <w:rPr>
          <w:sz w:val="22"/>
          <w:szCs w:val="22"/>
        </w:rPr>
        <w:t xml:space="preserve"> ograniczano się do wymiennie stosowanych zapisów: "brak informacji o terminie" lub  "bezterminowe".</w:t>
      </w:r>
    </w:p>
    <w:p w14:paraId="14BEB5CF" w14:textId="6D772E25" w:rsidR="000C5962" w:rsidRDefault="00000B18" w:rsidP="000C5962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C5962">
        <w:rPr>
          <w:sz w:val="22"/>
          <w:szCs w:val="22"/>
        </w:rPr>
        <w:t xml:space="preserve"> zawieranych umowach</w:t>
      </w:r>
      <w:r w:rsidR="00234922">
        <w:rPr>
          <w:sz w:val="22"/>
          <w:szCs w:val="22"/>
        </w:rPr>
        <w:t xml:space="preserve">, </w:t>
      </w:r>
      <w:r w:rsidR="000C5962" w:rsidRPr="00AD5407">
        <w:rPr>
          <w:sz w:val="22"/>
          <w:szCs w:val="22"/>
        </w:rPr>
        <w:t>porozumieniach</w:t>
      </w:r>
      <w:r w:rsidR="002A611B">
        <w:rPr>
          <w:sz w:val="22"/>
          <w:szCs w:val="22"/>
        </w:rPr>
        <w:t xml:space="preserve"> </w:t>
      </w:r>
      <w:r w:rsidR="00234922">
        <w:rPr>
          <w:sz w:val="22"/>
          <w:szCs w:val="22"/>
        </w:rPr>
        <w:t>i memorandach</w:t>
      </w:r>
      <w:r w:rsidR="000C5962" w:rsidRPr="00AD5407">
        <w:rPr>
          <w:sz w:val="22"/>
          <w:szCs w:val="22"/>
        </w:rPr>
        <w:t xml:space="preserve"> powinna być zawarta klauzula odnośnie trybu ich wypowiadania, której bardzo często brak. </w:t>
      </w:r>
    </w:p>
    <w:p w14:paraId="73517F38" w14:textId="77777777" w:rsidR="000C5962" w:rsidRPr="00AD5407" w:rsidRDefault="000C5962" w:rsidP="000C5962">
      <w:pPr>
        <w:suppressAutoHyphens/>
        <w:spacing w:line="276" w:lineRule="auto"/>
        <w:ind w:left="491"/>
        <w:jc w:val="both"/>
        <w:rPr>
          <w:sz w:val="22"/>
          <w:szCs w:val="22"/>
        </w:rPr>
      </w:pPr>
    </w:p>
    <w:p w14:paraId="1779F2FD" w14:textId="2E9766A0" w:rsidR="000C5962" w:rsidRDefault="000C5962" w:rsidP="000C5962">
      <w:pPr>
        <w:numPr>
          <w:ilvl w:val="0"/>
          <w:numId w:val="37"/>
        </w:numPr>
        <w:suppressAutoHyphens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AD5407">
        <w:rPr>
          <w:color w:val="000000"/>
          <w:sz w:val="22"/>
          <w:szCs w:val="22"/>
        </w:rPr>
        <w:t xml:space="preserve">Umowy zawarte w 2016 r.  np. umowa z Czechami </w:t>
      </w:r>
      <w:r w:rsidR="00000B18">
        <w:rPr>
          <w:color w:val="000000"/>
          <w:sz w:val="22"/>
          <w:szCs w:val="22"/>
        </w:rPr>
        <w:t>i</w:t>
      </w:r>
      <w:r w:rsidRPr="00AD5407">
        <w:rPr>
          <w:color w:val="000000"/>
          <w:sz w:val="22"/>
          <w:szCs w:val="22"/>
        </w:rPr>
        <w:t xml:space="preserve"> Łotwą oraz </w:t>
      </w:r>
      <w:r w:rsidR="00000B18">
        <w:rPr>
          <w:color w:val="000000"/>
          <w:sz w:val="22"/>
          <w:szCs w:val="22"/>
        </w:rPr>
        <w:t>w</w:t>
      </w:r>
      <w:r w:rsidR="00E941BD">
        <w:rPr>
          <w:color w:val="000000"/>
          <w:sz w:val="22"/>
          <w:szCs w:val="22"/>
        </w:rPr>
        <w:t xml:space="preserve"> 2013 i 2014 r. z Litwą,</w:t>
      </w:r>
      <w:r w:rsidR="00E941BD">
        <w:rPr>
          <w:color w:val="000000"/>
          <w:sz w:val="22"/>
          <w:szCs w:val="22"/>
        </w:rPr>
        <w:br/>
      </w:r>
      <w:r w:rsidRPr="00AD5407">
        <w:rPr>
          <w:color w:val="000000"/>
          <w:sz w:val="22"/>
          <w:szCs w:val="22"/>
        </w:rPr>
        <w:t>są umowami przygotowanymi staranniej niż te z lat poprzednich (zawierają postanowienia dokładnie precyzujące termin  obowiązywania</w:t>
      </w:r>
      <w:r w:rsidR="00000B18">
        <w:rPr>
          <w:color w:val="000000"/>
          <w:sz w:val="22"/>
          <w:szCs w:val="22"/>
        </w:rPr>
        <w:t>,</w:t>
      </w:r>
      <w:r w:rsidRPr="00AD5407">
        <w:rPr>
          <w:color w:val="000000"/>
          <w:sz w:val="22"/>
          <w:szCs w:val="22"/>
        </w:rPr>
        <w:t xml:space="preserve"> warunki oraz  klauzule </w:t>
      </w:r>
      <w:r w:rsidR="00000B18">
        <w:rPr>
          <w:color w:val="000000"/>
          <w:sz w:val="22"/>
          <w:szCs w:val="22"/>
        </w:rPr>
        <w:t xml:space="preserve">dotyczące trybu </w:t>
      </w:r>
      <w:r w:rsidRPr="00AD5407">
        <w:rPr>
          <w:color w:val="000000"/>
          <w:sz w:val="22"/>
          <w:szCs w:val="22"/>
        </w:rPr>
        <w:t xml:space="preserve"> wypowiadania).</w:t>
      </w:r>
    </w:p>
    <w:p w14:paraId="3C6B813E" w14:textId="77777777" w:rsidR="000C5962" w:rsidRPr="00AD5407" w:rsidRDefault="000C5962" w:rsidP="000C5962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14:paraId="0349FD3F" w14:textId="795FC03B" w:rsidR="000C5962" w:rsidRPr="00EC1C64" w:rsidRDefault="000C5962" w:rsidP="000C5962">
      <w:pPr>
        <w:pStyle w:val="Akapitzlist"/>
        <w:numPr>
          <w:ilvl w:val="0"/>
          <w:numId w:val="37"/>
        </w:numPr>
        <w:spacing w:after="0"/>
        <w:ind w:left="360"/>
        <w:contextualSpacing w:val="0"/>
        <w:jc w:val="both"/>
        <w:rPr>
          <w:rFonts w:ascii="Times New Roman" w:hAnsi="Times New Roman" w:cs="Times New Roman"/>
        </w:rPr>
      </w:pPr>
      <w:r w:rsidRPr="00EC1C64">
        <w:rPr>
          <w:rFonts w:ascii="Times New Roman" w:hAnsi="Times New Roman" w:cs="Times New Roman"/>
        </w:rPr>
        <w:t xml:space="preserve">PIG-PIB </w:t>
      </w:r>
      <w:r w:rsidR="0001387B" w:rsidRPr="00EC1C64">
        <w:rPr>
          <w:rFonts w:ascii="Times New Roman" w:hAnsi="Times New Roman" w:cs="Times New Roman"/>
        </w:rPr>
        <w:t xml:space="preserve">na dzień przeprowadzenia kontroli </w:t>
      </w:r>
      <w:r w:rsidRPr="00EC1C64">
        <w:rPr>
          <w:rFonts w:ascii="Times New Roman" w:hAnsi="Times New Roman" w:cs="Times New Roman"/>
        </w:rPr>
        <w:t>nie posiada</w:t>
      </w:r>
      <w:r w:rsidR="0001387B" w:rsidRPr="00EC1C64">
        <w:rPr>
          <w:rFonts w:ascii="Times New Roman" w:hAnsi="Times New Roman" w:cs="Times New Roman"/>
        </w:rPr>
        <w:t>ł</w:t>
      </w:r>
      <w:r w:rsidRPr="00EC1C64">
        <w:rPr>
          <w:rFonts w:ascii="Times New Roman" w:hAnsi="Times New Roman" w:cs="Times New Roman"/>
        </w:rPr>
        <w:t xml:space="preserve"> podpisanego przez obie strony oryginału zawartej umowy z Ukrainą.</w:t>
      </w:r>
    </w:p>
    <w:p w14:paraId="48850592" w14:textId="77777777" w:rsidR="000C5962" w:rsidRPr="00EC1C64" w:rsidRDefault="000C5962" w:rsidP="000C5962">
      <w:pPr>
        <w:jc w:val="both"/>
      </w:pPr>
    </w:p>
    <w:p w14:paraId="323387E9" w14:textId="471506A3" w:rsidR="000C5962" w:rsidRDefault="000C5962" w:rsidP="000C5962">
      <w:pPr>
        <w:numPr>
          <w:ilvl w:val="0"/>
          <w:numId w:val="37"/>
        </w:numPr>
        <w:suppressAutoHyphens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194770">
        <w:rPr>
          <w:color w:val="000000"/>
          <w:sz w:val="22"/>
          <w:szCs w:val="22"/>
        </w:rPr>
        <w:t>W przypadku współpracy z Czechami PIG-PIB nie przeprowadził kwerendy starych umów (czasem nie wygasłych) w celu oceny stanu podstaw prawnych współpracy z danym krajem</w:t>
      </w:r>
      <w:r w:rsidR="00EC1C64">
        <w:rPr>
          <w:color w:val="000000"/>
          <w:sz w:val="22"/>
          <w:szCs w:val="22"/>
        </w:rPr>
        <w:br/>
      </w:r>
      <w:r w:rsidRPr="00194770">
        <w:rPr>
          <w:color w:val="000000"/>
          <w:sz w:val="22"/>
          <w:szCs w:val="22"/>
        </w:rPr>
        <w:t>i rzeczywistą potrzebę związania się nowym porozumieniem</w:t>
      </w:r>
      <w:r w:rsidR="0019195C">
        <w:rPr>
          <w:color w:val="000000"/>
          <w:sz w:val="22"/>
          <w:szCs w:val="22"/>
        </w:rPr>
        <w:t>.</w:t>
      </w:r>
    </w:p>
    <w:p w14:paraId="7DF1C644" w14:textId="77777777" w:rsidR="000C5962" w:rsidRPr="00194770" w:rsidRDefault="000C5962" w:rsidP="000C5962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14:paraId="116D2786" w14:textId="35960AFC" w:rsidR="00DE2EFC" w:rsidRDefault="00DE2EFC" w:rsidP="000C5962">
      <w:pPr>
        <w:numPr>
          <w:ilvl w:val="0"/>
          <w:numId w:val="37"/>
        </w:numPr>
        <w:suppressAutoHyphens/>
        <w:spacing w:line="276" w:lineRule="auto"/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PIG-PIB prowadzi rejestr umów w wersji elektronicznej od początku 2016 r. Wcześniej rejestr </w:t>
      </w:r>
      <w:r w:rsidR="00A53A19">
        <w:rPr>
          <w:sz w:val="22"/>
          <w:szCs w:val="22"/>
          <w:lang w:eastAsia="ar-SA"/>
        </w:rPr>
        <w:t xml:space="preserve">nie </w:t>
      </w:r>
      <w:r>
        <w:rPr>
          <w:sz w:val="22"/>
          <w:szCs w:val="22"/>
          <w:lang w:eastAsia="ar-SA"/>
        </w:rPr>
        <w:t>był prowadzony</w:t>
      </w:r>
      <w:r w:rsidR="00A53A19">
        <w:rPr>
          <w:sz w:val="22"/>
          <w:szCs w:val="22"/>
          <w:lang w:eastAsia="ar-SA"/>
        </w:rPr>
        <w:t>. Gromadzono dokumenty</w:t>
      </w:r>
      <w:r>
        <w:rPr>
          <w:sz w:val="22"/>
          <w:szCs w:val="22"/>
          <w:lang w:eastAsia="ar-SA"/>
        </w:rPr>
        <w:t xml:space="preserve"> papierow</w:t>
      </w:r>
      <w:r w:rsidR="00A53A19">
        <w:rPr>
          <w:sz w:val="22"/>
          <w:szCs w:val="22"/>
          <w:lang w:eastAsia="ar-SA"/>
        </w:rPr>
        <w:t>e</w:t>
      </w:r>
      <w:r w:rsidR="004615F5">
        <w:rPr>
          <w:sz w:val="22"/>
          <w:szCs w:val="22"/>
          <w:lang w:eastAsia="ar-SA"/>
        </w:rPr>
        <w:t xml:space="preserve"> w segregatorach</w:t>
      </w:r>
      <w:r w:rsidR="00DC260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 dzielon</w:t>
      </w:r>
      <w:r w:rsidR="00A53A19">
        <w:rPr>
          <w:sz w:val="22"/>
          <w:szCs w:val="22"/>
          <w:lang w:eastAsia="ar-SA"/>
        </w:rPr>
        <w:t>o</w:t>
      </w:r>
      <w:r>
        <w:rPr>
          <w:sz w:val="22"/>
          <w:szCs w:val="22"/>
          <w:lang w:eastAsia="ar-SA"/>
        </w:rPr>
        <w:t xml:space="preserve"> alfabetycznie </w:t>
      </w:r>
      <w:r w:rsidR="00CF50A7">
        <w:rPr>
          <w:sz w:val="22"/>
          <w:szCs w:val="22"/>
          <w:lang w:eastAsia="ar-SA"/>
        </w:rPr>
        <w:t>według</w:t>
      </w:r>
      <w:r>
        <w:rPr>
          <w:sz w:val="22"/>
          <w:szCs w:val="22"/>
          <w:lang w:eastAsia="ar-SA"/>
        </w:rPr>
        <w:t xml:space="preserve"> </w:t>
      </w:r>
      <w:r w:rsidR="00CF50A7">
        <w:rPr>
          <w:sz w:val="22"/>
          <w:szCs w:val="22"/>
          <w:lang w:eastAsia="ar-SA"/>
        </w:rPr>
        <w:t>krajów</w:t>
      </w:r>
      <w:r>
        <w:rPr>
          <w:sz w:val="22"/>
          <w:szCs w:val="22"/>
          <w:lang w:eastAsia="ar-SA"/>
        </w:rPr>
        <w:t>.</w:t>
      </w:r>
      <w:r w:rsidR="00A3019A">
        <w:rPr>
          <w:sz w:val="22"/>
          <w:szCs w:val="22"/>
          <w:lang w:eastAsia="ar-SA"/>
        </w:rPr>
        <w:t xml:space="preserve"> </w:t>
      </w:r>
    </w:p>
    <w:p w14:paraId="43E82118" w14:textId="4F629997" w:rsidR="0046759E" w:rsidRDefault="0046759E" w:rsidP="00EC1C64"/>
    <w:p w14:paraId="76DAD5A3" w14:textId="49304B4B" w:rsidR="001E2891" w:rsidRDefault="00DC2603" w:rsidP="00E941BD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Sporządzone</w:t>
      </w:r>
      <w:r w:rsidR="0017085A">
        <w:rPr>
          <w:sz w:val="22"/>
          <w:szCs w:val="22"/>
          <w:lang w:eastAsia="ar-SA"/>
        </w:rPr>
        <w:t xml:space="preserve"> w trakcie kontroli z</w:t>
      </w:r>
      <w:r w:rsidR="0046759E">
        <w:rPr>
          <w:sz w:val="22"/>
          <w:szCs w:val="22"/>
          <w:lang w:eastAsia="ar-SA"/>
        </w:rPr>
        <w:t>estawienie umów, porozumień, memorandów i listów intencyjnych zawartych przez PIG-PIB przekazane na potrzeby kontroli zostało sporządzone nierzetelnie.</w:t>
      </w:r>
      <w:r w:rsidR="00DE2EFC">
        <w:rPr>
          <w:sz w:val="22"/>
          <w:szCs w:val="22"/>
          <w:lang w:eastAsia="ar-SA"/>
        </w:rPr>
        <w:t xml:space="preserve"> Informacje w nim podan</w:t>
      </w:r>
      <w:r w:rsidR="004615F5">
        <w:rPr>
          <w:sz w:val="22"/>
          <w:szCs w:val="22"/>
          <w:lang w:eastAsia="ar-SA"/>
        </w:rPr>
        <w:t>e</w:t>
      </w:r>
      <w:r>
        <w:rPr>
          <w:sz w:val="22"/>
          <w:szCs w:val="22"/>
          <w:lang w:eastAsia="ar-SA"/>
        </w:rPr>
        <w:t xml:space="preserve"> </w:t>
      </w:r>
      <w:r w:rsidR="0046759E">
        <w:rPr>
          <w:sz w:val="22"/>
          <w:szCs w:val="22"/>
          <w:lang w:eastAsia="ar-SA"/>
        </w:rPr>
        <w:t>w niektórych przypadkach były niezgodne ze stanem faktycznym</w:t>
      </w:r>
      <w:r w:rsidR="00E941BD">
        <w:rPr>
          <w:sz w:val="22"/>
          <w:szCs w:val="22"/>
          <w:lang w:eastAsia="ar-SA"/>
        </w:rPr>
        <w:t>,</w:t>
      </w:r>
      <w:r w:rsidR="00E941BD">
        <w:rPr>
          <w:sz w:val="22"/>
          <w:szCs w:val="22"/>
          <w:lang w:eastAsia="ar-SA"/>
        </w:rPr>
        <w:br/>
      </w:r>
      <w:r w:rsidR="00DE2EFC">
        <w:rPr>
          <w:sz w:val="22"/>
          <w:szCs w:val="22"/>
          <w:lang w:eastAsia="ar-SA"/>
        </w:rPr>
        <w:t>tj. z treścią dokumentów. Dotyczy to w szczególności dat obowiązywania</w:t>
      </w:r>
      <w:r w:rsidR="00E879EB">
        <w:rPr>
          <w:sz w:val="22"/>
          <w:szCs w:val="22"/>
          <w:lang w:eastAsia="ar-SA"/>
        </w:rPr>
        <w:t xml:space="preserve"> dokumentów</w:t>
      </w:r>
      <w:r w:rsidR="0017085A" w:rsidRPr="0017085A">
        <w:rPr>
          <w:sz w:val="22"/>
          <w:szCs w:val="22"/>
          <w:lang w:eastAsia="ar-SA"/>
        </w:rPr>
        <w:t xml:space="preserve"> </w:t>
      </w:r>
      <w:r w:rsidR="0017085A">
        <w:rPr>
          <w:sz w:val="22"/>
          <w:szCs w:val="22"/>
          <w:lang w:eastAsia="ar-SA"/>
        </w:rPr>
        <w:t xml:space="preserve">W zestawieniu nie podano także </w:t>
      </w:r>
      <w:r w:rsidR="0017085A" w:rsidRPr="00AD5407">
        <w:rPr>
          <w:sz w:val="22"/>
          <w:szCs w:val="22"/>
          <w:lang w:eastAsia="ar-SA"/>
        </w:rPr>
        <w:t>informacji o podjętych i planowanych dzia</w:t>
      </w:r>
      <w:r w:rsidR="0017085A">
        <w:rPr>
          <w:sz w:val="22"/>
          <w:szCs w:val="22"/>
          <w:lang w:eastAsia="ar-SA"/>
        </w:rPr>
        <w:t>łaniach w ramach zawartych umów, porozumień, memorandów i listów intencyjnych. Informacje</w:t>
      </w:r>
      <w:r w:rsidR="00E941BD">
        <w:rPr>
          <w:sz w:val="22"/>
          <w:szCs w:val="22"/>
          <w:lang w:eastAsia="ar-SA"/>
        </w:rPr>
        <w:t xml:space="preserve"> te nie są również uwzględniane</w:t>
      </w:r>
      <w:r w:rsidR="00E941BD">
        <w:rPr>
          <w:sz w:val="22"/>
          <w:szCs w:val="22"/>
          <w:lang w:eastAsia="ar-SA"/>
        </w:rPr>
        <w:br/>
      </w:r>
      <w:r w:rsidR="0017085A">
        <w:rPr>
          <w:sz w:val="22"/>
          <w:szCs w:val="22"/>
          <w:lang w:eastAsia="ar-SA"/>
        </w:rPr>
        <w:t>w prowadzonym przez PIG-PIB rejestrze. Ustalenia kontroli wskazują jednoznacznie na</w:t>
      </w:r>
      <w:r w:rsidR="0017085A" w:rsidRPr="00AD5407">
        <w:rPr>
          <w:sz w:val="22"/>
          <w:szCs w:val="22"/>
          <w:lang w:eastAsia="ar-SA"/>
        </w:rPr>
        <w:t xml:space="preserve"> brak </w:t>
      </w:r>
      <w:r w:rsidR="0017085A">
        <w:rPr>
          <w:sz w:val="22"/>
          <w:szCs w:val="22"/>
          <w:lang w:eastAsia="ar-SA"/>
        </w:rPr>
        <w:t>wiedzy</w:t>
      </w:r>
      <w:r>
        <w:rPr>
          <w:sz w:val="22"/>
          <w:szCs w:val="22"/>
          <w:lang w:eastAsia="ar-SA"/>
        </w:rPr>
        <w:t xml:space="preserve"> </w:t>
      </w:r>
      <w:r w:rsidR="0017085A">
        <w:rPr>
          <w:sz w:val="22"/>
          <w:szCs w:val="22"/>
          <w:lang w:eastAsia="ar-SA"/>
        </w:rPr>
        <w:t xml:space="preserve">kierownictwa Instytutu oraz koordynacji zadań </w:t>
      </w:r>
      <w:r w:rsidR="0017085A" w:rsidRPr="00AD5407">
        <w:rPr>
          <w:sz w:val="22"/>
          <w:szCs w:val="22"/>
          <w:lang w:eastAsia="ar-SA"/>
        </w:rPr>
        <w:t>z zakresu prowadzonej przez PIG-PIB współpracy międzyna</w:t>
      </w:r>
      <w:r>
        <w:rPr>
          <w:sz w:val="22"/>
          <w:szCs w:val="22"/>
          <w:lang w:eastAsia="ar-SA"/>
        </w:rPr>
        <w:t>rodowej. Zawieranie</w:t>
      </w:r>
      <w:r w:rsidR="004615F5">
        <w:rPr>
          <w:sz w:val="22"/>
          <w:szCs w:val="22"/>
          <w:lang w:eastAsia="ar-SA"/>
        </w:rPr>
        <w:t xml:space="preserve"> umów</w:t>
      </w:r>
      <w:r w:rsidR="00910B61">
        <w:rPr>
          <w:sz w:val="22"/>
          <w:szCs w:val="22"/>
          <w:lang w:eastAsia="ar-SA"/>
        </w:rPr>
        <w:t xml:space="preserve"> </w:t>
      </w:r>
      <w:r w:rsidR="00E879EB">
        <w:rPr>
          <w:sz w:val="22"/>
          <w:szCs w:val="22"/>
          <w:lang w:eastAsia="ar-SA"/>
        </w:rPr>
        <w:t xml:space="preserve">i </w:t>
      </w:r>
      <w:r w:rsidR="00E879EB" w:rsidRPr="00AD5407">
        <w:rPr>
          <w:sz w:val="22"/>
          <w:szCs w:val="22"/>
          <w:lang w:eastAsia="ar-SA"/>
        </w:rPr>
        <w:t>porozumień międzyn</w:t>
      </w:r>
      <w:r w:rsidR="00E941BD">
        <w:rPr>
          <w:sz w:val="22"/>
          <w:szCs w:val="22"/>
          <w:lang w:eastAsia="ar-SA"/>
        </w:rPr>
        <w:t>arodowych wymaga uporządkowania</w:t>
      </w:r>
      <w:r w:rsidR="000131CD">
        <w:rPr>
          <w:sz w:val="22"/>
          <w:szCs w:val="22"/>
          <w:lang w:eastAsia="ar-SA"/>
        </w:rPr>
        <w:t>,</w:t>
      </w:r>
      <w:r w:rsidR="00E941BD">
        <w:rPr>
          <w:sz w:val="22"/>
          <w:szCs w:val="22"/>
          <w:lang w:eastAsia="ar-SA"/>
        </w:rPr>
        <w:br/>
      </w:r>
      <w:r w:rsidR="0017085A">
        <w:rPr>
          <w:sz w:val="22"/>
          <w:szCs w:val="22"/>
          <w:lang w:eastAsia="ar-SA"/>
        </w:rPr>
        <w:t>a</w:t>
      </w:r>
      <w:r w:rsidR="00955B3E">
        <w:rPr>
          <w:sz w:val="22"/>
          <w:szCs w:val="22"/>
          <w:lang w:eastAsia="ar-SA"/>
        </w:rPr>
        <w:t xml:space="preserve"> informacje </w:t>
      </w:r>
      <w:r>
        <w:rPr>
          <w:sz w:val="22"/>
          <w:szCs w:val="22"/>
          <w:lang w:eastAsia="ar-SA"/>
        </w:rPr>
        <w:t>dotyczące</w:t>
      </w:r>
      <w:r w:rsidR="00955B3E">
        <w:rPr>
          <w:sz w:val="22"/>
          <w:szCs w:val="22"/>
          <w:lang w:eastAsia="ar-SA"/>
        </w:rPr>
        <w:t xml:space="preserve"> podejmowania działań w tym</w:t>
      </w:r>
      <w:r w:rsidR="0017085A">
        <w:rPr>
          <w:sz w:val="22"/>
          <w:szCs w:val="22"/>
          <w:lang w:eastAsia="ar-SA"/>
        </w:rPr>
        <w:t xml:space="preserve"> zakresie </w:t>
      </w:r>
      <w:r w:rsidR="00955B3E">
        <w:rPr>
          <w:sz w:val="22"/>
          <w:szCs w:val="22"/>
          <w:lang w:eastAsia="ar-SA"/>
        </w:rPr>
        <w:t>winny być przekazane</w:t>
      </w:r>
      <w:r w:rsidR="000131CD">
        <w:rPr>
          <w:sz w:val="22"/>
          <w:szCs w:val="22"/>
          <w:lang w:eastAsia="ar-SA"/>
        </w:rPr>
        <w:t xml:space="preserve"> </w:t>
      </w:r>
      <w:r w:rsidR="0017085A">
        <w:rPr>
          <w:sz w:val="22"/>
          <w:szCs w:val="22"/>
          <w:lang w:eastAsia="ar-SA"/>
        </w:rPr>
        <w:t xml:space="preserve">do </w:t>
      </w:r>
      <w:r w:rsidR="00E879EB" w:rsidRPr="00AD5407">
        <w:rPr>
          <w:sz w:val="22"/>
          <w:szCs w:val="22"/>
          <w:lang w:eastAsia="ar-SA"/>
        </w:rPr>
        <w:t>Ministerstw</w:t>
      </w:r>
      <w:r w:rsidR="0017085A">
        <w:rPr>
          <w:sz w:val="22"/>
          <w:szCs w:val="22"/>
          <w:lang w:eastAsia="ar-SA"/>
        </w:rPr>
        <w:t>a</w:t>
      </w:r>
      <w:r w:rsidR="00E879EB" w:rsidRPr="00AD5407">
        <w:rPr>
          <w:sz w:val="22"/>
          <w:szCs w:val="22"/>
          <w:lang w:eastAsia="ar-SA"/>
        </w:rPr>
        <w:t xml:space="preserve"> Środowiska.</w:t>
      </w:r>
    </w:p>
    <w:p w14:paraId="40BED74F" w14:textId="77777777" w:rsidR="006F2BA0" w:rsidRDefault="006F2BA0" w:rsidP="00BF07C8">
      <w:p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7456D62D" w14:textId="77777777" w:rsidR="006F2BA0" w:rsidRDefault="006F2BA0" w:rsidP="00BF07C8">
      <w:p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2636C71" w14:textId="77777777" w:rsidR="006F2BA0" w:rsidRDefault="006F2BA0" w:rsidP="00BF07C8">
      <w:p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7B43FAB2" w14:textId="77777777" w:rsidR="006F2BA0" w:rsidRDefault="006F2BA0" w:rsidP="00BF07C8">
      <w:pPr>
        <w:suppressAutoHyphens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14:paraId="2AD21EDA" w14:textId="77777777" w:rsidR="00B174F3" w:rsidRPr="0019195C" w:rsidRDefault="00B174F3" w:rsidP="00BF07C8">
      <w:pPr>
        <w:suppressAutoHyphens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14:paraId="4948E874" w14:textId="0348B74D" w:rsidR="006D7286" w:rsidRPr="00AD5407" w:rsidRDefault="0017163C" w:rsidP="00EC1C64">
      <w:pPr>
        <w:suppressAutoHyphens/>
        <w:spacing w:line="276" w:lineRule="auto"/>
        <w:jc w:val="both"/>
        <w:outlineLvl w:val="0"/>
        <w:rPr>
          <w:sz w:val="22"/>
          <w:szCs w:val="22"/>
          <w:lang w:eastAsia="ar-SA"/>
        </w:rPr>
      </w:pPr>
      <w:r w:rsidRPr="00AD5407">
        <w:rPr>
          <w:b/>
          <w:bCs/>
          <w:color w:val="000000"/>
          <w:sz w:val="22"/>
          <w:szCs w:val="22"/>
          <w:lang w:eastAsia="ar-SA"/>
        </w:rPr>
        <w:lastRenderedPageBreak/>
        <w:t xml:space="preserve">Ustalenia </w:t>
      </w:r>
      <w:r w:rsidR="0001387B">
        <w:rPr>
          <w:b/>
          <w:bCs/>
          <w:color w:val="000000"/>
          <w:sz w:val="22"/>
          <w:szCs w:val="22"/>
          <w:lang w:eastAsia="ar-SA"/>
        </w:rPr>
        <w:t>szczegółowe</w:t>
      </w:r>
    </w:p>
    <w:p w14:paraId="6791FCB7" w14:textId="77777777" w:rsidR="006D7286" w:rsidRDefault="006D7286" w:rsidP="006D7286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2EB4F675" w14:textId="4B8DF342" w:rsidR="006D7286" w:rsidRPr="00AD5407" w:rsidRDefault="006D7286" w:rsidP="006D7286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>Współpraca dwustronna</w:t>
      </w:r>
      <w:r>
        <w:rPr>
          <w:sz w:val="22"/>
          <w:szCs w:val="22"/>
          <w:lang w:eastAsia="ar-SA"/>
        </w:rPr>
        <w:t xml:space="preserve"> </w:t>
      </w:r>
      <w:r w:rsidR="000C5962">
        <w:rPr>
          <w:sz w:val="22"/>
          <w:szCs w:val="22"/>
          <w:lang w:eastAsia="ar-SA"/>
        </w:rPr>
        <w:t>międzynarodowa</w:t>
      </w:r>
      <w:r w:rsidRPr="00AD5407">
        <w:rPr>
          <w:sz w:val="22"/>
          <w:szCs w:val="22"/>
          <w:lang w:eastAsia="ar-SA"/>
        </w:rPr>
        <w:t xml:space="preserve"> PIG-PIB prowadzona jest w oparciu o:</w:t>
      </w:r>
    </w:p>
    <w:p w14:paraId="7298B273" w14:textId="6014E152" w:rsidR="006D60F4" w:rsidRPr="00AD5407" w:rsidRDefault="006D7286" w:rsidP="006D7286">
      <w:pPr>
        <w:numPr>
          <w:ilvl w:val="0"/>
          <w:numId w:val="11"/>
        </w:numPr>
        <w:suppressAutoHyphens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 xml:space="preserve">zawarte </w:t>
      </w:r>
      <w:r w:rsidR="006A2FA7" w:rsidRPr="00AD5407">
        <w:rPr>
          <w:sz w:val="22"/>
          <w:szCs w:val="22"/>
          <w:lang w:eastAsia="ar-SA"/>
        </w:rPr>
        <w:t>dwustronne</w:t>
      </w:r>
      <w:r w:rsidR="006A2FA7" w:rsidRPr="006A2FA7">
        <w:rPr>
          <w:sz w:val="22"/>
          <w:szCs w:val="22"/>
          <w:lang w:eastAsia="ar-SA"/>
        </w:rPr>
        <w:t xml:space="preserve"> </w:t>
      </w:r>
      <w:r w:rsidRPr="00EC1C64">
        <w:rPr>
          <w:sz w:val="22"/>
          <w:szCs w:val="22"/>
          <w:lang w:eastAsia="ar-SA"/>
        </w:rPr>
        <w:t>umowy</w:t>
      </w:r>
      <w:r w:rsidR="004D0F46" w:rsidRPr="00EC1C64">
        <w:rPr>
          <w:sz w:val="22"/>
          <w:szCs w:val="22"/>
          <w:lang w:eastAsia="ar-SA"/>
        </w:rPr>
        <w:t>,</w:t>
      </w:r>
      <w:r w:rsidR="006A2FA7">
        <w:rPr>
          <w:sz w:val="22"/>
          <w:szCs w:val="22"/>
          <w:lang w:eastAsia="ar-SA"/>
        </w:rPr>
        <w:t xml:space="preserve"> </w:t>
      </w:r>
      <w:r w:rsidRPr="00EC1C64">
        <w:rPr>
          <w:sz w:val="22"/>
          <w:szCs w:val="22"/>
          <w:lang w:eastAsia="ar-SA"/>
        </w:rPr>
        <w:t>porozumienia</w:t>
      </w:r>
      <w:r w:rsidR="004D0F46" w:rsidRPr="00EC1C64">
        <w:rPr>
          <w:sz w:val="22"/>
          <w:szCs w:val="22"/>
          <w:lang w:eastAsia="ar-SA"/>
        </w:rPr>
        <w:t xml:space="preserve"> i memoranda</w:t>
      </w:r>
      <w:r w:rsidRPr="00AD5407">
        <w:rPr>
          <w:sz w:val="22"/>
          <w:szCs w:val="22"/>
          <w:lang w:eastAsia="ar-SA"/>
        </w:rPr>
        <w:t>,</w:t>
      </w:r>
    </w:p>
    <w:p w14:paraId="6E026177" w14:textId="1C14F65C" w:rsidR="009E0BFC" w:rsidRPr="00EC1C64" w:rsidRDefault="006D7286" w:rsidP="00EC1C64">
      <w:pPr>
        <w:numPr>
          <w:ilvl w:val="0"/>
          <w:numId w:val="11"/>
        </w:numPr>
        <w:suppressAutoHyphens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6D60F4">
        <w:rPr>
          <w:sz w:val="22"/>
          <w:szCs w:val="22"/>
          <w:lang w:eastAsia="ar-SA"/>
        </w:rPr>
        <w:t xml:space="preserve">inne niż umowy formy tj. </w:t>
      </w:r>
      <w:r w:rsidRPr="00EC1C64">
        <w:rPr>
          <w:sz w:val="22"/>
          <w:szCs w:val="22"/>
          <w:lang w:eastAsia="ar-SA"/>
        </w:rPr>
        <w:t>list intencyjny, który jest formą wyrażenia woli stron celem zawarcia w przyszłości umowy po przeprowadzonych negocjacjach lub określa zakres przyszłych działań czy zarys planów dotyczących danego projektu. W ramach prowadzonej przez PIG-PIB współpracy międzynarodowej listy intencyjne zostały zawarte z Chile oraz Niemcami.</w:t>
      </w:r>
    </w:p>
    <w:p w14:paraId="5A7F0132" w14:textId="77777777" w:rsidR="009E0BFC" w:rsidRPr="006D60F4" w:rsidRDefault="009E0BFC" w:rsidP="00EC1C6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3A7AC990" w14:textId="4180BEAA" w:rsidR="00A76DAA" w:rsidRPr="00AD5407" w:rsidRDefault="006D7286" w:rsidP="00A76DAA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C1C64">
        <w:rPr>
          <w:b/>
          <w:sz w:val="22"/>
          <w:szCs w:val="22"/>
        </w:rPr>
        <w:t>PIG-PIB zawarł po 1989 roku łącznie 123 umowy, porozumienia</w:t>
      </w:r>
      <w:r w:rsidR="004615F5">
        <w:rPr>
          <w:b/>
          <w:sz w:val="22"/>
          <w:szCs w:val="22"/>
        </w:rPr>
        <w:t>, memoranda i listy intencyjne</w:t>
      </w:r>
      <w:r w:rsidR="004615F5">
        <w:rPr>
          <w:b/>
          <w:sz w:val="22"/>
          <w:szCs w:val="22"/>
        </w:rPr>
        <w:br/>
      </w:r>
      <w:r w:rsidRPr="00EC1C64">
        <w:rPr>
          <w:b/>
          <w:sz w:val="22"/>
          <w:szCs w:val="22"/>
        </w:rPr>
        <w:t>z czego: 48 obowiązywało na dzień zakończenia kontroli (czyli</w:t>
      </w:r>
      <w:r w:rsidR="002A611B" w:rsidRPr="00EC1C64">
        <w:rPr>
          <w:b/>
          <w:sz w:val="22"/>
          <w:szCs w:val="22"/>
        </w:rPr>
        <w:t xml:space="preserve"> 39% spośród wszystkich zawartych od 1989 r.</w:t>
      </w:r>
      <w:r w:rsidRPr="00EC1C64">
        <w:rPr>
          <w:b/>
          <w:sz w:val="22"/>
          <w:szCs w:val="22"/>
        </w:rPr>
        <w:t>)</w:t>
      </w:r>
      <w:r w:rsidR="002A611B" w:rsidRPr="00EC1C64">
        <w:rPr>
          <w:b/>
          <w:sz w:val="22"/>
          <w:szCs w:val="22"/>
        </w:rPr>
        <w:t>,</w:t>
      </w:r>
      <w:r w:rsidRPr="00EC1C64">
        <w:rPr>
          <w:b/>
          <w:sz w:val="22"/>
          <w:szCs w:val="22"/>
        </w:rPr>
        <w:t xml:space="preserve"> w tym 33 bezterminowych i 15 odnawialnych</w:t>
      </w:r>
      <w:r w:rsidRPr="00EC1C64">
        <w:rPr>
          <w:rStyle w:val="Odwoanieprzypisudolnego"/>
          <w:b/>
          <w:sz w:val="22"/>
          <w:szCs w:val="22"/>
        </w:rPr>
        <w:footnoteReference w:id="2"/>
      </w:r>
      <w:r w:rsidR="00A76DAA" w:rsidRPr="00EC1C64">
        <w:rPr>
          <w:sz w:val="22"/>
          <w:szCs w:val="22"/>
        </w:rPr>
        <w:t xml:space="preserve">, </w:t>
      </w:r>
      <w:r w:rsidR="00A76DAA" w:rsidRPr="00EC1C64">
        <w:rPr>
          <w:b/>
          <w:sz w:val="22"/>
          <w:szCs w:val="22"/>
        </w:rPr>
        <w:t>a</w:t>
      </w:r>
      <w:r w:rsidR="00A76DAA" w:rsidRPr="00EC1C64">
        <w:rPr>
          <w:sz w:val="22"/>
          <w:szCs w:val="22"/>
        </w:rPr>
        <w:t xml:space="preserve"> </w:t>
      </w:r>
      <w:r w:rsidRPr="00EC1C64">
        <w:rPr>
          <w:b/>
          <w:sz w:val="22"/>
          <w:szCs w:val="22"/>
        </w:rPr>
        <w:t>75 wygasło</w:t>
      </w:r>
      <w:r w:rsidR="00A76DAA" w:rsidRPr="00EC1C64">
        <w:rPr>
          <w:b/>
          <w:sz w:val="22"/>
          <w:szCs w:val="22"/>
        </w:rPr>
        <w:t>.</w:t>
      </w:r>
      <w:r w:rsidR="00A76DAA" w:rsidRPr="00EC1C64">
        <w:rPr>
          <w:sz w:val="22"/>
          <w:szCs w:val="22"/>
          <w:lang w:eastAsia="ar-SA"/>
        </w:rPr>
        <w:t xml:space="preserve"> Zakres</w:t>
      </w:r>
      <w:r w:rsidR="006D60F4" w:rsidRPr="00EC1C64">
        <w:rPr>
          <w:sz w:val="22"/>
          <w:szCs w:val="22"/>
          <w:lang w:eastAsia="ar-SA"/>
        </w:rPr>
        <w:t xml:space="preserve"> </w:t>
      </w:r>
      <w:r w:rsidR="00A76DAA" w:rsidRPr="00EC1C64">
        <w:rPr>
          <w:sz w:val="22"/>
          <w:szCs w:val="22"/>
          <w:lang w:eastAsia="ar-SA"/>
        </w:rPr>
        <w:t>współpracy jest szeroki pod względem geograficznym i obejmuje 34 państwa na</w:t>
      </w:r>
      <w:r w:rsidR="00A76DAA" w:rsidRPr="00AD5407">
        <w:rPr>
          <w:sz w:val="22"/>
          <w:szCs w:val="22"/>
          <w:lang w:eastAsia="ar-SA"/>
        </w:rPr>
        <w:t xml:space="preserve"> wszystkich kontynentach (za wyjątkiem Antarktydy). Obecnie obowiązują umowy </w:t>
      </w:r>
      <w:r w:rsidR="00A76DAA">
        <w:rPr>
          <w:sz w:val="22"/>
          <w:szCs w:val="22"/>
          <w:lang w:eastAsia="ar-SA"/>
        </w:rPr>
        <w:t xml:space="preserve">i porozumienia </w:t>
      </w:r>
      <w:r w:rsidR="004615F5">
        <w:rPr>
          <w:sz w:val="22"/>
          <w:szCs w:val="22"/>
          <w:lang w:eastAsia="ar-SA"/>
        </w:rPr>
        <w:t>zawarte</w:t>
      </w:r>
      <w:r w:rsidR="006F2BA0">
        <w:rPr>
          <w:sz w:val="22"/>
          <w:szCs w:val="22"/>
          <w:lang w:eastAsia="ar-SA"/>
        </w:rPr>
        <w:br/>
      </w:r>
      <w:r w:rsidR="00A76DAA" w:rsidRPr="00AD5407">
        <w:rPr>
          <w:sz w:val="22"/>
          <w:szCs w:val="22"/>
          <w:lang w:eastAsia="ar-SA"/>
        </w:rPr>
        <w:t>z 23 państwami.</w:t>
      </w:r>
    </w:p>
    <w:p w14:paraId="5918390D" w14:textId="77777777" w:rsidR="00A76DAA" w:rsidRPr="00EC1C64" w:rsidRDefault="00A76DAA" w:rsidP="00EC1C64">
      <w:pPr>
        <w:tabs>
          <w:tab w:val="left" w:pos="6663"/>
          <w:tab w:val="left" w:pos="7514"/>
        </w:tabs>
        <w:suppressAutoHyphens/>
        <w:spacing w:line="276" w:lineRule="auto"/>
        <w:jc w:val="both"/>
      </w:pPr>
    </w:p>
    <w:p w14:paraId="1D964656" w14:textId="6A431169" w:rsidR="00A76DAA" w:rsidRPr="00A76DAA" w:rsidRDefault="00A76DAA" w:rsidP="00EC1C64">
      <w:pPr>
        <w:tabs>
          <w:tab w:val="left" w:pos="6663"/>
          <w:tab w:val="left" w:pos="751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okresie objęty</w:t>
      </w:r>
      <w:r w:rsidR="006B4C52">
        <w:rPr>
          <w:sz w:val="22"/>
          <w:szCs w:val="22"/>
          <w:lang w:eastAsia="ar-SA"/>
        </w:rPr>
        <w:t>m</w:t>
      </w:r>
      <w:r>
        <w:rPr>
          <w:sz w:val="22"/>
          <w:szCs w:val="22"/>
          <w:lang w:eastAsia="ar-SA"/>
        </w:rPr>
        <w:t xml:space="preserve"> kontrolą </w:t>
      </w:r>
      <w:r w:rsidRPr="00A76DAA">
        <w:rPr>
          <w:sz w:val="22"/>
          <w:szCs w:val="22"/>
          <w:lang w:eastAsia="ar-SA"/>
        </w:rPr>
        <w:t>PIG-PIB zawarł umowy i porozumienia</w:t>
      </w:r>
      <w:r>
        <w:rPr>
          <w:sz w:val="22"/>
          <w:szCs w:val="22"/>
          <w:lang w:eastAsia="ar-SA"/>
        </w:rPr>
        <w:t>:</w:t>
      </w:r>
    </w:p>
    <w:p w14:paraId="291516C7" w14:textId="77777777" w:rsidR="00A76DAA" w:rsidRPr="00AD5407" w:rsidRDefault="00A76DAA" w:rsidP="00A76DAA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AD5407">
        <w:rPr>
          <w:sz w:val="22"/>
          <w:szCs w:val="22"/>
          <w:lang w:eastAsia="ar-SA"/>
        </w:rPr>
        <w:t>ze wszystkimi krajami sąsiadującymi (Białoruś, Czechy, Litwa, Niemcy, Słowacja, Ukraina, Rosja);</w:t>
      </w:r>
    </w:p>
    <w:p w14:paraId="2917995A" w14:textId="4D11827B" w:rsidR="00A76DAA" w:rsidRPr="00AD5407" w:rsidRDefault="00A76DAA" w:rsidP="00A76DAA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 </w:t>
      </w:r>
      <w:r w:rsidR="004615F5">
        <w:rPr>
          <w:sz w:val="22"/>
          <w:szCs w:val="22"/>
          <w:lang w:eastAsia="ar-SA"/>
        </w:rPr>
        <w:t>k</w:t>
      </w:r>
      <w:r w:rsidRPr="00AD5407">
        <w:rPr>
          <w:sz w:val="22"/>
          <w:szCs w:val="22"/>
          <w:lang w:eastAsia="ar-SA"/>
        </w:rPr>
        <w:t>raj</w:t>
      </w:r>
      <w:r>
        <w:rPr>
          <w:sz w:val="22"/>
          <w:szCs w:val="22"/>
          <w:lang w:eastAsia="ar-SA"/>
        </w:rPr>
        <w:t>ami</w:t>
      </w:r>
      <w:r w:rsidRPr="00AD5407">
        <w:rPr>
          <w:sz w:val="22"/>
          <w:szCs w:val="22"/>
          <w:lang w:eastAsia="ar-SA"/>
        </w:rPr>
        <w:t xml:space="preserve"> Europy inn</w:t>
      </w:r>
      <w:r>
        <w:rPr>
          <w:sz w:val="22"/>
          <w:szCs w:val="22"/>
          <w:lang w:eastAsia="ar-SA"/>
        </w:rPr>
        <w:t>ymi</w:t>
      </w:r>
      <w:r w:rsidRPr="00AD5407">
        <w:rPr>
          <w:sz w:val="22"/>
          <w:szCs w:val="22"/>
          <w:lang w:eastAsia="ar-SA"/>
        </w:rPr>
        <w:t xml:space="preserve"> niż sąsiadujące (Albania, Austria, Bułgaria – umowa wygasła, Estonia, Finlandia, Francja, Holandia, Hiszpania – umowa wygasła, Łotwa, Norwegia, Słowenia – 2 umowy  wygasły, Szwecja, Wielka Brytania – dwie umowy  wygasły, Węgry – umowa</w:t>
      </w:r>
      <w:r w:rsidR="000C5962">
        <w:rPr>
          <w:sz w:val="22"/>
          <w:szCs w:val="22"/>
          <w:lang w:eastAsia="ar-SA"/>
        </w:rPr>
        <w:t xml:space="preserve"> </w:t>
      </w:r>
      <w:r w:rsidRPr="00AD5407">
        <w:rPr>
          <w:sz w:val="22"/>
          <w:szCs w:val="22"/>
          <w:lang w:eastAsia="ar-SA"/>
        </w:rPr>
        <w:t>wygasła, Włochy – 3 umowy,  wygasły);</w:t>
      </w:r>
    </w:p>
    <w:p w14:paraId="0962C8FF" w14:textId="40790E84" w:rsidR="00A76DAA" w:rsidRPr="00AD5407" w:rsidRDefault="00A76DAA" w:rsidP="00A76DAA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 </w:t>
      </w:r>
      <w:r w:rsidRPr="00AD5407">
        <w:rPr>
          <w:sz w:val="22"/>
          <w:szCs w:val="22"/>
        </w:rPr>
        <w:t>Chińsk</w:t>
      </w:r>
      <w:r>
        <w:rPr>
          <w:sz w:val="22"/>
          <w:szCs w:val="22"/>
        </w:rPr>
        <w:t>ą</w:t>
      </w:r>
      <w:r w:rsidRPr="00AD5407">
        <w:rPr>
          <w:sz w:val="22"/>
          <w:szCs w:val="22"/>
        </w:rPr>
        <w:t xml:space="preserve"> Republik</w:t>
      </w:r>
      <w:r>
        <w:rPr>
          <w:sz w:val="22"/>
          <w:szCs w:val="22"/>
        </w:rPr>
        <w:t>ą</w:t>
      </w:r>
      <w:r w:rsidR="00A673D6">
        <w:rPr>
          <w:sz w:val="22"/>
          <w:szCs w:val="22"/>
        </w:rPr>
        <w:t xml:space="preserve"> Ludowa – umowa wygasła</w:t>
      </w:r>
      <w:r w:rsidRPr="00AD5407">
        <w:rPr>
          <w:sz w:val="22"/>
          <w:szCs w:val="22"/>
        </w:rPr>
        <w:t>;</w:t>
      </w:r>
    </w:p>
    <w:p w14:paraId="2DC59410" w14:textId="3FC6477A" w:rsidR="00A76DAA" w:rsidRPr="00AD5407" w:rsidRDefault="00A76DAA" w:rsidP="00A76DAA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 </w:t>
      </w:r>
      <w:r w:rsidRPr="00AD5407">
        <w:rPr>
          <w:sz w:val="22"/>
          <w:szCs w:val="22"/>
          <w:lang w:eastAsia="ar-SA"/>
        </w:rPr>
        <w:t>Izrael</w:t>
      </w:r>
      <w:r>
        <w:rPr>
          <w:sz w:val="22"/>
          <w:szCs w:val="22"/>
          <w:lang w:eastAsia="ar-SA"/>
        </w:rPr>
        <w:t>em</w:t>
      </w:r>
      <w:r w:rsidRPr="00AD5407">
        <w:rPr>
          <w:sz w:val="22"/>
          <w:szCs w:val="22"/>
          <w:lang w:eastAsia="ar-SA"/>
        </w:rPr>
        <w:t xml:space="preserve"> – 2 memoranda,  </w:t>
      </w:r>
      <w:r w:rsidR="00EC1C64">
        <w:rPr>
          <w:sz w:val="22"/>
          <w:szCs w:val="22"/>
          <w:lang w:eastAsia="ar-SA"/>
        </w:rPr>
        <w:t xml:space="preserve">które </w:t>
      </w:r>
      <w:r w:rsidR="00A673D6">
        <w:rPr>
          <w:sz w:val="22"/>
          <w:szCs w:val="22"/>
          <w:lang w:eastAsia="ar-SA"/>
        </w:rPr>
        <w:t>wygasły</w:t>
      </w:r>
      <w:r w:rsidRPr="00AD5407">
        <w:rPr>
          <w:sz w:val="22"/>
          <w:szCs w:val="22"/>
          <w:lang w:eastAsia="ar-SA"/>
        </w:rPr>
        <w:t>;</w:t>
      </w:r>
    </w:p>
    <w:p w14:paraId="0FCDF0D9" w14:textId="5BC8700C" w:rsidR="00A76DAA" w:rsidRPr="00AD5407" w:rsidRDefault="006B4C52" w:rsidP="00A76DAA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ze Stanami Zjednoczonymi Ameryki </w:t>
      </w:r>
      <w:r w:rsidR="006A2FA7">
        <w:rPr>
          <w:sz w:val="22"/>
          <w:szCs w:val="22"/>
          <w:lang w:eastAsia="ar-SA"/>
        </w:rPr>
        <w:t>Północnej</w:t>
      </w:r>
      <w:r w:rsidR="00A76DAA" w:rsidRPr="00AD5407">
        <w:rPr>
          <w:sz w:val="22"/>
          <w:szCs w:val="22"/>
          <w:lang w:eastAsia="ar-SA"/>
        </w:rPr>
        <w:t>;</w:t>
      </w:r>
    </w:p>
    <w:p w14:paraId="6A9D6FCC" w14:textId="337F62F0" w:rsidR="00A76DAA" w:rsidRPr="00AD5407" w:rsidRDefault="006B4C52" w:rsidP="00A76DAA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 Chile</w:t>
      </w:r>
      <w:r w:rsidR="00A76DAA" w:rsidRPr="00AD5407">
        <w:rPr>
          <w:sz w:val="22"/>
          <w:szCs w:val="22"/>
          <w:lang w:eastAsia="ar-SA"/>
        </w:rPr>
        <w:t>;</w:t>
      </w:r>
    </w:p>
    <w:p w14:paraId="34D6E371" w14:textId="75A73810" w:rsidR="00A76DAA" w:rsidRPr="00AD5407" w:rsidRDefault="006B4C52" w:rsidP="00A76DAA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 </w:t>
      </w:r>
      <w:r w:rsidR="00A76DAA" w:rsidRPr="00AD5407">
        <w:rPr>
          <w:sz w:val="22"/>
          <w:szCs w:val="22"/>
          <w:lang w:eastAsia="ar-SA"/>
        </w:rPr>
        <w:t>Kub</w:t>
      </w:r>
      <w:r>
        <w:rPr>
          <w:sz w:val="22"/>
          <w:szCs w:val="22"/>
          <w:lang w:eastAsia="ar-SA"/>
        </w:rPr>
        <w:t>ą</w:t>
      </w:r>
      <w:r w:rsidR="00A76DAA" w:rsidRPr="00AD5407">
        <w:rPr>
          <w:sz w:val="22"/>
          <w:szCs w:val="22"/>
          <w:lang w:eastAsia="ar-SA"/>
        </w:rPr>
        <w:t>;</w:t>
      </w:r>
    </w:p>
    <w:p w14:paraId="32E022F8" w14:textId="7EC54A1C" w:rsidR="00A76DAA" w:rsidRPr="00AD5407" w:rsidRDefault="00EC1C64" w:rsidP="00A76DAA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 krajami </w:t>
      </w:r>
      <w:r w:rsidR="00A76DAA" w:rsidRPr="00AD5407">
        <w:rPr>
          <w:sz w:val="22"/>
          <w:szCs w:val="22"/>
          <w:lang w:eastAsia="ar-SA"/>
        </w:rPr>
        <w:t>Afryk</w:t>
      </w:r>
      <w:r w:rsidR="004615F5">
        <w:rPr>
          <w:sz w:val="22"/>
          <w:szCs w:val="22"/>
          <w:lang w:eastAsia="ar-SA"/>
        </w:rPr>
        <w:t>i</w:t>
      </w:r>
      <w:r w:rsidR="00A76DAA" w:rsidRPr="00AD5407">
        <w:rPr>
          <w:sz w:val="22"/>
          <w:szCs w:val="22"/>
          <w:lang w:eastAsia="ar-SA"/>
        </w:rPr>
        <w:t xml:space="preserve"> (Angola, Egipt - 2 umowy, które wygasły, Etiopia, Kongo, Maroko – umowa która wygasła, Republika Południowej Afryki);</w:t>
      </w:r>
    </w:p>
    <w:p w14:paraId="5BAA516B" w14:textId="483C44A6" w:rsidR="00A76DAA" w:rsidRDefault="00A673D6" w:rsidP="00A76DAA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 Australią</w:t>
      </w:r>
      <w:r w:rsidR="00A76DAA" w:rsidRPr="00AD5407">
        <w:rPr>
          <w:sz w:val="22"/>
          <w:szCs w:val="22"/>
          <w:lang w:eastAsia="ar-SA"/>
        </w:rPr>
        <w:t xml:space="preserve"> (2 umowy, które wygasły).</w:t>
      </w:r>
    </w:p>
    <w:p w14:paraId="649F0151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043B5CD5" w14:textId="2F769D9A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AD5407">
        <w:rPr>
          <w:b/>
          <w:sz w:val="22"/>
          <w:szCs w:val="22"/>
          <w:lang w:eastAsia="ar-SA"/>
        </w:rPr>
        <w:t>Priorytetowym obszarem współpracy</w:t>
      </w:r>
      <w:r w:rsidRPr="00AD5407">
        <w:rPr>
          <w:sz w:val="22"/>
          <w:szCs w:val="22"/>
          <w:lang w:eastAsia="ar-SA"/>
        </w:rPr>
        <w:t xml:space="preserve"> są dla PIG-PIB </w:t>
      </w:r>
      <w:r w:rsidRPr="00AD5407">
        <w:rPr>
          <w:b/>
          <w:sz w:val="22"/>
          <w:szCs w:val="22"/>
          <w:lang w:eastAsia="ar-SA"/>
        </w:rPr>
        <w:t>regiony przygraniczne i transgraniczne</w:t>
      </w:r>
      <w:r w:rsidRPr="00AD5407">
        <w:rPr>
          <w:sz w:val="22"/>
          <w:szCs w:val="22"/>
          <w:lang w:eastAsia="ar-SA"/>
        </w:rPr>
        <w:t xml:space="preserve">, wśród których najważniejsze miejsce zajmują </w:t>
      </w:r>
      <w:r w:rsidRPr="00AD5407">
        <w:rPr>
          <w:b/>
          <w:sz w:val="22"/>
          <w:szCs w:val="22"/>
          <w:lang w:eastAsia="ar-SA"/>
        </w:rPr>
        <w:t xml:space="preserve">Niemcy, </w:t>
      </w:r>
      <w:r w:rsidR="00F77FAF" w:rsidRPr="00AD5407">
        <w:rPr>
          <w:b/>
          <w:sz w:val="22"/>
          <w:szCs w:val="22"/>
          <w:lang w:eastAsia="ar-SA"/>
        </w:rPr>
        <w:t xml:space="preserve">Słowacja, </w:t>
      </w:r>
      <w:r w:rsidRPr="00AD5407">
        <w:rPr>
          <w:b/>
          <w:sz w:val="22"/>
          <w:szCs w:val="22"/>
          <w:lang w:eastAsia="ar-SA"/>
        </w:rPr>
        <w:t>Ukraina, Litwa</w:t>
      </w:r>
      <w:r w:rsidRPr="00AD5407">
        <w:rPr>
          <w:sz w:val="22"/>
          <w:szCs w:val="22"/>
          <w:lang w:eastAsia="ar-SA"/>
        </w:rPr>
        <w:t xml:space="preserve">. Dwustronna współpraca ze służbami geologicznymi i ośrodkami naukowo-badawczymi w krajach sąsiadujących koncentruje się na badaniach i pracach geologicznych, hydrogeologicznych, </w:t>
      </w:r>
      <w:proofErr w:type="spellStart"/>
      <w:r w:rsidRPr="00AD5407">
        <w:rPr>
          <w:sz w:val="22"/>
          <w:szCs w:val="22"/>
          <w:lang w:eastAsia="ar-SA"/>
        </w:rPr>
        <w:t>geo</w:t>
      </w:r>
      <w:proofErr w:type="spellEnd"/>
      <w:r w:rsidRPr="00AD5407">
        <w:rPr>
          <w:sz w:val="22"/>
          <w:szCs w:val="22"/>
          <w:lang w:eastAsia="ar-SA"/>
        </w:rPr>
        <w:t xml:space="preserve">-środowiskowych oraz na działaniach z zakresu promocji i rozwoju </w:t>
      </w:r>
      <w:proofErr w:type="spellStart"/>
      <w:r w:rsidRPr="00AD5407">
        <w:rPr>
          <w:sz w:val="22"/>
          <w:szCs w:val="22"/>
          <w:lang w:eastAsia="ar-SA"/>
        </w:rPr>
        <w:t>geo</w:t>
      </w:r>
      <w:proofErr w:type="spellEnd"/>
      <w:r w:rsidRPr="00AD5407">
        <w:rPr>
          <w:sz w:val="22"/>
          <w:szCs w:val="22"/>
          <w:lang w:eastAsia="ar-SA"/>
        </w:rPr>
        <w:t xml:space="preserve">-turystyki oraz </w:t>
      </w:r>
      <w:proofErr w:type="spellStart"/>
      <w:r w:rsidRPr="00AD5407">
        <w:rPr>
          <w:sz w:val="22"/>
          <w:szCs w:val="22"/>
          <w:lang w:eastAsia="ar-SA"/>
        </w:rPr>
        <w:t>geo</w:t>
      </w:r>
      <w:proofErr w:type="spellEnd"/>
      <w:r w:rsidRPr="00AD5407">
        <w:rPr>
          <w:sz w:val="22"/>
          <w:szCs w:val="22"/>
          <w:lang w:eastAsia="ar-SA"/>
        </w:rPr>
        <w:t xml:space="preserve">-informacji i zarządzania danymi. </w:t>
      </w:r>
    </w:p>
    <w:p w14:paraId="7465115F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</w:p>
    <w:p w14:paraId="39FACC7C" w14:textId="79F58216" w:rsidR="004E047F" w:rsidRPr="006F2BA0" w:rsidRDefault="00892C27" w:rsidP="006F2BA0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17163C" w:rsidRPr="00AD5407">
        <w:rPr>
          <w:sz w:val="22"/>
          <w:szCs w:val="22"/>
        </w:rPr>
        <w:t xml:space="preserve">ontroli poddano </w:t>
      </w:r>
      <w:r w:rsidR="007A5443">
        <w:rPr>
          <w:sz w:val="22"/>
          <w:szCs w:val="22"/>
        </w:rPr>
        <w:t xml:space="preserve">25 </w:t>
      </w:r>
      <w:r w:rsidR="0017163C" w:rsidRPr="00AD5407">
        <w:rPr>
          <w:sz w:val="22"/>
          <w:szCs w:val="22"/>
        </w:rPr>
        <w:t>um</w:t>
      </w:r>
      <w:r w:rsidR="007A5443">
        <w:rPr>
          <w:sz w:val="22"/>
          <w:szCs w:val="22"/>
        </w:rPr>
        <w:t>ó</w:t>
      </w:r>
      <w:r>
        <w:rPr>
          <w:sz w:val="22"/>
          <w:szCs w:val="22"/>
        </w:rPr>
        <w:t>w</w:t>
      </w:r>
      <w:r w:rsidR="007A5443">
        <w:rPr>
          <w:sz w:val="22"/>
          <w:szCs w:val="22"/>
        </w:rPr>
        <w:t xml:space="preserve">, </w:t>
      </w:r>
      <w:r w:rsidR="009A47BE">
        <w:rPr>
          <w:sz w:val="22"/>
          <w:szCs w:val="22"/>
        </w:rPr>
        <w:t>porozumie</w:t>
      </w:r>
      <w:r w:rsidR="007A5443">
        <w:rPr>
          <w:sz w:val="22"/>
          <w:szCs w:val="22"/>
        </w:rPr>
        <w:t>ń, listów intencyjnych i memorandów</w:t>
      </w:r>
      <w:r w:rsidR="009A47BE">
        <w:rPr>
          <w:sz w:val="22"/>
          <w:szCs w:val="22"/>
        </w:rPr>
        <w:t xml:space="preserve"> </w:t>
      </w:r>
      <w:r w:rsidR="0017163C" w:rsidRPr="00AD5407">
        <w:rPr>
          <w:sz w:val="22"/>
          <w:szCs w:val="22"/>
        </w:rPr>
        <w:t>zawart</w:t>
      </w:r>
      <w:r w:rsidR="007A5443">
        <w:rPr>
          <w:sz w:val="22"/>
          <w:szCs w:val="22"/>
        </w:rPr>
        <w:t>ych</w:t>
      </w:r>
      <w:r w:rsidR="0017163C" w:rsidRPr="00AD5407">
        <w:rPr>
          <w:sz w:val="22"/>
          <w:szCs w:val="22"/>
        </w:rPr>
        <w:t xml:space="preserve"> przez PIG-PIB</w:t>
      </w:r>
      <w:r w:rsidR="009E3CF1">
        <w:rPr>
          <w:sz w:val="22"/>
          <w:szCs w:val="22"/>
        </w:rPr>
        <w:t xml:space="preserve"> </w:t>
      </w:r>
      <w:r w:rsidR="0046759E">
        <w:rPr>
          <w:sz w:val="22"/>
          <w:szCs w:val="22"/>
        </w:rPr>
        <w:t xml:space="preserve">z krajami sąsiadującymi i niektórymi </w:t>
      </w:r>
      <w:r w:rsidR="004615F5">
        <w:rPr>
          <w:sz w:val="22"/>
          <w:szCs w:val="22"/>
        </w:rPr>
        <w:t xml:space="preserve">innymi </w:t>
      </w:r>
      <w:r w:rsidR="0046759E">
        <w:rPr>
          <w:sz w:val="22"/>
          <w:szCs w:val="22"/>
        </w:rPr>
        <w:t xml:space="preserve">krajami </w:t>
      </w:r>
      <w:r w:rsidR="009E3CF1">
        <w:rPr>
          <w:sz w:val="22"/>
          <w:szCs w:val="22"/>
        </w:rPr>
        <w:t>w latach objętych kontrolą</w:t>
      </w:r>
      <w:r w:rsidR="0049529C">
        <w:rPr>
          <w:sz w:val="22"/>
          <w:szCs w:val="22"/>
        </w:rPr>
        <w:t xml:space="preserve"> wybranych celowo?</w:t>
      </w:r>
      <w:r w:rsidR="004615F5">
        <w:rPr>
          <w:sz w:val="22"/>
          <w:szCs w:val="22"/>
        </w:rPr>
        <w:t>.</w:t>
      </w:r>
      <w:r w:rsidR="00E941BD">
        <w:rPr>
          <w:sz w:val="22"/>
          <w:szCs w:val="22"/>
        </w:rPr>
        <w:t xml:space="preserve"> </w:t>
      </w:r>
      <w:r w:rsidR="0017163C" w:rsidRPr="00AD5407">
        <w:rPr>
          <w:sz w:val="22"/>
          <w:szCs w:val="22"/>
        </w:rPr>
        <w:t xml:space="preserve">W dalszej części przedstawiono </w:t>
      </w:r>
      <w:r w:rsidR="009A47BE">
        <w:rPr>
          <w:sz w:val="22"/>
          <w:szCs w:val="22"/>
        </w:rPr>
        <w:t xml:space="preserve">ich </w:t>
      </w:r>
      <w:r w:rsidR="0017163C" w:rsidRPr="00AD5407">
        <w:rPr>
          <w:sz w:val="22"/>
          <w:szCs w:val="22"/>
        </w:rPr>
        <w:t>szczegółową analizę.</w:t>
      </w:r>
    </w:p>
    <w:p w14:paraId="29C5F519" w14:textId="77777777" w:rsidR="0017163C" w:rsidRDefault="0017163C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  <w:r w:rsidRPr="00AD5407">
        <w:rPr>
          <w:b/>
          <w:sz w:val="22"/>
          <w:szCs w:val="22"/>
          <w:lang w:eastAsia="en-US"/>
        </w:rPr>
        <w:t>Albania</w:t>
      </w:r>
    </w:p>
    <w:p w14:paraId="606FDB2A" w14:textId="77777777" w:rsidR="00AD5407" w:rsidRPr="00AD5407" w:rsidRDefault="00AD5407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</w:p>
    <w:p w14:paraId="2A5895CD" w14:textId="77777777" w:rsidR="0017163C" w:rsidRDefault="0017163C" w:rsidP="00AD5407">
      <w:pPr>
        <w:numPr>
          <w:ilvl w:val="0"/>
          <w:numId w:val="12"/>
        </w:numPr>
        <w:suppressAutoHyphens/>
        <w:spacing w:line="276" w:lineRule="auto"/>
        <w:ind w:left="709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 xml:space="preserve">Memorandum of </w:t>
      </w:r>
      <w:proofErr w:type="spellStart"/>
      <w:r w:rsidRPr="00AD5407">
        <w:rPr>
          <w:b/>
          <w:sz w:val="22"/>
          <w:szCs w:val="22"/>
        </w:rPr>
        <w:t>Understanding</w:t>
      </w:r>
      <w:proofErr w:type="spellEnd"/>
      <w:r w:rsidRPr="00AD5407">
        <w:rPr>
          <w:b/>
          <w:sz w:val="22"/>
          <w:szCs w:val="22"/>
        </w:rPr>
        <w:t xml:space="preserve"> pomiędzy PIG-PIB a Służbą Geologiczną Albanii (</w:t>
      </w:r>
      <w:proofErr w:type="spellStart"/>
      <w:r w:rsidRPr="00AD5407">
        <w:rPr>
          <w:b/>
          <w:sz w:val="22"/>
          <w:szCs w:val="22"/>
        </w:rPr>
        <w:t>Albanian</w:t>
      </w:r>
      <w:proofErr w:type="spellEnd"/>
      <w:r w:rsidRPr="00AD5407">
        <w:rPr>
          <w:b/>
          <w:sz w:val="22"/>
          <w:szCs w:val="22"/>
        </w:rPr>
        <w:t xml:space="preserve"> </w:t>
      </w:r>
      <w:proofErr w:type="spellStart"/>
      <w:r w:rsidRPr="00AD5407">
        <w:rPr>
          <w:b/>
          <w:sz w:val="22"/>
          <w:szCs w:val="22"/>
        </w:rPr>
        <w:t>Geological</w:t>
      </w:r>
      <w:proofErr w:type="spellEnd"/>
      <w:r w:rsidRPr="00AD5407">
        <w:rPr>
          <w:b/>
          <w:sz w:val="22"/>
          <w:szCs w:val="22"/>
        </w:rPr>
        <w:t xml:space="preserve"> </w:t>
      </w:r>
      <w:proofErr w:type="spellStart"/>
      <w:r w:rsidRPr="00AD5407">
        <w:rPr>
          <w:b/>
          <w:sz w:val="22"/>
          <w:szCs w:val="22"/>
        </w:rPr>
        <w:t>Survey</w:t>
      </w:r>
      <w:proofErr w:type="spellEnd"/>
      <w:r w:rsidRPr="00AD5407">
        <w:rPr>
          <w:b/>
          <w:sz w:val="22"/>
          <w:szCs w:val="22"/>
        </w:rPr>
        <w:t>) z 8 grudnia 2004 r. (porozumienie bezterminowe)</w:t>
      </w:r>
    </w:p>
    <w:p w14:paraId="7D2CB069" w14:textId="77777777" w:rsidR="00AD5407" w:rsidRPr="00AD5407" w:rsidRDefault="00AD5407" w:rsidP="00AD5407">
      <w:pPr>
        <w:suppressAutoHyphens/>
        <w:spacing w:line="276" w:lineRule="auto"/>
        <w:ind w:left="709"/>
        <w:jc w:val="both"/>
        <w:rPr>
          <w:b/>
          <w:sz w:val="22"/>
          <w:szCs w:val="22"/>
        </w:rPr>
      </w:pPr>
    </w:p>
    <w:p w14:paraId="2377AB85" w14:textId="47247786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  <w:r w:rsidRPr="00AD5407">
        <w:rPr>
          <w:sz w:val="22"/>
          <w:szCs w:val="22"/>
        </w:rPr>
        <w:t xml:space="preserve">Nieprecyzyjne postanowienia </w:t>
      </w:r>
      <w:r w:rsidR="004531FE">
        <w:rPr>
          <w:sz w:val="22"/>
          <w:szCs w:val="22"/>
        </w:rPr>
        <w:t>memorandum</w:t>
      </w:r>
      <w:r w:rsidRPr="00AD5407">
        <w:rPr>
          <w:sz w:val="22"/>
          <w:szCs w:val="22"/>
        </w:rPr>
        <w:t xml:space="preserve"> w zakresie terminu jego obowiązywania, powodują brak jasności odnośnie tego, czy jest </w:t>
      </w:r>
      <w:r w:rsidR="004531FE">
        <w:rPr>
          <w:sz w:val="22"/>
          <w:szCs w:val="22"/>
        </w:rPr>
        <w:t xml:space="preserve">ono </w:t>
      </w:r>
      <w:r w:rsidRPr="00AD5407">
        <w:rPr>
          <w:sz w:val="22"/>
          <w:szCs w:val="22"/>
        </w:rPr>
        <w:t>obowiązujące. W kolumnie „data wygaśnięcia” PIG-PIB zamieścił informację: „brak informacji o terminie”.</w:t>
      </w:r>
    </w:p>
    <w:p w14:paraId="40FBE32F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</w:p>
    <w:p w14:paraId="1A47620F" w14:textId="77777777" w:rsidR="0017163C" w:rsidRDefault="0017163C" w:rsidP="00AD5407">
      <w:pPr>
        <w:keepNext/>
        <w:keepLines/>
        <w:spacing w:line="276" w:lineRule="auto"/>
        <w:outlineLvl w:val="1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Angola</w:t>
      </w:r>
    </w:p>
    <w:p w14:paraId="3E37C927" w14:textId="77777777" w:rsidR="00AD5407" w:rsidRPr="00AD5407" w:rsidRDefault="00AD5407" w:rsidP="00AD5407">
      <w:pPr>
        <w:keepNext/>
        <w:keepLines/>
        <w:spacing w:line="276" w:lineRule="auto"/>
        <w:outlineLvl w:val="1"/>
        <w:rPr>
          <w:b/>
          <w:sz w:val="22"/>
          <w:szCs w:val="22"/>
        </w:rPr>
      </w:pPr>
    </w:p>
    <w:p w14:paraId="3678A4C8" w14:textId="77777777" w:rsidR="00AD5407" w:rsidRDefault="0017163C" w:rsidP="00AD5407">
      <w:pPr>
        <w:numPr>
          <w:ilvl w:val="0"/>
          <w:numId w:val="13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 xml:space="preserve">Memorandum of </w:t>
      </w:r>
      <w:proofErr w:type="spellStart"/>
      <w:r w:rsidRPr="00AD5407">
        <w:rPr>
          <w:b/>
          <w:sz w:val="22"/>
          <w:szCs w:val="22"/>
        </w:rPr>
        <w:t>Understanding</w:t>
      </w:r>
      <w:proofErr w:type="spellEnd"/>
      <w:r w:rsidRPr="00AD5407">
        <w:rPr>
          <w:b/>
          <w:sz w:val="22"/>
          <w:szCs w:val="22"/>
        </w:rPr>
        <w:t xml:space="preserve"> (współpraca w dziedz</w:t>
      </w:r>
      <w:r w:rsidR="00642F84" w:rsidRPr="00AD5407">
        <w:rPr>
          <w:b/>
          <w:sz w:val="22"/>
          <w:szCs w:val="22"/>
        </w:rPr>
        <w:t>inie geologii) pomiędzy PIG-PIB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>a Instytutem Geologicznym Angoli z 21 listopada 2008 r. (porozumienie bezterminowe)</w:t>
      </w:r>
    </w:p>
    <w:p w14:paraId="3F89A713" w14:textId="4D565137" w:rsidR="0017163C" w:rsidRPr="00AD5407" w:rsidRDefault="0017163C" w:rsidP="00AD5407">
      <w:pPr>
        <w:suppressAutoHyphens/>
        <w:spacing w:line="276" w:lineRule="auto"/>
        <w:ind w:left="720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 xml:space="preserve"> </w:t>
      </w:r>
    </w:p>
    <w:p w14:paraId="1EDB64A3" w14:textId="6B9F0851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  <w:r w:rsidRPr="00AD5407">
        <w:rPr>
          <w:sz w:val="22"/>
          <w:szCs w:val="22"/>
        </w:rPr>
        <w:t xml:space="preserve">Nieprecyzyjne postanowienia </w:t>
      </w:r>
      <w:r w:rsidR="004531FE">
        <w:rPr>
          <w:sz w:val="22"/>
          <w:szCs w:val="22"/>
        </w:rPr>
        <w:t>memorandum</w:t>
      </w:r>
      <w:r w:rsidRPr="00AD5407">
        <w:rPr>
          <w:sz w:val="22"/>
          <w:szCs w:val="22"/>
        </w:rPr>
        <w:t xml:space="preserve"> w zakresie terminu jego obowiązywania, powodują brak jasności odnośnie tego, czy </w:t>
      </w:r>
      <w:r w:rsidR="00625ECE">
        <w:rPr>
          <w:sz w:val="22"/>
          <w:szCs w:val="22"/>
        </w:rPr>
        <w:t xml:space="preserve">jest </w:t>
      </w:r>
      <w:r w:rsidR="004531FE">
        <w:rPr>
          <w:sz w:val="22"/>
          <w:szCs w:val="22"/>
        </w:rPr>
        <w:t xml:space="preserve">ono </w:t>
      </w:r>
      <w:r w:rsidR="00625ECE">
        <w:rPr>
          <w:sz w:val="22"/>
          <w:szCs w:val="22"/>
        </w:rPr>
        <w:t>obowiązujące</w:t>
      </w:r>
      <w:r w:rsidRPr="00AD5407">
        <w:rPr>
          <w:sz w:val="22"/>
          <w:szCs w:val="22"/>
        </w:rPr>
        <w:t>. W kolumnie „data wygaśnięcia” PIG-PIB zamieścił informację: „brak informacji o terminie”.</w:t>
      </w:r>
      <w:r w:rsidRPr="00AD5407" w:rsidDel="00571CC8">
        <w:rPr>
          <w:sz w:val="22"/>
          <w:szCs w:val="22"/>
        </w:rPr>
        <w:t xml:space="preserve"> W sposób dorozumiany, ponieważ z treści nie wynika nic odmiennego, należy przyjąć, że </w:t>
      </w:r>
      <w:r w:rsidR="004531FE">
        <w:rPr>
          <w:sz w:val="22"/>
          <w:szCs w:val="22"/>
        </w:rPr>
        <w:t>memorandum</w:t>
      </w:r>
      <w:r w:rsidR="00847851">
        <w:rPr>
          <w:sz w:val="22"/>
          <w:szCs w:val="22"/>
        </w:rPr>
        <w:t xml:space="preserve"> jest bezterminowe</w:t>
      </w:r>
      <w:r w:rsidRPr="00AD5407" w:rsidDel="00571CC8">
        <w:rPr>
          <w:sz w:val="22"/>
          <w:szCs w:val="22"/>
        </w:rPr>
        <w:t>.</w:t>
      </w:r>
      <w:r w:rsidRPr="00AD5407">
        <w:rPr>
          <w:sz w:val="22"/>
          <w:szCs w:val="22"/>
        </w:rPr>
        <w:t xml:space="preserve"> </w:t>
      </w:r>
    </w:p>
    <w:p w14:paraId="61B087CC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</w:p>
    <w:p w14:paraId="75FA50A3" w14:textId="03C03527" w:rsidR="00AD5407" w:rsidRDefault="0017163C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  <w:r w:rsidRPr="00AD5407">
        <w:rPr>
          <w:b/>
          <w:sz w:val="22"/>
          <w:szCs w:val="22"/>
          <w:lang w:eastAsia="en-US"/>
        </w:rPr>
        <w:t>Austria</w:t>
      </w:r>
    </w:p>
    <w:p w14:paraId="7FC3DA5B" w14:textId="77777777" w:rsidR="00847851" w:rsidRPr="00AD5407" w:rsidRDefault="00847851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</w:p>
    <w:p w14:paraId="2CB952F8" w14:textId="77777777" w:rsidR="0017163C" w:rsidRDefault="0017163C" w:rsidP="00AD5407">
      <w:pPr>
        <w:numPr>
          <w:ilvl w:val="0"/>
          <w:numId w:val="14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Umowa o współpracy pomiędzy PIG-PIB a Związkowym Instytutem Geologicznym (</w:t>
      </w:r>
      <w:proofErr w:type="spellStart"/>
      <w:r w:rsidRPr="00AD5407">
        <w:rPr>
          <w:b/>
          <w:sz w:val="22"/>
          <w:szCs w:val="22"/>
        </w:rPr>
        <w:t>Geologische</w:t>
      </w:r>
      <w:proofErr w:type="spellEnd"/>
      <w:r w:rsidRPr="00AD5407">
        <w:rPr>
          <w:b/>
          <w:sz w:val="22"/>
          <w:szCs w:val="22"/>
        </w:rPr>
        <w:t xml:space="preserve"> </w:t>
      </w:r>
      <w:proofErr w:type="spellStart"/>
      <w:r w:rsidRPr="00AD5407">
        <w:rPr>
          <w:b/>
          <w:sz w:val="22"/>
          <w:szCs w:val="22"/>
        </w:rPr>
        <w:t>Bundesanstalt</w:t>
      </w:r>
      <w:proofErr w:type="spellEnd"/>
      <w:r w:rsidRPr="00AD5407">
        <w:rPr>
          <w:b/>
          <w:sz w:val="22"/>
          <w:szCs w:val="22"/>
        </w:rPr>
        <w:t>) z października 1987 r.</w:t>
      </w:r>
    </w:p>
    <w:p w14:paraId="03768C8B" w14:textId="77777777" w:rsidR="00AD5407" w:rsidRPr="00AD5407" w:rsidRDefault="00AD5407" w:rsidP="00AD5407">
      <w:pPr>
        <w:suppressAutoHyphens/>
        <w:spacing w:line="276" w:lineRule="auto"/>
        <w:ind w:left="720"/>
        <w:jc w:val="both"/>
        <w:rPr>
          <w:b/>
          <w:sz w:val="22"/>
          <w:szCs w:val="22"/>
        </w:rPr>
      </w:pPr>
    </w:p>
    <w:p w14:paraId="5CB0AEC3" w14:textId="0BF0D743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  <w:r w:rsidRPr="00AD5407">
        <w:rPr>
          <w:sz w:val="22"/>
          <w:szCs w:val="22"/>
        </w:rPr>
        <w:t>Nieprecyzyjne postanowienia umowy w zakresie terminu jej obowiązywania, powodują brak jasności odnośnie tego, czy umowa jest obowiązująca. W kolumnie „data wygaśnięcia” PIG-PIB zamieścił informację: „brak informacji o terminie”.</w:t>
      </w:r>
    </w:p>
    <w:p w14:paraId="012D514D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</w:p>
    <w:p w14:paraId="42949E03" w14:textId="77777777" w:rsidR="0017163C" w:rsidRDefault="0017163C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  <w:r w:rsidRPr="00AD5407">
        <w:rPr>
          <w:b/>
          <w:sz w:val="22"/>
          <w:szCs w:val="22"/>
          <w:lang w:eastAsia="en-US"/>
        </w:rPr>
        <w:t>Białoruś</w:t>
      </w:r>
    </w:p>
    <w:p w14:paraId="1EF47A7F" w14:textId="77777777" w:rsidR="00AD5407" w:rsidRPr="00AD5407" w:rsidRDefault="00AD5407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</w:p>
    <w:p w14:paraId="5A7EA4EB" w14:textId="37972037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Z instytutami naukowymi Białorusi (Instytut Nauk Geologicznych Narodowej Akademii Nauk (NAN) Białorusi, Instytut Geochemii i Geofizyki NAN Białorusi, Centrum Monitoringu Geofizycznego NAN Białorusi) zawartych było od 2000 r. 5 umów o współpracy naukowej. U</w:t>
      </w:r>
      <w:r w:rsidR="006F2BA0">
        <w:rPr>
          <w:rFonts w:eastAsia="Calibri"/>
          <w:sz w:val="22"/>
          <w:szCs w:val="22"/>
          <w:lang w:eastAsia="ar-SA"/>
        </w:rPr>
        <w:t>mowy te wygasły, ostatnia</w:t>
      </w:r>
      <w:r w:rsidR="006F2BA0">
        <w:rPr>
          <w:rFonts w:eastAsia="Calibri"/>
          <w:sz w:val="22"/>
          <w:szCs w:val="22"/>
          <w:lang w:eastAsia="ar-SA"/>
        </w:rPr>
        <w:br/>
      </w:r>
      <w:r w:rsidRPr="00AD5407">
        <w:rPr>
          <w:rFonts w:eastAsia="Calibri"/>
          <w:sz w:val="22"/>
          <w:szCs w:val="22"/>
          <w:lang w:eastAsia="ar-SA"/>
        </w:rPr>
        <w:t>z nich w 2013 r.</w:t>
      </w:r>
    </w:p>
    <w:p w14:paraId="76660D89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4789A9C8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 xml:space="preserve">Projekty badawcze z instytutami naukowymi Białorusi jakie realizowano obejmowały obszar przygraniczny obu państw. Tematyka projektów dotyczyła zagadnień stratygrafii, sedymentacji, zmian klimatu w plejstocenie, modelu budowy geologicznej, opracowania </w:t>
      </w:r>
      <w:proofErr w:type="spellStart"/>
      <w:r w:rsidRPr="00AD5407">
        <w:rPr>
          <w:rFonts w:eastAsia="Calibri"/>
          <w:sz w:val="22"/>
          <w:szCs w:val="22"/>
          <w:lang w:eastAsia="ar-SA"/>
        </w:rPr>
        <w:t>geostanowisk</w:t>
      </w:r>
      <w:proofErr w:type="spellEnd"/>
      <w:r w:rsidRPr="00AD5407">
        <w:rPr>
          <w:rFonts w:eastAsia="Calibri"/>
          <w:sz w:val="22"/>
          <w:szCs w:val="22"/>
          <w:lang w:eastAsia="ar-SA"/>
        </w:rPr>
        <w:t xml:space="preserve"> i tras </w:t>
      </w:r>
      <w:proofErr w:type="spellStart"/>
      <w:r w:rsidRPr="00AD5407">
        <w:rPr>
          <w:rFonts w:eastAsia="Calibri"/>
          <w:sz w:val="22"/>
          <w:szCs w:val="22"/>
          <w:lang w:eastAsia="ar-SA"/>
        </w:rPr>
        <w:t>geoturystycznych</w:t>
      </w:r>
      <w:proofErr w:type="spellEnd"/>
      <w:r w:rsidRPr="00AD5407">
        <w:rPr>
          <w:rFonts w:eastAsia="Calibri"/>
          <w:sz w:val="22"/>
          <w:szCs w:val="22"/>
          <w:lang w:eastAsia="ar-SA"/>
        </w:rPr>
        <w:t>.</w:t>
      </w:r>
    </w:p>
    <w:p w14:paraId="07433267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37F15D9B" w14:textId="77777777" w:rsidR="0017163C" w:rsidRPr="00AD5407" w:rsidRDefault="0017163C" w:rsidP="00AD5407">
      <w:pPr>
        <w:numPr>
          <w:ilvl w:val="0"/>
          <w:numId w:val="15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Umowa o współpracy naukowo-badawczej pomiędzy PIG-PIB a Republikańskim przedsiębiorstwem unitarnym „Białoruski Instytut G</w:t>
      </w:r>
      <w:r w:rsidR="00642F84" w:rsidRPr="00AD5407">
        <w:rPr>
          <w:b/>
          <w:sz w:val="22"/>
          <w:szCs w:val="22"/>
        </w:rPr>
        <w:t>eologiczny – Instytut Badawczy”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>z 19 grudnia 2012 r., zawarta do 19 grudnia 2017 r.</w:t>
      </w:r>
    </w:p>
    <w:p w14:paraId="41A0C206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4F403B4B" w14:textId="0718B95D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Jedyna obowiązująca w chwili obecnej, wyżej wymieniona, umowa z Białorusią pomiędzy PIG-PIB</w:t>
      </w:r>
      <w:r w:rsidR="00E941BD">
        <w:rPr>
          <w:rFonts w:eastAsia="Calibri"/>
          <w:sz w:val="22"/>
          <w:szCs w:val="22"/>
          <w:lang w:eastAsia="ar-SA"/>
        </w:rPr>
        <w:br/>
      </w:r>
      <w:r w:rsidRPr="00AD5407">
        <w:rPr>
          <w:rFonts w:eastAsia="Calibri"/>
          <w:sz w:val="22"/>
          <w:szCs w:val="22"/>
          <w:lang w:eastAsia="ar-SA"/>
        </w:rPr>
        <w:t>a Republikańskim przedsiębiorstwem unitarnym „Białoruski Instytut Geologiczny – Instytut Badawczy” ma na celu rozwój i realizację wspólnyc</w:t>
      </w:r>
      <w:r w:rsidR="00E941BD">
        <w:rPr>
          <w:rFonts w:eastAsia="Calibri"/>
          <w:sz w:val="22"/>
          <w:szCs w:val="22"/>
          <w:lang w:eastAsia="ar-SA"/>
        </w:rPr>
        <w:t>h działań badawczych, naukowych</w:t>
      </w:r>
      <w:r w:rsidR="00E941BD">
        <w:rPr>
          <w:rFonts w:eastAsia="Calibri"/>
          <w:sz w:val="22"/>
          <w:szCs w:val="22"/>
          <w:lang w:eastAsia="ar-SA"/>
        </w:rPr>
        <w:br/>
      </w:r>
      <w:r w:rsidRPr="00AD5407">
        <w:rPr>
          <w:rFonts w:eastAsia="Calibri"/>
          <w:sz w:val="22"/>
          <w:szCs w:val="22"/>
          <w:lang w:eastAsia="ar-SA"/>
        </w:rPr>
        <w:t xml:space="preserve">oraz edukacyjnych w dziedzinie geologii, ze </w:t>
      </w:r>
      <w:r w:rsidR="00143D88" w:rsidRPr="00AD5407">
        <w:rPr>
          <w:rFonts w:eastAsia="Calibri"/>
          <w:sz w:val="22"/>
          <w:szCs w:val="22"/>
          <w:lang w:eastAsia="ar-SA"/>
        </w:rPr>
        <w:t>szczególny</w:t>
      </w:r>
      <w:r w:rsidR="00143D88">
        <w:rPr>
          <w:rFonts w:eastAsia="Calibri"/>
          <w:sz w:val="22"/>
          <w:szCs w:val="22"/>
          <w:lang w:eastAsia="ar-SA"/>
        </w:rPr>
        <w:t>m</w:t>
      </w:r>
      <w:r w:rsidR="00143D88" w:rsidRPr="00AD5407">
        <w:rPr>
          <w:rFonts w:eastAsia="Calibri"/>
          <w:sz w:val="22"/>
          <w:szCs w:val="22"/>
          <w:lang w:eastAsia="ar-SA"/>
        </w:rPr>
        <w:t xml:space="preserve"> </w:t>
      </w:r>
      <w:r w:rsidRPr="00AD5407">
        <w:rPr>
          <w:rFonts w:eastAsia="Calibri"/>
          <w:sz w:val="22"/>
          <w:szCs w:val="22"/>
          <w:lang w:eastAsia="ar-SA"/>
        </w:rPr>
        <w:t>uwzględnieniem współpracy w zakresie hydrogeologii, w tym rozpoznawania i monitorowania wód podziemnych, a także w zakresie kartografii geologicznej.</w:t>
      </w:r>
    </w:p>
    <w:p w14:paraId="44223030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2F7FD3F1" w14:textId="2920A0A3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lastRenderedPageBreak/>
        <w:t xml:space="preserve">Ponadto </w:t>
      </w:r>
      <w:r w:rsidR="00642F84" w:rsidRPr="00AD5407">
        <w:rPr>
          <w:rFonts w:eastAsia="Calibri"/>
          <w:sz w:val="22"/>
          <w:szCs w:val="22"/>
          <w:lang w:eastAsia="ar-SA"/>
        </w:rPr>
        <w:t xml:space="preserve">w </w:t>
      </w:r>
      <w:r w:rsidRPr="00AD5407">
        <w:rPr>
          <w:rFonts w:eastAsia="Calibri"/>
          <w:sz w:val="22"/>
          <w:szCs w:val="22"/>
          <w:lang w:eastAsia="ar-SA"/>
        </w:rPr>
        <w:t>ramach prowadzonej kontroli poproszono PIG-PIB o przekazanie tekstu Protokołu pomiędzy PIG-PIB a Białoruskim Instytutem Geologii i Geochemii z 4 września 1992 r. Tego rodzaju protokołów nie można uznać za umowę międzynarodow</w:t>
      </w:r>
      <w:r w:rsidR="00AD5407">
        <w:rPr>
          <w:rFonts w:eastAsia="Calibri"/>
          <w:sz w:val="22"/>
          <w:szCs w:val="22"/>
          <w:lang w:eastAsia="ar-SA"/>
        </w:rPr>
        <w:t>ą, choć zawierają postanowienia</w:t>
      </w:r>
      <w:r w:rsidR="006F2BA0">
        <w:rPr>
          <w:rFonts w:eastAsia="Calibri"/>
          <w:sz w:val="22"/>
          <w:szCs w:val="22"/>
          <w:lang w:eastAsia="ar-SA"/>
        </w:rPr>
        <w:br/>
      </w:r>
      <w:r w:rsidRPr="00AD5407">
        <w:rPr>
          <w:rFonts w:eastAsia="Calibri"/>
          <w:sz w:val="22"/>
          <w:szCs w:val="22"/>
          <w:lang w:eastAsia="ar-SA"/>
        </w:rPr>
        <w:t>o współpracy.</w:t>
      </w:r>
    </w:p>
    <w:p w14:paraId="55F2994B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u w:val="single"/>
          <w:lang w:eastAsia="ar-SA"/>
        </w:rPr>
      </w:pPr>
    </w:p>
    <w:p w14:paraId="56EFBCCB" w14:textId="77777777" w:rsidR="0017163C" w:rsidRDefault="0017163C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  <w:r w:rsidRPr="00AD5407">
        <w:rPr>
          <w:b/>
          <w:sz w:val="22"/>
          <w:szCs w:val="22"/>
          <w:lang w:eastAsia="en-US"/>
        </w:rPr>
        <w:t>Czechy</w:t>
      </w:r>
    </w:p>
    <w:p w14:paraId="6E9F7F2C" w14:textId="77777777" w:rsidR="00AD5407" w:rsidRPr="00AD5407" w:rsidRDefault="00AD5407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</w:p>
    <w:p w14:paraId="462A9CD3" w14:textId="77777777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Umowy obowiązujące</w:t>
      </w:r>
    </w:p>
    <w:p w14:paraId="240C2897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BCF25C3" w14:textId="77777777" w:rsidR="0017163C" w:rsidRPr="00AD5407" w:rsidRDefault="0017163C" w:rsidP="00AD5407">
      <w:pPr>
        <w:numPr>
          <w:ilvl w:val="0"/>
          <w:numId w:val="16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Umowa o współpracy pomiędzy PIG-PIB a Czeską Służbą Geologiczną (CGS) z 26 lipca 2016 r., zawarta do 26 lipca 2021 r.</w:t>
      </w:r>
    </w:p>
    <w:p w14:paraId="04E8A540" w14:textId="77777777" w:rsidR="0017163C" w:rsidRDefault="0017163C" w:rsidP="00AD5407">
      <w:pPr>
        <w:numPr>
          <w:ilvl w:val="0"/>
          <w:numId w:val="16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 xml:space="preserve">Umowa o współpracy pomiędzy PIG-PIB a </w:t>
      </w:r>
      <w:r w:rsidR="00642F84" w:rsidRPr="00AD5407">
        <w:rPr>
          <w:b/>
          <w:sz w:val="22"/>
          <w:szCs w:val="22"/>
        </w:rPr>
        <w:t>Czeską Służbą Geologiczną (CGS)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 xml:space="preserve">z 18 czerwca 2002 r. (umowa bezterminowa) </w:t>
      </w:r>
    </w:p>
    <w:p w14:paraId="017DE327" w14:textId="77777777" w:rsidR="00AD5407" w:rsidRPr="00AD5407" w:rsidRDefault="00AD5407" w:rsidP="00AD5407">
      <w:pPr>
        <w:suppressAutoHyphens/>
        <w:spacing w:line="276" w:lineRule="auto"/>
        <w:ind w:left="720"/>
        <w:jc w:val="both"/>
        <w:rPr>
          <w:b/>
          <w:sz w:val="22"/>
          <w:szCs w:val="22"/>
        </w:rPr>
      </w:pPr>
    </w:p>
    <w:p w14:paraId="6C184204" w14:textId="33C78E70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Z Czeską Służb</w:t>
      </w:r>
      <w:r w:rsidR="00F85CB4">
        <w:rPr>
          <w:rFonts w:eastAsia="Calibri"/>
          <w:sz w:val="22"/>
          <w:szCs w:val="22"/>
          <w:lang w:eastAsia="ar-SA"/>
        </w:rPr>
        <w:t>ą</w:t>
      </w:r>
      <w:r w:rsidRPr="00AD5407">
        <w:rPr>
          <w:rFonts w:eastAsia="Calibri"/>
          <w:sz w:val="22"/>
          <w:szCs w:val="22"/>
          <w:lang w:eastAsia="ar-SA"/>
        </w:rPr>
        <w:t xml:space="preserve"> Geologiczną (CGS) od 1996 roku zawartych zostało </w:t>
      </w:r>
      <w:r w:rsidRPr="00EC1C64">
        <w:rPr>
          <w:rFonts w:eastAsia="Calibri"/>
          <w:sz w:val="22"/>
          <w:szCs w:val="22"/>
          <w:lang w:eastAsia="ar-SA"/>
        </w:rPr>
        <w:t>6</w:t>
      </w:r>
      <w:r w:rsidRPr="00AD5407">
        <w:rPr>
          <w:rFonts w:eastAsia="Calibri"/>
          <w:sz w:val="22"/>
          <w:szCs w:val="22"/>
          <w:lang w:eastAsia="ar-SA"/>
        </w:rPr>
        <w:t xml:space="preserve"> umów o współpracy. Ostatnia z nich, aktualnie obowiązująca, została zawarta 26 lipca 2016 r. Zakres tej umowy obejmuje kontynuację i rozwijanie współpracy naukowej w dziedzinie nauk geologicznych. </w:t>
      </w:r>
    </w:p>
    <w:p w14:paraId="55800EC8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79A99560" w14:textId="05D94C97" w:rsidR="0017163C" w:rsidRDefault="00291778" w:rsidP="00AD5407">
      <w:pPr>
        <w:suppressAutoHyphens/>
        <w:spacing w:line="276" w:lineRule="auto"/>
        <w:jc w:val="both"/>
        <w:rPr>
          <w:rFonts w:eastAsia="MS Mincho"/>
          <w:bCs/>
          <w:sz w:val="22"/>
          <w:szCs w:val="22"/>
          <w:lang w:eastAsia="ja-JP"/>
        </w:rPr>
      </w:pPr>
      <w:r w:rsidRPr="00AD5407">
        <w:rPr>
          <w:rFonts w:eastAsia="MS Mincho"/>
          <w:bCs/>
          <w:sz w:val="22"/>
          <w:szCs w:val="22"/>
          <w:lang w:eastAsia="ja-JP"/>
        </w:rPr>
        <w:t xml:space="preserve">Należy </w:t>
      </w:r>
      <w:r w:rsidR="0017163C" w:rsidRPr="00AD5407">
        <w:rPr>
          <w:rFonts w:eastAsia="MS Mincho"/>
          <w:bCs/>
          <w:sz w:val="22"/>
          <w:szCs w:val="22"/>
          <w:lang w:eastAsia="ja-JP"/>
        </w:rPr>
        <w:t>zwrócić uwagę, że zawarta 18 czerwca 2002 r. umowa bezterminowa o współpracy pomiędzy PIG-PIB a CGS stanowi umowę ramową o współpracy naukowej w dziedzinie nauk geologicznych. Zgodnie z artykułem II umowy obszary współpracy będą uzgadniane w formie aneksów zawieranych na dwuletnie okresy</w:t>
      </w:r>
      <w:r w:rsidR="005F5E44">
        <w:rPr>
          <w:rFonts w:eastAsia="MS Mincho"/>
          <w:bCs/>
          <w:sz w:val="22"/>
          <w:szCs w:val="22"/>
          <w:lang w:eastAsia="ja-JP"/>
        </w:rPr>
        <w:t>,</w:t>
      </w:r>
      <w:r w:rsidR="00E941BD">
        <w:rPr>
          <w:rFonts w:eastAsia="MS Mincho"/>
          <w:bCs/>
          <w:sz w:val="22"/>
          <w:szCs w:val="22"/>
          <w:lang w:eastAsia="ja-JP"/>
        </w:rPr>
        <w:t xml:space="preserve"> </w:t>
      </w:r>
      <w:r w:rsidR="005F5E44">
        <w:rPr>
          <w:rFonts w:eastAsia="MS Mincho"/>
          <w:bCs/>
          <w:sz w:val="22"/>
          <w:szCs w:val="22"/>
          <w:lang w:eastAsia="ja-JP"/>
        </w:rPr>
        <w:t xml:space="preserve">brak </w:t>
      </w:r>
      <w:r w:rsidR="0017163C" w:rsidRPr="00AD5407">
        <w:rPr>
          <w:rFonts w:eastAsia="MS Mincho"/>
          <w:bCs/>
          <w:sz w:val="22"/>
          <w:szCs w:val="22"/>
          <w:lang w:eastAsia="ja-JP"/>
        </w:rPr>
        <w:t>zatem uzasadni</w:t>
      </w:r>
      <w:r w:rsidR="005F5E44">
        <w:rPr>
          <w:rFonts w:eastAsia="MS Mincho"/>
          <w:bCs/>
          <w:sz w:val="22"/>
          <w:szCs w:val="22"/>
          <w:lang w:eastAsia="ja-JP"/>
        </w:rPr>
        <w:t>enia</w:t>
      </w:r>
      <w:r w:rsidR="0017163C" w:rsidRPr="00AD5407">
        <w:rPr>
          <w:rFonts w:eastAsia="MS Mincho"/>
          <w:bCs/>
          <w:sz w:val="22"/>
          <w:szCs w:val="22"/>
          <w:lang w:eastAsia="ja-JP"/>
        </w:rPr>
        <w:t xml:space="preserve">, by </w:t>
      </w:r>
      <w:r w:rsidR="00642F84" w:rsidRPr="00AD5407">
        <w:rPr>
          <w:rFonts w:eastAsia="MS Mincho"/>
          <w:bCs/>
          <w:sz w:val="22"/>
          <w:szCs w:val="22"/>
          <w:lang w:eastAsia="ja-JP"/>
        </w:rPr>
        <w:t>zawierać kolejne, odrębne umowy</w:t>
      </w:r>
      <w:r w:rsidR="006F2BA0">
        <w:rPr>
          <w:rFonts w:eastAsia="MS Mincho"/>
          <w:bCs/>
          <w:sz w:val="22"/>
          <w:szCs w:val="22"/>
          <w:lang w:eastAsia="ja-JP"/>
        </w:rPr>
        <w:t xml:space="preserve"> </w:t>
      </w:r>
      <w:r w:rsidR="0017163C" w:rsidRPr="00AD5407">
        <w:rPr>
          <w:rFonts w:eastAsia="MS Mincho"/>
          <w:bCs/>
          <w:sz w:val="22"/>
          <w:szCs w:val="22"/>
          <w:lang w:eastAsia="ja-JP"/>
        </w:rPr>
        <w:t xml:space="preserve">z Czeską Służbą Geologiczną (taką umowę zawarto np. </w:t>
      </w:r>
      <w:r w:rsidR="0017163C" w:rsidRPr="00AD5407">
        <w:rPr>
          <w:rFonts w:eastAsia="Calibri"/>
          <w:sz w:val="22"/>
          <w:szCs w:val="22"/>
          <w:lang w:eastAsia="ar-SA"/>
        </w:rPr>
        <w:t>26 lipca 2016 r.</w:t>
      </w:r>
      <w:r w:rsidR="0017163C" w:rsidRPr="00AD5407">
        <w:rPr>
          <w:rFonts w:eastAsia="MS Mincho"/>
          <w:bCs/>
          <w:sz w:val="22"/>
          <w:szCs w:val="22"/>
          <w:lang w:eastAsia="ja-JP"/>
        </w:rPr>
        <w:t>).</w:t>
      </w:r>
    </w:p>
    <w:p w14:paraId="77DE9DBD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MS Mincho"/>
          <w:bCs/>
          <w:sz w:val="22"/>
          <w:szCs w:val="22"/>
          <w:lang w:eastAsia="ja-JP"/>
        </w:rPr>
      </w:pPr>
    </w:p>
    <w:p w14:paraId="79D482E0" w14:textId="5F436AA2" w:rsidR="0017163C" w:rsidRDefault="0017163C" w:rsidP="00AD5407">
      <w:pPr>
        <w:numPr>
          <w:ilvl w:val="0"/>
          <w:numId w:val="17"/>
        </w:numPr>
        <w:suppressAutoHyphens/>
        <w:spacing w:line="276" w:lineRule="auto"/>
        <w:jc w:val="both"/>
        <w:rPr>
          <w:rFonts w:eastAsia="MS Mincho"/>
          <w:b/>
          <w:bCs/>
          <w:sz w:val="22"/>
          <w:szCs w:val="22"/>
          <w:lang w:eastAsia="ja-JP"/>
        </w:rPr>
      </w:pPr>
      <w:r w:rsidRPr="00AD5407">
        <w:rPr>
          <w:rFonts w:eastAsia="MS Mincho"/>
          <w:b/>
          <w:bCs/>
          <w:sz w:val="22"/>
          <w:szCs w:val="22"/>
          <w:lang w:eastAsia="ja-JP"/>
        </w:rPr>
        <w:t xml:space="preserve">Protokół nt. współpracy pomiędzy PIG-PIB a </w:t>
      </w:r>
      <w:proofErr w:type="spellStart"/>
      <w:r w:rsidRPr="00AD5407">
        <w:rPr>
          <w:rFonts w:eastAsia="MS Mincho"/>
          <w:b/>
          <w:bCs/>
          <w:sz w:val="22"/>
          <w:szCs w:val="22"/>
          <w:lang w:eastAsia="ja-JP"/>
        </w:rPr>
        <w:t>Ustrzednim</w:t>
      </w:r>
      <w:proofErr w:type="spellEnd"/>
      <w:r w:rsidRPr="00AD5407">
        <w:rPr>
          <w:rFonts w:eastAsia="MS Mincho"/>
          <w:b/>
          <w:bCs/>
          <w:sz w:val="22"/>
          <w:szCs w:val="22"/>
          <w:lang w:eastAsia="ja-JP"/>
        </w:rPr>
        <w:t xml:space="preserve"> </w:t>
      </w:r>
      <w:proofErr w:type="spellStart"/>
      <w:r w:rsidRPr="00AD5407">
        <w:rPr>
          <w:rFonts w:eastAsia="MS Mincho"/>
          <w:b/>
          <w:bCs/>
          <w:sz w:val="22"/>
          <w:szCs w:val="22"/>
          <w:lang w:eastAsia="ja-JP"/>
        </w:rPr>
        <w:t>Geologickim</w:t>
      </w:r>
      <w:proofErr w:type="spellEnd"/>
      <w:r w:rsidRPr="00AD5407">
        <w:rPr>
          <w:rFonts w:eastAsia="MS Mincho"/>
          <w:b/>
          <w:bCs/>
          <w:sz w:val="22"/>
          <w:szCs w:val="22"/>
          <w:lang w:eastAsia="ja-JP"/>
        </w:rPr>
        <w:t xml:space="preserve"> </w:t>
      </w:r>
      <w:proofErr w:type="spellStart"/>
      <w:r w:rsidRPr="00AD5407">
        <w:rPr>
          <w:rFonts w:eastAsia="MS Mincho"/>
          <w:b/>
          <w:bCs/>
          <w:sz w:val="22"/>
          <w:szCs w:val="22"/>
          <w:lang w:eastAsia="ja-JP"/>
        </w:rPr>
        <w:t>Ustavem</w:t>
      </w:r>
      <w:proofErr w:type="spellEnd"/>
      <w:r w:rsidRPr="00AD5407">
        <w:rPr>
          <w:rFonts w:eastAsia="MS Mincho"/>
          <w:b/>
          <w:bCs/>
          <w:sz w:val="22"/>
          <w:szCs w:val="22"/>
          <w:lang w:eastAsia="ja-JP"/>
        </w:rPr>
        <w:t xml:space="preserve"> Praga, z 23 października 1991 r.</w:t>
      </w:r>
    </w:p>
    <w:p w14:paraId="32564516" w14:textId="77777777" w:rsidR="00AD5407" w:rsidRPr="00AD5407" w:rsidRDefault="00AD5407" w:rsidP="00847851">
      <w:pPr>
        <w:suppressAutoHyphens/>
        <w:spacing w:line="276" w:lineRule="auto"/>
        <w:ind w:left="780"/>
        <w:jc w:val="both"/>
        <w:rPr>
          <w:rFonts w:eastAsia="MS Mincho"/>
          <w:b/>
          <w:bCs/>
          <w:sz w:val="22"/>
          <w:szCs w:val="22"/>
          <w:lang w:eastAsia="ja-JP"/>
        </w:rPr>
      </w:pPr>
    </w:p>
    <w:p w14:paraId="73F47F2C" w14:textId="30626049" w:rsidR="00AD5407" w:rsidRDefault="0017163C" w:rsidP="00AD5407">
      <w:pPr>
        <w:suppressAutoHyphens/>
        <w:spacing w:line="276" w:lineRule="auto"/>
        <w:jc w:val="both"/>
        <w:rPr>
          <w:rFonts w:eastAsia="MS Mincho"/>
          <w:bCs/>
          <w:sz w:val="22"/>
          <w:szCs w:val="22"/>
          <w:lang w:eastAsia="ja-JP"/>
        </w:rPr>
      </w:pPr>
      <w:r w:rsidRPr="00AD5407">
        <w:rPr>
          <w:rFonts w:eastAsia="MS Mincho"/>
          <w:bCs/>
          <w:sz w:val="22"/>
          <w:szCs w:val="22"/>
          <w:lang w:eastAsia="ja-JP"/>
        </w:rPr>
        <w:t>Z przekazanych przez PIG-PIB dodatkowych wyjaśnień oraz samego dokumentu wynika, że w tych latach nie sporządzono żadnej umowy, a ustalenia dotyczących współpracy na linii UUG-</w:t>
      </w:r>
      <w:proofErr w:type="spellStart"/>
      <w:r w:rsidRPr="00AD5407">
        <w:rPr>
          <w:rFonts w:eastAsia="MS Mincho"/>
          <w:bCs/>
          <w:sz w:val="22"/>
          <w:szCs w:val="22"/>
          <w:lang w:eastAsia="ja-JP"/>
        </w:rPr>
        <w:t>Praha</w:t>
      </w:r>
      <w:proofErr w:type="spellEnd"/>
      <w:r w:rsidRPr="00AD5407">
        <w:rPr>
          <w:rFonts w:eastAsia="MS Mincho"/>
          <w:bCs/>
          <w:sz w:val="22"/>
          <w:szCs w:val="22"/>
          <w:lang w:eastAsia="ja-JP"/>
        </w:rPr>
        <w:t xml:space="preserve"> i PIG</w:t>
      </w:r>
      <w:r w:rsidR="00D86A6B">
        <w:rPr>
          <w:rFonts w:eastAsia="MS Mincho"/>
          <w:bCs/>
          <w:sz w:val="22"/>
          <w:szCs w:val="22"/>
          <w:lang w:eastAsia="ja-JP"/>
        </w:rPr>
        <w:t>-PIB</w:t>
      </w:r>
      <w:r w:rsidRPr="00AD5407">
        <w:rPr>
          <w:rFonts w:eastAsia="MS Mincho"/>
          <w:bCs/>
          <w:sz w:val="22"/>
          <w:szCs w:val="22"/>
          <w:lang w:eastAsia="ja-JP"/>
        </w:rPr>
        <w:t xml:space="preserve"> przedstawiano w formie protokołów po spotkaniach roboczych na poziomie dyrekcji. </w:t>
      </w:r>
    </w:p>
    <w:p w14:paraId="27E46D88" w14:textId="77777777" w:rsidR="00AD5407" w:rsidRDefault="00AD5407" w:rsidP="00AD5407">
      <w:pPr>
        <w:suppressAutoHyphens/>
        <w:spacing w:line="276" w:lineRule="auto"/>
        <w:jc w:val="both"/>
        <w:rPr>
          <w:rFonts w:eastAsia="MS Mincho"/>
          <w:bCs/>
          <w:sz w:val="22"/>
          <w:szCs w:val="22"/>
          <w:lang w:eastAsia="ja-JP"/>
        </w:rPr>
      </w:pPr>
    </w:p>
    <w:p w14:paraId="0BFD735E" w14:textId="77777777" w:rsidR="0017163C" w:rsidRDefault="0017163C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  <w:r w:rsidRPr="00AD5407">
        <w:rPr>
          <w:b/>
          <w:sz w:val="22"/>
          <w:szCs w:val="22"/>
          <w:lang w:eastAsia="en-US"/>
        </w:rPr>
        <w:t>Litwa</w:t>
      </w:r>
    </w:p>
    <w:p w14:paraId="014AB980" w14:textId="77777777" w:rsidR="00AD5407" w:rsidRPr="00AD5407" w:rsidRDefault="00AD5407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</w:p>
    <w:p w14:paraId="153FA455" w14:textId="77777777" w:rsidR="0017163C" w:rsidRDefault="0017163C" w:rsidP="00AD5407">
      <w:pPr>
        <w:keepNext/>
        <w:keepLines/>
        <w:spacing w:line="276" w:lineRule="auto"/>
        <w:outlineLvl w:val="1"/>
        <w:rPr>
          <w:sz w:val="22"/>
          <w:szCs w:val="22"/>
          <w:lang w:eastAsia="en-US"/>
        </w:rPr>
      </w:pPr>
      <w:r w:rsidRPr="00AD5407">
        <w:rPr>
          <w:sz w:val="22"/>
          <w:szCs w:val="22"/>
          <w:lang w:eastAsia="en-US"/>
        </w:rPr>
        <w:t>Umowy obowiązujące:</w:t>
      </w:r>
    </w:p>
    <w:p w14:paraId="2ABB14BB" w14:textId="77777777" w:rsidR="00AD5407" w:rsidRPr="00AD5407" w:rsidRDefault="00AD5407" w:rsidP="00AD5407">
      <w:pPr>
        <w:keepNext/>
        <w:keepLines/>
        <w:spacing w:line="276" w:lineRule="auto"/>
        <w:outlineLvl w:val="1"/>
        <w:rPr>
          <w:sz w:val="22"/>
          <w:szCs w:val="22"/>
          <w:lang w:eastAsia="en-US"/>
        </w:rPr>
      </w:pPr>
    </w:p>
    <w:p w14:paraId="459019C9" w14:textId="77777777" w:rsidR="0017163C" w:rsidRDefault="0017163C" w:rsidP="00AD5407">
      <w:pPr>
        <w:numPr>
          <w:ilvl w:val="0"/>
          <w:numId w:val="18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Umowa pomiędzy PIG-PIB a Służbą Geologiczną Litwy (LSG) z 27 lipca 2010 r. (umowa bezterminowa)</w:t>
      </w:r>
    </w:p>
    <w:p w14:paraId="66170A5F" w14:textId="77777777" w:rsidR="00AD5407" w:rsidRPr="00AD5407" w:rsidRDefault="00AD5407" w:rsidP="00AD5407">
      <w:pPr>
        <w:suppressAutoHyphens/>
        <w:spacing w:line="276" w:lineRule="auto"/>
        <w:ind w:left="720"/>
        <w:jc w:val="both"/>
        <w:rPr>
          <w:b/>
          <w:sz w:val="22"/>
          <w:szCs w:val="22"/>
        </w:rPr>
      </w:pPr>
    </w:p>
    <w:p w14:paraId="443A03BE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  <w:r w:rsidRPr="00AD5407">
        <w:rPr>
          <w:sz w:val="22"/>
          <w:szCs w:val="22"/>
        </w:rPr>
        <w:t>Umowa nie zawiera precyzyjnych postanowień odnośnie ter</w:t>
      </w:r>
      <w:r w:rsidR="00642F84" w:rsidRPr="00AD5407">
        <w:rPr>
          <w:sz w:val="22"/>
          <w:szCs w:val="22"/>
        </w:rPr>
        <w:t>minu jej obowiązywania. Ponadto</w:t>
      </w:r>
      <w:r w:rsidR="00642F84" w:rsidRPr="00AD5407">
        <w:rPr>
          <w:sz w:val="22"/>
          <w:szCs w:val="22"/>
        </w:rPr>
        <w:br/>
      </w:r>
      <w:r w:rsidRPr="00AD5407">
        <w:rPr>
          <w:sz w:val="22"/>
          <w:szCs w:val="22"/>
        </w:rPr>
        <w:t>w porozumieniu powinna być zawarta klauzula odnośnie trybu jego wypowiedzenia.</w:t>
      </w:r>
    </w:p>
    <w:p w14:paraId="00AE740F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</w:p>
    <w:p w14:paraId="3FA7035E" w14:textId="77777777" w:rsidR="0017163C" w:rsidRDefault="0017163C" w:rsidP="00AD5407">
      <w:pPr>
        <w:numPr>
          <w:ilvl w:val="0"/>
          <w:numId w:val="19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Umowa o współpracy naukowej pomiędzy PIG-PIB a</w:t>
      </w:r>
      <w:r w:rsidR="00642F84" w:rsidRPr="00AD5407">
        <w:rPr>
          <w:b/>
          <w:sz w:val="22"/>
          <w:szCs w:val="22"/>
        </w:rPr>
        <w:t xml:space="preserve"> Instytutem Badań Przybrzeżnych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>i Planowania Uniwersytetu Kłajpedzkiego z 21 paździer</w:t>
      </w:r>
      <w:r w:rsidR="00642F84" w:rsidRPr="00AD5407">
        <w:rPr>
          <w:b/>
          <w:sz w:val="22"/>
          <w:szCs w:val="22"/>
        </w:rPr>
        <w:t>nika 2013 r., zawarta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>do 21 października 2017 r.</w:t>
      </w:r>
    </w:p>
    <w:p w14:paraId="79FB9BF4" w14:textId="18DA48C8" w:rsidR="0017163C" w:rsidRPr="00AD5407" w:rsidRDefault="0017163C" w:rsidP="00AD5407">
      <w:pPr>
        <w:numPr>
          <w:ilvl w:val="0"/>
          <w:numId w:val="20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 xml:space="preserve">Umowa o współpracy naukowej pomiędzy PIG-PIB a Służbą </w:t>
      </w:r>
      <w:r w:rsidR="00642F84" w:rsidRPr="00AD5407">
        <w:rPr>
          <w:b/>
          <w:sz w:val="22"/>
          <w:szCs w:val="22"/>
        </w:rPr>
        <w:t>Geologiczną Litwy (LSG)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 xml:space="preserve">z 14 lutego 2014 </w:t>
      </w:r>
      <w:r w:rsidR="00797885">
        <w:rPr>
          <w:b/>
          <w:sz w:val="22"/>
          <w:szCs w:val="22"/>
        </w:rPr>
        <w:t xml:space="preserve">r. </w:t>
      </w:r>
      <w:r w:rsidRPr="00AD5407">
        <w:rPr>
          <w:b/>
          <w:sz w:val="22"/>
          <w:szCs w:val="22"/>
        </w:rPr>
        <w:t>zawarta do 14 lutego 2018 r.</w:t>
      </w:r>
    </w:p>
    <w:p w14:paraId="449ADD85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</w:p>
    <w:p w14:paraId="04311727" w14:textId="77777777" w:rsidR="0017163C" w:rsidRDefault="0017163C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  <w:r w:rsidRPr="00AD5407">
        <w:rPr>
          <w:b/>
          <w:sz w:val="22"/>
          <w:szCs w:val="22"/>
          <w:lang w:eastAsia="en-US"/>
        </w:rPr>
        <w:lastRenderedPageBreak/>
        <w:t>Łotwa</w:t>
      </w:r>
    </w:p>
    <w:p w14:paraId="6DF157E1" w14:textId="77777777" w:rsidR="00AD5407" w:rsidRPr="00AD5407" w:rsidRDefault="00AD5407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</w:p>
    <w:p w14:paraId="6A51F2DB" w14:textId="77777777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Umowa obowiązująca:</w:t>
      </w:r>
    </w:p>
    <w:p w14:paraId="5EC54753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4DEA488" w14:textId="77777777" w:rsidR="0017163C" w:rsidRDefault="0017163C" w:rsidP="00AD5407">
      <w:pPr>
        <w:numPr>
          <w:ilvl w:val="0"/>
          <w:numId w:val="21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 xml:space="preserve">Umowa o współpracy pomiędzy PIG-PIB a Łotewskim Centrum Środowiska, </w:t>
      </w:r>
      <w:r w:rsidR="00642F84" w:rsidRPr="00AD5407">
        <w:rPr>
          <w:b/>
          <w:sz w:val="22"/>
          <w:szCs w:val="22"/>
        </w:rPr>
        <w:t>Geologii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>i Meteorologii z 22 listopada 2016 r. zawarta do 22 listopada 2021 r.</w:t>
      </w:r>
    </w:p>
    <w:p w14:paraId="514E2D44" w14:textId="77777777" w:rsidR="00AD5407" w:rsidRPr="00AD5407" w:rsidRDefault="00AD5407" w:rsidP="00AD5407">
      <w:pPr>
        <w:suppressAutoHyphens/>
        <w:spacing w:line="276" w:lineRule="auto"/>
        <w:ind w:left="720"/>
        <w:jc w:val="both"/>
        <w:rPr>
          <w:b/>
          <w:sz w:val="22"/>
          <w:szCs w:val="22"/>
        </w:rPr>
      </w:pPr>
    </w:p>
    <w:p w14:paraId="4C5AE19A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Centrum Środowiska, Geologii i Meteorologii Łotwy z siedzibą w Rydze (</w:t>
      </w:r>
      <w:proofErr w:type="spellStart"/>
      <w:r w:rsidRPr="00AD5407">
        <w:rPr>
          <w:rFonts w:eastAsia="Calibri"/>
          <w:sz w:val="22"/>
          <w:szCs w:val="22"/>
          <w:lang w:eastAsia="ar-SA"/>
        </w:rPr>
        <w:t>Latvijas</w:t>
      </w:r>
      <w:proofErr w:type="spellEnd"/>
      <w:r w:rsidRPr="00AD5407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AD5407">
        <w:rPr>
          <w:rFonts w:eastAsia="Calibri"/>
          <w:sz w:val="22"/>
          <w:szCs w:val="22"/>
          <w:lang w:eastAsia="ar-SA"/>
        </w:rPr>
        <w:t>Vides</w:t>
      </w:r>
      <w:proofErr w:type="spellEnd"/>
      <w:r w:rsidRPr="00AD5407">
        <w:rPr>
          <w:rFonts w:eastAsia="Calibri"/>
          <w:sz w:val="22"/>
          <w:szCs w:val="22"/>
          <w:lang w:eastAsia="ar-SA"/>
        </w:rPr>
        <w:t xml:space="preserve">, </w:t>
      </w:r>
      <w:proofErr w:type="spellStart"/>
      <w:r w:rsidRPr="00AD5407">
        <w:rPr>
          <w:rFonts w:eastAsia="Calibri"/>
          <w:sz w:val="22"/>
          <w:szCs w:val="22"/>
          <w:lang w:eastAsia="ar-SA"/>
        </w:rPr>
        <w:t>ģeoloģijas</w:t>
      </w:r>
      <w:proofErr w:type="spellEnd"/>
      <w:r w:rsidRPr="00AD5407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AD5407">
        <w:rPr>
          <w:rFonts w:eastAsia="Calibri"/>
          <w:sz w:val="22"/>
          <w:szCs w:val="22"/>
          <w:lang w:eastAsia="ar-SA"/>
        </w:rPr>
        <w:t>un</w:t>
      </w:r>
      <w:proofErr w:type="spellEnd"/>
      <w:r w:rsidRPr="00AD5407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AD5407">
        <w:rPr>
          <w:rFonts w:eastAsia="Calibri"/>
          <w:sz w:val="22"/>
          <w:szCs w:val="22"/>
          <w:lang w:eastAsia="ar-SA"/>
        </w:rPr>
        <w:t>meteoroloģijas</w:t>
      </w:r>
      <w:proofErr w:type="spellEnd"/>
      <w:r w:rsidRPr="00AD5407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AD5407">
        <w:rPr>
          <w:rFonts w:eastAsia="Calibri"/>
          <w:sz w:val="22"/>
          <w:szCs w:val="22"/>
          <w:lang w:eastAsia="ar-SA"/>
        </w:rPr>
        <w:t>centrs</w:t>
      </w:r>
      <w:proofErr w:type="spellEnd"/>
      <w:r w:rsidRPr="00AD5407">
        <w:rPr>
          <w:rFonts w:eastAsia="Calibri"/>
          <w:sz w:val="22"/>
          <w:szCs w:val="22"/>
          <w:lang w:eastAsia="ar-SA"/>
        </w:rPr>
        <w:t xml:space="preserve">, LVĢMC, </w:t>
      </w:r>
      <w:proofErr w:type="spellStart"/>
      <w:r w:rsidRPr="00AD5407">
        <w:rPr>
          <w:rFonts w:eastAsia="Calibri"/>
          <w:sz w:val="22"/>
          <w:szCs w:val="22"/>
          <w:lang w:eastAsia="ar-SA"/>
        </w:rPr>
        <w:t>Rīga</w:t>
      </w:r>
      <w:proofErr w:type="spellEnd"/>
      <w:r w:rsidRPr="00AD5407">
        <w:rPr>
          <w:rFonts w:eastAsia="Calibri"/>
          <w:sz w:val="22"/>
          <w:szCs w:val="22"/>
          <w:lang w:eastAsia="ar-SA"/>
        </w:rPr>
        <w:t>), pełni rolę Państwowej Służby Geologicznej Łotwy.</w:t>
      </w:r>
    </w:p>
    <w:p w14:paraId="558DB5DF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38871F8D" w14:textId="77777777" w:rsidR="0017163C" w:rsidRDefault="0017163C" w:rsidP="00AD5407">
      <w:pPr>
        <w:keepNext/>
        <w:keepLines/>
        <w:suppressAutoHyphens/>
        <w:spacing w:line="276" w:lineRule="auto"/>
        <w:outlineLvl w:val="1"/>
        <w:rPr>
          <w:b/>
          <w:sz w:val="22"/>
          <w:szCs w:val="22"/>
          <w:lang w:eastAsia="ar-SA"/>
        </w:rPr>
      </w:pPr>
      <w:r w:rsidRPr="00AD5407">
        <w:rPr>
          <w:b/>
          <w:sz w:val="22"/>
          <w:szCs w:val="22"/>
          <w:lang w:eastAsia="ar-SA"/>
        </w:rPr>
        <w:t>Niemcy</w:t>
      </w:r>
    </w:p>
    <w:p w14:paraId="3F2B7C0B" w14:textId="77777777" w:rsidR="00AD5407" w:rsidRPr="00AD5407" w:rsidRDefault="00AD5407" w:rsidP="00AD5407">
      <w:pPr>
        <w:keepNext/>
        <w:keepLines/>
        <w:suppressAutoHyphens/>
        <w:spacing w:line="276" w:lineRule="auto"/>
        <w:outlineLvl w:val="1"/>
        <w:rPr>
          <w:b/>
          <w:sz w:val="22"/>
          <w:szCs w:val="22"/>
          <w:lang w:eastAsia="ar-SA"/>
        </w:rPr>
      </w:pPr>
    </w:p>
    <w:p w14:paraId="32D24182" w14:textId="77777777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We współpracy z partnerami z Niemiec, przede wszystkim ze służbami geologicznymi przygranicznych landów konsultowane są prace z zakresu kartografii geologicznej i rozpoznania warunków hydrogeologicznych w strefie pogranicza polsko-niemieckiego.</w:t>
      </w:r>
    </w:p>
    <w:p w14:paraId="024292E2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4727F789" w14:textId="6D5F8BC4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We współpracy ze służbami geologicznymi przygranicznych landów Niemiec: Saksonii, Brandenburgii oraz Meklemburgii - Pomorza Przedniego prowadzono zadania transgranicznego monitoringu ze szczególnym uwzględnieniem stref intensywnej antropopresji.</w:t>
      </w:r>
    </w:p>
    <w:p w14:paraId="4F099642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color w:val="FF0000"/>
          <w:sz w:val="22"/>
          <w:szCs w:val="22"/>
          <w:lang w:eastAsia="ar-SA"/>
        </w:rPr>
      </w:pPr>
    </w:p>
    <w:p w14:paraId="63501E68" w14:textId="39CC6513" w:rsidR="0017163C" w:rsidRDefault="004615F5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N</w:t>
      </w:r>
      <w:r w:rsidR="0017163C" w:rsidRPr="00AD5407">
        <w:rPr>
          <w:rFonts w:eastAsia="Calibri"/>
          <w:sz w:val="22"/>
          <w:szCs w:val="22"/>
          <w:lang w:eastAsia="ar-SA"/>
        </w:rPr>
        <w:t>iektóre umowy mają charakter ogólny, nakreślając ramowe f</w:t>
      </w:r>
      <w:r w:rsidR="0033134C">
        <w:rPr>
          <w:rFonts w:eastAsia="Calibri"/>
          <w:sz w:val="22"/>
          <w:szCs w:val="22"/>
          <w:lang w:eastAsia="ar-SA"/>
        </w:rPr>
        <w:t>ormy i zakres współpracy (umowa</w:t>
      </w:r>
      <w:r w:rsidR="0033134C">
        <w:rPr>
          <w:rFonts w:eastAsia="Calibri"/>
          <w:sz w:val="22"/>
          <w:szCs w:val="22"/>
          <w:lang w:eastAsia="ar-SA"/>
        </w:rPr>
        <w:br/>
      </w:r>
      <w:r w:rsidR="0017163C" w:rsidRPr="00AD5407">
        <w:rPr>
          <w:rFonts w:eastAsia="Calibri"/>
          <w:sz w:val="22"/>
          <w:szCs w:val="22"/>
          <w:lang w:eastAsia="ar-SA"/>
        </w:rPr>
        <w:t xml:space="preserve">z </w:t>
      </w:r>
      <w:proofErr w:type="spellStart"/>
      <w:r w:rsidR="0017163C" w:rsidRPr="00AD5407">
        <w:rPr>
          <w:rFonts w:eastAsia="Calibri"/>
          <w:sz w:val="22"/>
          <w:szCs w:val="22"/>
          <w:lang w:eastAsia="ar-SA"/>
        </w:rPr>
        <w:t>LfULG</w:t>
      </w:r>
      <w:proofErr w:type="spellEnd"/>
      <w:r w:rsidR="0017163C" w:rsidRPr="00AD5407">
        <w:rPr>
          <w:rFonts w:eastAsia="Calibri"/>
          <w:sz w:val="22"/>
          <w:szCs w:val="22"/>
          <w:lang w:eastAsia="ar-SA"/>
        </w:rPr>
        <w:t>). Niektóre natomiast jak umowa z LBGR dokładniej precyzują obszary i tematy deklarowanej współpracy.</w:t>
      </w:r>
    </w:p>
    <w:p w14:paraId="3DD6379F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highlight w:val="yellow"/>
          <w:lang w:eastAsia="ar-SA"/>
        </w:rPr>
      </w:pPr>
    </w:p>
    <w:p w14:paraId="13AB5B3E" w14:textId="179CC6F3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Obowiązujące umowy</w:t>
      </w:r>
      <w:r w:rsidR="00847851">
        <w:rPr>
          <w:rFonts w:eastAsia="Calibri"/>
          <w:sz w:val="22"/>
          <w:szCs w:val="22"/>
          <w:lang w:eastAsia="ar-SA"/>
        </w:rPr>
        <w:t xml:space="preserve"> i porozumienia</w:t>
      </w:r>
      <w:r w:rsidRPr="00AD5407">
        <w:rPr>
          <w:rFonts w:eastAsia="Calibri"/>
          <w:sz w:val="22"/>
          <w:szCs w:val="22"/>
          <w:lang w:eastAsia="ar-SA"/>
        </w:rPr>
        <w:t>:</w:t>
      </w:r>
    </w:p>
    <w:p w14:paraId="5E20B0D7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2FD81CBC" w14:textId="0581C130" w:rsidR="0017163C" w:rsidRDefault="0017163C" w:rsidP="004615F5">
      <w:pPr>
        <w:numPr>
          <w:ilvl w:val="0"/>
          <w:numId w:val="22"/>
        </w:numPr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D5407">
        <w:rPr>
          <w:rFonts w:eastAsia="Calibri"/>
          <w:b/>
          <w:sz w:val="22"/>
          <w:szCs w:val="22"/>
          <w:lang w:eastAsia="ar-SA"/>
        </w:rPr>
        <w:t>Porozumienie o współpracy pomiędzy PIG-PIB a Federalną Służbą Geologiczną (Federalny Instytut Badań o Ziemi i Zasobach Naturalnych) (BGR) zawart</w:t>
      </w:r>
      <w:r w:rsidR="007549B8">
        <w:rPr>
          <w:rFonts w:eastAsia="Calibri"/>
          <w:b/>
          <w:sz w:val="22"/>
          <w:szCs w:val="22"/>
          <w:lang w:eastAsia="ar-SA"/>
        </w:rPr>
        <w:t>e</w:t>
      </w:r>
      <w:r w:rsidRPr="00AD5407">
        <w:rPr>
          <w:rFonts w:eastAsia="Calibri"/>
          <w:b/>
          <w:sz w:val="22"/>
          <w:szCs w:val="22"/>
          <w:lang w:eastAsia="ar-SA"/>
        </w:rPr>
        <w:t xml:space="preserve"> 26 lutego 1997 r. (umowa bezterminowa)</w:t>
      </w:r>
    </w:p>
    <w:p w14:paraId="272D1F65" w14:textId="77777777" w:rsidR="00AD5407" w:rsidRPr="00AD5407" w:rsidRDefault="00AD5407" w:rsidP="00AD5407">
      <w:pPr>
        <w:suppressAutoHyphens/>
        <w:spacing w:line="276" w:lineRule="auto"/>
        <w:ind w:left="720"/>
        <w:rPr>
          <w:rFonts w:eastAsia="Calibri"/>
          <w:b/>
          <w:sz w:val="22"/>
          <w:szCs w:val="22"/>
          <w:lang w:eastAsia="ar-SA"/>
        </w:rPr>
      </w:pPr>
    </w:p>
    <w:p w14:paraId="10D32F84" w14:textId="77777777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Zgodnie z art. 8 niniejsze porozumienie (</w:t>
      </w:r>
      <w:proofErr w:type="spellStart"/>
      <w:r w:rsidRPr="00AD5407">
        <w:rPr>
          <w:rFonts w:eastAsia="Calibri"/>
          <w:sz w:val="22"/>
          <w:szCs w:val="22"/>
          <w:lang w:eastAsia="ar-SA"/>
        </w:rPr>
        <w:t>MoU</w:t>
      </w:r>
      <w:proofErr w:type="spellEnd"/>
      <w:r w:rsidRPr="00AD5407">
        <w:rPr>
          <w:rFonts w:eastAsia="Calibri"/>
          <w:sz w:val="22"/>
          <w:szCs w:val="22"/>
          <w:lang w:eastAsia="ar-SA"/>
        </w:rPr>
        <w:t>)</w:t>
      </w:r>
      <w:r w:rsidR="00642F84" w:rsidRPr="00AD5407">
        <w:rPr>
          <w:rFonts w:eastAsia="Calibri"/>
          <w:sz w:val="22"/>
          <w:szCs w:val="22"/>
          <w:lang w:eastAsia="ar-SA"/>
        </w:rPr>
        <w:t xml:space="preserve"> nie jest umową międzypaństwową,</w:t>
      </w:r>
      <w:r w:rsidRPr="00AD5407">
        <w:rPr>
          <w:rFonts w:eastAsia="Calibri"/>
          <w:sz w:val="22"/>
          <w:szCs w:val="22"/>
          <w:lang w:eastAsia="ar-SA"/>
        </w:rPr>
        <w:t xml:space="preserve"> nie pociąga za sobą żadnych uprawnień ani zobowiązań o charakterze międzypaństwowym.</w:t>
      </w:r>
    </w:p>
    <w:p w14:paraId="091A1FC4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color w:val="1F497D"/>
          <w:sz w:val="22"/>
          <w:szCs w:val="22"/>
          <w:lang w:eastAsia="ar-SA"/>
        </w:rPr>
      </w:pPr>
    </w:p>
    <w:p w14:paraId="10D29EEB" w14:textId="07D59254" w:rsidR="0017163C" w:rsidRPr="00AD5407" w:rsidRDefault="0017163C" w:rsidP="00AD5407">
      <w:pPr>
        <w:suppressAutoHyphens/>
        <w:spacing w:line="276" w:lineRule="auto"/>
        <w:jc w:val="both"/>
        <w:rPr>
          <w:rFonts w:eastAsia="MS Mincho"/>
          <w:bCs/>
          <w:sz w:val="22"/>
          <w:szCs w:val="22"/>
          <w:lang w:eastAsia="ja-JP"/>
        </w:rPr>
      </w:pPr>
      <w:r w:rsidRPr="00AD5407">
        <w:rPr>
          <w:rFonts w:eastAsia="Calibri"/>
          <w:sz w:val="22"/>
          <w:szCs w:val="22"/>
          <w:lang w:eastAsia="ar-SA"/>
        </w:rPr>
        <w:t xml:space="preserve">Ponadto zgodnie z art. 7 obie strony ustalają, że niniejsze porozumienie wchodzi w życie z dniem podpisania i jest ważne na okres trzech lat i jeżeli w ciągu trzech miesięcy przed upływem jego terminu ważności nie zostanie wypowiedziane przez jedną ze stron, </w:t>
      </w:r>
      <w:r w:rsidRPr="00847851">
        <w:rPr>
          <w:rFonts w:eastAsia="Calibri"/>
          <w:sz w:val="22"/>
          <w:szCs w:val="22"/>
          <w:lang w:eastAsia="ar-SA"/>
        </w:rPr>
        <w:t>zostaje automatycznie przedłużone na następne trzy lata.</w:t>
      </w:r>
      <w:r w:rsidRPr="00AD5407">
        <w:rPr>
          <w:rFonts w:eastAsia="Calibri"/>
          <w:sz w:val="22"/>
          <w:szCs w:val="22"/>
          <w:lang w:eastAsia="ar-SA"/>
        </w:rPr>
        <w:t xml:space="preserve"> Taki zapis w porozumieniu jest nieprecyzyjny i oznacza, że został</w:t>
      </w:r>
      <w:r w:rsidR="00847851">
        <w:rPr>
          <w:rFonts w:eastAsia="Calibri"/>
          <w:sz w:val="22"/>
          <w:szCs w:val="22"/>
          <w:lang w:eastAsia="ar-SA"/>
        </w:rPr>
        <w:t>o zawarte</w:t>
      </w:r>
      <w:r w:rsidRPr="00AD5407">
        <w:rPr>
          <w:rFonts w:eastAsia="Calibri"/>
          <w:sz w:val="22"/>
          <w:szCs w:val="22"/>
          <w:lang w:eastAsia="ar-SA"/>
        </w:rPr>
        <w:t xml:space="preserve"> na 6 lat (</w:t>
      </w:r>
      <w:r w:rsidR="00847851">
        <w:rPr>
          <w:rFonts w:eastAsia="Calibri"/>
          <w:sz w:val="22"/>
          <w:szCs w:val="22"/>
          <w:lang w:eastAsia="ar-SA"/>
        </w:rPr>
        <w:t>porozumienie terminowe</w:t>
      </w:r>
      <w:r w:rsidRPr="00AD5407">
        <w:rPr>
          <w:rFonts w:eastAsia="Calibri"/>
          <w:sz w:val="22"/>
          <w:szCs w:val="22"/>
          <w:lang w:eastAsia="ar-SA"/>
        </w:rPr>
        <w:t>).</w:t>
      </w:r>
      <w:r w:rsidR="007549B8">
        <w:rPr>
          <w:rFonts w:eastAsia="Calibri"/>
          <w:sz w:val="22"/>
          <w:szCs w:val="22"/>
          <w:lang w:eastAsia="ar-SA"/>
        </w:rPr>
        <w:t xml:space="preserve"> </w:t>
      </w:r>
      <w:r w:rsidRPr="00AD5407">
        <w:rPr>
          <w:rFonts w:eastAsia="MS Mincho"/>
          <w:bCs/>
          <w:sz w:val="22"/>
          <w:szCs w:val="22"/>
          <w:lang w:eastAsia="ja-JP"/>
        </w:rPr>
        <w:t xml:space="preserve">W porozumieniu powinien być doprecyzowany zapis dotyczący </w:t>
      </w:r>
      <w:r w:rsidR="00847851">
        <w:rPr>
          <w:rFonts w:eastAsia="MS Mincho"/>
          <w:bCs/>
          <w:sz w:val="22"/>
          <w:szCs w:val="22"/>
          <w:lang w:eastAsia="ja-JP"/>
        </w:rPr>
        <w:t>jego obowiązywania</w:t>
      </w:r>
      <w:r w:rsidRPr="00AD5407">
        <w:rPr>
          <w:rFonts w:eastAsia="MS Mincho"/>
          <w:bCs/>
          <w:sz w:val="22"/>
          <w:szCs w:val="22"/>
          <w:lang w:eastAsia="ja-JP"/>
        </w:rPr>
        <w:t>, że jest automatycznie przedłużane na kolejne okresy 3 letnie.</w:t>
      </w:r>
    </w:p>
    <w:p w14:paraId="7B27472E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2CE29730" w14:textId="77777777" w:rsidR="0017163C" w:rsidRDefault="0017163C" w:rsidP="00AD5407">
      <w:pPr>
        <w:numPr>
          <w:ilvl w:val="0"/>
          <w:numId w:val="23"/>
        </w:numPr>
        <w:suppressAutoHyphens/>
        <w:spacing w:line="276" w:lineRule="auto"/>
        <w:jc w:val="both"/>
        <w:rPr>
          <w:rFonts w:eastAsia="MS Mincho"/>
          <w:b/>
          <w:bCs/>
          <w:sz w:val="22"/>
          <w:szCs w:val="22"/>
          <w:lang w:eastAsia="ja-JP"/>
        </w:rPr>
      </w:pPr>
      <w:r w:rsidRPr="00AD5407">
        <w:rPr>
          <w:rFonts w:eastAsia="Calibri"/>
          <w:b/>
          <w:sz w:val="22"/>
          <w:szCs w:val="22"/>
          <w:lang w:eastAsia="ar-SA"/>
        </w:rPr>
        <w:t xml:space="preserve">Umowa o współpracy pomiędzy PIG-PIB a </w:t>
      </w:r>
      <w:r w:rsidRPr="00AD5407">
        <w:rPr>
          <w:rFonts w:eastAsia="MS Mincho"/>
          <w:b/>
          <w:bCs/>
          <w:sz w:val="22"/>
          <w:szCs w:val="22"/>
          <w:lang w:eastAsia="ja-JP"/>
        </w:rPr>
        <w:t>Federalną Służbą Hydrogeologiczną (</w:t>
      </w:r>
      <w:proofErr w:type="spellStart"/>
      <w:r w:rsidRPr="00AD5407">
        <w:rPr>
          <w:rFonts w:eastAsia="MS Mincho"/>
          <w:b/>
          <w:bCs/>
          <w:sz w:val="22"/>
          <w:szCs w:val="22"/>
          <w:lang w:eastAsia="ja-JP"/>
        </w:rPr>
        <w:t>BfG</w:t>
      </w:r>
      <w:proofErr w:type="spellEnd"/>
      <w:r w:rsidRPr="00AD5407">
        <w:rPr>
          <w:rFonts w:eastAsia="MS Mincho"/>
          <w:b/>
          <w:bCs/>
          <w:sz w:val="22"/>
          <w:szCs w:val="22"/>
          <w:lang w:eastAsia="ja-JP"/>
        </w:rPr>
        <w:t xml:space="preserve">) podpisana 22 sierpnia 1997 r. </w:t>
      </w:r>
    </w:p>
    <w:p w14:paraId="4A414CE9" w14:textId="77777777" w:rsidR="00AD5407" w:rsidRPr="00AD5407" w:rsidRDefault="00AD5407" w:rsidP="00AD5407">
      <w:pPr>
        <w:suppressAutoHyphens/>
        <w:spacing w:line="276" w:lineRule="auto"/>
        <w:ind w:left="720"/>
        <w:jc w:val="both"/>
        <w:rPr>
          <w:rFonts w:eastAsia="MS Mincho"/>
          <w:b/>
          <w:bCs/>
          <w:sz w:val="22"/>
          <w:szCs w:val="22"/>
          <w:lang w:eastAsia="ja-JP"/>
        </w:rPr>
      </w:pPr>
    </w:p>
    <w:p w14:paraId="0BCEE070" w14:textId="39F6975C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  <w:r w:rsidRPr="00AD5407">
        <w:rPr>
          <w:sz w:val="22"/>
          <w:szCs w:val="22"/>
        </w:rPr>
        <w:t xml:space="preserve">Umowa nie zawiera postanowień odnośnie terminu jego wejścia w życie oraz terminu obowiązywania. Ponadto w </w:t>
      </w:r>
      <w:r w:rsidR="006D533D">
        <w:rPr>
          <w:sz w:val="22"/>
          <w:szCs w:val="22"/>
        </w:rPr>
        <w:t>jej treści</w:t>
      </w:r>
      <w:r w:rsidRPr="00AD5407">
        <w:rPr>
          <w:sz w:val="22"/>
          <w:szCs w:val="22"/>
        </w:rPr>
        <w:t xml:space="preserve"> powinna być zawarta klauzula odnośnie trybu </w:t>
      </w:r>
      <w:r w:rsidR="006D533D">
        <w:rPr>
          <w:sz w:val="22"/>
          <w:szCs w:val="22"/>
        </w:rPr>
        <w:t>jej</w:t>
      </w:r>
      <w:r w:rsidRPr="00AD5407">
        <w:rPr>
          <w:sz w:val="22"/>
          <w:szCs w:val="22"/>
        </w:rPr>
        <w:t xml:space="preserve"> wypowiedzenia.</w:t>
      </w:r>
    </w:p>
    <w:p w14:paraId="1A84CD8E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73CE8225" w14:textId="77777777" w:rsidR="0017163C" w:rsidRDefault="0017163C" w:rsidP="00AD5407">
      <w:pPr>
        <w:numPr>
          <w:ilvl w:val="0"/>
          <w:numId w:val="24"/>
        </w:numPr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D5407">
        <w:rPr>
          <w:rFonts w:eastAsia="Calibri"/>
          <w:b/>
          <w:sz w:val="22"/>
          <w:szCs w:val="22"/>
          <w:lang w:eastAsia="ar-SA"/>
        </w:rPr>
        <w:lastRenderedPageBreak/>
        <w:t xml:space="preserve">Umowa o współpracy pomiędzy PIG-PIB a </w:t>
      </w:r>
      <w:r w:rsidR="00642F84" w:rsidRPr="00AD5407">
        <w:rPr>
          <w:rFonts w:eastAsia="Calibri"/>
          <w:b/>
          <w:sz w:val="22"/>
          <w:szCs w:val="22"/>
          <w:lang w:eastAsia="ar-SA"/>
        </w:rPr>
        <w:t>Urzędem ds. Górnictwa, Geologii</w:t>
      </w:r>
      <w:r w:rsidR="00642F84" w:rsidRPr="00AD5407">
        <w:rPr>
          <w:rFonts w:eastAsia="Calibri"/>
          <w:b/>
          <w:sz w:val="22"/>
          <w:szCs w:val="22"/>
          <w:lang w:eastAsia="ar-SA"/>
        </w:rPr>
        <w:br/>
      </w:r>
      <w:r w:rsidRPr="00AD5407">
        <w:rPr>
          <w:rFonts w:eastAsia="Calibri"/>
          <w:b/>
          <w:sz w:val="22"/>
          <w:szCs w:val="22"/>
          <w:lang w:eastAsia="ar-SA"/>
        </w:rPr>
        <w:t>i Surowców Mineralnych Brandenburgii (LBGR) zawarta 3 grudnia 2003 r. (umowa bezterminowa)</w:t>
      </w:r>
    </w:p>
    <w:p w14:paraId="46307504" w14:textId="77777777" w:rsidR="00AD5407" w:rsidRPr="00AD5407" w:rsidRDefault="00AD5407" w:rsidP="00AD5407">
      <w:pPr>
        <w:suppressAutoHyphens/>
        <w:spacing w:line="276" w:lineRule="auto"/>
        <w:ind w:left="720"/>
        <w:jc w:val="both"/>
        <w:rPr>
          <w:rFonts w:eastAsia="Calibri"/>
          <w:b/>
          <w:sz w:val="22"/>
          <w:szCs w:val="22"/>
          <w:lang w:eastAsia="ar-SA"/>
        </w:rPr>
      </w:pPr>
    </w:p>
    <w:p w14:paraId="5463C32C" w14:textId="5410BB50" w:rsidR="0017163C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  <w:r w:rsidRPr="00AD5407">
        <w:rPr>
          <w:sz w:val="22"/>
          <w:szCs w:val="22"/>
        </w:rPr>
        <w:t xml:space="preserve">Nieprecyzyjne postanowienia umowy w zakresie terminu jego obowiązywania, powodują brak jasności odnośnie tego, czy umowa jest obowiązująca. </w:t>
      </w:r>
      <w:r w:rsidR="00CF730C" w:rsidRPr="00AD5407">
        <w:rPr>
          <w:sz w:val="22"/>
          <w:szCs w:val="22"/>
        </w:rPr>
        <w:t>Ponadto w umowie powinna być zawarta klauzula odnośnie trybu jej wypowiedzenia.</w:t>
      </w:r>
    </w:p>
    <w:p w14:paraId="4C05E348" w14:textId="77777777" w:rsidR="00AD5407" w:rsidRPr="00AD5407" w:rsidRDefault="00AD5407" w:rsidP="00AD5407">
      <w:pPr>
        <w:suppressAutoHyphens/>
        <w:spacing w:line="276" w:lineRule="auto"/>
        <w:jc w:val="both"/>
        <w:rPr>
          <w:sz w:val="22"/>
          <w:szCs w:val="22"/>
        </w:rPr>
      </w:pPr>
    </w:p>
    <w:p w14:paraId="12434109" w14:textId="77777777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W nawiązaniu do przedmiotowej umowy zawartej 3 grudnia 2003 r., wyrażając wspólne zainteresowanie kontynuacją i rozwojem współpracy w dziedzinie geologii, postanowiono poszerzyć zakres współpracy i zawrzeć poniższą Umowę o współpracy naukowo-badawczej:</w:t>
      </w:r>
    </w:p>
    <w:p w14:paraId="18ED3047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3922A5C6" w14:textId="77777777" w:rsidR="0017163C" w:rsidRPr="00AD5407" w:rsidRDefault="0017163C" w:rsidP="00AD5407">
      <w:pPr>
        <w:numPr>
          <w:ilvl w:val="0"/>
          <w:numId w:val="25"/>
        </w:numPr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D5407">
        <w:rPr>
          <w:rFonts w:eastAsia="Calibri"/>
          <w:b/>
          <w:sz w:val="22"/>
          <w:szCs w:val="22"/>
          <w:lang w:eastAsia="ar-SA"/>
        </w:rPr>
        <w:t>Umowa o współpracy naukowo-badawczej pomiędzy PIG-PIB a Urzędem ds. Górnictwa, Geologii i Surowców Mineralnych Brandenburgii (LBGR) zawarta 5 października 2011r. (umowa bezterminowa, automatycznie przedłużana na kolejne 5 letnie okresy)</w:t>
      </w:r>
    </w:p>
    <w:p w14:paraId="554AEAA2" w14:textId="77777777" w:rsidR="0017163C" w:rsidRPr="00AD5407" w:rsidRDefault="0017163C" w:rsidP="00AD5407">
      <w:pPr>
        <w:numPr>
          <w:ilvl w:val="0"/>
          <w:numId w:val="25"/>
        </w:numPr>
        <w:suppressAutoHyphens/>
        <w:spacing w:line="276" w:lineRule="auto"/>
        <w:jc w:val="both"/>
        <w:rPr>
          <w:rFonts w:eastAsia="MS Mincho"/>
          <w:b/>
          <w:bCs/>
          <w:sz w:val="22"/>
          <w:szCs w:val="22"/>
          <w:lang w:eastAsia="ja-JP"/>
        </w:rPr>
      </w:pPr>
      <w:r w:rsidRPr="00AD5407">
        <w:rPr>
          <w:rFonts w:eastAsia="Calibri"/>
          <w:b/>
          <w:sz w:val="22"/>
          <w:szCs w:val="22"/>
          <w:lang w:eastAsia="ar-SA"/>
        </w:rPr>
        <w:t>List intencyjny z Instytutem Geologii Akademii Górnicz</w:t>
      </w:r>
      <w:r w:rsidR="00642F84" w:rsidRPr="00AD5407">
        <w:rPr>
          <w:rFonts w:eastAsia="Calibri"/>
          <w:b/>
          <w:sz w:val="22"/>
          <w:szCs w:val="22"/>
          <w:lang w:eastAsia="ar-SA"/>
        </w:rPr>
        <w:t>ej we Freibergu podpisany</w:t>
      </w:r>
      <w:r w:rsidR="00642F84" w:rsidRPr="00AD5407">
        <w:rPr>
          <w:rFonts w:eastAsia="Calibri"/>
          <w:b/>
          <w:sz w:val="22"/>
          <w:szCs w:val="22"/>
          <w:lang w:eastAsia="ar-SA"/>
        </w:rPr>
        <w:br/>
      </w:r>
      <w:r w:rsidRPr="00AD5407">
        <w:rPr>
          <w:rFonts w:eastAsia="Calibri"/>
          <w:b/>
          <w:sz w:val="22"/>
          <w:szCs w:val="22"/>
          <w:lang w:eastAsia="ar-SA"/>
        </w:rPr>
        <w:t>21 lipca 2009 r.</w:t>
      </w:r>
    </w:p>
    <w:p w14:paraId="5800318A" w14:textId="77777777" w:rsidR="0017163C" w:rsidRDefault="0017163C" w:rsidP="00AD5407">
      <w:pPr>
        <w:numPr>
          <w:ilvl w:val="0"/>
          <w:numId w:val="25"/>
        </w:numPr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D5407">
        <w:rPr>
          <w:rFonts w:eastAsia="Calibri"/>
          <w:b/>
          <w:sz w:val="22"/>
          <w:szCs w:val="22"/>
          <w:lang w:eastAsia="ar-SA"/>
        </w:rPr>
        <w:t>Umowa o współpracy naukowej pomiędzy PIG-PIB a Saksoński Urząd Krajowy</w:t>
      </w:r>
      <w:r w:rsidR="00642F84" w:rsidRPr="00AD5407">
        <w:rPr>
          <w:rFonts w:eastAsia="Calibri"/>
          <w:b/>
          <w:sz w:val="22"/>
          <w:szCs w:val="22"/>
          <w:lang w:eastAsia="ar-SA"/>
        </w:rPr>
        <w:br/>
      </w:r>
      <w:r w:rsidRPr="00AD5407">
        <w:rPr>
          <w:rFonts w:eastAsia="Calibri"/>
          <w:b/>
          <w:i/>
          <w:iCs/>
          <w:sz w:val="22"/>
          <w:szCs w:val="22"/>
          <w:lang w:eastAsia="ar-SA"/>
        </w:rPr>
        <w:t>ds</w:t>
      </w:r>
      <w:r w:rsidRPr="00AD5407">
        <w:rPr>
          <w:rFonts w:eastAsia="Calibri"/>
          <w:b/>
          <w:i/>
          <w:sz w:val="22"/>
          <w:szCs w:val="22"/>
          <w:lang w:eastAsia="ar-SA"/>
        </w:rPr>
        <w:t xml:space="preserve">. </w:t>
      </w:r>
      <w:r w:rsidRPr="00AD5407">
        <w:rPr>
          <w:rFonts w:eastAsia="Calibri"/>
          <w:b/>
          <w:i/>
          <w:iCs/>
          <w:sz w:val="22"/>
          <w:szCs w:val="22"/>
          <w:lang w:eastAsia="ar-SA"/>
        </w:rPr>
        <w:t>Środowiska</w:t>
      </w:r>
      <w:r w:rsidRPr="00AD5407">
        <w:rPr>
          <w:rFonts w:eastAsia="Calibri"/>
          <w:b/>
          <w:i/>
          <w:sz w:val="22"/>
          <w:szCs w:val="22"/>
          <w:lang w:eastAsia="ar-SA"/>
        </w:rPr>
        <w:t xml:space="preserve">, </w:t>
      </w:r>
      <w:r w:rsidRPr="00AD5407">
        <w:rPr>
          <w:rFonts w:eastAsia="Calibri"/>
          <w:b/>
          <w:i/>
          <w:iCs/>
          <w:sz w:val="22"/>
          <w:szCs w:val="22"/>
          <w:lang w:eastAsia="ar-SA"/>
        </w:rPr>
        <w:t>Rolnictwa</w:t>
      </w:r>
      <w:r w:rsidRPr="00AD5407">
        <w:rPr>
          <w:rFonts w:eastAsia="Calibri"/>
          <w:b/>
          <w:i/>
          <w:sz w:val="22"/>
          <w:szCs w:val="22"/>
          <w:lang w:eastAsia="ar-SA"/>
        </w:rPr>
        <w:t xml:space="preserve"> </w:t>
      </w:r>
      <w:r w:rsidRPr="00AD5407">
        <w:rPr>
          <w:rFonts w:eastAsia="Calibri"/>
          <w:b/>
          <w:sz w:val="22"/>
          <w:szCs w:val="22"/>
          <w:lang w:eastAsia="ar-SA"/>
        </w:rPr>
        <w:t xml:space="preserve">i </w:t>
      </w:r>
      <w:r w:rsidRPr="00AD5407">
        <w:rPr>
          <w:rFonts w:eastAsia="Calibri"/>
          <w:b/>
          <w:i/>
          <w:iCs/>
          <w:sz w:val="22"/>
          <w:szCs w:val="22"/>
          <w:lang w:eastAsia="ar-SA"/>
        </w:rPr>
        <w:t>Geologii (</w:t>
      </w:r>
      <w:proofErr w:type="spellStart"/>
      <w:r w:rsidRPr="00AD5407">
        <w:rPr>
          <w:rFonts w:eastAsia="Calibri"/>
          <w:b/>
          <w:i/>
          <w:iCs/>
          <w:sz w:val="22"/>
          <w:szCs w:val="22"/>
          <w:lang w:eastAsia="ar-SA"/>
        </w:rPr>
        <w:t>LfULG</w:t>
      </w:r>
      <w:proofErr w:type="spellEnd"/>
      <w:r w:rsidRPr="00AD5407">
        <w:rPr>
          <w:rFonts w:eastAsia="Calibri"/>
          <w:b/>
          <w:i/>
          <w:iCs/>
          <w:sz w:val="22"/>
          <w:szCs w:val="22"/>
          <w:lang w:eastAsia="ar-SA"/>
        </w:rPr>
        <w:t xml:space="preserve">) </w:t>
      </w:r>
      <w:r w:rsidRPr="00AD5407">
        <w:rPr>
          <w:rFonts w:eastAsia="Calibri"/>
          <w:b/>
          <w:sz w:val="22"/>
          <w:szCs w:val="22"/>
          <w:lang w:eastAsia="ar-SA"/>
        </w:rPr>
        <w:t xml:space="preserve">zawarta 4 października 2012 r. (umowa bezterminowa) </w:t>
      </w:r>
    </w:p>
    <w:p w14:paraId="5E61D594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</w:p>
    <w:p w14:paraId="3B254CFC" w14:textId="441977D1" w:rsidR="0017163C" w:rsidRPr="006D533D" w:rsidRDefault="0017163C" w:rsidP="00AD5407">
      <w:pPr>
        <w:suppressAutoHyphens/>
        <w:spacing w:line="276" w:lineRule="auto"/>
        <w:jc w:val="both"/>
        <w:rPr>
          <w:rFonts w:eastAsia="MS Mincho"/>
          <w:bCs/>
          <w:sz w:val="22"/>
          <w:szCs w:val="22"/>
          <w:lang w:eastAsia="ja-JP"/>
        </w:rPr>
      </w:pPr>
      <w:r w:rsidRPr="00AD5407">
        <w:rPr>
          <w:rFonts w:eastAsia="MS Mincho"/>
          <w:bCs/>
          <w:sz w:val="22"/>
          <w:szCs w:val="22"/>
          <w:lang w:eastAsia="ja-JP"/>
        </w:rPr>
        <w:t xml:space="preserve">Nieprecyzyjne postanowienia umowy w zakresie terminu jej obowiązywania, powodują brak jasności odnośnie tego, czy umowa jest obowiązująca. </w:t>
      </w:r>
      <w:r w:rsidRPr="00AD5407">
        <w:rPr>
          <w:sz w:val="22"/>
          <w:szCs w:val="22"/>
        </w:rPr>
        <w:t>Ponadto w umowie powinna być zawarta klauzula odnośnie trybu jej wypowiedzenia.</w:t>
      </w:r>
    </w:p>
    <w:p w14:paraId="7A757094" w14:textId="77777777" w:rsidR="00AD5407" w:rsidRPr="00AD5407" w:rsidRDefault="00AD5407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2B5CD1B8" w14:textId="77777777" w:rsidR="0017163C" w:rsidRDefault="0017163C" w:rsidP="00AD5407">
      <w:pPr>
        <w:numPr>
          <w:ilvl w:val="0"/>
          <w:numId w:val="26"/>
        </w:numPr>
        <w:suppressAutoHyphens/>
        <w:spacing w:line="276" w:lineRule="auto"/>
        <w:jc w:val="both"/>
        <w:rPr>
          <w:b/>
          <w:sz w:val="22"/>
          <w:szCs w:val="22"/>
          <w:lang w:val="en-US"/>
        </w:rPr>
      </w:pPr>
      <w:r w:rsidRPr="00AD5407">
        <w:rPr>
          <w:b/>
          <w:sz w:val="22"/>
          <w:szCs w:val="22"/>
          <w:lang w:val="en-US"/>
        </w:rPr>
        <w:t xml:space="preserve">Memorandum of Understanding </w:t>
      </w:r>
      <w:proofErr w:type="spellStart"/>
      <w:r w:rsidRPr="00AD5407">
        <w:rPr>
          <w:b/>
          <w:sz w:val="22"/>
          <w:szCs w:val="22"/>
          <w:lang w:val="en-US"/>
        </w:rPr>
        <w:t>pomiędzy</w:t>
      </w:r>
      <w:proofErr w:type="spellEnd"/>
      <w:r w:rsidRPr="00AD5407">
        <w:rPr>
          <w:b/>
          <w:sz w:val="22"/>
          <w:szCs w:val="22"/>
          <w:lang w:val="en-US"/>
        </w:rPr>
        <w:t xml:space="preserve"> PIG-PIB a M2C (Institute for Applied Media Technology and Culture) </w:t>
      </w:r>
      <w:proofErr w:type="spellStart"/>
      <w:r w:rsidRPr="00AD5407">
        <w:rPr>
          <w:b/>
          <w:sz w:val="22"/>
          <w:szCs w:val="22"/>
          <w:lang w:val="en-US"/>
        </w:rPr>
        <w:t>podpisane</w:t>
      </w:r>
      <w:proofErr w:type="spellEnd"/>
      <w:r w:rsidRPr="00AD5407">
        <w:rPr>
          <w:b/>
          <w:sz w:val="22"/>
          <w:szCs w:val="22"/>
          <w:lang w:val="en-US"/>
        </w:rPr>
        <w:t xml:space="preserve"> </w:t>
      </w:r>
      <w:proofErr w:type="spellStart"/>
      <w:r w:rsidRPr="00AD5407">
        <w:rPr>
          <w:b/>
          <w:sz w:val="22"/>
          <w:szCs w:val="22"/>
          <w:lang w:val="en-US"/>
        </w:rPr>
        <w:t>przez</w:t>
      </w:r>
      <w:proofErr w:type="spellEnd"/>
      <w:r w:rsidRPr="00AD5407">
        <w:rPr>
          <w:b/>
          <w:sz w:val="22"/>
          <w:szCs w:val="22"/>
          <w:lang w:val="en-US"/>
        </w:rPr>
        <w:t xml:space="preserve"> PIG-PIB 14 </w:t>
      </w:r>
      <w:proofErr w:type="spellStart"/>
      <w:r w:rsidRPr="00AD5407">
        <w:rPr>
          <w:b/>
          <w:sz w:val="22"/>
          <w:szCs w:val="22"/>
          <w:lang w:val="en-US"/>
        </w:rPr>
        <w:t>grudnia</w:t>
      </w:r>
      <w:proofErr w:type="spellEnd"/>
      <w:r w:rsidRPr="00AD5407">
        <w:rPr>
          <w:b/>
          <w:sz w:val="22"/>
          <w:szCs w:val="22"/>
          <w:lang w:val="en-US"/>
        </w:rPr>
        <w:t xml:space="preserve"> 2012 r. </w:t>
      </w:r>
      <w:proofErr w:type="spellStart"/>
      <w:r w:rsidRPr="00AD5407">
        <w:rPr>
          <w:b/>
          <w:sz w:val="22"/>
          <w:szCs w:val="22"/>
          <w:lang w:val="en-US"/>
        </w:rPr>
        <w:t>i</w:t>
      </w:r>
      <w:proofErr w:type="spellEnd"/>
      <w:r w:rsidRPr="00AD5407">
        <w:rPr>
          <w:b/>
          <w:sz w:val="22"/>
          <w:szCs w:val="22"/>
          <w:lang w:val="en-US"/>
        </w:rPr>
        <w:t xml:space="preserve"> M2C 10 </w:t>
      </w:r>
      <w:proofErr w:type="spellStart"/>
      <w:r w:rsidRPr="00AD5407">
        <w:rPr>
          <w:b/>
          <w:sz w:val="22"/>
          <w:szCs w:val="22"/>
          <w:lang w:val="en-US"/>
        </w:rPr>
        <w:t>grudnia</w:t>
      </w:r>
      <w:proofErr w:type="spellEnd"/>
      <w:r w:rsidRPr="00AD5407">
        <w:rPr>
          <w:b/>
          <w:sz w:val="22"/>
          <w:szCs w:val="22"/>
          <w:lang w:val="en-US"/>
        </w:rPr>
        <w:t xml:space="preserve"> 2012 r.</w:t>
      </w:r>
    </w:p>
    <w:p w14:paraId="7728A17B" w14:textId="77777777" w:rsidR="0017163C" w:rsidRPr="00AD5407" w:rsidRDefault="0017163C" w:rsidP="00AD5407">
      <w:pPr>
        <w:numPr>
          <w:ilvl w:val="0"/>
          <w:numId w:val="27"/>
        </w:numPr>
        <w:suppressAutoHyphens/>
        <w:spacing w:line="276" w:lineRule="auto"/>
        <w:jc w:val="both"/>
        <w:rPr>
          <w:rFonts w:eastAsia="MS Mincho"/>
          <w:b/>
          <w:bCs/>
          <w:sz w:val="22"/>
          <w:szCs w:val="22"/>
          <w:lang w:eastAsia="ja-JP"/>
        </w:rPr>
      </w:pPr>
      <w:r w:rsidRPr="00AD5407">
        <w:rPr>
          <w:rFonts w:eastAsia="Calibri"/>
          <w:b/>
          <w:sz w:val="22"/>
          <w:szCs w:val="22"/>
          <w:lang w:eastAsia="ar-SA"/>
        </w:rPr>
        <w:t>List intencyjny z Centrum Badawcze Nauk o Ziemi im. Helmholtza w Poczdamie (GFZ) podpisany 3 grudnia 2012 r.</w:t>
      </w:r>
    </w:p>
    <w:p w14:paraId="79ACD1AA" w14:textId="77777777" w:rsidR="00AD5407" w:rsidRPr="00AD5407" w:rsidRDefault="00AD5407" w:rsidP="00AD5407">
      <w:pPr>
        <w:suppressAutoHyphens/>
        <w:spacing w:line="276" w:lineRule="auto"/>
        <w:ind w:left="720"/>
        <w:jc w:val="both"/>
        <w:rPr>
          <w:rFonts w:eastAsia="MS Mincho"/>
          <w:b/>
          <w:bCs/>
          <w:sz w:val="22"/>
          <w:szCs w:val="22"/>
          <w:lang w:eastAsia="ja-JP"/>
        </w:rPr>
      </w:pPr>
    </w:p>
    <w:p w14:paraId="6CC7DC60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  <w:r w:rsidRPr="00AD5407">
        <w:rPr>
          <w:sz w:val="22"/>
          <w:szCs w:val="22"/>
        </w:rPr>
        <w:t>List intencyjny nie zawiera precyzyjnych postanowień odnoś</w:t>
      </w:r>
      <w:r w:rsidR="00642F84" w:rsidRPr="00AD5407">
        <w:rPr>
          <w:sz w:val="22"/>
          <w:szCs w:val="22"/>
        </w:rPr>
        <w:t>nie terminu jego obowiązywania.</w:t>
      </w:r>
      <w:r w:rsidR="00642F84" w:rsidRPr="00AD5407">
        <w:rPr>
          <w:sz w:val="22"/>
          <w:szCs w:val="22"/>
        </w:rPr>
        <w:br/>
      </w:r>
      <w:r w:rsidRPr="00AD5407">
        <w:rPr>
          <w:sz w:val="22"/>
          <w:szCs w:val="22"/>
        </w:rPr>
        <w:t xml:space="preserve">W sposób dorozumiany, ponieważ z treści nie wynika nic odmiennego, należy przyjąć, że jest bezterminowy. </w:t>
      </w:r>
    </w:p>
    <w:p w14:paraId="4A5E2FE8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color w:val="1F497D"/>
          <w:sz w:val="22"/>
          <w:szCs w:val="22"/>
          <w:lang w:eastAsia="ar-SA"/>
        </w:rPr>
      </w:pPr>
    </w:p>
    <w:p w14:paraId="1A60B9D1" w14:textId="77777777" w:rsidR="0017163C" w:rsidRDefault="0017163C" w:rsidP="00AD5407">
      <w:pPr>
        <w:numPr>
          <w:ilvl w:val="0"/>
          <w:numId w:val="28"/>
        </w:numPr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D5407">
        <w:rPr>
          <w:rFonts w:eastAsia="Calibri"/>
          <w:b/>
          <w:sz w:val="22"/>
          <w:szCs w:val="22"/>
          <w:lang w:eastAsia="ar-SA"/>
        </w:rPr>
        <w:t>List intencyjny dotyczący współpracy pomiędzy PIG-PIB a Urzędem ds. Środowiska, Ochrony Przyrody i Geologii Meklemburgii – Pomorza P</w:t>
      </w:r>
      <w:r w:rsidR="00642F84" w:rsidRPr="00AD5407">
        <w:rPr>
          <w:rFonts w:eastAsia="Calibri"/>
          <w:b/>
          <w:sz w:val="22"/>
          <w:szCs w:val="22"/>
          <w:lang w:eastAsia="ar-SA"/>
        </w:rPr>
        <w:t>rzedniego (LUNG) podpisany</w:t>
      </w:r>
      <w:r w:rsidR="00642F84" w:rsidRPr="00AD5407">
        <w:rPr>
          <w:rFonts w:eastAsia="Calibri"/>
          <w:b/>
          <w:sz w:val="22"/>
          <w:szCs w:val="22"/>
          <w:lang w:eastAsia="ar-SA"/>
        </w:rPr>
        <w:br/>
      </w:r>
      <w:r w:rsidRPr="00AD5407">
        <w:rPr>
          <w:rFonts w:eastAsia="Calibri"/>
          <w:b/>
          <w:sz w:val="22"/>
          <w:szCs w:val="22"/>
          <w:lang w:eastAsia="ar-SA"/>
        </w:rPr>
        <w:t xml:space="preserve">3 lutego 2014 r. </w:t>
      </w:r>
    </w:p>
    <w:p w14:paraId="75F44CBB" w14:textId="77777777" w:rsidR="00AD5407" w:rsidRPr="00AD5407" w:rsidRDefault="00AD5407" w:rsidP="00AD5407">
      <w:pPr>
        <w:suppressAutoHyphens/>
        <w:spacing w:line="276" w:lineRule="auto"/>
        <w:ind w:left="720"/>
        <w:jc w:val="both"/>
        <w:rPr>
          <w:rFonts w:eastAsia="Calibri"/>
          <w:b/>
          <w:sz w:val="22"/>
          <w:szCs w:val="22"/>
          <w:lang w:eastAsia="ar-SA"/>
        </w:rPr>
      </w:pPr>
    </w:p>
    <w:p w14:paraId="0BC534EF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MS Mincho"/>
          <w:bCs/>
          <w:sz w:val="22"/>
          <w:szCs w:val="22"/>
          <w:lang w:eastAsia="ja-JP"/>
        </w:rPr>
        <w:t xml:space="preserve">Nieprecyzyjne postanowienia w zakresie terminu obowiązywania listu intencyjnego, powodują brak jasności odnośnie tego, kiedy list przestanie obowiązywać. Zapis art. 6 stanowi, że „niniejszy List Intencyjny może mieć zastosowanie przez okres kolejnych 5 lat”. </w:t>
      </w:r>
    </w:p>
    <w:p w14:paraId="278C7C88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539240BA" w14:textId="77777777" w:rsidR="0017163C" w:rsidRPr="00AD5407" w:rsidRDefault="0017163C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  <w:r w:rsidRPr="00AD5407">
        <w:rPr>
          <w:b/>
          <w:sz w:val="22"/>
          <w:szCs w:val="22"/>
          <w:lang w:eastAsia="en-US"/>
        </w:rPr>
        <w:t xml:space="preserve">Rosja </w:t>
      </w:r>
    </w:p>
    <w:p w14:paraId="2CC9F8D0" w14:textId="77777777" w:rsidR="0017163C" w:rsidRDefault="0017163C" w:rsidP="00AD5407">
      <w:pPr>
        <w:numPr>
          <w:ilvl w:val="0"/>
          <w:numId w:val="29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Umowa o współpracy naukowej pomiędzy O</w:t>
      </w:r>
      <w:r w:rsidR="00642F84" w:rsidRPr="00AD5407">
        <w:rPr>
          <w:b/>
          <w:sz w:val="22"/>
          <w:szCs w:val="22"/>
        </w:rPr>
        <w:t>ddziałem Geologii Morza PIG-PIB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 xml:space="preserve">a Oddziałem Atlantyckim Instytutu Oceanologii im. P.P. </w:t>
      </w:r>
      <w:proofErr w:type="spellStart"/>
      <w:r w:rsidRPr="00AD5407">
        <w:rPr>
          <w:b/>
          <w:sz w:val="22"/>
          <w:szCs w:val="22"/>
        </w:rPr>
        <w:t>Szirszowa</w:t>
      </w:r>
      <w:proofErr w:type="spellEnd"/>
      <w:r w:rsidRPr="00AD5407">
        <w:rPr>
          <w:b/>
          <w:sz w:val="22"/>
          <w:szCs w:val="22"/>
        </w:rPr>
        <w:t xml:space="preserve"> Rosyjskiej Akademii Nauk z 27 sierpnia 2001 r. (umowa bezterminowa)</w:t>
      </w:r>
    </w:p>
    <w:p w14:paraId="3830AA61" w14:textId="77777777" w:rsidR="00AD5407" w:rsidRPr="00AD5407" w:rsidRDefault="00AD5407" w:rsidP="00AD5407">
      <w:pPr>
        <w:suppressAutoHyphens/>
        <w:spacing w:line="276" w:lineRule="auto"/>
        <w:ind w:left="720"/>
        <w:jc w:val="both"/>
        <w:rPr>
          <w:b/>
          <w:sz w:val="22"/>
          <w:szCs w:val="22"/>
        </w:rPr>
      </w:pPr>
    </w:p>
    <w:p w14:paraId="5B5B03DA" w14:textId="77777777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  <w:r w:rsidRPr="00AD5407">
        <w:rPr>
          <w:sz w:val="22"/>
          <w:szCs w:val="22"/>
        </w:rPr>
        <w:t xml:space="preserve">Umowa nie zawiera precyzyjnych postanowień odnośnie terminu jej obowiązywania. </w:t>
      </w:r>
    </w:p>
    <w:p w14:paraId="4DAF9630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421A107" w14:textId="3E8902D6" w:rsidR="0017163C" w:rsidRDefault="0017163C" w:rsidP="00AD5407">
      <w:pPr>
        <w:numPr>
          <w:ilvl w:val="0"/>
          <w:numId w:val="30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 xml:space="preserve">Porozumienie o współpracy naukowo-technicznej pomiędzy Oddziałem Geologii Morza PIG-PIB a Oddziałem </w:t>
      </w:r>
      <w:proofErr w:type="spellStart"/>
      <w:r w:rsidRPr="00AD5407">
        <w:rPr>
          <w:b/>
          <w:sz w:val="22"/>
          <w:szCs w:val="22"/>
        </w:rPr>
        <w:t>Geoekologii</w:t>
      </w:r>
      <w:proofErr w:type="spellEnd"/>
      <w:r w:rsidRPr="00AD5407">
        <w:rPr>
          <w:b/>
          <w:sz w:val="22"/>
          <w:szCs w:val="22"/>
        </w:rPr>
        <w:t xml:space="preserve"> Regionalnej i Geologii Morza Wszechrosyjskiego Naukowo-Badawczego Instytutu Geologicznego im. A.P.</w:t>
      </w:r>
      <w:r w:rsidR="00CD253A">
        <w:rPr>
          <w:b/>
          <w:sz w:val="22"/>
          <w:szCs w:val="22"/>
        </w:rPr>
        <w:t xml:space="preserve"> </w:t>
      </w:r>
      <w:r w:rsidRPr="00AD5407">
        <w:rPr>
          <w:b/>
          <w:sz w:val="22"/>
          <w:szCs w:val="22"/>
        </w:rPr>
        <w:t>Karpińskiego zatwierdzon</w:t>
      </w:r>
      <w:r w:rsidR="00642F84" w:rsidRPr="00AD5407">
        <w:rPr>
          <w:b/>
          <w:sz w:val="22"/>
          <w:szCs w:val="22"/>
        </w:rPr>
        <w:t>e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 xml:space="preserve">15 maja 2002 r. </w:t>
      </w:r>
    </w:p>
    <w:p w14:paraId="3E051C3C" w14:textId="77777777" w:rsidR="00AD5407" w:rsidRPr="00AD5407" w:rsidRDefault="00AD5407" w:rsidP="006D533D">
      <w:pPr>
        <w:suppressAutoHyphens/>
        <w:spacing w:line="276" w:lineRule="auto"/>
        <w:ind w:left="720"/>
        <w:jc w:val="both"/>
        <w:rPr>
          <w:b/>
          <w:sz w:val="22"/>
          <w:szCs w:val="22"/>
        </w:rPr>
      </w:pPr>
    </w:p>
    <w:p w14:paraId="792B7177" w14:textId="0254830C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  <w:r w:rsidRPr="00AD5407">
        <w:rPr>
          <w:sz w:val="22"/>
          <w:szCs w:val="22"/>
        </w:rPr>
        <w:t>Porozumienie nie zawiera precyzyjnych postanowień odnośn</w:t>
      </w:r>
      <w:r w:rsidR="00642F84" w:rsidRPr="00AD5407">
        <w:rPr>
          <w:sz w:val="22"/>
          <w:szCs w:val="22"/>
        </w:rPr>
        <w:t>ie terminu wejścia w życie</w:t>
      </w:r>
      <w:r w:rsidR="00642F84" w:rsidRPr="00AD5407">
        <w:rPr>
          <w:sz w:val="22"/>
          <w:szCs w:val="22"/>
        </w:rPr>
        <w:br/>
      </w:r>
      <w:r w:rsidRPr="00AD5407">
        <w:rPr>
          <w:sz w:val="22"/>
          <w:szCs w:val="22"/>
        </w:rPr>
        <w:t>(a jedynie datę zatwierdzenia) oraz terminu obowiązywania. Ponadto w porozumieniu powinna być zawarta klauzula odnośnie trybu wypowiedzenia</w:t>
      </w:r>
      <w:r w:rsidR="008500B1">
        <w:rPr>
          <w:sz w:val="22"/>
          <w:szCs w:val="22"/>
        </w:rPr>
        <w:t>, której brak</w:t>
      </w:r>
      <w:r w:rsidRPr="00AD5407">
        <w:rPr>
          <w:sz w:val="22"/>
          <w:szCs w:val="22"/>
        </w:rPr>
        <w:t>.</w:t>
      </w:r>
    </w:p>
    <w:p w14:paraId="07816261" w14:textId="77777777" w:rsidR="0017163C" w:rsidRPr="00AD5407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9A7DCDD" w14:textId="77777777" w:rsidR="0017163C" w:rsidRDefault="0017163C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  <w:r w:rsidRPr="00AD5407">
        <w:rPr>
          <w:b/>
          <w:sz w:val="22"/>
          <w:szCs w:val="22"/>
          <w:lang w:eastAsia="en-US"/>
        </w:rPr>
        <w:t xml:space="preserve">Ukraina </w:t>
      </w:r>
    </w:p>
    <w:p w14:paraId="65191132" w14:textId="77777777" w:rsidR="00AD5407" w:rsidRPr="00AD5407" w:rsidRDefault="00AD5407" w:rsidP="00AD5407">
      <w:pPr>
        <w:keepNext/>
        <w:keepLines/>
        <w:spacing w:line="276" w:lineRule="auto"/>
        <w:outlineLvl w:val="1"/>
        <w:rPr>
          <w:b/>
          <w:sz w:val="22"/>
          <w:szCs w:val="22"/>
          <w:lang w:eastAsia="en-US"/>
        </w:rPr>
      </w:pPr>
    </w:p>
    <w:p w14:paraId="07D0B18D" w14:textId="77777777" w:rsidR="0017163C" w:rsidRDefault="0017163C" w:rsidP="00AD5407">
      <w:pPr>
        <w:numPr>
          <w:ilvl w:val="0"/>
          <w:numId w:val="31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Umowa o współpracy naukowo-badawczej pomiędzy PIG-PIB a Katedrą Ekologii, Geologii Inżynierskiej i Hydrogeologii Wydziału Geologii Państwowego Uniwersytetu im. I. Franka  z 6 lipca 2011 r. (umowa bezterminowa)</w:t>
      </w:r>
    </w:p>
    <w:p w14:paraId="417A15CD" w14:textId="77777777" w:rsidR="0017163C" w:rsidRPr="00AD5407" w:rsidRDefault="0017163C" w:rsidP="00AD5407">
      <w:pPr>
        <w:numPr>
          <w:ilvl w:val="0"/>
          <w:numId w:val="32"/>
        </w:numPr>
        <w:suppressAutoHyphens/>
        <w:spacing w:line="276" w:lineRule="auto"/>
        <w:ind w:left="709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Umowa o współpracy naukowo-badawczej po</w:t>
      </w:r>
      <w:r w:rsidR="00642F84" w:rsidRPr="00AD5407">
        <w:rPr>
          <w:b/>
          <w:sz w:val="22"/>
          <w:szCs w:val="22"/>
        </w:rPr>
        <w:t>między PIG-PIB a Wydziałem Nauk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 xml:space="preserve">o Ziemi Narodowej Akademii Nauk Ukrainy (w imieniu: Instytutu Nauk Geologicznych, Instytutu Geochemii, Mineralogii i </w:t>
      </w:r>
      <w:proofErr w:type="spellStart"/>
      <w:r w:rsidRPr="00AD5407">
        <w:rPr>
          <w:b/>
          <w:sz w:val="22"/>
          <w:szCs w:val="22"/>
        </w:rPr>
        <w:t>Rudoznawstwa</w:t>
      </w:r>
      <w:proofErr w:type="spellEnd"/>
      <w:r w:rsidRPr="00AD5407">
        <w:rPr>
          <w:b/>
          <w:sz w:val="22"/>
          <w:szCs w:val="22"/>
        </w:rPr>
        <w:t xml:space="preserve"> oraz Instytutu Geologii i Geochemii Paliw Kopalnych) z 1 września 2013 r. zawarta do 31 sierpnia 2018 r.</w:t>
      </w:r>
    </w:p>
    <w:p w14:paraId="03A33783" w14:textId="77777777" w:rsidR="0017163C" w:rsidRDefault="0017163C" w:rsidP="00AD5407">
      <w:pPr>
        <w:numPr>
          <w:ilvl w:val="0"/>
          <w:numId w:val="33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Umowa o współpracy naukowo-badawczej pomiędz</w:t>
      </w:r>
      <w:r w:rsidR="00642F84" w:rsidRPr="00AD5407">
        <w:rPr>
          <w:b/>
          <w:sz w:val="22"/>
          <w:szCs w:val="22"/>
        </w:rPr>
        <w:t>y PIG-PIB a Instytutem Geologii</w:t>
      </w:r>
      <w:r w:rsidR="00642F84" w:rsidRPr="00AD5407">
        <w:rPr>
          <w:b/>
          <w:sz w:val="22"/>
          <w:szCs w:val="22"/>
        </w:rPr>
        <w:br/>
      </w:r>
      <w:r w:rsidRPr="00AD5407">
        <w:rPr>
          <w:b/>
          <w:sz w:val="22"/>
          <w:szCs w:val="22"/>
        </w:rPr>
        <w:t>i Geochemii Paliw Kopalnych NAN Ukrainy zawarta na okres od maja 2016 r. do maja 2020 r.</w:t>
      </w:r>
    </w:p>
    <w:p w14:paraId="52CF5A7C" w14:textId="77777777" w:rsidR="00AD5407" w:rsidRPr="00AD5407" w:rsidRDefault="00AD5407" w:rsidP="00AD5407">
      <w:pPr>
        <w:suppressAutoHyphens/>
        <w:spacing w:line="276" w:lineRule="auto"/>
        <w:ind w:left="720"/>
        <w:jc w:val="both"/>
        <w:rPr>
          <w:b/>
          <w:sz w:val="22"/>
          <w:szCs w:val="22"/>
        </w:rPr>
      </w:pPr>
    </w:p>
    <w:p w14:paraId="27954E7E" w14:textId="77777777" w:rsidR="0017163C" w:rsidRDefault="0017163C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AD5407">
        <w:rPr>
          <w:rFonts w:eastAsia="Calibri"/>
          <w:sz w:val="22"/>
          <w:szCs w:val="22"/>
          <w:lang w:eastAsia="ar-SA"/>
        </w:rPr>
        <w:t>Z Instytutem Geologii i Geochemii Paliw Kopalnych NAN Ukrainy zawarte zostały łącznie 3 umowy na okres: od lipca 2007 r. do czerwca 2011 r.; od maja 2011 r. do maja 2016 r.; od maja 2016 r. do maja 2020 r.</w:t>
      </w:r>
    </w:p>
    <w:p w14:paraId="59F66B08" w14:textId="77777777" w:rsidR="00B174F3" w:rsidRDefault="00B174F3" w:rsidP="00AD540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2C154785" w14:textId="54583780" w:rsidR="0017163C" w:rsidRDefault="0017163C" w:rsidP="00AD5407">
      <w:pPr>
        <w:suppressAutoHyphens/>
        <w:spacing w:line="276" w:lineRule="auto"/>
        <w:jc w:val="both"/>
        <w:rPr>
          <w:sz w:val="22"/>
          <w:szCs w:val="22"/>
        </w:rPr>
      </w:pPr>
      <w:r w:rsidRPr="00AD5407">
        <w:rPr>
          <w:rFonts w:eastAsia="Calibri"/>
          <w:sz w:val="22"/>
          <w:szCs w:val="22"/>
          <w:lang w:eastAsia="ar-SA"/>
        </w:rPr>
        <w:t>W ramach prowadzonej kontroli poproszono PIG-PIB o przekazanie tekstu aktualnie obowiązującej umowy (zawartej na okres od maja 2016 r. do maja 2020 r.). PI</w:t>
      </w:r>
      <w:r w:rsidR="00642F84" w:rsidRPr="00AD5407">
        <w:rPr>
          <w:rFonts w:eastAsia="Calibri"/>
          <w:sz w:val="22"/>
          <w:szCs w:val="22"/>
          <w:lang w:eastAsia="ar-SA"/>
        </w:rPr>
        <w:t>G-PIB poinformował o problemach</w:t>
      </w:r>
      <w:r w:rsidR="00642F84" w:rsidRPr="00AD5407">
        <w:rPr>
          <w:rFonts w:eastAsia="Calibri"/>
          <w:sz w:val="22"/>
          <w:szCs w:val="22"/>
          <w:lang w:eastAsia="ar-SA"/>
        </w:rPr>
        <w:br/>
      </w:r>
      <w:r w:rsidRPr="00AD5407">
        <w:rPr>
          <w:rFonts w:eastAsia="Calibri"/>
          <w:sz w:val="22"/>
          <w:szCs w:val="22"/>
          <w:lang w:eastAsia="ar-SA"/>
        </w:rPr>
        <w:t>z odnalezieniem przedmiotowej umowy i przekazał następujące wyjaśnienie:</w:t>
      </w:r>
      <w:r w:rsidR="006F2BA0">
        <w:rPr>
          <w:sz w:val="22"/>
          <w:szCs w:val="22"/>
        </w:rPr>
        <w:t xml:space="preserve"> </w:t>
      </w:r>
      <w:r w:rsidRPr="00AD5407">
        <w:rPr>
          <w:color w:val="000000"/>
          <w:sz w:val="22"/>
          <w:szCs w:val="22"/>
        </w:rPr>
        <w:t>„</w:t>
      </w:r>
      <w:r w:rsidRPr="00AD5407">
        <w:rPr>
          <w:sz w:val="22"/>
          <w:szCs w:val="22"/>
        </w:rPr>
        <w:t>Rozmowy i konsultacje doprowadziły do uzgodnienia treści umowy o współpracy naukowo-badawczej między IGGGK i PIG-PIB na okres od maja 2016 r. do maja 2020 r. Uroczyste zawarcie umowy nastąpiło w dniu 30 marca 2016 r. – podpisy na dokumencie zło</w:t>
      </w:r>
      <w:r w:rsidR="00642F84" w:rsidRPr="00AD5407">
        <w:rPr>
          <w:sz w:val="22"/>
          <w:szCs w:val="22"/>
        </w:rPr>
        <w:t>żyli zastępca dyrektora</w:t>
      </w:r>
      <w:r w:rsidR="006F2BA0">
        <w:rPr>
          <w:sz w:val="22"/>
          <w:szCs w:val="22"/>
        </w:rPr>
        <w:t xml:space="preserve"> </w:t>
      </w:r>
      <w:r w:rsidRPr="00AD5407">
        <w:rPr>
          <w:sz w:val="22"/>
          <w:szCs w:val="22"/>
        </w:rPr>
        <w:t xml:space="preserve">ds. nauki IGGGK dr </w:t>
      </w:r>
      <w:proofErr w:type="spellStart"/>
      <w:r w:rsidRPr="00AD5407">
        <w:rPr>
          <w:sz w:val="22"/>
          <w:szCs w:val="22"/>
        </w:rPr>
        <w:t>Andriy</w:t>
      </w:r>
      <w:proofErr w:type="spellEnd"/>
      <w:r w:rsidRPr="00AD5407">
        <w:rPr>
          <w:sz w:val="22"/>
          <w:szCs w:val="22"/>
        </w:rPr>
        <w:t xml:space="preserve"> </w:t>
      </w:r>
      <w:proofErr w:type="spellStart"/>
      <w:r w:rsidRPr="00AD5407">
        <w:rPr>
          <w:sz w:val="22"/>
          <w:szCs w:val="22"/>
        </w:rPr>
        <w:t>Pobereshskyy</w:t>
      </w:r>
      <w:proofErr w:type="spellEnd"/>
      <w:r w:rsidRPr="00AD5407">
        <w:rPr>
          <w:sz w:val="22"/>
          <w:szCs w:val="22"/>
        </w:rPr>
        <w:t xml:space="preserve"> i p.o. dyrektora PIG-PIB dr hab. Andrzej </w:t>
      </w:r>
      <w:proofErr w:type="spellStart"/>
      <w:r w:rsidRPr="00AD5407">
        <w:rPr>
          <w:sz w:val="22"/>
          <w:szCs w:val="22"/>
        </w:rPr>
        <w:t>Gąsiewicz</w:t>
      </w:r>
      <w:proofErr w:type="spellEnd"/>
      <w:r w:rsidRPr="00AD5407">
        <w:rPr>
          <w:sz w:val="22"/>
          <w:szCs w:val="22"/>
        </w:rPr>
        <w:t>”</w:t>
      </w:r>
      <w:r w:rsidR="00F202BC" w:rsidRPr="00AD5407">
        <w:rPr>
          <w:rStyle w:val="Odwoanieprzypisudolnego"/>
          <w:sz w:val="22"/>
          <w:szCs w:val="22"/>
        </w:rPr>
        <w:footnoteReference w:id="3"/>
      </w:r>
      <w:r w:rsidRPr="00AD5407">
        <w:rPr>
          <w:sz w:val="22"/>
          <w:szCs w:val="22"/>
        </w:rPr>
        <w:t xml:space="preserve">. </w:t>
      </w:r>
    </w:p>
    <w:p w14:paraId="5D7509F1" w14:textId="77777777" w:rsidR="00B174F3" w:rsidRPr="00AD5407" w:rsidRDefault="00B174F3" w:rsidP="00AD5407">
      <w:pPr>
        <w:suppressAutoHyphens/>
        <w:spacing w:line="276" w:lineRule="auto"/>
        <w:jc w:val="both"/>
        <w:rPr>
          <w:sz w:val="22"/>
          <w:szCs w:val="22"/>
        </w:rPr>
      </w:pPr>
    </w:p>
    <w:p w14:paraId="758E13B4" w14:textId="1DD6CAB3" w:rsidR="0017163C" w:rsidRPr="00AD5407" w:rsidRDefault="0017163C" w:rsidP="00AD5407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AD5407">
        <w:rPr>
          <w:sz w:val="22"/>
          <w:szCs w:val="22"/>
        </w:rPr>
        <w:t xml:space="preserve">PIG-PIB zwrócił się do </w:t>
      </w:r>
      <w:r w:rsidRPr="00AD5407">
        <w:rPr>
          <w:color w:val="000000"/>
          <w:sz w:val="22"/>
          <w:szCs w:val="22"/>
        </w:rPr>
        <w:t>IGGGK o przesłanie skanu umowy.</w:t>
      </w:r>
      <w:r w:rsidR="006F2BA0">
        <w:rPr>
          <w:color w:val="000000"/>
          <w:sz w:val="22"/>
          <w:szCs w:val="22"/>
        </w:rPr>
        <w:t xml:space="preserve"> </w:t>
      </w:r>
      <w:r w:rsidRPr="00AD5407">
        <w:rPr>
          <w:color w:val="000000"/>
          <w:sz w:val="22"/>
          <w:szCs w:val="22"/>
        </w:rPr>
        <w:t xml:space="preserve">Ostatecznie IGGGK NAN Ukrainy przekazał skan umowy, która datowana jest na 29 kwietnia 2016 r. a ze strony ukraińskiej podpisał ją dyrektor IGGGK prof. </w:t>
      </w:r>
      <w:proofErr w:type="spellStart"/>
      <w:r w:rsidRPr="00AD5407">
        <w:rPr>
          <w:color w:val="000000"/>
          <w:sz w:val="22"/>
          <w:szCs w:val="22"/>
        </w:rPr>
        <w:t>Myroslav</w:t>
      </w:r>
      <w:proofErr w:type="spellEnd"/>
      <w:r w:rsidRPr="00AD5407">
        <w:rPr>
          <w:color w:val="000000"/>
          <w:sz w:val="22"/>
          <w:szCs w:val="22"/>
        </w:rPr>
        <w:t xml:space="preserve"> </w:t>
      </w:r>
      <w:proofErr w:type="spellStart"/>
      <w:r w:rsidRPr="00AD5407">
        <w:rPr>
          <w:color w:val="000000"/>
          <w:sz w:val="22"/>
          <w:szCs w:val="22"/>
        </w:rPr>
        <w:t>Pavlyuk</w:t>
      </w:r>
      <w:proofErr w:type="spellEnd"/>
      <w:r w:rsidRPr="00AD5407">
        <w:rPr>
          <w:color w:val="000000"/>
          <w:sz w:val="22"/>
          <w:szCs w:val="22"/>
        </w:rPr>
        <w:t>. Ponowne podpisanie tej umowy w dniu 29 kwietnia 2016, tym razem przez samego</w:t>
      </w:r>
      <w:r w:rsidR="00642F84" w:rsidRPr="00AD5407">
        <w:rPr>
          <w:color w:val="000000"/>
          <w:sz w:val="22"/>
          <w:szCs w:val="22"/>
        </w:rPr>
        <w:t xml:space="preserve"> dyrektora IGGGK, miało miejsce</w:t>
      </w:r>
      <w:r w:rsidR="006F2BA0">
        <w:rPr>
          <w:color w:val="000000"/>
          <w:sz w:val="22"/>
          <w:szCs w:val="22"/>
        </w:rPr>
        <w:t xml:space="preserve"> </w:t>
      </w:r>
      <w:r w:rsidRPr="00AD5407">
        <w:rPr>
          <w:color w:val="000000"/>
          <w:sz w:val="22"/>
          <w:szCs w:val="22"/>
        </w:rPr>
        <w:t>z inicjatywy strony ukraińskiej i należy je traktować jako ostateczne jej zatwierdzenie.</w:t>
      </w:r>
    </w:p>
    <w:p w14:paraId="088D11EE" w14:textId="77777777" w:rsidR="004E047F" w:rsidRPr="00AD5407" w:rsidRDefault="004E047F" w:rsidP="00AD5407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14:paraId="6696E6A9" w14:textId="6EA3F899" w:rsidR="0017163C" w:rsidRDefault="004E047F" w:rsidP="00AD5407">
      <w:pPr>
        <w:tabs>
          <w:tab w:val="left" w:pos="6663"/>
          <w:tab w:val="left" w:pos="7514"/>
        </w:tabs>
        <w:spacing w:line="276" w:lineRule="auto"/>
        <w:jc w:val="right"/>
        <w:rPr>
          <w:sz w:val="22"/>
          <w:szCs w:val="22"/>
        </w:rPr>
      </w:pPr>
      <w:r w:rsidRPr="00AD5407">
        <w:rPr>
          <w:sz w:val="22"/>
          <w:szCs w:val="22"/>
        </w:rPr>
        <w:t>[Dowód: akta kontroli str. 15-48, 89-114, 117-152, 397-409]</w:t>
      </w:r>
    </w:p>
    <w:p w14:paraId="5143E14D" w14:textId="77777777" w:rsidR="00B174F3" w:rsidRDefault="00B174F3" w:rsidP="00AD5407">
      <w:pPr>
        <w:tabs>
          <w:tab w:val="left" w:pos="6663"/>
          <w:tab w:val="left" w:pos="7514"/>
        </w:tabs>
        <w:spacing w:line="276" w:lineRule="auto"/>
        <w:jc w:val="right"/>
        <w:rPr>
          <w:sz w:val="22"/>
          <w:szCs w:val="22"/>
        </w:rPr>
      </w:pPr>
    </w:p>
    <w:p w14:paraId="34272083" w14:textId="77777777" w:rsidR="00B174F3" w:rsidRDefault="00B174F3" w:rsidP="00AD5407">
      <w:pPr>
        <w:tabs>
          <w:tab w:val="left" w:pos="6663"/>
          <w:tab w:val="left" w:pos="7514"/>
        </w:tabs>
        <w:spacing w:line="276" w:lineRule="auto"/>
        <w:jc w:val="right"/>
        <w:rPr>
          <w:sz w:val="22"/>
          <w:szCs w:val="22"/>
        </w:rPr>
      </w:pPr>
    </w:p>
    <w:p w14:paraId="5C171DC0" w14:textId="77777777" w:rsidR="00B174F3" w:rsidRDefault="00B174F3" w:rsidP="00AD5407">
      <w:pPr>
        <w:tabs>
          <w:tab w:val="left" w:pos="6663"/>
          <w:tab w:val="left" w:pos="7514"/>
        </w:tabs>
        <w:spacing w:line="276" w:lineRule="auto"/>
        <w:jc w:val="right"/>
        <w:rPr>
          <w:sz w:val="22"/>
          <w:szCs w:val="22"/>
        </w:rPr>
      </w:pPr>
    </w:p>
    <w:p w14:paraId="7DDD389F" w14:textId="77777777" w:rsidR="00B174F3" w:rsidRDefault="00B174F3" w:rsidP="00AD5407">
      <w:pPr>
        <w:tabs>
          <w:tab w:val="left" w:pos="6663"/>
          <w:tab w:val="left" w:pos="7514"/>
        </w:tabs>
        <w:spacing w:line="276" w:lineRule="auto"/>
        <w:jc w:val="right"/>
        <w:rPr>
          <w:sz w:val="22"/>
          <w:szCs w:val="22"/>
        </w:rPr>
      </w:pPr>
    </w:p>
    <w:p w14:paraId="3999C6D6" w14:textId="6059E741" w:rsidR="0017163C" w:rsidRPr="00AD5407" w:rsidRDefault="0017163C" w:rsidP="00AD5407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AD5407">
        <w:rPr>
          <w:b/>
          <w:sz w:val="22"/>
          <w:szCs w:val="22"/>
          <w:lang w:eastAsia="ar-SA"/>
        </w:rPr>
        <w:t xml:space="preserve">Mając na uwadze powyższe </w:t>
      </w:r>
      <w:r w:rsidR="007E7F7C">
        <w:rPr>
          <w:b/>
          <w:sz w:val="22"/>
          <w:szCs w:val="22"/>
          <w:lang w:eastAsia="ar-SA"/>
        </w:rPr>
        <w:t xml:space="preserve">ustalenia kontroli </w:t>
      </w:r>
      <w:r w:rsidR="0005719F">
        <w:rPr>
          <w:b/>
          <w:sz w:val="22"/>
          <w:szCs w:val="22"/>
          <w:lang w:eastAsia="ar-SA"/>
        </w:rPr>
        <w:t>wnoszę o</w:t>
      </w:r>
      <w:r w:rsidRPr="00AD5407">
        <w:rPr>
          <w:b/>
          <w:sz w:val="22"/>
          <w:szCs w:val="22"/>
          <w:lang w:eastAsia="ar-SA"/>
        </w:rPr>
        <w:t>:</w:t>
      </w:r>
    </w:p>
    <w:p w14:paraId="5B6DC918" w14:textId="74099F12" w:rsidR="0017163C" w:rsidRPr="00AD5407" w:rsidRDefault="0017163C" w:rsidP="00AD540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761D8DE6" w14:textId="7D3E3D3D" w:rsidR="00670DCD" w:rsidRPr="00EC1C64" w:rsidRDefault="0005719F" w:rsidP="00AD5407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color w:val="FF0000"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Zawieranie umów</w:t>
      </w:r>
      <w:r w:rsidR="00670DCD" w:rsidRPr="00AD5407">
        <w:rPr>
          <w:color w:val="000000"/>
          <w:sz w:val="22"/>
          <w:szCs w:val="22"/>
        </w:rPr>
        <w:t xml:space="preserve"> ze służbami geologicznymi innych państw pod nadzorem Departamentu Nadzoru Geolog</w:t>
      </w:r>
      <w:r w:rsidR="005D5D9C">
        <w:rPr>
          <w:color w:val="000000"/>
          <w:sz w:val="22"/>
          <w:szCs w:val="22"/>
        </w:rPr>
        <w:t>icznego Ministerstwa Środowiska</w:t>
      </w:r>
      <w:r w:rsidR="00E941BD">
        <w:rPr>
          <w:color w:val="000000"/>
          <w:sz w:val="22"/>
          <w:szCs w:val="22"/>
        </w:rPr>
        <w:t xml:space="preserve"> w porozumieniu z Departamentem Zrównoważonego Rozwoju i Współpracy Międzynarodowej</w:t>
      </w:r>
      <w:r w:rsidR="005D5D9C">
        <w:rPr>
          <w:color w:val="000000"/>
          <w:sz w:val="22"/>
          <w:szCs w:val="22"/>
        </w:rPr>
        <w:t>.</w:t>
      </w:r>
    </w:p>
    <w:p w14:paraId="1DC89741" w14:textId="7D79B8CE" w:rsidR="0017163C" w:rsidRPr="00AD5407" w:rsidRDefault="0005719F" w:rsidP="00AD5407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Formułowanie precyzyjnych</w:t>
      </w:r>
      <w:r w:rsidRPr="00AD5407">
        <w:rPr>
          <w:sz w:val="22"/>
          <w:szCs w:val="22"/>
          <w:lang w:eastAsia="ar-SA"/>
        </w:rPr>
        <w:t xml:space="preserve"> postanowie</w:t>
      </w:r>
      <w:r>
        <w:rPr>
          <w:sz w:val="22"/>
          <w:szCs w:val="22"/>
          <w:lang w:eastAsia="ar-SA"/>
        </w:rPr>
        <w:t>ń</w:t>
      </w:r>
      <w:r w:rsidRPr="00AD5407">
        <w:rPr>
          <w:sz w:val="22"/>
          <w:szCs w:val="22"/>
          <w:lang w:eastAsia="ar-SA"/>
        </w:rPr>
        <w:t xml:space="preserve"> odnośnie terminu obowiązywania umów/porozumień międzynarodowych oraz trybu ich wypowiadania</w:t>
      </w:r>
      <w:r w:rsidR="0017163C" w:rsidRPr="00AD5407">
        <w:rPr>
          <w:sz w:val="22"/>
          <w:szCs w:val="22"/>
          <w:lang w:eastAsia="ar-SA"/>
        </w:rPr>
        <w:t>.</w:t>
      </w:r>
    </w:p>
    <w:p w14:paraId="335F63EB" w14:textId="6F7C853D" w:rsidR="0017163C" w:rsidRPr="00AD5407" w:rsidRDefault="0005719F" w:rsidP="00AD5407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Przechowywanie oryginałów</w:t>
      </w:r>
      <w:r w:rsidR="0017163C" w:rsidRPr="00AD5407">
        <w:rPr>
          <w:sz w:val="22"/>
          <w:szCs w:val="22"/>
          <w:lang w:eastAsia="ar-SA"/>
        </w:rPr>
        <w:t xml:space="preserve"> wszystkich umów/porozumień </w:t>
      </w:r>
      <w:r>
        <w:rPr>
          <w:sz w:val="22"/>
          <w:szCs w:val="22"/>
          <w:lang w:eastAsia="ar-SA"/>
        </w:rPr>
        <w:t xml:space="preserve">zawartych przez PIG-PIB </w:t>
      </w:r>
      <w:r w:rsidR="0017163C" w:rsidRPr="00AD5407">
        <w:rPr>
          <w:sz w:val="22"/>
          <w:szCs w:val="22"/>
          <w:lang w:eastAsia="ar-SA"/>
        </w:rPr>
        <w:t>z należytą starannością.</w:t>
      </w:r>
    </w:p>
    <w:p w14:paraId="6D88F6E6" w14:textId="7F340E71" w:rsidR="0017163C" w:rsidRPr="00AD5407" w:rsidRDefault="0005719F" w:rsidP="00AD5407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</w:t>
      </w:r>
      <w:r w:rsidR="0017163C" w:rsidRPr="00AD5407">
        <w:rPr>
          <w:sz w:val="22"/>
          <w:szCs w:val="22"/>
          <w:lang w:eastAsia="ar-SA"/>
        </w:rPr>
        <w:t xml:space="preserve">rzed zawarciem nowych umów/porozumień międzynarodowych </w:t>
      </w:r>
      <w:r>
        <w:rPr>
          <w:sz w:val="22"/>
          <w:szCs w:val="22"/>
          <w:lang w:eastAsia="ar-SA"/>
        </w:rPr>
        <w:t>przeprowadzenie kwerendy</w:t>
      </w:r>
      <w:r w:rsidR="0017163C" w:rsidRPr="00AD5407">
        <w:rPr>
          <w:sz w:val="22"/>
          <w:szCs w:val="22"/>
          <w:lang w:eastAsia="ar-SA"/>
        </w:rPr>
        <w:t xml:space="preserve"> dotychczasowych umów z danym partnerem, </w:t>
      </w:r>
      <w:r w:rsidR="005D5D9C">
        <w:rPr>
          <w:sz w:val="22"/>
          <w:szCs w:val="22"/>
          <w:lang w:eastAsia="ar-SA"/>
        </w:rPr>
        <w:t>w celu oceny</w:t>
      </w:r>
      <w:r w:rsidR="0017163C" w:rsidRPr="00AD5407">
        <w:rPr>
          <w:sz w:val="22"/>
          <w:szCs w:val="22"/>
          <w:lang w:eastAsia="ar-SA"/>
        </w:rPr>
        <w:t xml:space="preserve"> p</w:t>
      </w:r>
      <w:r w:rsidR="005462E9">
        <w:rPr>
          <w:sz w:val="22"/>
          <w:szCs w:val="22"/>
          <w:lang w:eastAsia="ar-SA"/>
        </w:rPr>
        <w:t>odstaw prawnych współpracy</w:t>
      </w:r>
      <w:r w:rsidR="005462E9">
        <w:rPr>
          <w:sz w:val="22"/>
          <w:szCs w:val="22"/>
          <w:lang w:eastAsia="ar-SA"/>
        </w:rPr>
        <w:br/>
      </w:r>
      <w:r w:rsidR="0017163C" w:rsidRPr="00AD5407">
        <w:rPr>
          <w:sz w:val="22"/>
          <w:szCs w:val="22"/>
          <w:lang w:eastAsia="ar-SA"/>
        </w:rPr>
        <w:t>z danym krajem i rzeczywistą potrzeb</w:t>
      </w:r>
      <w:r w:rsidR="00101FC1">
        <w:rPr>
          <w:sz w:val="22"/>
          <w:szCs w:val="22"/>
          <w:lang w:eastAsia="ar-SA"/>
        </w:rPr>
        <w:t>ą</w:t>
      </w:r>
      <w:r w:rsidR="0017163C" w:rsidRPr="00AD5407">
        <w:rPr>
          <w:sz w:val="22"/>
          <w:szCs w:val="22"/>
          <w:lang w:eastAsia="ar-SA"/>
        </w:rPr>
        <w:t xml:space="preserve"> związania się nowym porozumieniem lub umową.</w:t>
      </w:r>
    </w:p>
    <w:p w14:paraId="323BF8D6" w14:textId="1FD08285" w:rsidR="00662136" w:rsidRPr="00AD5407" w:rsidRDefault="0005719F" w:rsidP="00AD5407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Formułowanie treści umów i ich form</w:t>
      </w:r>
      <w:r w:rsidR="005462E9">
        <w:rPr>
          <w:sz w:val="22"/>
          <w:szCs w:val="22"/>
          <w:lang w:eastAsia="ar-SA"/>
        </w:rPr>
        <w:t>y</w:t>
      </w:r>
      <w:r>
        <w:rPr>
          <w:sz w:val="22"/>
          <w:szCs w:val="22"/>
          <w:lang w:eastAsia="ar-SA"/>
        </w:rPr>
        <w:t xml:space="preserve"> </w:t>
      </w:r>
      <w:r w:rsidR="005462E9">
        <w:rPr>
          <w:sz w:val="22"/>
          <w:szCs w:val="22"/>
          <w:lang w:eastAsia="ar-SA"/>
        </w:rPr>
        <w:t>w sposób adekwatny</w:t>
      </w:r>
      <w:r w:rsidR="0017163C" w:rsidRPr="00AD5407">
        <w:rPr>
          <w:sz w:val="22"/>
          <w:szCs w:val="22"/>
          <w:lang w:eastAsia="ar-SA"/>
        </w:rPr>
        <w:t xml:space="preserve"> </w:t>
      </w:r>
      <w:r w:rsidR="0033134C">
        <w:rPr>
          <w:sz w:val="22"/>
          <w:szCs w:val="22"/>
          <w:lang w:eastAsia="ar-SA"/>
        </w:rPr>
        <w:t>do charakteru zawieranych umów,</w:t>
      </w:r>
      <w:r w:rsidR="0033134C">
        <w:rPr>
          <w:sz w:val="22"/>
          <w:szCs w:val="22"/>
          <w:lang w:eastAsia="ar-SA"/>
        </w:rPr>
        <w:br/>
      </w:r>
      <w:r w:rsidR="005D5D9C">
        <w:rPr>
          <w:sz w:val="22"/>
          <w:szCs w:val="22"/>
          <w:lang w:eastAsia="ar-SA"/>
        </w:rPr>
        <w:t>w celu uniknięcia</w:t>
      </w:r>
      <w:r w:rsidR="0017163C" w:rsidRPr="00AD5407">
        <w:rPr>
          <w:sz w:val="22"/>
          <w:szCs w:val="22"/>
          <w:lang w:eastAsia="ar-SA"/>
        </w:rPr>
        <w:t xml:space="preserve"> ewentualnych nieprozumień odnoś</w:t>
      </w:r>
      <w:r w:rsidR="0067381B" w:rsidRPr="00AD5407">
        <w:rPr>
          <w:sz w:val="22"/>
          <w:szCs w:val="22"/>
          <w:lang w:eastAsia="ar-SA"/>
        </w:rPr>
        <w:t>nie ich charakteru w kontaktach</w:t>
      </w:r>
      <w:r w:rsidR="005462E9">
        <w:rPr>
          <w:sz w:val="22"/>
          <w:szCs w:val="22"/>
          <w:lang w:eastAsia="ar-SA"/>
        </w:rPr>
        <w:t xml:space="preserve"> </w:t>
      </w:r>
      <w:r w:rsidR="0017163C" w:rsidRPr="00AD5407">
        <w:rPr>
          <w:sz w:val="22"/>
          <w:szCs w:val="22"/>
          <w:lang w:eastAsia="ar-SA"/>
        </w:rPr>
        <w:t>z partnerem zagranicznym.</w:t>
      </w:r>
    </w:p>
    <w:p w14:paraId="30DAB600" w14:textId="4B47F686" w:rsidR="00317503" w:rsidRPr="00A931EB" w:rsidRDefault="00E81BBA" w:rsidP="00E81BBA">
      <w:pPr>
        <w:numPr>
          <w:ilvl w:val="0"/>
          <w:numId w:val="10"/>
        </w:numPr>
        <w:suppressAutoHyphens/>
        <w:spacing w:line="276" w:lineRule="auto"/>
        <w:ind w:left="425" w:hanging="357"/>
        <w:jc w:val="both"/>
        <w:rPr>
          <w:sz w:val="22"/>
          <w:szCs w:val="22"/>
          <w:lang w:eastAsia="ar-SA"/>
        </w:rPr>
      </w:pPr>
      <w:r w:rsidRPr="00A931EB">
        <w:rPr>
          <w:sz w:val="22"/>
          <w:szCs w:val="22"/>
        </w:rPr>
        <w:t xml:space="preserve">Zawieranie w treści „Memorandum”, „Memorandum of </w:t>
      </w:r>
      <w:proofErr w:type="spellStart"/>
      <w:r w:rsidRPr="00A931EB">
        <w:rPr>
          <w:sz w:val="22"/>
          <w:szCs w:val="22"/>
        </w:rPr>
        <w:t>Understanding</w:t>
      </w:r>
      <w:proofErr w:type="spellEnd"/>
      <w:r w:rsidRPr="00A931EB">
        <w:rPr>
          <w:sz w:val="22"/>
          <w:szCs w:val="22"/>
        </w:rPr>
        <w:t>”, „Memorandum</w:t>
      </w:r>
      <w:r w:rsidRPr="00A931EB">
        <w:rPr>
          <w:sz w:val="22"/>
          <w:szCs w:val="22"/>
        </w:rPr>
        <w:br/>
        <w:t xml:space="preserve">o Porozumieniu” zapisów, które </w:t>
      </w:r>
      <w:r w:rsidR="00404A34" w:rsidRPr="00A931EB">
        <w:rPr>
          <w:sz w:val="22"/>
          <w:szCs w:val="22"/>
        </w:rPr>
        <w:t xml:space="preserve">nie </w:t>
      </w:r>
      <w:r w:rsidRPr="00A931EB">
        <w:rPr>
          <w:sz w:val="22"/>
          <w:szCs w:val="22"/>
        </w:rPr>
        <w:t xml:space="preserve">będą </w:t>
      </w:r>
      <w:r w:rsidR="00404A34" w:rsidRPr="00A931EB">
        <w:rPr>
          <w:sz w:val="22"/>
          <w:szCs w:val="22"/>
        </w:rPr>
        <w:t>rodzić</w:t>
      </w:r>
      <w:r w:rsidRPr="00A931EB">
        <w:rPr>
          <w:sz w:val="22"/>
          <w:szCs w:val="22"/>
        </w:rPr>
        <w:t xml:space="preserve"> zobowiąza</w:t>
      </w:r>
      <w:r w:rsidR="00404A34" w:rsidRPr="00A931EB">
        <w:rPr>
          <w:sz w:val="22"/>
          <w:szCs w:val="22"/>
        </w:rPr>
        <w:t>ń</w:t>
      </w:r>
      <w:r w:rsidRPr="00A931EB">
        <w:rPr>
          <w:sz w:val="22"/>
          <w:szCs w:val="22"/>
        </w:rPr>
        <w:t xml:space="preserve"> natury prawnomiędzynarodowej, np. umieszczanie akapitu o brzmieniu „</w:t>
      </w:r>
      <w:proofErr w:type="spellStart"/>
      <w:r w:rsidRPr="00A931EB">
        <w:rPr>
          <w:sz w:val="22"/>
          <w:szCs w:val="22"/>
        </w:rPr>
        <w:t>This</w:t>
      </w:r>
      <w:proofErr w:type="spellEnd"/>
      <w:r w:rsidRPr="00A931EB">
        <w:rPr>
          <w:sz w:val="22"/>
          <w:szCs w:val="22"/>
        </w:rPr>
        <w:t xml:space="preserve"> Memorandum </w:t>
      </w:r>
      <w:proofErr w:type="spellStart"/>
      <w:r w:rsidRPr="00A931EB">
        <w:rPr>
          <w:sz w:val="22"/>
          <w:szCs w:val="22"/>
        </w:rPr>
        <w:t>is</w:t>
      </w:r>
      <w:proofErr w:type="spellEnd"/>
      <w:r w:rsidRPr="00A931EB">
        <w:rPr>
          <w:sz w:val="22"/>
          <w:szCs w:val="22"/>
        </w:rPr>
        <w:t xml:space="preserve"> not </w:t>
      </w:r>
      <w:proofErr w:type="spellStart"/>
      <w:r w:rsidRPr="00A931EB">
        <w:rPr>
          <w:sz w:val="22"/>
          <w:szCs w:val="22"/>
        </w:rPr>
        <w:t>intended</w:t>
      </w:r>
      <w:proofErr w:type="spellEnd"/>
      <w:r w:rsidRPr="00A931EB">
        <w:rPr>
          <w:sz w:val="22"/>
          <w:szCs w:val="22"/>
        </w:rPr>
        <w:t xml:space="preserve"> to </w:t>
      </w:r>
      <w:proofErr w:type="spellStart"/>
      <w:r w:rsidRPr="00A931EB">
        <w:rPr>
          <w:sz w:val="22"/>
          <w:szCs w:val="22"/>
        </w:rPr>
        <w:t>create</w:t>
      </w:r>
      <w:proofErr w:type="spellEnd"/>
      <w:r w:rsidRPr="00A931EB">
        <w:rPr>
          <w:sz w:val="22"/>
          <w:szCs w:val="22"/>
        </w:rPr>
        <w:t xml:space="preserve"> </w:t>
      </w:r>
      <w:proofErr w:type="spellStart"/>
      <w:r w:rsidRPr="00A931EB">
        <w:rPr>
          <w:sz w:val="22"/>
          <w:szCs w:val="22"/>
        </w:rPr>
        <w:t>any</w:t>
      </w:r>
      <w:proofErr w:type="spellEnd"/>
      <w:r w:rsidRPr="00A931EB">
        <w:rPr>
          <w:sz w:val="22"/>
          <w:szCs w:val="22"/>
        </w:rPr>
        <w:t xml:space="preserve"> </w:t>
      </w:r>
      <w:proofErr w:type="spellStart"/>
      <w:r w:rsidRPr="00A931EB">
        <w:rPr>
          <w:sz w:val="22"/>
          <w:szCs w:val="22"/>
        </w:rPr>
        <w:t>binding</w:t>
      </w:r>
      <w:proofErr w:type="spellEnd"/>
      <w:r w:rsidRPr="00A931EB">
        <w:rPr>
          <w:sz w:val="22"/>
          <w:szCs w:val="22"/>
        </w:rPr>
        <w:t xml:space="preserve"> </w:t>
      </w:r>
      <w:proofErr w:type="spellStart"/>
      <w:r w:rsidRPr="00A931EB">
        <w:rPr>
          <w:sz w:val="22"/>
          <w:szCs w:val="22"/>
        </w:rPr>
        <w:t>obligations</w:t>
      </w:r>
      <w:proofErr w:type="spellEnd"/>
      <w:r w:rsidRPr="00A931EB">
        <w:rPr>
          <w:sz w:val="22"/>
          <w:szCs w:val="22"/>
        </w:rPr>
        <w:t xml:space="preserve"> </w:t>
      </w:r>
      <w:proofErr w:type="spellStart"/>
      <w:r w:rsidRPr="00A931EB">
        <w:rPr>
          <w:sz w:val="22"/>
          <w:szCs w:val="22"/>
        </w:rPr>
        <w:t>under</w:t>
      </w:r>
      <w:proofErr w:type="spellEnd"/>
      <w:r w:rsidRPr="00A931EB">
        <w:rPr>
          <w:sz w:val="22"/>
          <w:szCs w:val="22"/>
        </w:rPr>
        <w:t xml:space="preserve"> </w:t>
      </w:r>
      <w:proofErr w:type="spellStart"/>
      <w:r w:rsidRPr="00A931EB">
        <w:rPr>
          <w:sz w:val="22"/>
          <w:szCs w:val="22"/>
        </w:rPr>
        <w:t>international</w:t>
      </w:r>
      <w:proofErr w:type="spellEnd"/>
      <w:r w:rsidRPr="00A931EB">
        <w:rPr>
          <w:sz w:val="22"/>
          <w:szCs w:val="22"/>
        </w:rPr>
        <w:t xml:space="preserve"> law” lub równoważnym.</w:t>
      </w:r>
    </w:p>
    <w:p w14:paraId="3D4EEFCD" w14:textId="4ECAE339" w:rsidR="00662136" w:rsidRPr="00E81BBA" w:rsidRDefault="00D823CF" w:rsidP="00E81BBA">
      <w:pPr>
        <w:numPr>
          <w:ilvl w:val="0"/>
          <w:numId w:val="10"/>
        </w:numPr>
        <w:suppressAutoHyphens/>
        <w:spacing w:line="276" w:lineRule="auto"/>
        <w:ind w:left="425" w:hanging="35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S</w:t>
      </w:r>
      <w:r w:rsidRPr="00E81BBA">
        <w:rPr>
          <w:sz w:val="22"/>
          <w:szCs w:val="22"/>
        </w:rPr>
        <w:t xml:space="preserve">tosowanie </w:t>
      </w:r>
      <w:r w:rsidR="00DF6D0B">
        <w:rPr>
          <w:sz w:val="22"/>
          <w:szCs w:val="22"/>
        </w:rPr>
        <w:t>w Memorandach</w:t>
      </w:r>
      <w:r w:rsidR="00DF6D0B" w:rsidRPr="00E81BBA">
        <w:rPr>
          <w:sz w:val="22"/>
          <w:szCs w:val="22"/>
        </w:rPr>
        <w:t xml:space="preserve"> </w:t>
      </w:r>
      <w:r w:rsidRPr="00E81BBA">
        <w:rPr>
          <w:sz w:val="22"/>
          <w:szCs w:val="22"/>
        </w:rPr>
        <w:t>języka charakterystycznego dla porozumień niewiążących</w:t>
      </w:r>
      <w:r>
        <w:rPr>
          <w:sz w:val="22"/>
          <w:szCs w:val="22"/>
        </w:rPr>
        <w:t>, w celu wyeliminowania wątpliwości, czy Memorandum nie stanowi</w:t>
      </w:r>
      <w:r w:rsidR="00404A34">
        <w:rPr>
          <w:sz w:val="22"/>
          <w:szCs w:val="22"/>
        </w:rPr>
        <w:t xml:space="preserve"> umowy międzynarodowej</w:t>
      </w:r>
      <w:r w:rsidR="00404A34">
        <w:rPr>
          <w:sz w:val="22"/>
          <w:szCs w:val="22"/>
        </w:rPr>
        <w:br/>
      </w:r>
      <w:r w:rsidR="00662136" w:rsidRPr="00E81BBA">
        <w:rPr>
          <w:sz w:val="22"/>
          <w:szCs w:val="22"/>
        </w:rPr>
        <w:t>w rozumieniu ustawy z dnia 14 kwietnia 2000 r. o umowach międzynarodowych:</w:t>
      </w:r>
    </w:p>
    <w:p w14:paraId="18526D68" w14:textId="5B02C4F7" w:rsidR="00662136" w:rsidRPr="00AD5407" w:rsidRDefault="00662136" w:rsidP="00AD5407">
      <w:pPr>
        <w:pStyle w:val="Akapitzlist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</w:rPr>
      </w:pPr>
      <w:r w:rsidRPr="00AD5407">
        <w:rPr>
          <w:rFonts w:ascii="Times New Roman" w:hAnsi="Times New Roman" w:cs="Times New Roman"/>
        </w:rPr>
        <w:t>„Uczestnicy” („</w:t>
      </w:r>
      <w:proofErr w:type="spellStart"/>
      <w:r w:rsidRPr="00AD5407">
        <w:rPr>
          <w:rFonts w:ascii="Times New Roman" w:hAnsi="Times New Roman" w:cs="Times New Roman"/>
        </w:rPr>
        <w:t>Participants</w:t>
      </w:r>
      <w:proofErr w:type="spellEnd"/>
      <w:r w:rsidRPr="00AD5407">
        <w:rPr>
          <w:rFonts w:ascii="Times New Roman" w:hAnsi="Times New Roman" w:cs="Times New Roman"/>
        </w:rPr>
        <w:t>”)</w:t>
      </w:r>
      <w:r w:rsidR="006A222B" w:rsidRPr="00AD5407">
        <w:rPr>
          <w:rFonts w:ascii="Times New Roman" w:hAnsi="Times New Roman" w:cs="Times New Roman"/>
        </w:rPr>
        <w:t>,</w:t>
      </w:r>
      <w:r w:rsidRPr="00AD5407">
        <w:rPr>
          <w:rFonts w:ascii="Times New Roman" w:hAnsi="Times New Roman" w:cs="Times New Roman"/>
        </w:rPr>
        <w:t xml:space="preserve"> a nie „Strony” („</w:t>
      </w:r>
      <w:proofErr w:type="spellStart"/>
      <w:r w:rsidRPr="00AD5407">
        <w:rPr>
          <w:rFonts w:ascii="Times New Roman" w:hAnsi="Times New Roman" w:cs="Times New Roman"/>
        </w:rPr>
        <w:t>Parties</w:t>
      </w:r>
      <w:proofErr w:type="spellEnd"/>
      <w:r w:rsidRPr="00AD5407">
        <w:rPr>
          <w:rFonts w:ascii="Times New Roman" w:hAnsi="Times New Roman" w:cs="Times New Roman"/>
        </w:rPr>
        <w:t>”),</w:t>
      </w:r>
    </w:p>
    <w:p w14:paraId="2D3BF1C5" w14:textId="4466C3E5" w:rsidR="00662136" w:rsidRPr="00AD5407" w:rsidRDefault="00662136" w:rsidP="00AD5407">
      <w:pPr>
        <w:pStyle w:val="Akapitzlist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</w:rPr>
      </w:pPr>
      <w:r w:rsidRPr="00AD5407">
        <w:rPr>
          <w:rFonts w:ascii="Times New Roman" w:hAnsi="Times New Roman" w:cs="Times New Roman"/>
        </w:rPr>
        <w:t xml:space="preserve"> Czas przyszły („</w:t>
      </w:r>
      <w:proofErr w:type="spellStart"/>
      <w:r w:rsidRPr="00AD5407">
        <w:rPr>
          <w:rFonts w:ascii="Times New Roman" w:hAnsi="Times New Roman" w:cs="Times New Roman"/>
        </w:rPr>
        <w:t>will</w:t>
      </w:r>
      <w:proofErr w:type="spellEnd"/>
      <w:r w:rsidRPr="00AD5407">
        <w:rPr>
          <w:rFonts w:ascii="Times New Roman" w:hAnsi="Times New Roman" w:cs="Times New Roman"/>
        </w:rPr>
        <w:t>”)</w:t>
      </w:r>
      <w:r w:rsidR="006A222B" w:rsidRPr="00AD5407">
        <w:rPr>
          <w:rFonts w:ascii="Times New Roman" w:hAnsi="Times New Roman" w:cs="Times New Roman"/>
        </w:rPr>
        <w:t>,</w:t>
      </w:r>
      <w:r w:rsidRPr="00AD5407">
        <w:rPr>
          <w:rFonts w:ascii="Times New Roman" w:hAnsi="Times New Roman" w:cs="Times New Roman"/>
        </w:rPr>
        <w:t xml:space="preserve"> a nie teraźniejszy („</w:t>
      </w:r>
      <w:proofErr w:type="spellStart"/>
      <w:r w:rsidRPr="00AD5407">
        <w:rPr>
          <w:rFonts w:ascii="Times New Roman" w:hAnsi="Times New Roman" w:cs="Times New Roman"/>
        </w:rPr>
        <w:t>shall</w:t>
      </w:r>
      <w:proofErr w:type="spellEnd"/>
      <w:r w:rsidRPr="00AD5407">
        <w:rPr>
          <w:rFonts w:ascii="Times New Roman" w:hAnsi="Times New Roman" w:cs="Times New Roman"/>
        </w:rPr>
        <w:t>”),</w:t>
      </w:r>
    </w:p>
    <w:p w14:paraId="6FB6D4E0" w14:textId="4350C014" w:rsidR="00662136" w:rsidRPr="00AD5407" w:rsidRDefault="00662136" w:rsidP="00AD5407">
      <w:pPr>
        <w:pStyle w:val="Akapitzlist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</w:rPr>
      </w:pPr>
      <w:r w:rsidRPr="00AD5407">
        <w:rPr>
          <w:rFonts w:ascii="Times New Roman" w:hAnsi="Times New Roman" w:cs="Times New Roman"/>
        </w:rPr>
        <w:t>„Jest skuteczne” („</w:t>
      </w:r>
      <w:proofErr w:type="spellStart"/>
      <w:r w:rsidRPr="00AD5407">
        <w:rPr>
          <w:rFonts w:ascii="Times New Roman" w:hAnsi="Times New Roman" w:cs="Times New Roman"/>
        </w:rPr>
        <w:t>is</w:t>
      </w:r>
      <w:proofErr w:type="spellEnd"/>
      <w:r w:rsidRPr="00AD5407">
        <w:rPr>
          <w:rFonts w:ascii="Times New Roman" w:hAnsi="Times New Roman" w:cs="Times New Roman"/>
        </w:rPr>
        <w:t xml:space="preserve"> </w:t>
      </w:r>
      <w:proofErr w:type="spellStart"/>
      <w:r w:rsidRPr="00AD5407">
        <w:rPr>
          <w:rFonts w:ascii="Times New Roman" w:hAnsi="Times New Roman" w:cs="Times New Roman"/>
        </w:rPr>
        <w:t>effective</w:t>
      </w:r>
      <w:proofErr w:type="spellEnd"/>
      <w:r w:rsidRPr="00AD5407">
        <w:rPr>
          <w:rFonts w:ascii="Times New Roman" w:hAnsi="Times New Roman" w:cs="Times New Roman"/>
        </w:rPr>
        <w:t>”)</w:t>
      </w:r>
      <w:r w:rsidR="006A222B" w:rsidRPr="00AD5407">
        <w:rPr>
          <w:rFonts w:ascii="Times New Roman" w:hAnsi="Times New Roman" w:cs="Times New Roman"/>
        </w:rPr>
        <w:t>,</w:t>
      </w:r>
      <w:r w:rsidRPr="00AD5407">
        <w:rPr>
          <w:rFonts w:ascii="Times New Roman" w:hAnsi="Times New Roman" w:cs="Times New Roman"/>
        </w:rPr>
        <w:t xml:space="preserve"> a nie „obowiązuje/wchodzi w życie” („</w:t>
      </w:r>
      <w:proofErr w:type="spellStart"/>
      <w:r w:rsidRPr="00AD5407">
        <w:rPr>
          <w:rFonts w:ascii="Times New Roman" w:hAnsi="Times New Roman" w:cs="Times New Roman"/>
        </w:rPr>
        <w:t>enters</w:t>
      </w:r>
      <w:proofErr w:type="spellEnd"/>
      <w:r w:rsidRPr="00AD5407">
        <w:rPr>
          <w:rFonts w:ascii="Times New Roman" w:hAnsi="Times New Roman" w:cs="Times New Roman"/>
        </w:rPr>
        <w:t xml:space="preserve"> </w:t>
      </w:r>
      <w:proofErr w:type="spellStart"/>
      <w:r w:rsidRPr="00AD5407">
        <w:rPr>
          <w:rFonts w:ascii="Times New Roman" w:hAnsi="Times New Roman" w:cs="Times New Roman"/>
        </w:rPr>
        <w:t>into</w:t>
      </w:r>
      <w:proofErr w:type="spellEnd"/>
      <w:r w:rsidRPr="00AD5407">
        <w:rPr>
          <w:rFonts w:ascii="Times New Roman" w:hAnsi="Times New Roman" w:cs="Times New Roman"/>
        </w:rPr>
        <w:t xml:space="preserve"> </w:t>
      </w:r>
      <w:proofErr w:type="spellStart"/>
      <w:r w:rsidRPr="00AD5407">
        <w:rPr>
          <w:rFonts w:ascii="Times New Roman" w:hAnsi="Times New Roman" w:cs="Times New Roman"/>
        </w:rPr>
        <w:t>force</w:t>
      </w:r>
      <w:proofErr w:type="spellEnd"/>
      <w:r w:rsidRPr="00AD5407">
        <w:rPr>
          <w:rFonts w:ascii="Times New Roman" w:hAnsi="Times New Roman" w:cs="Times New Roman"/>
        </w:rPr>
        <w:t>”).</w:t>
      </w:r>
    </w:p>
    <w:p w14:paraId="54118C0F" w14:textId="523FB545" w:rsidR="00662136" w:rsidRPr="00AD5407" w:rsidRDefault="00662136" w:rsidP="00AD5407">
      <w:pPr>
        <w:spacing w:line="276" w:lineRule="auto"/>
        <w:ind w:left="360"/>
        <w:rPr>
          <w:sz w:val="22"/>
          <w:szCs w:val="22"/>
        </w:rPr>
      </w:pPr>
      <w:r w:rsidRPr="00AD5407">
        <w:rPr>
          <w:sz w:val="22"/>
          <w:szCs w:val="22"/>
        </w:rPr>
        <w:t>Podczas prac nad projektem Memorandum należy również zwracać</w:t>
      </w:r>
      <w:r w:rsidR="00B676DE" w:rsidRPr="00AD5407">
        <w:rPr>
          <w:sz w:val="22"/>
          <w:szCs w:val="22"/>
        </w:rPr>
        <w:t xml:space="preserve"> szczególną uwagę</w:t>
      </w:r>
      <w:r w:rsidR="005462E9">
        <w:rPr>
          <w:sz w:val="22"/>
          <w:szCs w:val="22"/>
        </w:rPr>
        <w:t>,</w:t>
      </w:r>
      <w:r w:rsidR="00B676DE" w:rsidRPr="00AD5407">
        <w:rPr>
          <w:sz w:val="22"/>
          <w:szCs w:val="22"/>
        </w:rPr>
        <w:t xml:space="preserve"> iż nie powinno</w:t>
      </w:r>
      <w:r w:rsidRPr="00AD5407">
        <w:rPr>
          <w:sz w:val="22"/>
          <w:szCs w:val="22"/>
        </w:rPr>
        <w:t xml:space="preserve"> one również:</w:t>
      </w:r>
    </w:p>
    <w:p w14:paraId="403710DD" w14:textId="0CE351A0" w:rsidR="00662136" w:rsidRPr="00AD5407" w:rsidRDefault="00662136" w:rsidP="00AD5407">
      <w:pPr>
        <w:pStyle w:val="Akapitzlist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</w:rPr>
      </w:pPr>
      <w:r w:rsidRPr="00AD5407">
        <w:rPr>
          <w:rFonts w:ascii="Times New Roman" w:hAnsi="Times New Roman" w:cs="Times New Roman"/>
        </w:rPr>
        <w:t>Zawierać twardych zobowiązań lub nadania praw,</w:t>
      </w:r>
    </w:p>
    <w:p w14:paraId="1B8EB9F7" w14:textId="4CD6304D" w:rsidR="00662136" w:rsidRPr="00AD5407" w:rsidRDefault="00662136" w:rsidP="00AD5407">
      <w:pPr>
        <w:pStyle w:val="Akapitzlist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</w:rPr>
      </w:pPr>
      <w:r w:rsidRPr="00AD5407">
        <w:rPr>
          <w:rFonts w:ascii="Times New Roman" w:hAnsi="Times New Roman" w:cs="Times New Roman"/>
        </w:rPr>
        <w:t>Ustanawiać organów, np. komisji,</w:t>
      </w:r>
    </w:p>
    <w:p w14:paraId="4DC8C737" w14:textId="593E4E3F" w:rsidR="00662136" w:rsidRPr="00AD5407" w:rsidRDefault="00662136" w:rsidP="00AD5407">
      <w:pPr>
        <w:pStyle w:val="Akapitzlist"/>
        <w:numPr>
          <w:ilvl w:val="0"/>
          <w:numId w:val="34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 w:rsidRPr="00AD5407">
        <w:rPr>
          <w:rFonts w:ascii="Times New Roman" w:hAnsi="Times New Roman" w:cs="Times New Roman"/>
        </w:rPr>
        <w:t>Zawierać zobowiązań finansowych.</w:t>
      </w:r>
    </w:p>
    <w:p w14:paraId="0782F2DE" w14:textId="06374E8F" w:rsidR="001D432F" w:rsidRPr="00AD5407" w:rsidRDefault="005D5D9C" w:rsidP="00AD5407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Dokonywanie każdorazowej analizy</w:t>
      </w:r>
      <w:r w:rsidR="005462E9">
        <w:rPr>
          <w:sz w:val="22"/>
          <w:szCs w:val="22"/>
        </w:rPr>
        <w:t xml:space="preserve"> zapisów</w:t>
      </w:r>
      <w:r>
        <w:rPr>
          <w:sz w:val="22"/>
          <w:szCs w:val="22"/>
        </w:rPr>
        <w:t xml:space="preserve"> umów i </w:t>
      </w:r>
      <w:r w:rsidR="001D432F" w:rsidRPr="00AD5407">
        <w:rPr>
          <w:sz w:val="22"/>
          <w:szCs w:val="22"/>
        </w:rPr>
        <w:t>porozumień przed ich zawarciem</w:t>
      </w:r>
      <w:r w:rsidR="00E81BBA">
        <w:rPr>
          <w:sz w:val="22"/>
          <w:szCs w:val="22"/>
        </w:rPr>
        <w:t>,</w:t>
      </w:r>
      <w:r w:rsidR="001D432F" w:rsidRPr="00AD5407">
        <w:rPr>
          <w:sz w:val="22"/>
          <w:szCs w:val="22"/>
        </w:rPr>
        <w:t xml:space="preserve"> pod kątem zapisów rodzących zobowiązania, które mogą być</w:t>
      </w:r>
      <w:r w:rsidR="0033134C">
        <w:rPr>
          <w:sz w:val="22"/>
          <w:szCs w:val="22"/>
        </w:rPr>
        <w:t xml:space="preserve"> intepretowane jak zobowiązania</w:t>
      </w:r>
      <w:r w:rsidR="0033134C">
        <w:rPr>
          <w:sz w:val="22"/>
          <w:szCs w:val="22"/>
        </w:rPr>
        <w:br/>
      </w:r>
      <w:r w:rsidR="001D432F" w:rsidRPr="00AD5407">
        <w:rPr>
          <w:sz w:val="22"/>
          <w:szCs w:val="22"/>
        </w:rPr>
        <w:t>o charakterze prawno-międzynarodowym.</w:t>
      </w:r>
    </w:p>
    <w:p w14:paraId="2E3C509B" w14:textId="1DE6AAF4" w:rsidR="0017163C" w:rsidRPr="00AD5407" w:rsidRDefault="005462E9" w:rsidP="00AD5407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Uporządkowanie podstaw</w:t>
      </w:r>
      <w:r w:rsidR="0017163C" w:rsidRPr="00AD5407">
        <w:rPr>
          <w:sz w:val="22"/>
          <w:szCs w:val="22"/>
          <w:lang w:eastAsia="ar-SA"/>
        </w:rPr>
        <w:t xml:space="preserve"> prawn</w:t>
      </w:r>
      <w:r>
        <w:rPr>
          <w:sz w:val="22"/>
          <w:szCs w:val="22"/>
          <w:lang w:eastAsia="ar-SA"/>
        </w:rPr>
        <w:t>ych</w:t>
      </w:r>
      <w:r w:rsidR="0017163C" w:rsidRPr="00AD5407">
        <w:rPr>
          <w:sz w:val="22"/>
          <w:szCs w:val="22"/>
          <w:lang w:eastAsia="ar-SA"/>
        </w:rPr>
        <w:t xml:space="preserve"> współpracy z Czeską Służbą Geologiczną (CSG). Współpraca ta może odbywać się na podstawie beztermin</w:t>
      </w:r>
      <w:r w:rsidR="0067381B" w:rsidRPr="00AD5407">
        <w:rPr>
          <w:sz w:val="22"/>
          <w:szCs w:val="22"/>
          <w:lang w:eastAsia="ar-SA"/>
        </w:rPr>
        <w:t>owej umowy ramowej uzupełnianej</w:t>
      </w:r>
      <w:r w:rsidR="0067381B" w:rsidRPr="00AD5407">
        <w:rPr>
          <w:sz w:val="22"/>
          <w:szCs w:val="22"/>
          <w:lang w:eastAsia="ar-SA"/>
        </w:rPr>
        <w:br/>
      </w:r>
      <w:r w:rsidR="0017163C" w:rsidRPr="00AD5407">
        <w:rPr>
          <w:sz w:val="22"/>
          <w:szCs w:val="22"/>
          <w:lang w:eastAsia="ar-SA"/>
        </w:rPr>
        <w:t>o aneksy (szczegółowo określające zakres wspólnych prac) albo na podstawie umów terminowych (w tej sytuacji należy wygasić umowę ramową).</w:t>
      </w:r>
    </w:p>
    <w:p w14:paraId="494893A5" w14:textId="5B28E058" w:rsidR="00EE5E1F" w:rsidRDefault="00EE5E1F" w:rsidP="00D86A6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59C35E32" w14:textId="34E73F60" w:rsidR="00EE5E1F" w:rsidRDefault="00F932FF" w:rsidP="00D86A6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</w:p>
    <w:p w14:paraId="4F0F6F23" w14:textId="6435243E" w:rsidR="00EE5E1F" w:rsidRPr="0091208B" w:rsidRDefault="00EE5E1F" w:rsidP="00EE5E1F">
      <w:pPr>
        <w:spacing w:line="276" w:lineRule="auto"/>
        <w:jc w:val="both"/>
        <w:rPr>
          <w:sz w:val="22"/>
          <w:szCs w:val="22"/>
        </w:rPr>
      </w:pPr>
      <w:r w:rsidRPr="0091208B">
        <w:rPr>
          <w:sz w:val="22"/>
          <w:szCs w:val="22"/>
        </w:rPr>
        <w:t xml:space="preserve">Przedstawiając powyższe sprawozdanie z kontroli, proszę Pana Dyrektora o </w:t>
      </w:r>
      <w:r w:rsidRPr="0091208B">
        <w:rPr>
          <w:bCs/>
          <w:sz w:val="22"/>
          <w:szCs w:val="22"/>
        </w:rPr>
        <w:t xml:space="preserve">złożenie pisemnej informacji </w:t>
      </w:r>
      <w:r w:rsidRPr="0091208B">
        <w:rPr>
          <w:sz w:val="22"/>
          <w:szCs w:val="22"/>
        </w:rPr>
        <w:t>w sprawie sposobu wykorzystania wyników kontroli oraz o podjętych działaniach zmierzających do re</w:t>
      </w:r>
      <w:r w:rsidR="00D86A6B">
        <w:rPr>
          <w:sz w:val="22"/>
          <w:szCs w:val="22"/>
        </w:rPr>
        <w:t>alizacji zaleceń pokontrolnych</w:t>
      </w:r>
      <w:r w:rsidRPr="0091208B">
        <w:rPr>
          <w:sz w:val="22"/>
          <w:szCs w:val="22"/>
        </w:rPr>
        <w:t xml:space="preserve"> </w:t>
      </w:r>
      <w:r w:rsidR="00F932FF">
        <w:rPr>
          <w:b/>
          <w:bCs/>
          <w:sz w:val="22"/>
          <w:szCs w:val="22"/>
        </w:rPr>
        <w:t xml:space="preserve">w terminie </w:t>
      </w:r>
      <w:r w:rsidR="00C775D3">
        <w:rPr>
          <w:b/>
          <w:bCs/>
          <w:sz w:val="22"/>
          <w:szCs w:val="22"/>
        </w:rPr>
        <w:t>30 dni od dnia otrzymania niniejszego sprawozdania</w:t>
      </w:r>
      <w:r>
        <w:rPr>
          <w:b/>
          <w:bCs/>
          <w:sz w:val="22"/>
          <w:szCs w:val="22"/>
        </w:rPr>
        <w:t>.</w:t>
      </w:r>
    </w:p>
    <w:p w14:paraId="1E277020" w14:textId="65BC4C97" w:rsidR="00EE5E1F" w:rsidRPr="0091208B" w:rsidRDefault="00EE5E1F" w:rsidP="00EE5E1F">
      <w:pPr>
        <w:spacing w:line="276" w:lineRule="auto"/>
        <w:jc w:val="both"/>
        <w:rPr>
          <w:sz w:val="22"/>
          <w:szCs w:val="22"/>
        </w:rPr>
      </w:pPr>
    </w:p>
    <w:p w14:paraId="6A05505E" w14:textId="3D33C308" w:rsidR="00EE5E1F" w:rsidRPr="0091208B" w:rsidRDefault="00EE5E1F" w:rsidP="00EE5E1F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91208B">
        <w:rPr>
          <w:sz w:val="22"/>
          <w:szCs w:val="22"/>
        </w:rPr>
        <w:lastRenderedPageBreak/>
        <w:t xml:space="preserve">Zgodnie z art. 52 ust. 5 </w:t>
      </w:r>
      <w:r w:rsidRPr="0091208B">
        <w:rPr>
          <w:color w:val="000000"/>
          <w:sz w:val="22"/>
          <w:szCs w:val="22"/>
        </w:rPr>
        <w:t xml:space="preserve">ustawy z dnia 15 lipca 2011 r. </w:t>
      </w:r>
      <w:r w:rsidRPr="0091208B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91208B">
        <w:rPr>
          <w:color w:val="000000"/>
          <w:sz w:val="22"/>
          <w:szCs w:val="22"/>
        </w:rPr>
        <w:t>kierownik jednostki kontrolowanej w terminie 3 dni roboczych od dnia otrzymania sprawozdania ma prawo przedstawić do niego stanowisko, nie wstrzymuje to jednak realizacji ustaleń kontroli.</w:t>
      </w:r>
    </w:p>
    <w:p w14:paraId="68E910B2" w14:textId="05CDE147" w:rsidR="00EE5E1F" w:rsidRPr="0091208B" w:rsidRDefault="00EE5E1F" w:rsidP="00EE5E1F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503261BE" w14:textId="42FF9540" w:rsidR="00EE5E1F" w:rsidRPr="0091208B" w:rsidRDefault="00EE5E1F" w:rsidP="00EE5E1F">
      <w:pPr>
        <w:spacing w:line="276" w:lineRule="auto"/>
        <w:jc w:val="both"/>
        <w:rPr>
          <w:sz w:val="22"/>
          <w:szCs w:val="22"/>
        </w:rPr>
      </w:pPr>
      <w:r w:rsidRPr="0091208B">
        <w:rPr>
          <w:sz w:val="22"/>
          <w:szCs w:val="22"/>
        </w:rPr>
        <w:t xml:space="preserve">Stanowisko wnosi się za pośrednictwem Biura Kontroli i Audytu Wewnętrznego w Ministerstwie Środowiska (BKA). W przypadku rezygnacji z zajęcia stanowiska do treści sprawozdania, informację w tej sprawie należy przekazać bezpośrednio do BKA na adres poczty elektronicznej: </w:t>
      </w:r>
      <w:hyperlink r:id="rId14" w:history="1">
        <w:r w:rsidRPr="0091208B">
          <w:rPr>
            <w:rStyle w:val="Hipercze"/>
            <w:color w:val="auto"/>
            <w:sz w:val="22"/>
            <w:szCs w:val="22"/>
            <w:u w:val="none"/>
          </w:rPr>
          <w:t>biuro.kontroli.i.audytu.wewnetrznego@mos.gov.pl</w:t>
        </w:r>
      </w:hyperlink>
      <w:r w:rsidRPr="0091208B">
        <w:rPr>
          <w:sz w:val="22"/>
          <w:szCs w:val="22"/>
        </w:rPr>
        <w:t xml:space="preserve">. </w:t>
      </w:r>
    </w:p>
    <w:p w14:paraId="0C15FA67" w14:textId="77777777" w:rsidR="00EE5E1F" w:rsidRPr="0091208B" w:rsidRDefault="00EE5E1F" w:rsidP="00E941BD">
      <w:pPr>
        <w:spacing w:line="276" w:lineRule="auto"/>
        <w:rPr>
          <w:sz w:val="22"/>
          <w:szCs w:val="22"/>
        </w:rPr>
      </w:pPr>
    </w:p>
    <w:p w14:paraId="0D68A5AA" w14:textId="77777777" w:rsidR="00EE5E1F" w:rsidRPr="0091208B" w:rsidRDefault="00EE5E1F" w:rsidP="00B00EA5">
      <w:pPr>
        <w:spacing w:line="276" w:lineRule="auto"/>
        <w:rPr>
          <w:sz w:val="22"/>
          <w:szCs w:val="22"/>
        </w:rPr>
      </w:pPr>
    </w:p>
    <w:p w14:paraId="02A8273B" w14:textId="77777777" w:rsidR="00EE5E1F" w:rsidRPr="0091208B" w:rsidRDefault="00EE5E1F" w:rsidP="00EE5E1F">
      <w:pPr>
        <w:tabs>
          <w:tab w:val="center" w:pos="0"/>
        </w:tabs>
        <w:spacing w:line="276" w:lineRule="auto"/>
        <w:ind w:left="6372"/>
        <w:jc w:val="right"/>
        <w:rPr>
          <w:b/>
          <w:sz w:val="22"/>
          <w:szCs w:val="22"/>
        </w:rPr>
      </w:pPr>
      <w:r w:rsidRPr="0091208B">
        <w:rPr>
          <w:b/>
          <w:sz w:val="22"/>
          <w:szCs w:val="22"/>
        </w:rPr>
        <w:t xml:space="preserve">      </w:t>
      </w:r>
    </w:p>
    <w:p w14:paraId="07F5A5F4" w14:textId="77777777" w:rsidR="00EE5E1F" w:rsidRPr="0091208B" w:rsidRDefault="00EE5E1F" w:rsidP="00EE5E1F">
      <w:pPr>
        <w:tabs>
          <w:tab w:val="center" w:pos="0"/>
        </w:tabs>
        <w:spacing w:line="276" w:lineRule="auto"/>
        <w:ind w:left="6372"/>
        <w:jc w:val="right"/>
        <w:rPr>
          <w:b/>
          <w:sz w:val="22"/>
          <w:szCs w:val="22"/>
        </w:rPr>
      </w:pPr>
    </w:p>
    <w:p w14:paraId="75EC38DD" w14:textId="77777777" w:rsidR="00EE5E1F" w:rsidRPr="0091208B" w:rsidRDefault="00EE5E1F" w:rsidP="00EE5E1F">
      <w:pPr>
        <w:tabs>
          <w:tab w:val="center" w:pos="0"/>
        </w:tabs>
        <w:spacing w:line="276" w:lineRule="auto"/>
        <w:ind w:left="6372"/>
        <w:jc w:val="right"/>
        <w:rPr>
          <w:b/>
          <w:sz w:val="22"/>
          <w:szCs w:val="22"/>
        </w:rPr>
      </w:pPr>
    </w:p>
    <w:p w14:paraId="4D317DA0" w14:textId="77777777" w:rsidR="00F932FF" w:rsidRDefault="00F932FF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24DFC63C" w14:textId="77777777" w:rsidR="00F932FF" w:rsidRDefault="00F932FF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5D187E4D" w14:textId="77777777" w:rsidR="00F932FF" w:rsidRDefault="00F932FF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0FB23401" w14:textId="77777777" w:rsidR="00F932FF" w:rsidRDefault="00F932FF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4281D0A5" w14:textId="77777777" w:rsidR="00F932FF" w:rsidRDefault="00F932FF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3FB361DF" w14:textId="77777777" w:rsidR="00BD1585" w:rsidRDefault="00BD1585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5FBE8AEA" w14:textId="77777777" w:rsidR="00BD1585" w:rsidRDefault="00BD1585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2BE42A38" w14:textId="77777777" w:rsidR="00BD1585" w:rsidRDefault="00BD1585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5817FD64" w14:textId="77777777" w:rsidR="00BD1585" w:rsidRDefault="00BD1585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092E3252" w14:textId="77777777" w:rsidR="00F932FF" w:rsidRDefault="00F932FF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4C4D283D" w14:textId="77777777" w:rsidR="00F932FF" w:rsidRDefault="00F932FF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1B3B64DC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50990804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19D54EDB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273EF363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350BEFE9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25FF9A68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59D35CAC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1C972AF9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6E5848ED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4BF2AE53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38167427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610A3694" w14:textId="77777777" w:rsidR="0033134C" w:rsidRDefault="0033134C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52E7BDFB" w14:textId="77777777" w:rsidR="005C5A13" w:rsidRDefault="005C5A13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1F70299E" w14:textId="77777777" w:rsidR="005C5A13" w:rsidRDefault="005C5A13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2CF9474D" w14:textId="77777777" w:rsidR="005C5A13" w:rsidRDefault="005C5A13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72311196" w14:textId="77777777" w:rsidR="005C5A13" w:rsidRDefault="005C5A13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5F7CA5AB" w14:textId="77777777" w:rsidR="005C5A13" w:rsidRDefault="005C5A13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4BEC8CD4" w14:textId="77777777" w:rsidR="005C5A13" w:rsidRDefault="005C5A13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4CE37695" w14:textId="77777777" w:rsidR="005C5A13" w:rsidRDefault="005C5A13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4D491C9A" w14:textId="77777777" w:rsidR="005C5A13" w:rsidRDefault="005C5A13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1742A016" w14:textId="77777777" w:rsidR="005C5A13" w:rsidRDefault="005C5A13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  <w:bookmarkStart w:id="2" w:name="_GoBack"/>
      <w:bookmarkEnd w:id="2"/>
    </w:p>
    <w:p w14:paraId="258555C1" w14:textId="77777777" w:rsidR="005C5A13" w:rsidRDefault="005C5A13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</w:p>
    <w:p w14:paraId="024E621A" w14:textId="77777777" w:rsidR="00EE5E1F" w:rsidRDefault="00EE5E1F" w:rsidP="00EE5E1F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  <w:r w:rsidRPr="0091208B">
        <w:rPr>
          <w:rFonts w:eastAsia="Calibri"/>
          <w:b/>
          <w:sz w:val="22"/>
          <w:szCs w:val="22"/>
          <w:u w:val="single"/>
          <w:lang w:eastAsia="ar-SA"/>
        </w:rPr>
        <w:t>Do wiadomości:</w:t>
      </w:r>
    </w:p>
    <w:p w14:paraId="14163253" w14:textId="77777777" w:rsidR="00EE5E1F" w:rsidRPr="0091208B" w:rsidRDefault="00EE5E1F" w:rsidP="00EE5E1F">
      <w:pPr>
        <w:tabs>
          <w:tab w:val="center" w:pos="0"/>
        </w:tabs>
        <w:rPr>
          <w:sz w:val="22"/>
          <w:szCs w:val="22"/>
        </w:rPr>
      </w:pPr>
    </w:p>
    <w:p w14:paraId="2486EB3C" w14:textId="77777777" w:rsidR="00661F54" w:rsidRPr="00436174" w:rsidRDefault="00661F54" w:rsidP="00661F54">
      <w:pPr>
        <w:jc w:val="both"/>
        <w:rPr>
          <w:sz w:val="22"/>
          <w:szCs w:val="22"/>
        </w:rPr>
      </w:pPr>
      <w:r w:rsidRPr="00436174">
        <w:rPr>
          <w:rFonts w:eastAsia="Calibri"/>
          <w:sz w:val="22"/>
          <w:szCs w:val="22"/>
          <w:lang w:eastAsia="ar-SA"/>
        </w:rPr>
        <w:t xml:space="preserve">Pan </w:t>
      </w:r>
      <w:r w:rsidRPr="00436174">
        <w:rPr>
          <w:rFonts w:eastAsia="Calibri"/>
          <w:b/>
          <w:i/>
          <w:sz w:val="22"/>
          <w:szCs w:val="22"/>
          <w:lang w:eastAsia="ar-SA"/>
        </w:rPr>
        <w:t xml:space="preserve">Piotr Nowak </w:t>
      </w:r>
      <w:r w:rsidRPr="00436174">
        <w:rPr>
          <w:rFonts w:eastAsia="Calibri"/>
          <w:sz w:val="22"/>
          <w:szCs w:val="22"/>
          <w:lang w:eastAsia="ar-SA"/>
        </w:rPr>
        <w:t>– Dyrektor Departamentu Ge</w:t>
      </w:r>
      <w:r w:rsidRPr="00436174">
        <w:rPr>
          <w:sz w:val="22"/>
          <w:szCs w:val="22"/>
        </w:rPr>
        <w:t>ologii i Koncesji Geologicznych,</w:t>
      </w:r>
    </w:p>
    <w:p w14:paraId="66FB2EB1" w14:textId="0A557F33" w:rsidR="00661F54" w:rsidRPr="00436174" w:rsidRDefault="00661F54" w:rsidP="00661F54">
      <w:pPr>
        <w:jc w:val="both"/>
        <w:rPr>
          <w:sz w:val="22"/>
          <w:szCs w:val="22"/>
        </w:rPr>
      </w:pPr>
      <w:r w:rsidRPr="00436174">
        <w:rPr>
          <w:sz w:val="22"/>
          <w:szCs w:val="22"/>
        </w:rPr>
        <w:t xml:space="preserve">Pani </w:t>
      </w:r>
      <w:r w:rsidR="000C5962">
        <w:rPr>
          <w:b/>
          <w:i/>
          <w:sz w:val="22"/>
          <w:szCs w:val="22"/>
        </w:rPr>
        <w:t>Danuta Czerniawska</w:t>
      </w:r>
      <w:r w:rsidRPr="00436174">
        <w:rPr>
          <w:b/>
          <w:i/>
          <w:sz w:val="22"/>
          <w:szCs w:val="22"/>
        </w:rPr>
        <w:t xml:space="preserve"> </w:t>
      </w:r>
      <w:r w:rsidRPr="00436174">
        <w:rPr>
          <w:sz w:val="22"/>
          <w:szCs w:val="22"/>
        </w:rPr>
        <w:t>– Dyrektor Departamentu Nadzoru Geologicznego,</w:t>
      </w:r>
    </w:p>
    <w:p w14:paraId="4D3B2A98" w14:textId="09315B40" w:rsidR="00661F54" w:rsidRPr="00436174" w:rsidRDefault="00661F54" w:rsidP="00661F54">
      <w:pPr>
        <w:jc w:val="both"/>
        <w:rPr>
          <w:sz w:val="22"/>
          <w:szCs w:val="22"/>
        </w:rPr>
      </w:pPr>
      <w:r w:rsidRPr="00436174">
        <w:rPr>
          <w:sz w:val="22"/>
          <w:szCs w:val="22"/>
        </w:rPr>
        <w:t xml:space="preserve">Pan </w:t>
      </w:r>
      <w:r w:rsidR="00B00EA5">
        <w:rPr>
          <w:b/>
          <w:i/>
          <w:sz w:val="22"/>
          <w:szCs w:val="22"/>
        </w:rPr>
        <w:t>Hubert Schwarz</w:t>
      </w:r>
      <w:r w:rsidRPr="00436174">
        <w:rPr>
          <w:sz w:val="22"/>
          <w:szCs w:val="22"/>
        </w:rPr>
        <w:t xml:space="preserve"> – </w:t>
      </w:r>
      <w:r w:rsidR="00B00EA5">
        <w:rPr>
          <w:sz w:val="22"/>
          <w:szCs w:val="22"/>
        </w:rPr>
        <w:t>Dyrektor</w:t>
      </w:r>
      <w:r w:rsidRPr="00436174">
        <w:rPr>
          <w:sz w:val="22"/>
          <w:szCs w:val="22"/>
        </w:rPr>
        <w:t xml:space="preserve"> Departamentu Polityki Surowcowej i Analiz,</w:t>
      </w:r>
    </w:p>
    <w:p w14:paraId="37017C6F" w14:textId="6A846F4A" w:rsidR="00EE5E1F" w:rsidRPr="00436174" w:rsidRDefault="00661F54" w:rsidP="00661F54">
      <w:pPr>
        <w:jc w:val="both"/>
        <w:rPr>
          <w:rFonts w:ascii="Calibri" w:hAnsi="Calibri" w:cs="Calibri"/>
          <w:sz w:val="22"/>
          <w:szCs w:val="22"/>
        </w:rPr>
      </w:pPr>
      <w:r w:rsidRPr="00436174">
        <w:rPr>
          <w:sz w:val="22"/>
          <w:szCs w:val="22"/>
        </w:rPr>
        <w:t xml:space="preserve">Pan </w:t>
      </w:r>
      <w:r w:rsidRPr="00436174">
        <w:rPr>
          <w:b/>
          <w:i/>
          <w:sz w:val="22"/>
          <w:szCs w:val="22"/>
        </w:rPr>
        <w:t>Michał Wiśniewski</w:t>
      </w:r>
      <w:r w:rsidRPr="00436174">
        <w:rPr>
          <w:sz w:val="22"/>
          <w:szCs w:val="22"/>
        </w:rPr>
        <w:t xml:space="preserve"> – Dyrektor Departamentu Zrównoważonego Rozwoju i Współpracy Międzynarodowej.</w:t>
      </w:r>
    </w:p>
    <w:sectPr w:rsidR="00EE5E1F" w:rsidRPr="00436174" w:rsidSect="005462E9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FE6D" w14:textId="77777777" w:rsidR="00E441DC" w:rsidRDefault="00E441DC" w:rsidP="0017163C">
      <w:r>
        <w:separator/>
      </w:r>
    </w:p>
  </w:endnote>
  <w:endnote w:type="continuationSeparator" w:id="0">
    <w:p w14:paraId="55B0017E" w14:textId="77777777" w:rsidR="00E441DC" w:rsidRDefault="00E441DC" w:rsidP="0017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20935"/>
      <w:docPartObj>
        <w:docPartGallery w:val="Page Numbers (Bottom of Page)"/>
        <w:docPartUnique/>
      </w:docPartObj>
    </w:sdtPr>
    <w:sdtEndPr/>
    <w:sdtContent>
      <w:p w14:paraId="60D99B2D" w14:textId="4B6EDF2C" w:rsidR="00BF07C8" w:rsidRDefault="00BF07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F3">
          <w:rPr>
            <w:noProof/>
          </w:rPr>
          <w:t>9</w:t>
        </w:r>
        <w:r>
          <w:fldChar w:fldCharType="end"/>
        </w:r>
      </w:p>
    </w:sdtContent>
  </w:sdt>
  <w:p w14:paraId="6A038700" w14:textId="77777777" w:rsidR="0046759E" w:rsidRDefault="00467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A7B27" w14:textId="77777777" w:rsidR="00E441DC" w:rsidRDefault="00E441DC" w:rsidP="0017163C">
      <w:r>
        <w:separator/>
      </w:r>
    </w:p>
  </w:footnote>
  <w:footnote w:type="continuationSeparator" w:id="0">
    <w:p w14:paraId="5FE0D29A" w14:textId="77777777" w:rsidR="00E441DC" w:rsidRDefault="00E441DC" w:rsidP="0017163C">
      <w:r>
        <w:continuationSeparator/>
      </w:r>
    </w:p>
  </w:footnote>
  <w:footnote w:id="1">
    <w:p w14:paraId="74085D20" w14:textId="77777777" w:rsidR="0046759E" w:rsidRPr="00AD5407" w:rsidRDefault="0046759E" w:rsidP="0017163C">
      <w:pPr>
        <w:pStyle w:val="Tekstprzypisudolnego"/>
        <w:rPr>
          <w:sz w:val="16"/>
          <w:szCs w:val="16"/>
        </w:rPr>
      </w:pPr>
      <w:r w:rsidRPr="00AD5407">
        <w:rPr>
          <w:rStyle w:val="Odwoanieprzypisudolnego"/>
          <w:sz w:val="16"/>
          <w:szCs w:val="16"/>
        </w:rPr>
        <w:footnoteRef/>
      </w:r>
      <w:r w:rsidRPr="00AD5407">
        <w:rPr>
          <w:sz w:val="16"/>
          <w:szCs w:val="16"/>
        </w:rPr>
        <w:t xml:space="preserve"> Dz.U. nr 185, poz. 1092</w:t>
      </w:r>
    </w:p>
  </w:footnote>
  <w:footnote w:id="2">
    <w:p w14:paraId="477D91F9" w14:textId="0B1AEFE8" w:rsidR="0046759E" w:rsidRDefault="00467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7286">
        <w:t xml:space="preserve">automatycznie przedłużane na kolejne okresy, o ile nie zostaną wypowiedziane wcześniej przez </w:t>
      </w:r>
      <w:r w:rsidR="005737B6">
        <w:t xml:space="preserve">jedną </w:t>
      </w:r>
      <w:r w:rsidRPr="006D7286">
        <w:t xml:space="preserve"> ze stron</w:t>
      </w:r>
    </w:p>
  </w:footnote>
  <w:footnote w:id="3">
    <w:p w14:paraId="54F43B83" w14:textId="23475904" w:rsidR="0046759E" w:rsidRPr="00AD5407" w:rsidRDefault="0046759E">
      <w:pPr>
        <w:pStyle w:val="Tekstprzypisudolnego"/>
        <w:rPr>
          <w:sz w:val="16"/>
          <w:szCs w:val="16"/>
        </w:rPr>
      </w:pPr>
      <w:r w:rsidRPr="00AD5407">
        <w:rPr>
          <w:rStyle w:val="Odwoanieprzypisudolnego"/>
          <w:sz w:val="16"/>
          <w:szCs w:val="16"/>
        </w:rPr>
        <w:footnoteRef/>
      </w:r>
      <w:r w:rsidRPr="00AD5407">
        <w:rPr>
          <w:sz w:val="16"/>
          <w:szCs w:val="16"/>
        </w:rPr>
        <w:t xml:space="preserve"> Mail PIG-PIB z 17 lutego 2017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573"/>
    <w:multiLevelType w:val="hybridMultilevel"/>
    <w:tmpl w:val="DAE877CA"/>
    <w:lvl w:ilvl="0" w:tplc="1FA2C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230"/>
    <w:multiLevelType w:val="hybridMultilevel"/>
    <w:tmpl w:val="65ECA7C4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E65"/>
    <w:multiLevelType w:val="hybridMultilevel"/>
    <w:tmpl w:val="79203F5A"/>
    <w:lvl w:ilvl="0" w:tplc="B4D263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77104"/>
    <w:multiLevelType w:val="hybridMultilevel"/>
    <w:tmpl w:val="E00CDA3E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027F"/>
    <w:multiLevelType w:val="hybridMultilevel"/>
    <w:tmpl w:val="D766136E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7F47"/>
    <w:multiLevelType w:val="hybridMultilevel"/>
    <w:tmpl w:val="41F6C554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37DA"/>
    <w:multiLevelType w:val="hybridMultilevel"/>
    <w:tmpl w:val="D17E8AF0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AB2"/>
    <w:multiLevelType w:val="hybridMultilevel"/>
    <w:tmpl w:val="ABAEB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96811"/>
    <w:multiLevelType w:val="hybridMultilevel"/>
    <w:tmpl w:val="46AA7A46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53D"/>
    <w:multiLevelType w:val="hybridMultilevel"/>
    <w:tmpl w:val="41C225BC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F0F"/>
    <w:multiLevelType w:val="hybridMultilevel"/>
    <w:tmpl w:val="566A9838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544EC"/>
    <w:multiLevelType w:val="hybridMultilevel"/>
    <w:tmpl w:val="84424866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183D"/>
    <w:multiLevelType w:val="hybridMultilevel"/>
    <w:tmpl w:val="0FC6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0225A"/>
    <w:multiLevelType w:val="hybridMultilevel"/>
    <w:tmpl w:val="0FC2E590"/>
    <w:lvl w:ilvl="0" w:tplc="0E2AAA5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4846538"/>
    <w:multiLevelType w:val="hybridMultilevel"/>
    <w:tmpl w:val="C9CAD130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F64BA"/>
    <w:multiLevelType w:val="hybridMultilevel"/>
    <w:tmpl w:val="2430918A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F3EF9"/>
    <w:multiLevelType w:val="hybridMultilevel"/>
    <w:tmpl w:val="19CA9DE0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040FC"/>
    <w:multiLevelType w:val="hybridMultilevel"/>
    <w:tmpl w:val="7102DFF2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4FE4"/>
    <w:multiLevelType w:val="hybridMultilevel"/>
    <w:tmpl w:val="5B0AE4AA"/>
    <w:lvl w:ilvl="0" w:tplc="714C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F3388"/>
    <w:multiLevelType w:val="hybridMultilevel"/>
    <w:tmpl w:val="7F86AC42"/>
    <w:lvl w:ilvl="0" w:tplc="BF12B48A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F61B58"/>
    <w:multiLevelType w:val="multilevel"/>
    <w:tmpl w:val="CFB62108"/>
    <w:lvl w:ilvl="0">
      <w:start w:val="1"/>
      <w:numFmt w:val="decimal"/>
      <w:pStyle w:val="Nagwekmaegodo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1" w15:restartNumberingAfterBreak="0">
    <w:nsid w:val="4CB7583A"/>
    <w:multiLevelType w:val="hybridMultilevel"/>
    <w:tmpl w:val="FDB48552"/>
    <w:lvl w:ilvl="0" w:tplc="0E2AA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47572A"/>
    <w:multiLevelType w:val="hybridMultilevel"/>
    <w:tmpl w:val="70F25814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76514"/>
    <w:multiLevelType w:val="hybridMultilevel"/>
    <w:tmpl w:val="E530F816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C02EE"/>
    <w:multiLevelType w:val="hybridMultilevel"/>
    <w:tmpl w:val="064E5122"/>
    <w:lvl w:ilvl="0" w:tplc="0E2AAA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322006"/>
    <w:multiLevelType w:val="hybridMultilevel"/>
    <w:tmpl w:val="682CC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7AF0"/>
    <w:multiLevelType w:val="hybridMultilevel"/>
    <w:tmpl w:val="D5EC3C00"/>
    <w:lvl w:ilvl="0" w:tplc="4A8C31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D1B95"/>
    <w:multiLevelType w:val="hybridMultilevel"/>
    <w:tmpl w:val="998E74B0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D4EDD"/>
    <w:multiLevelType w:val="hybridMultilevel"/>
    <w:tmpl w:val="86A4DD96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B546B"/>
    <w:multiLevelType w:val="hybridMultilevel"/>
    <w:tmpl w:val="4ECC4290"/>
    <w:lvl w:ilvl="0" w:tplc="EC7008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327D57"/>
    <w:multiLevelType w:val="hybridMultilevel"/>
    <w:tmpl w:val="7CC885A4"/>
    <w:lvl w:ilvl="0" w:tplc="714C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D090E"/>
    <w:multiLevelType w:val="hybridMultilevel"/>
    <w:tmpl w:val="18C241EE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76CDF"/>
    <w:multiLevelType w:val="hybridMultilevel"/>
    <w:tmpl w:val="C6424E2E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E6786"/>
    <w:multiLevelType w:val="hybridMultilevel"/>
    <w:tmpl w:val="83049930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8103C"/>
    <w:multiLevelType w:val="hybridMultilevel"/>
    <w:tmpl w:val="F5DA50D4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E046B"/>
    <w:multiLevelType w:val="hybridMultilevel"/>
    <w:tmpl w:val="6CC6593C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84FA7"/>
    <w:multiLevelType w:val="hybridMultilevel"/>
    <w:tmpl w:val="47749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73D33"/>
    <w:multiLevelType w:val="hybridMultilevel"/>
    <w:tmpl w:val="C8E0E14E"/>
    <w:lvl w:ilvl="0" w:tplc="2906130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29"/>
  </w:num>
  <w:num w:numId="5">
    <w:abstractNumId w:val="36"/>
  </w:num>
  <w:num w:numId="6">
    <w:abstractNumId w:val="30"/>
  </w:num>
  <w:num w:numId="7">
    <w:abstractNumId w:val="18"/>
  </w:num>
  <w:num w:numId="8">
    <w:abstractNumId w:val="25"/>
  </w:num>
  <w:num w:numId="9">
    <w:abstractNumId w:val="10"/>
  </w:num>
  <w:num w:numId="10">
    <w:abstractNumId w:val="26"/>
  </w:num>
  <w:num w:numId="11">
    <w:abstractNumId w:val="13"/>
  </w:num>
  <w:num w:numId="12">
    <w:abstractNumId w:val="16"/>
  </w:num>
  <w:num w:numId="13">
    <w:abstractNumId w:val="23"/>
  </w:num>
  <w:num w:numId="14">
    <w:abstractNumId w:val="9"/>
  </w:num>
  <w:num w:numId="15">
    <w:abstractNumId w:val="32"/>
  </w:num>
  <w:num w:numId="16">
    <w:abstractNumId w:val="14"/>
  </w:num>
  <w:num w:numId="17">
    <w:abstractNumId w:val="24"/>
  </w:num>
  <w:num w:numId="18">
    <w:abstractNumId w:val="11"/>
  </w:num>
  <w:num w:numId="19">
    <w:abstractNumId w:val="5"/>
  </w:num>
  <w:num w:numId="20">
    <w:abstractNumId w:val="15"/>
  </w:num>
  <w:num w:numId="21">
    <w:abstractNumId w:val="27"/>
  </w:num>
  <w:num w:numId="22">
    <w:abstractNumId w:val="28"/>
  </w:num>
  <w:num w:numId="23">
    <w:abstractNumId w:val="35"/>
  </w:num>
  <w:num w:numId="24">
    <w:abstractNumId w:val="17"/>
  </w:num>
  <w:num w:numId="25">
    <w:abstractNumId w:val="34"/>
  </w:num>
  <w:num w:numId="26">
    <w:abstractNumId w:val="8"/>
  </w:num>
  <w:num w:numId="27">
    <w:abstractNumId w:val="4"/>
  </w:num>
  <w:num w:numId="28">
    <w:abstractNumId w:val="6"/>
  </w:num>
  <w:num w:numId="29">
    <w:abstractNumId w:val="22"/>
  </w:num>
  <w:num w:numId="30">
    <w:abstractNumId w:val="33"/>
  </w:num>
  <w:num w:numId="31">
    <w:abstractNumId w:val="1"/>
  </w:num>
  <w:num w:numId="32">
    <w:abstractNumId w:val="21"/>
  </w:num>
  <w:num w:numId="33">
    <w:abstractNumId w:val="3"/>
  </w:num>
  <w:num w:numId="34">
    <w:abstractNumId w:val="31"/>
  </w:num>
  <w:num w:numId="35">
    <w:abstractNumId w:val="2"/>
  </w:num>
  <w:num w:numId="36">
    <w:abstractNumId w:val="37"/>
  </w:num>
  <w:num w:numId="37">
    <w:abstractNumId w:val="12"/>
  </w:num>
  <w:num w:numId="38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B"/>
    <w:rsid w:val="00000B18"/>
    <w:rsid w:val="00005A82"/>
    <w:rsid w:val="00007F3B"/>
    <w:rsid w:val="000131CD"/>
    <w:rsid w:val="0001387B"/>
    <w:rsid w:val="00032698"/>
    <w:rsid w:val="00042F8D"/>
    <w:rsid w:val="00051592"/>
    <w:rsid w:val="0005719F"/>
    <w:rsid w:val="00064869"/>
    <w:rsid w:val="000748BB"/>
    <w:rsid w:val="000B5C0C"/>
    <w:rsid w:val="000C5962"/>
    <w:rsid w:val="00101FC1"/>
    <w:rsid w:val="00114349"/>
    <w:rsid w:val="00115668"/>
    <w:rsid w:val="0013099C"/>
    <w:rsid w:val="00143D88"/>
    <w:rsid w:val="0017085A"/>
    <w:rsid w:val="0017163C"/>
    <w:rsid w:val="00171947"/>
    <w:rsid w:val="001737F8"/>
    <w:rsid w:val="0019195C"/>
    <w:rsid w:val="00194770"/>
    <w:rsid w:val="001A7CD2"/>
    <w:rsid w:val="001B393E"/>
    <w:rsid w:val="001D432F"/>
    <w:rsid w:val="001E2891"/>
    <w:rsid w:val="00212E2F"/>
    <w:rsid w:val="00213961"/>
    <w:rsid w:val="00213C96"/>
    <w:rsid w:val="00234922"/>
    <w:rsid w:val="002525AC"/>
    <w:rsid w:val="002600DF"/>
    <w:rsid w:val="00266F6C"/>
    <w:rsid w:val="0027189A"/>
    <w:rsid w:val="00291778"/>
    <w:rsid w:val="002A611B"/>
    <w:rsid w:val="00317503"/>
    <w:rsid w:val="0033134C"/>
    <w:rsid w:val="00344EC6"/>
    <w:rsid w:val="003675D6"/>
    <w:rsid w:val="00391FAB"/>
    <w:rsid w:val="003C4CD1"/>
    <w:rsid w:val="003D122C"/>
    <w:rsid w:val="00404A34"/>
    <w:rsid w:val="00415108"/>
    <w:rsid w:val="00436174"/>
    <w:rsid w:val="00445428"/>
    <w:rsid w:val="004531FE"/>
    <w:rsid w:val="004615F5"/>
    <w:rsid w:val="0046759E"/>
    <w:rsid w:val="0049529C"/>
    <w:rsid w:val="004B21D4"/>
    <w:rsid w:val="004D0F46"/>
    <w:rsid w:val="004E047F"/>
    <w:rsid w:val="004E651B"/>
    <w:rsid w:val="004F013B"/>
    <w:rsid w:val="004F7FBC"/>
    <w:rsid w:val="00510780"/>
    <w:rsid w:val="00520C27"/>
    <w:rsid w:val="00533865"/>
    <w:rsid w:val="00545AE0"/>
    <w:rsid w:val="005462E9"/>
    <w:rsid w:val="00552DDA"/>
    <w:rsid w:val="005567B4"/>
    <w:rsid w:val="005737B6"/>
    <w:rsid w:val="00574754"/>
    <w:rsid w:val="00592202"/>
    <w:rsid w:val="005A6D15"/>
    <w:rsid w:val="005B17BF"/>
    <w:rsid w:val="005C5668"/>
    <w:rsid w:val="005C5A13"/>
    <w:rsid w:val="005C60E6"/>
    <w:rsid w:val="005D5D9C"/>
    <w:rsid w:val="005E2256"/>
    <w:rsid w:val="005F5E44"/>
    <w:rsid w:val="00625ECE"/>
    <w:rsid w:val="00625F13"/>
    <w:rsid w:val="00642F84"/>
    <w:rsid w:val="0064747C"/>
    <w:rsid w:val="00661F54"/>
    <w:rsid w:val="00662136"/>
    <w:rsid w:val="00670DCD"/>
    <w:rsid w:val="0067381B"/>
    <w:rsid w:val="00673FFF"/>
    <w:rsid w:val="006A0232"/>
    <w:rsid w:val="006A222B"/>
    <w:rsid w:val="006A2FA7"/>
    <w:rsid w:val="006A4FF8"/>
    <w:rsid w:val="006B26E5"/>
    <w:rsid w:val="006B4C52"/>
    <w:rsid w:val="006D533D"/>
    <w:rsid w:val="006D60F4"/>
    <w:rsid w:val="006D7286"/>
    <w:rsid w:val="006F2BA0"/>
    <w:rsid w:val="006F5BDE"/>
    <w:rsid w:val="006F7039"/>
    <w:rsid w:val="00706A22"/>
    <w:rsid w:val="0075255F"/>
    <w:rsid w:val="007549B8"/>
    <w:rsid w:val="00774257"/>
    <w:rsid w:val="0077433D"/>
    <w:rsid w:val="00784EF9"/>
    <w:rsid w:val="00797885"/>
    <w:rsid w:val="007A5443"/>
    <w:rsid w:val="007E7F7C"/>
    <w:rsid w:val="007F2323"/>
    <w:rsid w:val="007F6599"/>
    <w:rsid w:val="00847851"/>
    <w:rsid w:val="008500B1"/>
    <w:rsid w:val="0085197D"/>
    <w:rsid w:val="008624A7"/>
    <w:rsid w:val="00892C27"/>
    <w:rsid w:val="008A1180"/>
    <w:rsid w:val="008A602A"/>
    <w:rsid w:val="008C19A0"/>
    <w:rsid w:val="008E74CA"/>
    <w:rsid w:val="008F1E51"/>
    <w:rsid w:val="008F5D2E"/>
    <w:rsid w:val="00907A5C"/>
    <w:rsid w:val="00910B61"/>
    <w:rsid w:val="00955B3E"/>
    <w:rsid w:val="009A47BE"/>
    <w:rsid w:val="009C4731"/>
    <w:rsid w:val="009E0BFC"/>
    <w:rsid w:val="009E3CF1"/>
    <w:rsid w:val="009F2516"/>
    <w:rsid w:val="00A23AE9"/>
    <w:rsid w:val="00A3019A"/>
    <w:rsid w:val="00A4339C"/>
    <w:rsid w:val="00A511D7"/>
    <w:rsid w:val="00A53A19"/>
    <w:rsid w:val="00A5408A"/>
    <w:rsid w:val="00A673D6"/>
    <w:rsid w:val="00A76DAA"/>
    <w:rsid w:val="00A8470C"/>
    <w:rsid w:val="00A931EB"/>
    <w:rsid w:val="00AC6E2C"/>
    <w:rsid w:val="00AD5407"/>
    <w:rsid w:val="00B00EA5"/>
    <w:rsid w:val="00B07B49"/>
    <w:rsid w:val="00B174F3"/>
    <w:rsid w:val="00B22400"/>
    <w:rsid w:val="00B30946"/>
    <w:rsid w:val="00B34C6E"/>
    <w:rsid w:val="00B443D6"/>
    <w:rsid w:val="00B52604"/>
    <w:rsid w:val="00B676DE"/>
    <w:rsid w:val="00B77C65"/>
    <w:rsid w:val="00B86A09"/>
    <w:rsid w:val="00B87009"/>
    <w:rsid w:val="00BC7285"/>
    <w:rsid w:val="00BC7972"/>
    <w:rsid w:val="00BD1585"/>
    <w:rsid w:val="00BD54BC"/>
    <w:rsid w:val="00BF07C8"/>
    <w:rsid w:val="00BF09C7"/>
    <w:rsid w:val="00C61E21"/>
    <w:rsid w:val="00C67DC4"/>
    <w:rsid w:val="00C75E78"/>
    <w:rsid w:val="00C775D3"/>
    <w:rsid w:val="00CA2234"/>
    <w:rsid w:val="00CA3FE4"/>
    <w:rsid w:val="00CB6A81"/>
    <w:rsid w:val="00CC23F6"/>
    <w:rsid w:val="00CC34BE"/>
    <w:rsid w:val="00CD253A"/>
    <w:rsid w:val="00CD54B7"/>
    <w:rsid w:val="00CE4579"/>
    <w:rsid w:val="00CF3D93"/>
    <w:rsid w:val="00CF50A7"/>
    <w:rsid w:val="00CF730C"/>
    <w:rsid w:val="00D161CD"/>
    <w:rsid w:val="00D16BC2"/>
    <w:rsid w:val="00D25E0E"/>
    <w:rsid w:val="00D40DF1"/>
    <w:rsid w:val="00D52C5F"/>
    <w:rsid w:val="00D823CF"/>
    <w:rsid w:val="00D86A6B"/>
    <w:rsid w:val="00D93AD2"/>
    <w:rsid w:val="00DA1404"/>
    <w:rsid w:val="00DA63B1"/>
    <w:rsid w:val="00DC2603"/>
    <w:rsid w:val="00DE2EFC"/>
    <w:rsid w:val="00DE68AF"/>
    <w:rsid w:val="00DF6D0B"/>
    <w:rsid w:val="00E26615"/>
    <w:rsid w:val="00E441DC"/>
    <w:rsid w:val="00E74FC9"/>
    <w:rsid w:val="00E81BBA"/>
    <w:rsid w:val="00E879EB"/>
    <w:rsid w:val="00E924AB"/>
    <w:rsid w:val="00E941BD"/>
    <w:rsid w:val="00EA16C0"/>
    <w:rsid w:val="00EA353B"/>
    <w:rsid w:val="00EA6907"/>
    <w:rsid w:val="00EB4479"/>
    <w:rsid w:val="00EB5F96"/>
    <w:rsid w:val="00EC1C64"/>
    <w:rsid w:val="00EE5E1F"/>
    <w:rsid w:val="00F00871"/>
    <w:rsid w:val="00F05E0C"/>
    <w:rsid w:val="00F202BC"/>
    <w:rsid w:val="00F753FE"/>
    <w:rsid w:val="00F77FAF"/>
    <w:rsid w:val="00F8536F"/>
    <w:rsid w:val="00F85CB4"/>
    <w:rsid w:val="00F87D08"/>
    <w:rsid w:val="00F932FF"/>
    <w:rsid w:val="00FF1B12"/>
    <w:rsid w:val="00FF5D7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0955"/>
  <w15:docId w15:val="{7696F06E-CA7D-47C9-A8D6-0D334C7D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17163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link w:val="Tekstpodstawowy3Znak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uiPriority w:val="99"/>
    <w:rsid w:val="009B5D6E"/>
    <w:rPr>
      <w:color w:val="0000FF"/>
      <w:u w:val="single"/>
    </w:rPr>
  </w:style>
  <w:style w:type="character" w:styleId="Odwoaniedokomentarza">
    <w:name w:val="annotation reference"/>
    <w:uiPriority w:val="99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B00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7B0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17163C"/>
    <w:rPr>
      <w:rFonts w:ascii="Cambria" w:hAnsi="Cambria"/>
      <w:b/>
      <w:b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7163C"/>
  </w:style>
  <w:style w:type="character" w:customStyle="1" w:styleId="NagwekZnak">
    <w:name w:val="Nagłówek Znak"/>
    <w:basedOn w:val="Domylnaczcionkaakapitu"/>
    <w:link w:val="Nagwek"/>
    <w:uiPriority w:val="99"/>
    <w:locked/>
    <w:rsid w:val="0017163C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7163C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163C"/>
    <w:rPr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17163C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99"/>
    <w:qFormat/>
    <w:rsid w:val="0017163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7163C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1716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1">
    <w:name w:val="h1"/>
    <w:basedOn w:val="Domylnaczcionkaakapitu"/>
    <w:uiPriority w:val="99"/>
    <w:rsid w:val="0017163C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7163C"/>
    <w:pPr>
      <w:spacing w:before="60" w:after="60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7163C"/>
  </w:style>
  <w:style w:type="paragraph" w:styleId="Akapitzlist">
    <w:name w:val="List Paragraph"/>
    <w:aliases w:val="Dot pt,No Spacing1,List Paragraph Char Char Char,Indicator Text,Numbered Para 1,List Paragraph à moi,LISTA,Listaszerű bekezdés2,Listaszerű bekezdés1,Listaszerű bekezdés3"/>
    <w:basedOn w:val="Normalny"/>
    <w:link w:val="AkapitzlistZnak"/>
    <w:uiPriority w:val="34"/>
    <w:qFormat/>
    <w:rsid w:val="0017163C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716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Domylnaczcionkaakapitu"/>
    <w:rsid w:val="0017163C"/>
  </w:style>
  <w:style w:type="table" w:styleId="Tabela-Siatka">
    <w:name w:val="Table Grid"/>
    <w:basedOn w:val="Standardowy"/>
    <w:uiPriority w:val="59"/>
    <w:rsid w:val="0017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6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63C"/>
  </w:style>
  <w:style w:type="character" w:styleId="Odwoanieprzypisukocowego">
    <w:name w:val="endnote reference"/>
    <w:basedOn w:val="Domylnaczcionkaakapitu"/>
    <w:uiPriority w:val="99"/>
    <w:semiHidden/>
    <w:unhideWhenUsed/>
    <w:rsid w:val="0017163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3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163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17163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7163C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7163C"/>
    <w:rPr>
      <w:rFonts w:ascii="Garamond" w:hAnsi="Garamond"/>
      <w:bCs/>
      <w:smallCaps/>
      <w:sz w:val="28"/>
    </w:rPr>
  </w:style>
  <w:style w:type="character" w:customStyle="1" w:styleId="Nagwek6Znak">
    <w:name w:val="Nagłówek 6 Znak"/>
    <w:basedOn w:val="Domylnaczcionkaakapitu"/>
    <w:link w:val="Nagwek6"/>
    <w:rsid w:val="0017163C"/>
    <w:rPr>
      <w:rFonts w:ascii="Garamond" w:hAnsi="Garamond"/>
      <w:b/>
      <w:smallCaps/>
      <w:sz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163C"/>
    <w:rPr>
      <w:rFonts w:ascii="Garamond" w:hAnsi="Garamond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7163C"/>
    <w:rPr>
      <w:rFonts w:ascii="Garamond" w:hAnsi="Garamond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7163C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17163C"/>
  </w:style>
  <w:style w:type="paragraph" w:customStyle="1" w:styleId="Lista21">
    <w:name w:val="Lista 21"/>
    <w:basedOn w:val="Normalny"/>
    <w:next w:val="Lista2"/>
    <w:uiPriority w:val="99"/>
    <w:unhideWhenUsed/>
    <w:rsid w:val="0017163C"/>
    <w:pPr>
      <w:spacing w:after="160" w:line="259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1">
    <w:name w:val="Tytuł1"/>
    <w:basedOn w:val="Normalny"/>
    <w:next w:val="Normalny"/>
    <w:uiPriority w:val="10"/>
    <w:qFormat/>
    <w:locked/>
    <w:rsid w:val="0017163C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7163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unhideWhenUsed/>
    <w:rsid w:val="0017163C"/>
    <w:pPr>
      <w:spacing w:after="120" w:line="259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rsid w:val="0017163C"/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17163C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163C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7163C"/>
    <w:pPr>
      <w:spacing w:after="160" w:line="259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17163C"/>
    <w:rPr>
      <w:rFonts w:ascii="Calibri" w:eastAsia="Calibri" w:hAnsi="Calibri"/>
      <w:sz w:val="22"/>
      <w:szCs w:val="22"/>
      <w:lang w:eastAsia="en-US"/>
    </w:rPr>
  </w:style>
  <w:style w:type="paragraph" w:customStyle="1" w:styleId="Nagwekmaegodok1">
    <w:name w:val="Nagłówek małego dok 1"/>
    <w:basedOn w:val="Nagwek1"/>
    <w:rsid w:val="0017163C"/>
    <w:pPr>
      <w:numPr>
        <w:numId w:val="2"/>
      </w:numPr>
      <w:tabs>
        <w:tab w:val="clear" w:pos="720"/>
      </w:tabs>
      <w:spacing w:before="240" w:after="60"/>
      <w:ind w:left="4330"/>
      <w:jc w:val="left"/>
    </w:pPr>
    <w:rPr>
      <w:rFonts w:ascii="Arial" w:hAnsi="Arial" w:cs="Arial"/>
      <w:bCs/>
      <w:color w:val="0000FF"/>
      <w:kern w:val="32"/>
      <w:sz w:val="24"/>
      <w:szCs w:val="32"/>
    </w:rPr>
  </w:style>
  <w:style w:type="character" w:customStyle="1" w:styleId="AkapitzlistZnak">
    <w:name w:val="Akapit z listą Znak"/>
    <w:aliases w:val="Dot pt Znak,No Spacing1 Znak,List Paragraph Char Char Char Znak,Indicator Text Znak,Numbered Para 1 Znak,List Paragraph à moi Znak,LISTA Znak,Listaszerű bekezdés2 Znak,Listaszerű bekezdés1 Znak,Listaszerű bekezdés3 Znak"/>
    <w:link w:val="Akapitzlist"/>
    <w:uiPriority w:val="34"/>
    <w:qFormat/>
    <w:locked/>
    <w:rsid w:val="0017163C"/>
    <w:rPr>
      <w:rFonts w:ascii="Calibri" w:hAnsi="Calibri" w:cs="Calibri"/>
      <w:sz w:val="22"/>
      <w:szCs w:val="22"/>
      <w:lang w:eastAsia="ar-SA"/>
    </w:rPr>
  </w:style>
  <w:style w:type="paragraph" w:styleId="Lista2">
    <w:name w:val="List 2"/>
    <w:basedOn w:val="Normalny"/>
    <w:semiHidden/>
    <w:unhideWhenUsed/>
    <w:rsid w:val="0017163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7163C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rsid w:val="00171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uro.kontroli.i.audytu.wewnetrznego@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1AFEB8-E548-47CA-90EB-F4A789FD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3295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23021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Nałęcz Michał</cp:lastModifiedBy>
  <cp:revision>4</cp:revision>
  <cp:lastPrinted>2017-08-29T10:15:00Z</cp:lastPrinted>
  <dcterms:created xsi:type="dcterms:W3CDTF">2017-08-01T10:35:00Z</dcterms:created>
  <dcterms:modified xsi:type="dcterms:W3CDTF">2017-08-29T10:28:00Z</dcterms:modified>
</cp:coreProperties>
</file>