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drawings/drawing1.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drawings/drawing2.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drawings/drawing3.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drawings/drawing4.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drawings/drawing5.xml" ContentType="application/vnd.openxmlformats-officedocument.drawingml.chartshapes+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drawings/drawing6.xml" ContentType="application/vnd.openxmlformats-officedocument.drawingml.chartshapes+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drawings/drawing7.xml" ContentType="application/vnd.openxmlformats-officedocument.drawingml.chartshapes+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drawings/drawing8.xml" ContentType="application/vnd.openxmlformats-officedocument.drawingml.chartshapes+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76202886"/>
        <w:docPartObj>
          <w:docPartGallery w:val="Cover Pages"/>
          <w:docPartUnique/>
        </w:docPartObj>
      </w:sdtPr>
      <w:sdtEndPr/>
      <w:sdtContent>
        <w:p w14:paraId="39A118B5" w14:textId="33D6C011" w:rsidR="007A02C0" w:rsidRPr="0035160C" w:rsidRDefault="003D020E" w:rsidP="007A02C0">
          <w:r w:rsidRPr="0035160C">
            <w:rPr>
              <w:noProof/>
              <w:lang w:eastAsia="pl-PL"/>
            </w:rPr>
            <mc:AlternateContent>
              <mc:Choice Requires="wpg">
                <w:drawing>
                  <wp:anchor distT="0" distB="0" distL="114300" distR="114300" simplePos="0" relativeHeight="251662336" behindDoc="0" locked="0" layoutInCell="1" allowOverlap="1" wp14:anchorId="4A45AB98" wp14:editId="6DD4BAF6">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upa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Prostokąt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Prostokąt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35635881" id="Grupa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">
                    <v:shape id="Prostokąt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Prostokąt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sidRPr="0035160C">
            <w:rPr>
              <w:noProof/>
              <w:lang w:eastAsia="pl-PL"/>
            </w:rPr>
            <mc:AlternateContent>
              <mc:Choice Requires="wps">
                <w:drawing>
                  <wp:anchor distT="0" distB="0" distL="114300" distR="114300" simplePos="0" relativeHeight="251659264" behindDoc="0" locked="0" layoutInCell="1" allowOverlap="1" wp14:anchorId="517E25D8" wp14:editId="5A597626">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Pole tekstowe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CA3C46" w14:textId="6892200A" w:rsidR="0072137C" w:rsidRDefault="00E26E07" w:rsidP="003D020E">
                                <w:pPr>
                                  <w:jc w:val="right"/>
                                  <w:rPr>
                                    <w:color w:val="4472C4" w:themeColor="accent1"/>
                                    <w:sz w:val="64"/>
                                    <w:szCs w:val="64"/>
                                  </w:rPr>
                                </w:pPr>
                                <w:sdt>
                                  <w:sdtPr>
                                    <w:rPr>
                                      <w:b/>
                                      <w:bCs/>
                                      <w:caps/>
                                      <w:color w:val="4472C4" w:themeColor="accent1"/>
                                      <w:sz w:val="64"/>
                                      <w:szCs w:val="64"/>
                                    </w:rPr>
                                    <w:alias w:val="Tytuł"/>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72137C" w:rsidRPr="007A02C0">
                                      <w:rPr>
                                        <w:b/>
                                        <w:bCs/>
                                        <w:caps/>
                                        <w:color w:val="4472C4" w:themeColor="accent1"/>
                                        <w:sz w:val="64"/>
                                        <w:szCs w:val="64"/>
                                      </w:rPr>
                                      <w:t xml:space="preserve">AKTUALIZACJA </w:t>
                                    </w:r>
                                    <w:r w:rsidR="0072137C" w:rsidRPr="007A02C0">
                                      <w:rPr>
                                        <w:b/>
                                        <w:bCs/>
                                        <w:caps/>
                                        <w:color w:val="4472C4" w:themeColor="accent1"/>
                                        <w:sz w:val="64"/>
                                        <w:szCs w:val="64"/>
                                      </w:rPr>
                                      <w:br/>
                                    </w:r>
                                    <w:r w:rsidR="0072137C">
                                      <w:rPr>
                                        <w:b/>
                                        <w:bCs/>
                                        <w:caps/>
                                        <w:color w:val="4472C4" w:themeColor="accent1"/>
                                        <w:sz w:val="64"/>
                                        <w:szCs w:val="64"/>
                                      </w:rPr>
                                      <w:t xml:space="preserve">  </w:t>
                                    </w:r>
                                    <w:r w:rsidR="0072137C" w:rsidRPr="007A02C0">
                                      <w:rPr>
                                        <w:b/>
                                        <w:bCs/>
                                        <w:caps/>
                                        <w:color w:val="4472C4" w:themeColor="accent1"/>
                                        <w:sz w:val="64"/>
                                        <w:szCs w:val="64"/>
                                      </w:rPr>
                                      <w:t xml:space="preserve">KRAJOWEGO PROGRAMU OCHRONY POWIETRZA </w:t>
                                    </w:r>
                                    <w:r w:rsidR="0072137C" w:rsidRPr="007A02C0">
                                      <w:rPr>
                                        <w:b/>
                                        <w:bCs/>
                                        <w:caps/>
                                        <w:color w:val="4472C4" w:themeColor="accent1"/>
                                        <w:sz w:val="64"/>
                                        <w:szCs w:val="64"/>
                                      </w:rPr>
                                      <w:br/>
                                    </w:r>
                                    <w:r w:rsidR="0072137C" w:rsidRPr="007A02C0">
                                      <w:rPr>
                                        <w:b/>
                                        <w:bCs/>
                                        <w:color w:val="4472C4" w:themeColor="accent1"/>
                                        <w:sz w:val="64"/>
                                        <w:szCs w:val="64"/>
                                      </w:rPr>
                                      <w:t>do</w:t>
                                    </w:r>
                                    <w:r w:rsidR="0072137C" w:rsidRPr="007A02C0">
                                      <w:rPr>
                                        <w:b/>
                                        <w:bCs/>
                                        <w:caps/>
                                        <w:color w:val="4472C4" w:themeColor="accent1"/>
                                        <w:sz w:val="64"/>
                                        <w:szCs w:val="64"/>
                                      </w:rPr>
                                      <w:t xml:space="preserve"> 2025 </w:t>
                                    </w:r>
                                    <w:r w:rsidR="0072137C" w:rsidRPr="007A02C0">
                                      <w:rPr>
                                        <w:b/>
                                        <w:bCs/>
                                        <w:color w:val="4472C4" w:themeColor="accent1"/>
                                        <w:sz w:val="64"/>
                                        <w:szCs w:val="64"/>
                                      </w:rPr>
                                      <w:t xml:space="preserve">r. </w:t>
                                    </w:r>
                                    <w:r w:rsidR="0072137C">
                                      <w:rPr>
                                        <w:b/>
                                        <w:bCs/>
                                        <w:color w:val="4472C4" w:themeColor="accent1"/>
                                        <w:sz w:val="64"/>
                                        <w:szCs w:val="64"/>
                                      </w:rPr>
                                      <w:br/>
                                      <w:t>(</w:t>
                                    </w:r>
                                    <w:r w:rsidR="0072137C" w:rsidRPr="007A02C0">
                                      <w:rPr>
                                        <w:b/>
                                        <w:bCs/>
                                        <w:color w:val="4472C4" w:themeColor="accent1"/>
                                        <w:sz w:val="64"/>
                                        <w:szCs w:val="64"/>
                                      </w:rPr>
                                      <w:t>z perspektywą do 2030 r. oraz do 2040 r.)</w:t>
                                    </w:r>
                                  </w:sdtContent>
                                </w:sdt>
                              </w:p>
                              <w:p w14:paraId="6377139B" w14:textId="77777777" w:rsidR="0072137C" w:rsidRDefault="0072137C" w:rsidP="007A02C0">
                                <w:pPr>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517E25D8" id="_x0000_t202" coordsize="21600,21600" o:spt="202" path="m,l,21600r21600,l21600,xe">
                    <v:stroke joinstyle="miter"/>
                    <v:path gradientshapeok="t" o:connecttype="rect"/>
                  </v:shapetype>
                  <v:shape id="Pole tekstowe 154" o:spid="_x0000_s1026"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BdpwTiE&#10;AgAAZwUAAA4AAAAAAAAAAAAAAAAALgIAAGRycy9lMm9Eb2MueG1sUEsBAi0AFAAGAAgAAAAhAMNN&#10;UIDbAAAABgEAAA8AAAAAAAAAAAAAAAAA3gQAAGRycy9kb3ducmV2LnhtbFBLBQYAAAAABAAEAPMA&#10;AADmBQAAAAA=&#10;" filled="f" stroked="f" strokeweight=".5pt">
                    <v:textbox inset="126pt,0,54pt,0">
                      <w:txbxContent>
                        <w:p w14:paraId="42CA3C46" w14:textId="6892200A" w:rsidR="0072137C" w:rsidRDefault="00317A8D" w:rsidP="003D020E">
                          <w:pPr>
                            <w:jc w:val="right"/>
                            <w:rPr>
                              <w:color w:val="4472C4" w:themeColor="accent1"/>
                              <w:sz w:val="64"/>
                              <w:szCs w:val="64"/>
                            </w:rPr>
                          </w:pPr>
                          <w:sdt>
                            <w:sdtPr>
                              <w:rPr>
                                <w:b/>
                                <w:bCs/>
                                <w:caps/>
                                <w:color w:val="4472C4" w:themeColor="accent1"/>
                                <w:sz w:val="64"/>
                                <w:szCs w:val="64"/>
                              </w:rPr>
                              <w:alias w:val="Tytuł"/>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72137C" w:rsidRPr="007A02C0">
                                <w:rPr>
                                  <w:b/>
                                  <w:bCs/>
                                  <w:caps/>
                                  <w:color w:val="4472C4" w:themeColor="accent1"/>
                                  <w:sz w:val="64"/>
                                  <w:szCs w:val="64"/>
                                </w:rPr>
                                <w:t xml:space="preserve">AKTUALIZACJA </w:t>
                              </w:r>
                              <w:r w:rsidR="0072137C" w:rsidRPr="007A02C0">
                                <w:rPr>
                                  <w:b/>
                                  <w:bCs/>
                                  <w:caps/>
                                  <w:color w:val="4472C4" w:themeColor="accent1"/>
                                  <w:sz w:val="64"/>
                                  <w:szCs w:val="64"/>
                                </w:rPr>
                                <w:br/>
                              </w:r>
                              <w:r w:rsidR="0072137C">
                                <w:rPr>
                                  <w:b/>
                                  <w:bCs/>
                                  <w:caps/>
                                  <w:color w:val="4472C4" w:themeColor="accent1"/>
                                  <w:sz w:val="64"/>
                                  <w:szCs w:val="64"/>
                                </w:rPr>
                                <w:t xml:space="preserve">  </w:t>
                              </w:r>
                              <w:r w:rsidR="0072137C" w:rsidRPr="007A02C0">
                                <w:rPr>
                                  <w:b/>
                                  <w:bCs/>
                                  <w:caps/>
                                  <w:color w:val="4472C4" w:themeColor="accent1"/>
                                  <w:sz w:val="64"/>
                                  <w:szCs w:val="64"/>
                                </w:rPr>
                                <w:t xml:space="preserve">KRAJOWEGO PROGRAMU OCHRONY POWIETRZA </w:t>
                              </w:r>
                              <w:r w:rsidR="0072137C" w:rsidRPr="007A02C0">
                                <w:rPr>
                                  <w:b/>
                                  <w:bCs/>
                                  <w:caps/>
                                  <w:color w:val="4472C4" w:themeColor="accent1"/>
                                  <w:sz w:val="64"/>
                                  <w:szCs w:val="64"/>
                                </w:rPr>
                                <w:br/>
                              </w:r>
                              <w:r w:rsidR="0072137C" w:rsidRPr="007A02C0">
                                <w:rPr>
                                  <w:b/>
                                  <w:bCs/>
                                  <w:color w:val="4472C4" w:themeColor="accent1"/>
                                  <w:sz w:val="64"/>
                                  <w:szCs w:val="64"/>
                                </w:rPr>
                                <w:t>do</w:t>
                              </w:r>
                              <w:r w:rsidR="0072137C" w:rsidRPr="007A02C0">
                                <w:rPr>
                                  <w:b/>
                                  <w:bCs/>
                                  <w:caps/>
                                  <w:color w:val="4472C4" w:themeColor="accent1"/>
                                  <w:sz w:val="64"/>
                                  <w:szCs w:val="64"/>
                                </w:rPr>
                                <w:t xml:space="preserve"> 2025 </w:t>
                              </w:r>
                              <w:r w:rsidR="0072137C" w:rsidRPr="007A02C0">
                                <w:rPr>
                                  <w:b/>
                                  <w:bCs/>
                                  <w:color w:val="4472C4" w:themeColor="accent1"/>
                                  <w:sz w:val="64"/>
                                  <w:szCs w:val="64"/>
                                </w:rPr>
                                <w:t xml:space="preserve">r. </w:t>
                              </w:r>
                              <w:r w:rsidR="0072137C">
                                <w:rPr>
                                  <w:b/>
                                  <w:bCs/>
                                  <w:color w:val="4472C4" w:themeColor="accent1"/>
                                  <w:sz w:val="64"/>
                                  <w:szCs w:val="64"/>
                                </w:rPr>
                                <w:br/>
                                <w:t>(</w:t>
                              </w:r>
                              <w:r w:rsidR="0072137C" w:rsidRPr="007A02C0">
                                <w:rPr>
                                  <w:b/>
                                  <w:bCs/>
                                  <w:color w:val="4472C4" w:themeColor="accent1"/>
                                  <w:sz w:val="64"/>
                                  <w:szCs w:val="64"/>
                                </w:rPr>
                                <w:t>z perspektywą do 2030 r. oraz do 2040 r.)</w:t>
                              </w:r>
                            </w:sdtContent>
                          </w:sdt>
                        </w:p>
                        <w:p w14:paraId="6377139B" w14:textId="77777777" w:rsidR="0072137C" w:rsidRDefault="0072137C" w:rsidP="007A02C0">
                          <w:pPr>
                            <w:rPr>
                              <w:smallCaps/>
                              <w:color w:val="404040" w:themeColor="text1" w:themeTint="BF"/>
                              <w:sz w:val="36"/>
                              <w:szCs w:val="36"/>
                            </w:rPr>
                          </w:pPr>
                        </w:p>
                      </w:txbxContent>
                    </v:textbox>
                    <w10:wrap type="square" anchorx="page" anchory="page"/>
                  </v:shape>
                </w:pict>
              </mc:Fallback>
            </mc:AlternateContent>
          </w:r>
        </w:p>
      </w:sdtContent>
    </w:sdt>
    <w:p w14:paraId="743D99D6" w14:textId="77777777" w:rsidR="000A3E44" w:rsidRPr="0035160C" w:rsidRDefault="000A3E44" w:rsidP="007A02C0">
      <w:pPr>
        <w:rPr>
          <w:rFonts w:eastAsia="Calibri" w:cs="Times New Roman"/>
          <w:b/>
          <w:bCs/>
          <w:color w:val="5B9BD5"/>
          <w:sz w:val="64"/>
          <w:szCs w:val="64"/>
        </w:rPr>
      </w:pPr>
      <w:r w:rsidRPr="0035160C">
        <w:rPr>
          <w:rFonts w:eastAsia="Calibri" w:cs="Times New Roman"/>
          <w:b/>
          <w:bCs/>
          <w:color w:val="5B9BD5"/>
          <w:sz w:val="64"/>
          <w:szCs w:val="64"/>
        </w:rPr>
        <w:br/>
      </w:r>
      <w:r w:rsidRPr="0035160C">
        <w:rPr>
          <w:rFonts w:eastAsia="Calibri" w:cs="Times New Roman"/>
          <w:b/>
          <w:bCs/>
          <w:color w:val="5B9BD5"/>
          <w:sz w:val="64"/>
          <w:szCs w:val="64"/>
        </w:rPr>
        <w:br/>
      </w:r>
      <w:r w:rsidRPr="0035160C">
        <w:rPr>
          <w:rFonts w:eastAsia="Calibri" w:cs="Times New Roman"/>
          <w:b/>
          <w:bCs/>
          <w:color w:val="5B9BD5"/>
          <w:sz w:val="64"/>
          <w:szCs w:val="64"/>
        </w:rPr>
        <w:br/>
      </w:r>
    </w:p>
    <w:p w14:paraId="7A43AEE2" w14:textId="77777777" w:rsidR="00384CC1" w:rsidRPr="0035160C" w:rsidRDefault="00384CC1"/>
    <w:p w14:paraId="38EC033D" w14:textId="77777777" w:rsidR="007A02C0" w:rsidRPr="0035160C" w:rsidRDefault="007A02C0"/>
    <w:p w14:paraId="51450D95" w14:textId="5093257D" w:rsidR="007A02C0" w:rsidRPr="0035160C" w:rsidRDefault="00263293">
      <w:r w:rsidRPr="0035160C">
        <w:rPr>
          <w:noProof/>
          <w:lang w:eastAsia="pl-PL"/>
        </w:rPr>
        <mc:AlternateContent>
          <mc:Choice Requires="wps">
            <w:drawing>
              <wp:anchor distT="0" distB="0" distL="114300" distR="114300" simplePos="0" relativeHeight="251660288" behindDoc="0" locked="0" layoutInCell="1" allowOverlap="1" wp14:anchorId="151559EB" wp14:editId="38121A08">
                <wp:simplePos x="0" y="0"/>
                <wp:positionH relativeFrom="page">
                  <wp:posOffset>-1003935</wp:posOffset>
                </wp:positionH>
                <wp:positionV relativeFrom="margin">
                  <wp:align>bottom</wp:align>
                </wp:positionV>
                <wp:extent cx="8876030" cy="975360"/>
                <wp:effectExtent l="0" t="0" r="0" b="6985"/>
                <wp:wrapSquare wrapText="bothSides"/>
                <wp:docPr id="152" name="Pole tekstowe 152"/>
                <wp:cNvGraphicFramePr/>
                <a:graphic xmlns:a="http://schemas.openxmlformats.org/drawingml/2006/main">
                  <a:graphicData uri="http://schemas.microsoft.com/office/word/2010/wordprocessingShape">
                    <wps:wsp>
                      <wps:cNvSpPr txBox="1"/>
                      <wps:spPr>
                        <a:xfrm>
                          <a:off x="0" y="0"/>
                          <a:ext cx="8876030" cy="975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0672B1" w14:textId="77777777" w:rsidR="0072137C" w:rsidRPr="00384CC1" w:rsidRDefault="0072137C" w:rsidP="00263293">
                            <w:pPr>
                              <w:ind w:firstLine="2410"/>
                              <w:jc w:val="center"/>
                              <w:rPr>
                                <w:b/>
                              </w:rPr>
                            </w:pPr>
                            <w:r w:rsidRPr="00384CC1">
                              <w:rPr>
                                <w:b/>
                              </w:rPr>
                              <w:t>MINISTERSTWO KLIMATU I ŚRODOWISKA</w:t>
                            </w:r>
                          </w:p>
                          <w:p w14:paraId="186AD455" w14:textId="77777777" w:rsidR="0072137C" w:rsidRPr="00384CC1" w:rsidRDefault="0072137C" w:rsidP="00263293">
                            <w:pPr>
                              <w:ind w:firstLine="2410"/>
                              <w:jc w:val="center"/>
                              <w:rPr>
                                <w:b/>
                              </w:rPr>
                            </w:pPr>
                          </w:p>
                          <w:p w14:paraId="55608729" w14:textId="7CC13C0E" w:rsidR="0072137C" w:rsidRPr="00384CC1" w:rsidRDefault="0072137C" w:rsidP="00263293">
                            <w:pPr>
                              <w:ind w:firstLine="2410"/>
                              <w:jc w:val="center"/>
                            </w:pPr>
                            <w:r w:rsidRPr="00384CC1">
                              <w:t xml:space="preserve">WARSZAWA, </w:t>
                            </w:r>
                            <w:r>
                              <w:t>LIPIEC</w:t>
                            </w:r>
                            <w:r w:rsidRPr="00384CC1">
                              <w:t xml:space="preserve"> 202</w:t>
                            </w:r>
                            <w:r>
                              <w:t>1 r.</w:t>
                            </w:r>
                          </w:p>
                          <w:p w14:paraId="732E1844" w14:textId="77777777" w:rsidR="0072137C" w:rsidRDefault="0072137C" w:rsidP="003D020E">
                            <w:pPr>
                              <w:pStyle w:val="Bezodstpw"/>
                              <w:jc w:val="center"/>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151559EB" id="Pole tekstowe 152" o:spid="_x0000_s1027" type="#_x0000_t202" style="position:absolute;margin-left:-79.05pt;margin-top:0;width:698.9pt;height:76.8pt;z-index:251660288;visibility:visible;mso-wrap-style:square;mso-width-percent:941;mso-height-percent:92;mso-wrap-distance-left:9pt;mso-wrap-distance-top:0;mso-wrap-distance-right:9pt;mso-wrap-distance-bottom:0;mso-position-horizontal:absolute;mso-position-horizontal-relative:page;mso-position-vertical:bottom;mso-position-vertical-relative:margin;mso-width-percent:941;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" filled="f" stroked="f" strokeweight=".5pt">
                <v:textbox inset="126pt,0,54pt,0">
                  <w:txbxContent>
                    <w:p w14:paraId="3E0672B1" w14:textId="77777777" w:rsidR="0072137C" w:rsidRPr="00384CC1" w:rsidRDefault="0072137C" w:rsidP="00263293">
                      <w:pPr>
                        <w:ind w:firstLine="2410"/>
                        <w:jc w:val="center"/>
                        <w:rPr>
                          <w:b/>
                        </w:rPr>
                      </w:pPr>
                      <w:r w:rsidRPr="00384CC1">
                        <w:rPr>
                          <w:b/>
                        </w:rPr>
                        <w:t>MINISTERSTWO KLIMATU I ŚRODOWISKA</w:t>
                      </w:r>
                    </w:p>
                    <w:p w14:paraId="186AD455" w14:textId="77777777" w:rsidR="0072137C" w:rsidRPr="00384CC1" w:rsidRDefault="0072137C" w:rsidP="00263293">
                      <w:pPr>
                        <w:ind w:firstLine="2410"/>
                        <w:jc w:val="center"/>
                        <w:rPr>
                          <w:b/>
                        </w:rPr>
                      </w:pPr>
                    </w:p>
                    <w:p w14:paraId="55608729" w14:textId="7CC13C0E" w:rsidR="0072137C" w:rsidRPr="00384CC1" w:rsidRDefault="0072137C" w:rsidP="00263293">
                      <w:pPr>
                        <w:ind w:firstLine="2410"/>
                        <w:jc w:val="center"/>
                      </w:pPr>
                      <w:r w:rsidRPr="00384CC1">
                        <w:t xml:space="preserve">WARSZAWA, </w:t>
                      </w:r>
                      <w:r>
                        <w:t>LIPIEC</w:t>
                      </w:r>
                      <w:r w:rsidRPr="00384CC1">
                        <w:t xml:space="preserve"> 202</w:t>
                      </w:r>
                      <w:r>
                        <w:t>1 r.</w:t>
                      </w:r>
                    </w:p>
                    <w:p w14:paraId="732E1844" w14:textId="77777777" w:rsidR="0072137C" w:rsidRDefault="0072137C" w:rsidP="003D020E">
                      <w:pPr>
                        <w:pStyle w:val="Bezodstpw"/>
                        <w:jc w:val="center"/>
                        <w:rPr>
                          <w:color w:val="595959" w:themeColor="text1" w:themeTint="A6"/>
                          <w:sz w:val="18"/>
                          <w:szCs w:val="18"/>
                        </w:rPr>
                      </w:pPr>
                    </w:p>
                  </w:txbxContent>
                </v:textbox>
                <w10:wrap type="square" anchorx="page" anchory="margin"/>
              </v:shape>
            </w:pict>
          </mc:Fallback>
        </mc:AlternateContent>
      </w:r>
      <w:r w:rsidR="007A02C0" w:rsidRPr="0035160C">
        <w:br w:type="page"/>
      </w:r>
    </w:p>
    <w:bookmarkStart w:id="0" w:name="_Toc4760428" w:displacedByCustomXml="next"/>
    <w:bookmarkStart w:id="1" w:name="_Toc536359327" w:displacedByCustomXml="next"/>
    <w:sdt>
      <w:sdtPr>
        <w:rPr>
          <w:rFonts w:asciiTheme="minorHAnsi" w:eastAsiaTheme="minorHAnsi" w:hAnsiTheme="minorHAnsi" w:cstheme="minorBidi"/>
          <w:color w:val="auto"/>
          <w:sz w:val="22"/>
          <w:szCs w:val="22"/>
          <w:lang w:eastAsia="en-US"/>
        </w:rPr>
        <w:id w:val="517047221"/>
        <w:docPartObj>
          <w:docPartGallery w:val="Table of Contents"/>
          <w:docPartUnique/>
        </w:docPartObj>
      </w:sdtPr>
      <w:sdtEndPr>
        <w:rPr>
          <w:b/>
          <w:bCs/>
        </w:rPr>
      </w:sdtEndPr>
      <w:sdtContent>
        <w:p w14:paraId="5E8585E4" w14:textId="0DFDBF13" w:rsidR="001C78DF" w:rsidRPr="0035160C" w:rsidRDefault="001C78DF">
          <w:pPr>
            <w:pStyle w:val="Nagwekspisutreci"/>
            <w:rPr>
              <w:rFonts w:asciiTheme="minorHAnsi" w:hAnsiTheme="minorHAnsi"/>
            </w:rPr>
          </w:pPr>
          <w:r w:rsidRPr="0035160C">
            <w:rPr>
              <w:rFonts w:asciiTheme="minorHAnsi" w:hAnsiTheme="minorHAnsi"/>
            </w:rPr>
            <w:t>Spis treści</w:t>
          </w:r>
        </w:p>
        <w:p w14:paraId="3C066527" w14:textId="51881219" w:rsidR="00263293" w:rsidRDefault="001C78DF">
          <w:pPr>
            <w:pStyle w:val="Spistreci1"/>
            <w:tabs>
              <w:tab w:val="right" w:leader="dot" w:pos="9060"/>
            </w:tabs>
            <w:rPr>
              <w:rFonts w:eastAsiaTheme="minorEastAsia"/>
              <w:noProof/>
              <w:lang w:eastAsia="pl-PL"/>
            </w:rPr>
          </w:pPr>
          <w:r w:rsidRPr="0035160C">
            <w:rPr>
              <w:b/>
              <w:bCs/>
            </w:rPr>
            <w:fldChar w:fldCharType="begin"/>
          </w:r>
          <w:r w:rsidRPr="0035160C">
            <w:rPr>
              <w:b/>
              <w:bCs/>
            </w:rPr>
            <w:instrText xml:space="preserve"> TOC \o "1-3" \h \z \u </w:instrText>
          </w:r>
          <w:r w:rsidRPr="0035160C">
            <w:rPr>
              <w:b/>
              <w:bCs/>
            </w:rPr>
            <w:fldChar w:fldCharType="separate"/>
          </w:r>
          <w:hyperlink w:anchor="_Toc78205871" w:history="1">
            <w:r w:rsidR="00263293" w:rsidRPr="00256285">
              <w:rPr>
                <w:rStyle w:val="Hipercze"/>
                <w:b/>
                <w:noProof/>
              </w:rPr>
              <w:t>Indeks skrótów</w:t>
            </w:r>
            <w:r w:rsidR="00263293">
              <w:rPr>
                <w:noProof/>
                <w:webHidden/>
              </w:rPr>
              <w:tab/>
            </w:r>
            <w:r w:rsidR="00263293">
              <w:rPr>
                <w:noProof/>
                <w:webHidden/>
              </w:rPr>
              <w:fldChar w:fldCharType="begin"/>
            </w:r>
            <w:r w:rsidR="00263293">
              <w:rPr>
                <w:noProof/>
                <w:webHidden/>
              </w:rPr>
              <w:instrText xml:space="preserve"> PAGEREF _Toc78205871 \h </w:instrText>
            </w:r>
            <w:r w:rsidR="00263293">
              <w:rPr>
                <w:noProof/>
                <w:webHidden/>
              </w:rPr>
            </w:r>
            <w:r w:rsidR="00263293">
              <w:rPr>
                <w:noProof/>
                <w:webHidden/>
              </w:rPr>
              <w:fldChar w:fldCharType="separate"/>
            </w:r>
            <w:r w:rsidR="00270F78">
              <w:rPr>
                <w:noProof/>
                <w:webHidden/>
              </w:rPr>
              <w:t>3</w:t>
            </w:r>
            <w:r w:rsidR="00263293">
              <w:rPr>
                <w:noProof/>
                <w:webHidden/>
              </w:rPr>
              <w:fldChar w:fldCharType="end"/>
            </w:r>
          </w:hyperlink>
        </w:p>
        <w:p w14:paraId="5C63597D" w14:textId="795AA592" w:rsidR="00263293" w:rsidRDefault="00E26E07">
          <w:pPr>
            <w:pStyle w:val="Spistreci1"/>
            <w:tabs>
              <w:tab w:val="left" w:pos="440"/>
              <w:tab w:val="right" w:leader="dot" w:pos="9060"/>
            </w:tabs>
            <w:rPr>
              <w:rFonts w:eastAsiaTheme="minorEastAsia"/>
              <w:noProof/>
              <w:lang w:eastAsia="pl-PL"/>
            </w:rPr>
          </w:pPr>
          <w:hyperlink w:anchor="_Toc78205872" w:history="1">
            <w:r w:rsidR="00263293" w:rsidRPr="00256285">
              <w:rPr>
                <w:rStyle w:val="Hipercze"/>
                <w:b/>
                <w:noProof/>
                <w14:scene3d>
                  <w14:camera w14:prst="orthographicFront"/>
                  <w14:lightRig w14:rig="threePt" w14:dir="t">
                    <w14:rot w14:lat="0" w14:lon="0" w14:rev="0"/>
                  </w14:lightRig>
                </w14:scene3d>
              </w:rPr>
              <w:t>1</w:t>
            </w:r>
            <w:r w:rsidR="00263293">
              <w:rPr>
                <w:rFonts w:eastAsiaTheme="minorEastAsia"/>
                <w:noProof/>
                <w:lang w:eastAsia="pl-PL"/>
              </w:rPr>
              <w:tab/>
            </w:r>
            <w:r w:rsidR="00263293" w:rsidRPr="00256285">
              <w:rPr>
                <w:rStyle w:val="Hipercze"/>
                <w:b/>
                <w:noProof/>
              </w:rPr>
              <w:t>Wprowadzenie</w:t>
            </w:r>
            <w:r w:rsidR="00263293">
              <w:rPr>
                <w:noProof/>
                <w:webHidden/>
              </w:rPr>
              <w:tab/>
            </w:r>
            <w:r w:rsidR="00263293">
              <w:rPr>
                <w:noProof/>
                <w:webHidden/>
              </w:rPr>
              <w:fldChar w:fldCharType="begin"/>
            </w:r>
            <w:r w:rsidR="00263293">
              <w:rPr>
                <w:noProof/>
                <w:webHidden/>
              </w:rPr>
              <w:instrText xml:space="preserve"> PAGEREF _Toc78205872 \h </w:instrText>
            </w:r>
            <w:r w:rsidR="00263293">
              <w:rPr>
                <w:noProof/>
                <w:webHidden/>
              </w:rPr>
            </w:r>
            <w:r w:rsidR="00263293">
              <w:rPr>
                <w:noProof/>
                <w:webHidden/>
              </w:rPr>
              <w:fldChar w:fldCharType="separate"/>
            </w:r>
            <w:r w:rsidR="00270F78">
              <w:rPr>
                <w:noProof/>
                <w:webHidden/>
              </w:rPr>
              <w:t>5</w:t>
            </w:r>
            <w:r w:rsidR="00263293">
              <w:rPr>
                <w:noProof/>
                <w:webHidden/>
              </w:rPr>
              <w:fldChar w:fldCharType="end"/>
            </w:r>
          </w:hyperlink>
        </w:p>
        <w:p w14:paraId="6A6D05D2" w14:textId="4B2CEA05" w:rsidR="00263293" w:rsidRDefault="00E26E07">
          <w:pPr>
            <w:pStyle w:val="Spistreci1"/>
            <w:tabs>
              <w:tab w:val="left" w:pos="440"/>
              <w:tab w:val="right" w:leader="dot" w:pos="9060"/>
            </w:tabs>
            <w:rPr>
              <w:rFonts w:eastAsiaTheme="minorEastAsia"/>
              <w:noProof/>
              <w:lang w:eastAsia="pl-PL"/>
            </w:rPr>
          </w:pPr>
          <w:hyperlink w:anchor="_Toc78205873" w:history="1">
            <w:r w:rsidR="00263293" w:rsidRPr="00256285">
              <w:rPr>
                <w:rStyle w:val="Hipercze"/>
                <w:b/>
                <w:noProof/>
              </w:rPr>
              <w:t>2.</w:t>
            </w:r>
            <w:r w:rsidR="00263293">
              <w:rPr>
                <w:rFonts w:eastAsiaTheme="minorEastAsia"/>
                <w:noProof/>
                <w:lang w:eastAsia="pl-PL"/>
              </w:rPr>
              <w:tab/>
            </w:r>
            <w:r w:rsidR="00263293" w:rsidRPr="00256285">
              <w:rPr>
                <w:rStyle w:val="Hipercze"/>
                <w:b/>
                <w:noProof/>
              </w:rPr>
              <w:t>Podsumowanie stanu realizacji Krajowego Programu Ochrony Powietrza do 2020 r.  (z perspektywą do 2030 r.)</w:t>
            </w:r>
            <w:r w:rsidR="00263293">
              <w:rPr>
                <w:noProof/>
                <w:webHidden/>
              </w:rPr>
              <w:tab/>
            </w:r>
            <w:r w:rsidR="00263293">
              <w:rPr>
                <w:noProof/>
                <w:webHidden/>
              </w:rPr>
              <w:fldChar w:fldCharType="begin"/>
            </w:r>
            <w:r w:rsidR="00263293">
              <w:rPr>
                <w:noProof/>
                <w:webHidden/>
              </w:rPr>
              <w:instrText xml:space="preserve"> PAGEREF _Toc78205873 \h </w:instrText>
            </w:r>
            <w:r w:rsidR="00263293">
              <w:rPr>
                <w:noProof/>
                <w:webHidden/>
              </w:rPr>
            </w:r>
            <w:r w:rsidR="00263293">
              <w:rPr>
                <w:noProof/>
                <w:webHidden/>
              </w:rPr>
              <w:fldChar w:fldCharType="separate"/>
            </w:r>
            <w:r w:rsidR="00270F78">
              <w:rPr>
                <w:noProof/>
                <w:webHidden/>
              </w:rPr>
              <w:t>7</w:t>
            </w:r>
            <w:r w:rsidR="00263293">
              <w:rPr>
                <w:noProof/>
                <w:webHidden/>
              </w:rPr>
              <w:fldChar w:fldCharType="end"/>
            </w:r>
          </w:hyperlink>
        </w:p>
        <w:p w14:paraId="73853B54" w14:textId="1AAD3237" w:rsidR="00263293" w:rsidRDefault="00E26E07">
          <w:pPr>
            <w:pStyle w:val="Spistreci1"/>
            <w:tabs>
              <w:tab w:val="left" w:pos="440"/>
              <w:tab w:val="right" w:leader="dot" w:pos="9060"/>
            </w:tabs>
            <w:rPr>
              <w:rFonts w:eastAsiaTheme="minorEastAsia"/>
              <w:noProof/>
              <w:lang w:eastAsia="pl-PL"/>
            </w:rPr>
          </w:pPr>
          <w:hyperlink w:anchor="_Toc78205874" w:history="1">
            <w:r w:rsidR="00263293" w:rsidRPr="00256285">
              <w:rPr>
                <w:rStyle w:val="Hipercze"/>
                <w:b/>
                <w:noProof/>
              </w:rPr>
              <w:t>3.</w:t>
            </w:r>
            <w:r w:rsidR="00263293">
              <w:rPr>
                <w:rFonts w:eastAsiaTheme="minorEastAsia"/>
                <w:noProof/>
                <w:lang w:eastAsia="pl-PL"/>
              </w:rPr>
              <w:tab/>
            </w:r>
            <w:r w:rsidR="00263293" w:rsidRPr="00256285">
              <w:rPr>
                <w:rStyle w:val="Hipercze"/>
                <w:b/>
                <w:noProof/>
              </w:rPr>
              <w:t>Streszczenie aktualizacji Krajowego Programu Ochrony Powietrza</w:t>
            </w:r>
            <w:r w:rsidR="00263293">
              <w:rPr>
                <w:noProof/>
                <w:webHidden/>
              </w:rPr>
              <w:tab/>
            </w:r>
            <w:r w:rsidR="00263293">
              <w:rPr>
                <w:noProof/>
                <w:webHidden/>
              </w:rPr>
              <w:fldChar w:fldCharType="begin"/>
            </w:r>
            <w:r w:rsidR="00263293">
              <w:rPr>
                <w:noProof/>
                <w:webHidden/>
              </w:rPr>
              <w:instrText xml:space="preserve"> PAGEREF _Toc78205874 \h </w:instrText>
            </w:r>
            <w:r w:rsidR="00263293">
              <w:rPr>
                <w:noProof/>
                <w:webHidden/>
              </w:rPr>
            </w:r>
            <w:r w:rsidR="00263293">
              <w:rPr>
                <w:noProof/>
                <w:webHidden/>
              </w:rPr>
              <w:fldChar w:fldCharType="separate"/>
            </w:r>
            <w:r w:rsidR="00270F78">
              <w:rPr>
                <w:noProof/>
                <w:webHidden/>
              </w:rPr>
              <w:t>9</w:t>
            </w:r>
            <w:r w:rsidR="00263293">
              <w:rPr>
                <w:noProof/>
                <w:webHidden/>
              </w:rPr>
              <w:fldChar w:fldCharType="end"/>
            </w:r>
          </w:hyperlink>
        </w:p>
        <w:p w14:paraId="5941F0E3" w14:textId="10C2EFE4" w:rsidR="00263293" w:rsidRDefault="00E26E07">
          <w:pPr>
            <w:pStyle w:val="Spistreci1"/>
            <w:tabs>
              <w:tab w:val="left" w:pos="440"/>
              <w:tab w:val="right" w:leader="dot" w:pos="9060"/>
            </w:tabs>
            <w:rPr>
              <w:rFonts w:eastAsiaTheme="minorEastAsia"/>
              <w:noProof/>
              <w:lang w:eastAsia="pl-PL"/>
            </w:rPr>
          </w:pPr>
          <w:hyperlink w:anchor="_Toc78205875" w:history="1">
            <w:r w:rsidR="00263293" w:rsidRPr="00256285">
              <w:rPr>
                <w:rStyle w:val="Hipercze"/>
                <w:b/>
                <w:noProof/>
              </w:rPr>
              <w:t>4.</w:t>
            </w:r>
            <w:r w:rsidR="00263293">
              <w:rPr>
                <w:rFonts w:eastAsiaTheme="minorEastAsia"/>
                <w:noProof/>
                <w:lang w:eastAsia="pl-PL"/>
              </w:rPr>
              <w:tab/>
            </w:r>
            <w:r w:rsidR="00263293" w:rsidRPr="00256285">
              <w:rPr>
                <w:rStyle w:val="Hipercze"/>
                <w:b/>
                <w:noProof/>
              </w:rPr>
              <w:t>Krajowe ramy polityki dotyczącej jakości powietrza i zanieczyszczenia powietrza - miejsce i rola aktualizacji Krajowego Programu Ochrony Powietrza:</w:t>
            </w:r>
            <w:r w:rsidR="00263293">
              <w:rPr>
                <w:noProof/>
                <w:webHidden/>
              </w:rPr>
              <w:tab/>
            </w:r>
            <w:r w:rsidR="00263293">
              <w:rPr>
                <w:noProof/>
                <w:webHidden/>
              </w:rPr>
              <w:fldChar w:fldCharType="begin"/>
            </w:r>
            <w:r w:rsidR="00263293">
              <w:rPr>
                <w:noProof/>
                <w:webHidden/>
              </w:rPr>
              <w:instrText xml:space="preserve"> PAGEREF _Toc78205875 \h </w:instrText>
            </w:r>
            <w:r w:rsidR="00263293">
              <w:rPr>
                <w:noProof/>
                <w:webHidden/>
              </w:rPr>
            </w:r>
            <w:r w:rsidR="00263293">
              <w:rPr>
                <w:noProof/>
                <w:webHidden/>
              </w:rPr>
              <w:fldChar w:fldCharType="separate"/>
            </w:r>
            <w:r w:rsidR="00270F78">
              <w:rPr>
                <w:noProof/>
                <w:webHidden/>
              </w:rPr>
              <w:t>11</w:t>
            </w:r>
            <w:r w:rsidR="00263293">
              <w:rPr>
                <w:noProof/>
                <w:webHidden/>
              </w:rPr>
              <w:fldChar w:fldCharType="end"/>
            </w:r>
          </w:hyperlink>
        </w:p>
        <w:p w14:paraId="51C3198B" w14:textId="2BD669FC" w:rsidR="00263293" w:rsidRDefault="00E26E07">
          <w:pPr>
            <w:pStyle w:val="Spistreci2"/>
            <w:tabs>
              <w:tab w:val="left" w:pos="880"/>
              <w:tab w:val="right" w:leader="dot" w:pos="9060"/>
            </w:tabs>
            <w:rPr>
              <w:rFonts w:eastAsiaTheme="minorEastAsia"/>
              <w:noProof/>
              <w:lang w:eastAsia="pl-PL"/>
            </w:rPr>
          </w:pPr>
          <w:hyperlink w:anchor="_Toc78205876" w:history="1">
            <w:r w:rsidR="00263293" w:rsidRPr="00256285">
              <w:rPr>
                <w:rStyle w:val="Hipercze"/>
                <w:b/>
                <w:noProof/>
              </w:rPr>
              <w:t>4.1.</w:t>
            </w:r>
            <w:r w:rsidR="00263293">
              <w:rPr>
                <w:rFonts w:eastAsiaTheme="minorEastAsia"/>
                <w:noProof/>
                <w:lang w:eastAsia="pl-PL"/>
              </w:rPr>
              <w:tab/>
            </w:r>
            <w:r w:rsidR="00263293" w:rsidRPr="00256285">
              <w:rPr>
                <w:rStyle w:val="Hipercze"/>
                <w:b/>
                <w:noProof/>
              </w:rPr>
              <w:t>Priorytety polityczne i ich odniesienie do priorytetów określonych w innych powiązanych obszarach polityki.</w:t>
            </w:r>
            <w:r w:rsidR="00263293">
              <w:rPr>
                <w:noProof/>
                <w:webHidden/>
              </w:rPr>
              <w:tab/>
            </w:r>
            <w:r w:rsidR="00263293">
              <w:rPr>
                <w:noProof/>
                <w:webHidden/>
              </w:rPr>
              <w:fldChar w:fldCharType="begin"/>
            </w:r>
            <w:r w:rsidR="00263293">
              <w:rPr>
                <w:noProof/>
                <w:webHidden/>
              </w:rPr>
              <w:instrText xml:space="preserve"> PAGEREF _Toc78205876 \h </w:instrText>
            </w:r>
            <w:r w:rsidR="00263293">
              <w:rPr>
                <w:noProof/>
                <w:webHidden/>
              </w:rPr>
            </w:r>
            <w:r w:rsidR="00263293">
              <w:rPr>
                <w:noProof/>
                <w:webHidden/>
              </w:rPr>
              <w:fldChar w:fldCharType="separate"/>
            </w:r>
            <w:r w:rsidR="00270F78">
              <w:rPr>
                <w:noProof/>
                <w:webHidden/>
              </w:rPr>
              <w:t>11</w:t>
            </w:r>
            <w:r w:rsidR="00263293">
              <w:rPr>
                <w:noProof/>
                <w:webHidden/>
              </w:rPr>
              <w:fldChar w:fldCharType="end"/>
            </w:r>
          </w:hyperlink>
        </w:p>
        <w:p w14:paraId="44B7C49C" w14:textId="452BAFD6" w:rsidR="00263293" w:rsidRDefault="00E26E07">
          <w:pPr>
            <w:pStyle w:val="Spistreci2"/>
            <w:tabs>
              <w:tab w:val="left" w:pos="880"/>
              <w:tab w:val="right" w:leader="dot" w:pos="9060"/>
            </w:tabs>
            <w:rPr>
              <w:rFonts w:eastAsiaTheme="minorEastAsia"/>
              <w:noProof/>
              <w:lang w:eastAsia="pl-PL"/>
            </w:rPr>
          </w:pPr>
          <w:hyperlink w:anchor="_Toc78205877" w:history="1">
            <w:r w:rsidR="00263293" w:rsidRPr="00256285">
              <w:rPr>
                <w:rStyle w:val="Hipercze"/>
                <w:b/>
                <w:noProof/>
              </w:rPr>
              <w:t>4.2</w:t>
            </w:r>
            <w:r w:rsidR="00263293">
              <w:rPr>
                <w:rFonts w:eastAsiaTheme="minorEastAsia"/>
                <w:noProof/>
                <w:lang w:eastAsia="pl-PL"/>
              </w:rPr>
              <w:tab/>
            </w:r>
            <w:r w:rsidR="00263293" w:rsidRPr="00256285">
              <w:rPr>
                <w:rStyle w:val="Hipercze"/>
                <w:b/>
                <w:noProof/>
              </w:rPr>
              <w:t>Priorytety dotyczące jakości powietrza: priorytety polityki krajowej związane z unijnymi lub krajowymi celami dotyczącymi jakości powietrza (w tym wartości dopuszczalne, wartości docelowe i pułapy stężenia ekspozycji).</w:t>
            </w:r>
            <w:r w:rsidR="00263293">
              <w:rPr>
                <w:noProof/>
                <w:webHidden/>
              </w:rPr>
              <w:tab/>
            </w:r>
            <w:r w:rsidR="00263293">
              <w:rPr>
                <w:noProof/>
                <w:webHidden/>
              </w:rPr>
              <w:fldChar w:fldCharType="begin"/>
            </w:r>
            <w:r w:rsidR="00263293">
              <w:rPr>
                <w:noProof/>
                <w:webHidden/>
              </w:rPr>
              <w:instrText xml:space="preserve"> PAGEREF _Toc78205877 \h </w:instrText>
            </w:r>
            <w:r w:rsidR="00263293">
              <w:rPr>
                <w:noProof/>
                <w:webHidden/>
              </w:rPr>
            </w:r>
            <w:r w:rsidR="00263293">
              <w:rPr>
                <w:noProof/>
                <w:webHidden/>
              </w:rPr>
              <w:fldChar w:fldCharType="separate"/>
            </w:r>
            <w:r w:rsidR="00270F78">
              <w:rPr>
                <w:noProof/>
                <w:webHidden/>
              </w:rPr>
              <w:t>11</w:t>
            </w:r>
            <w:r w:rsidR="00263293">
              <w:rPr>
                <w:noProof/>
                <w:webHidden/>
              </w:rPr>
              <w:fldChar w:fldCharType="end"/>
            </w:r>
          </w:hyperlink>
        </w:p>
        <w:p w14:paraId="58FE69B7" w14:textId="3E91B8FE" w:rsidR="00263293" w:rsidRDefault="00E26E07">
          <w:pPr>
            <w:pStyle w:val="Spistreci1"/>
            <w:tabs>
              <w:tab w:val="left" w:pos="440"/>
              <w:tab w:val="right" w:leader="dot" w:pos="9060"/>
            </w:tabs>
            <w:rPr>
              <w:rFonts w:eastAsiaTheme="minorEastAsia"/>
              <w:noProof/>
              <w:lang w:eastAsia="pl-PL"/>
            </w:rPr>
          </w:pPr>
          <w:hyperlink w:anchor="_Toc78205878" w:history="1">
            <w:r w:rsidR="00263293" w:rsidRPr="00256285">
              <w:rPr>
                <w:rStyle w:val="Hipercze"/>
                <w:b/>
                <w:noProof/>
              </w:rPr>
              <w:t>5.</w:t>
            </w:r>
            <w:r w:rsidR="00263293">
              <w:rPr>
                <w:rFonts w:eastAsiaTheme="minorEastAsia"/>
                <w:noProof/>
                <w:lang w:eastAsia="pl-PL"/>
              </w:rPr>
              <w:tab/>
            </w:r>
            <w:r w:rsidR="00263293" w:rsidRPr="00256285">
              <w:rPr>
                <w:rStyle w:val="Hipercze"/>
                <w:b/>
                <w:noProof/>
              </w:rPr>
              <w:t>Cel i kierunki interwencji aKPOP</w:t>
            </w:r>
            <w:r w:rsidR="00263293">
              <w:rPr>
                <w:noProof/>
                <w:webHidden/>
              </w:rPr>
              <w:tab/>
            </w:r>
            <w:r w:rsidR="00263293">
              <w:rPr>
                <w:noProof/>
                <w:webHidden/>
              </w:rPr>
              <w:fldChar w:fldCharType="begin"/>
            </w:r>
            <w:r w:rsidR="00263293">
              <w:rPr>
                <w:noProof/>
                <w:webHidden/>
              </w:rPr>
              <w:instrText xml:space="preserve"> PAGEREF _Toc78205878 \h </w:instrText>
            </w:r>
            <w:r w:rsidR="00263293">
              <w:rPr>
                <w:noProof/>
                <w:webHidden/>
              </w:rPr>
            </w:r>
            <w:r w:rsidR="00263293">
              <w:rPr>
                <w:noProof/>
                <w:webHidden/>
              </w:rPr>
              <w:fldChar w:fldCharType="separate"/>
            </w:r>
            <w:r w:rsidR="00270F78">
              <w:rPr>
                <w:noProof/>
                <w:webHidden/>
              </w:rPr>
              <w:t>16</w:t>
            </w:r>
            <w:r w:rsidR="00263293">
              <w:rPr>
                <w:noProof/>
                <w:webHidden/>
              </w:rPr>
              <w:fldChar w:fldCharType="end"/>
            </w:r>
          </w:hyperlink>
        </w:p>
        <w:p w14:paraId="332A718A" w14:textId="7E706248" w:rsidR="00263293" w:rsidRDefault="00E26E07">
          <w:pPr>
            <w:pStyle w:val="Spistreci1"/>
            <w:tabs>
              <w:tab w:val="left" w:pos="440"/>
              <w:tab w:val="right" w:leader="dot" w:pos="9060"/>
            </w:tabs>
            <w:rPr>
              <w:rFonts w:eastAsiaTheme="minorEastAsia"/>
              <w:noProof/>
              <w:lang w:eastAsia="pl-PL"/>
            </w:rPr>
          </w:pPr>
          <w:hyperlink w:anchor="_Toc78205879" w:history="1">
            <w:r w:rsidR="00263293" w:rsidRPr="00256285">
              <w:rPr>
                <w:rStyle w:val="Hipercze"/>
                <w:b/>
                <w:noProof/>
              </w:rPr>
              <w:t>6.</w:t>
            </w:r>
            <w:r w:rsidR="00263293">
              <w:rPr>
                <w:rFonts w:eastAsiaTheme="minorEastAsia"/>
                <w:noProof/>
                <w:lang w:eastAsia="pl-PL"/>
              </w:rPr>
              <w:tab/>
            </w:r>
            <w:r w:rsidR="00263293" w:rsidRPr="00256285">
              <w:rPr>
                <w:rStyle w:val="Hipercze"/>
                <w:b/>
                <w:noProof/>
              </w:rPr>
              <w:t>Diagnoza stanu powietrza w Polsce</w:t>
            </w:r>
            <w:r w:rsidR="00263293">
              <w:rPr>
                <w:noProof/>
                <w:webHidden/>
              </w:rPr>
              <w:tab/>
            </w:r>
            <w:r w:rsidR="00263293">
              <w:rPr>
                <w:noProof/>
                <w:webHidden/>
              </w:rPr>
              <w:fldChar w:fldCharType="begin"/>
            </w:r>
            <w:r w:rsidR="00263293">
              <w:rPr>
                <w:noProof/>
                <w:webHidden/>
              </w:rPr>
              <w:instrText xml:space="preserve"> PAGEREF _Toc78205879 \h </w:instrText>
            </w:r>
            <w:r w:rsidR="00263293">
              <w:rPr>
                <w:noProof/>
                <w:webHidden/>
              </w:rPr>
            </w:r>
            <w:r w:rsidR="00263293">
              <w:rPr>
                <w:noProof/>
                <w:webHidden/>
              </w:rPr>
              <w:fldChar w:fldCharType="separate"/>
            </w:r>
            <w:r w:rsidR="00270F78">
              <w:rPr>
                <w:noProof/>
                <w:webHidden/>
              </w:rPr>
              <w:t>20</w:t>
            </w:r>
            <w:r w:rsidR="00263293">
              <w:rPr>
                <w:noProof/>
                <w:webHidden/>
              </w:rPr>
              <w:fldChar w:fldCharType="end"/>
            </w:r>
          </w:hyperlink>
        </w:p>
        <w:p w14:paraId="7E528FB9" w14:textId="368CC985" w:rsidR="00263293" w:rsidRDefault="00E26E07">
          <w:pPr>
            <w:pStyle w:val="Spistreci2"/>
            <w:tabs>
              <w:tab w:val="right" w:leader="dot" w:pos="9060"/>
            </w:tabs>
            <w:rPr>
              <w:rFonts w:eastAsiaTheme="minorEastAsia"/>
              <w:noProof/>
              <w:lang w:eastAsia="pl-PL"/>
            </w:rPr>
          </w:pPr>
          <w:hyperlink w:anchor="_Toc78205880" w:history="1">
            <w:r w:rsidR="00263293" w:rsidRPr="00256285">
              <w:rPr>
                <w:rStyle w:val="Hipercze"/>
                <w:b/>
                <w:noProof/>
              </w:rPr>
              <w:t>6.1. System ocen jakości powietrza</w:t>
            </w:r>
            <w:r w:rsidR="00263293">
              <w:rPr>
                <w:noProof/>
                <w:webHidden/>
              </w:rPr>
              <w:tab/>
            </w:r>
            <w:r w:rsidR="00263293">
              <w:rPr>
                <w:noProof/>
                <w:webHidden/>
              </w:rPr>
              <w:fldChar w:fldCharType="begin"/>
            </w:r>
            <w:r w:rsidR="00263293">
              <w:rPr>
                <w:noProof/>
                <w:webHidden/>
              </w:rPr>
              <w:instrText xml:space="preserve"> PAGEREF _Toc78205880 \h </w:instrText>
            </w:r>
            <w:r w:rsidR="00263293">
              <w:rPr>
                <w:noProof/>
                <w:webHidden/>
              </w:rPr>
            </w:r>
            <w:r w:rsidR="00263293">
              <w:rPr>
                <w:noProof/>
                <w:webHidden/>
              </w:rPr>
              <w:fldChar w:fldCharType="separate"/>
            </w:r>
            <w:r w:rsidR="00270F78">
              <w:rPr>
                <w:noProof/>
                <w:webHidden/>
              </w:rPr>
              <w:t>20</w:t>
            </w:r>
            <w:r w:rsidR="00263293">
              <w:rPr>
                <w:noProof/>
                <w:webHidden/>
              </w:rPr>
              <w:fldChar w:fldCharType="end"/>
            </w:r>
          </w:hyperlink>
        </w:p>
        <w:p w14:paraId="4060AF2F" w14:textId="31032B9F" w:rsidR="00263293" w:rsidRDefault="00E26E07">
          <w:pPr>
            <w:pStyle w:val="Spistreci2"/>
            <w:tabs>
              <w:tab w:val="right" w:leader="dot" w:pos="9060"/>
            </w:tabs>
            <w:rPr>
              <w:rFonts w:eastAsiaTheme="minorEastAsia"/>
              <w:noProof/>
              <w:lang w:eastAsia="pl-PL"/>
            </w:rPr>
          </w:pPr>
          <w:hyperlink w:anchor="_Toc78205881" w:history="1">
            <w:r w:rsidR="00263293" w:rsidRPr="00256285">
              <w:rPr>
                <w:rStyle w:val="Hipercze"/>
                <w:b/>
                <w:noProof/>
              </w:rPr>
              <w:t>6.2. System pomiarów jakości powietrza</w:t>
            </w:r>
            <w:r w:rsidR="00263293">
              <w:rPr>
                <w:noProof/>
                <w:webHidden/>
              </w:rPr>
              <w:tab/>
            </w:r>
            <w:r w:rsidR="00263293">
              <w:rPr>
                <w:noProof/>
                <w:webHidden/>
              </w:rPr>
              <w:fldChar w:fldCharType="begin"/>
            </w:r>
            <w:r w:rsidR="00263293">
              <w:rPr>
                <w:noProof/>
                <w:webHidden/>
              </w:rPr>
              <w:instrText xml:space="preserve"> PAGEREF _Toc78205881 \h </w:instrText>
            </w:r>
            <w:r w:rsidR="00263293">
              <w:rPr>
                <w:noProof/>
                <w:webHidden/>
              </w:rPr>
            </w:r>
            <w:r w:rsidR="00263293">
              <w:rPr>
                <w:noProof/>
                <w:webHidden/>
              </w:rPr>
              <w:fldChar w:fldCharType="separate"/>
            </w:r>
            <w:r w:rsidR="00270F78">
              <w:rPr>
                <w:noProof/>
                <w:webHidden/>
              </w:rPr>
              <w:t>21</w:t>
            </w:r>
            <w:r w:rsidR="00263293">
              <w:rPr>
                <w:noProof/>
                <w:webHidden/>
              </w:rPr>
              <w:fldChar w:fldCharType="end"/>
            </w:r>
          </w:hyperlink>
        </w:p>
        <w:p w14:paraId="582D6508" w14:textId="7DC71A75" w:rsidR="00263293" w:rsidRDefault="00E26E07">
          <w:pPr>
            <w:pStyle w:val="Spistreci2"/>
            <w:tabs>
              <w:tab w:val="right" w:leader="dot" w:pos="9060"/>
            </w:tabs>
            <w:rPr>
              <w:rFonts w:eastAsiaTheme="minorEastAsia"/>
              <w:noProof/>
              <w:lang w:eastAsia="pl-PL"/>
            </w:rPr>
          </w:pPr>
          <w:hyperlink w:anchor="_Toc78205882" w:history="1">
            <w:r w:rsidR="00263293" w:rsidRPr="00256285">
              <w:rPr>
                <w:rStyle w:val="Hipercze"/>
                <w:b/>
                <w:noProof/>
              </w:rPr>
              <w:t>6.3. Modelowanie na potrzeby wykonywania ocen jakości powietrza</w:t>
            </w:r>
            <w:r w:rsidR="00263293">
              <w:rPr>
                <w:noProof/>
                <w:webHidden/>
              </w:rPr>
              <w:tab/>
            </w:r>
            <w:r w:rsidR="00263293">
              <w:rPr>
                <w:noProof/>
                <w:webHidden/>
              </w:rPr>
              <w:fldChar w:fldCharType="begin"/>
            </w:r>
            <w:r w:rsidR="00263293">
              <w:rPr>
                <w:noProof/>
                <w:webHidden/>
              </w:rPr>
              <w:instrText xml:space="preserve"> PAGEREF _Toc78205882 \h </w:instrText>
            </w:r>
            <w:r w:rsidR="00263293">
              <w:rPr>
                <w:noProof/>
                <w:webHidden/>
              </w:rPr>
            </w:r>
            <w:r w:rsidR="00263293">
              <w:rPr>
                <w:noProof/>
                <w:webHidden/>
              </w:rPr>
              <w:fldChar w:fldCharType="separate"/>
            </w:r>
            <w:r w:rsidR="00270F78">
              <w:rPr>
                <w:noProof/>
                <w:webHidden/>
              </w:rPr>
              <w:t>25</w:t>
            </w:r>
            <w:r w:rsidR="00263293">
              <w:rPr>
                <w:noProof/>
                <w:webHidden/>
              </w:rPr>
              <w:fldChar w:fldCharType="end"/>
            </w:r>
          </w:hyperlink>
        </w:p>
        <w:p w14:paraId="6089BE45" w14:textId="2C7F5A2E" w:rsidR="00263293" w:rsidRDefault="00E26E07">
          <w:pPr>
            <w:pStyle w:val="Spistreci2"/>
            <w:tabs>
              <w:tab w:val="right" w:leader="dot" w:pos="9060"/>
            </w:tabs>
            <w:rPr>
              <w:rFonts w:eastAsiaTheme="minorEastAsia"/>
              <w:noProof/>
              <w:lang w:eastAsia="pl-PL"/>
            </w:rPr>
          </w:pPr>
          <w:hyperlink w:anchor="_Toc78205883" w:history="1">
            <w:r w:rsidR="00263293" w:rsidRPr="00256285">
              <w:rPr>
                <w:rStyle w:val="Hipercze"/>
                <w:rFonts w:eastAsia="Calibri"/>
                <w:b/>
                <w:noProof/>
              </w:rPr>
              <w:t>6.4. Klasyfikacja stref</w:t>
            </w:r>
            <w:r w:rsidR="00263293">
              <w:rPr>
                <w:noProof/>
                <w:webHidden/>
              </w:rPr>
              <w:tab/>
            </w:r>
            <w:r w:rsidR="00263293">
              <w:rPr>
                <w:noProof/>
                <w:webHidden/>
              </w:rPr>
              <w:fldChar w:fldCharType="begin"/>
            </w:r>
            <w:r w:rsidR="00263293">
              <w:rPr>
                <w:noProof/>
                <w:webHidden/>
              </w:rPr>
              <w:instrText xml:space="preserve"> PAGEREF _Toc78205883 \h </w:instrText>
            </w:r>
            <w:r w:rsidR="00263293">
              <w:rPr>
                <w:noProof/>
                <w:webHidden/>
              </w:rPr>
            </w:r>
            <w:r w:rsidR="00263293">
              <w:rPr>
                <w:noProof/>
                <w:webHidden/>
              </w:rPr>
              <w:fldChar w:fldCharType="separate"/>
            </w:r>
            <w:r w:rsidR="00270F78">
              <w:rPr>
                <w:noProof/>
                <w:webHidden/>
              </w:rPr>
              <w:t>26</w:t>
            </w:r>
            <w:r w:rsidR="00263293">
              <w:rPr>
                <w:noProof/>
                <w:webHidden/>
              </w:rPr>
              <w:fldChar w:fldCharType="end"/>
            </w:r>
          </w:hyperlink>
        </w:p>
        <w:p w14:paraId="1F553928" w14:textId="4324DD19" w:rsidR="00263293" w:rsidRDefault="00E26E07">
          <w:pPr>
            <w:pStyle w:val="Spistreci2"/>
            <w:tabs>
              <w:tab w:val="right" w:leader="dot" w:pos="9060"/>
            </w:tabs>
            <w:rPr>
              <w:rFonts w:eastAsiaTheme="minorEastAsia"/>
              <w:noProof/>
              <w:lang w:eastAsia="pl-PL"/>
            </w:rPr>
          </w:pPr>
          <w:hyperlink w:anchor="_Toc78205884" w:history="1">
            <w:r w:rsidR="00263293" w:rsidRPr="00256285">
              <w:rPr>
                <w:rStyle w:val="Hipercze"/>
                <w:b/>
                <w:noProof/>
              </w:rPr>
              <w:t>6.5. Udziały emisji w stężeniach zanieczyszczeń</w:t>
            </w:r>
            <w:r w:rsidR="00263293">
              <w:rPr>
                <w:noProof/>
                <w:webHidden/>
              </w:rPr>
              <w:tab/>
            </w:r>
            <w:r w:rsidR="00263293">
              <w:rPr>
                <w:noProof/>
                <w:webHidden/>
              </w:rPr>
              <w:fldChar w:fldCharType="begin"/>
            </w:r>
            <w:r w:rsidR="00263293">
              <w:rPr>
                <w:noProof/>
                <w:webHidden/>
              </w:rPr>
              <w:instrText xml:space="preserve"> PAGEREF _Toc78205884 \h </w:instrText>
            </w:r>
            <w:r w:rsidR="00263293">
              <w:rPr>
                <w:noProof/>
                <w:webHidden/>
              </w:rPr>
            </w:r>
            <w:r w:rsidR="00263293">
              <w:rPr>
                <w:noProof/>
                <w:webHidden/>
              </w:rPr>
              <w:fldChar w:fldCharType="separate"/>
            </w:r>
            <w:r w:rsidR="00270F78">
              <w:rPr>
                <w:noProof/>
                <w:webHidden/>
              </w:rPr>
              <w:t>37</w:t>
            </w:r>
            <w:r w:rsidR="00263293">
              <w:rPr>
                <w:noProof/>
                <w:webHidden/>
              </w:rPr>
              <w:fldChar w:fldCharType="end"/>
            </w:r>
          </w:hyperlink>
        </w:p>
        <w:p w14:paraId="237E7013" w14:textId="4BD3D2D4" w:rsidR="00263293" w:rsidRDefault="00E26E07">
          <w:pPr>
            <w:pStyle w:val="Spistreci2"/>
            <w:tabs>
              <w:tab w:val="right" w:leader="dot" w:pos="9060"/>
            </w:tabs>
            <w:rPr>
              <w:rFonts w:eastAsiaTheme="minorEastAsia"/>
              <w:noProof/>
              <w:lang w:eastAsia="pl-PL"/>
            </w:rPr>
          </w:pPr>
          <w:hyperlink w:anchor="_Toc78205885" w:history="1">
            <w:r w:rsidR="00263293" w:rsidRPr="00256285">
              <w:rPr>
                <w:rStyle w:val="Hipercze"/>
                <w:b/>
                <w:noProof/>
              </w:rPr>
              <w:t>6.6. Wskaźnik średniego narażenia</w:t>
            </w:r>
            <w:r w:rsidR="00263293">
              <w:rPr>
                <w:noProof/>
                <w:webHidden/>
              </w:rPr>
              <w:tab/>
            </w:r>
            <w:r w:rsidR="00263293">
              <w:rPr>
                <w:noProof/>
                <w:webHidden/>
              </w:rPr>
              <w:fldChar w:fldCharType="begin"/>
            </w:r>
            <w:r w:rsidR="00263293">
              <w:rPr>
                <w:noProof/>
                <w:webHidden/>
              </w:rPr>
              <w:instrText xml:space="preserve"> PAGEREF _Toc78205885 \h </w:instrText>
            </w:r>
            <w:r w:rsidR="00263293">
              <w:rPr>
                <w:noProof/>
                <w:webHidden/>
              </w:rPr>
            </w:r>
            <w:r w:rsidR="00263293">
              <w:rPr>
                <w:noProof/>
                <w:webHidden/>
              </w:rPr>
              <w:fldChar w:fldCharType="separate"/>
            </w:r>
            <w:r w:rsidR="00270F78">
              <w:rPr>
                <w:noProof/>
                <w:webHidden/>
              </w:rPr>
              <w:t>40</w:t>
            </w:r>
            <w:r w:rsidR="00263293">
              <w:rPr>
                <w:noProof/>
                <w:webHidden/>
              </w:rPr>
              <w:fldChar w:fldCharType="end"/>
            </w:r>
          </w:hyperlink>
        </w:p>
        <w:p w14:paraId="449E59C0" w14:textId="2BAB97F0" w:rsidR="00263293" w:rsidRDefault="00E26E07">
          <w:pPr>
            <w:pStyle w:val="Spistreci2"/>
            <w:tabs>
              <w:tab w:val="right" w:leader="dot" w:pos="9060"/>
            </w:tabs>
            <w:rPr>
              <w:rFonts w:eastAsiaTheme="minorEastAsia"/>
              <w:noProof/>
              <w:lang w:eastAsia="pl-PL"/>
            </w:rPr>
          </w:pPr>
          <w:hyperlink w:anchor="_Toc78205886" w:history="1">
            <w:r w:rsidR="00263293" w:rsidRPr="00256285">
              <w:rPr>
                <w:rStyle w:val="Hipercze"/>
                <w:b/>
                <w:noProof/>
              </w:rPr>
              <w:t>6.7. Jakość powietrza w uzdrowiskach</w:t>
            </w:r>
            <w:r w:rsidR="00263293">
              <w:rPr>
                <w:noProof/>
                <w:webHidden/>
              </w:rPr>
              <w:tab/>
            </w:r>
            <w:r w:rsidR="00263293">
              <w:rPr>
                <w:noProof/>
                <w:webHidden/>
              </w:rPr>
              <w:fldChar w:fldCharType="begin"/>
            </w:r>
            <w:r w:rsidR="00263293">
              <w:rPr>
                <w:noProof/>
                <w:webHidden/>
              </w:rPr>
              <w:instrText xml:space="preserve"> PAGEREF _Toc78205886 \h </w:instrText>
            </w:r>
            <w:r w:rsidR="00263293">
              <w:rPr>
                <w:noProof/>
                <w:webHidden/>
              </w:rPr>
            </w:r>
            <w:r w:rsidR="00263293">
              <w:rPr>
                <w:noProof/>
                <w:webHidden/>
              </w:rPr>
              <w:fldChar w:fldCharType="separate"/>
            </w:r>
            <w:r w:rsidR="00270F78">
              <w:rPr>
                <w:noProof/>
                <w:webHidden/>
              </w:rPr>
              <w:t>42</w:t>
            </w:r>
            <w:r w:rsidR="00263293">
              <w:rPr>
                <w:noProof/>
                <w:webHidden/>
              </w:rPr>
              <w:fldChar w:fldCharType="end"/>
            </w:r>
          </w:hyperlink>
        </w:p>
        <w:p w14:paraId="09E5F438" w14:textId="65388D04" w:rsidR="00263293" w:rsidRDefault="00E26E07">
          <w:pPr>
            <w:pStyle w:val="Spistreci2"/>
            <w:tabs>
              <w:tab w:val="right" w:leader="dot" w:pos="9060"/>
            </w:tabs>
            <w:rPr>
              <w:rFonts w:eastAsiaTheme="minorEastAsia"/>
              <w:noProof/>
              <w:lang w:eastAsia="pl-PL"/>
            </w:rPr>
          </w:pPr>
          <w:hyperlink w:anchor="_Toc78205887" w:history="1">
            <w:r w:rsidR="00263293" w:rsidRPr="00256285">
              <w:rPr>
                <w:rStyle w:val="Hipercze"/>
                <w:b/>
                <w:noProof/>
              </w:rPr>
              <w:t>6.8. Podsumowanie</w:t>
            </w:r>
            <w:r w:rsidR="00263293">
              <w:rPr>
                <w:noProof/>
                <w:webHidden/>
              </w:rPr>
              <w:tab/>
            </w:r>
            <w:r w:rsidR="00263293">
              <w:rPr>
                <w:noProof/>
                <w:webHidden/>
              </w:rPr>
              <w:fldChar w:fldCharType="begin"/>
            </w:r>
            <w:r w:rsidR="00263293">
              <w:rPr>
                <w:noProof/>
                <w:webHidden/>
              </w:rPr>
              <w:instrText xml:space="preserve"> PAGEREF _Toc78205887 \h </w:instrText>
            </w:r>
            <w:r w:rsidR="00263293">
              <w:rPr>
                <w:noProof/>
                <w:webHidden/>
              </w:rPr>
            </w:r>
            <w:r w:rsidR="00263293">
              <w:rPr>
                <w:noProof/>
                <w:webHidden/>
              </w:rPr>
              <w:fldChar w:fldCharType="separate"/>
            </w:r>
            <w:r w:rsidR="00270F78">
              <w:rPr>
                <w:noProof/>
                <w:webHidden/>
              </w:rPr>
              <w:t>49</w:t>
            </w:r>
            <w:r w:rsidR="00263293">
              <w:rPr>
                <w:noProof/>
                <w:webHidden/>
              </w:rPr>
              <w:fldChar w:fldCharType="end"/>
            </w:r>
          </w:hyperlink>
        </w:p>
        <w:p w14:paraId="55D6B72C" w14:textId="58129EE2" w:rsidR="00263293" w:rsidRDefault="00E26E07">
          <w:pPr>
            <w:pStyle w:val="Spistreci1"/>
            <w:tabs>
              <w:tab w:val="right" w:leader="dot" w:pos="9060"/>
            </w:tabs>
            <w:rPr>
              <w:rFonts w:eastAsiaTheme="minorEastAsia"/>
              <w:noProof/>
              <w:lang w:eastAsia="pl-PL"/>
            </w:rPr>
          </w:pPr>
          <w:hyperlink w:anchor="_Toc78205888" w:history="1">
            <w:r w:rsidR="00263293" w:rsidRPr="00256285">
              <w:rPr>
                <w:rStyle w:val="Hipercze"/>
                <w:b/>
                <w:noProof/>
              </w:rPr>
              <w:t>7. Wpływ sektorów gospodarki na stan jakości powietrza</w:t>
            </w:r>
            <w:r w:rsidR="00263293">
              <w:rPr>
                <w:noProof/>
                <w:webHidden/>
              </w:rPr>
              <w:tab/>
            </w:r>
            <w:r w:rsidR="00263293">
              <w:rPr>
                <w:noProof/>
                <w:webHidden/>
              </w:rPr>
              <w:fldChar w:fldCharType="begin"/>
            </w:r>
            <w:r w:rsidR="00263293">
              <w:rPr>
                <w:noProof/>
                <w:webHidden/>
              </w:rPr>
              <w:instrText xml:space="preserve"> PAGEREF _Toc78205888 \h </w:instrText>
            </w:r>
            <w:r w:rsidR="00263293">
              <w:rPr>
                <w:noProof/>
                <w:webHidden/>
              </w:rPr>
            </w:r>
            <w:r w:rsidR="00263293">
              <w:rPr>
                <w:noProof/>
                <w:webHidden/>
              </w:rPr>
              <w:fldChar w:fldCharType="separate"/>
            </w:r>
            <w:r w:rsidR="00270F78">
              <w:rPr>
                <w:noProof/>
                <w:webHidden/>
              </w:rPr>
              <w:t>51</w:t>
            </w:r>
            <w:r w:rsidR="00263293">
              <w:rPr>
                <w:noProof/>
                <w:webHidden/>
              </w:rPr>
              <w:fldChar w:fldCharType="end"/>
            </w:r>
          </w:hyperlink>
        </w:p>
        <w:p w14:paraId="293E00FB" w14:textId="1888A39C" w:rsidR="00263293" w:rsidRDefault="00E26E07">
          <w:pPr>
            <w:pStyle w:val="Spistreci1"/>
            <w:tabs>
              <w:tab w:val="right" w:leader="dot" w:pos="9060"/>
            </w:tabs>
            <w:rPr>
              <w:rFonts w:eastAsiaTheme="minorEastAsia"/>
              <w:noProof/>
              <w:lang w:eastAsia="pl-PL"/>
            </w:rPr>
          </w:pPr>
          <w:hyperlink w:anchor="_Toc78205889" w:history="1">
            <w:r w:rsidR="00263293" w:rsidRPr="00256285">
              <w:rPr>
                <w:rStyle w:val="Hipercze"/>
                <w:b/>
                <w:noProof/>
              </w:rPr>
              <w:t>8. Rola administracji samorządowej w działaniach na rzecz poprawy jakości powietrza</w:t>
            </w:r>
            <w:r w:rsidR="00263293">
              <w:rPr>
                <w:noProof/>
                <w:webHidden/>
              </w:rPr>
              <w:tab/>
            </w:r>
            <w:r w:rsidR="00263293">
              <w:rPr>
                <w:noProof/>
                <w:webHidden/>
              </w:rPr>
              <w:fldChar w:fldCharType="begin"/>
            </w:r>
            <w:r w:rsidR="00263293">
              <w:rPr>
                <w:noProof/>
                <w:webHidden/>
              </w:rPr>
              <w:instrText xml:space="preserve"> PAGEREF _Toc78205889 \h </w:instrText>
            </w:r>
            <w:r w:rsidR="00263293">
              <w:rPr>
                <w:noProof/>
                <w:webHidden/>
              </w:rPr>
            </w:r>
            <w:r w:rsidR="00263293">
              <w:rPr>
                <w:noProof/>
                <w:webHidden/>
              </w:rPr>
              <w:fldChar w:fldCharType="separate"/>
            </w:r>
            <w:r w:rsidR="00270F78">
              <w:rPr>
                <w:noProof/>
                <w:webHidden/>
              </w:rPr>
              <w:t>58</w:t>
            </w:r>
            <w:r w:rsidR="00263293">
              <w:rPr>
                <w:noProof/>
                <w:webHidden/>
              </w:rPr>
              <w:fldChar w:fldCharType="end"/>
            </w:r>
          </w:hyperlink>
        </w:p>
        <w:p w14:paraId="4AB86989" w14:textId="372B3429" w:rsidR="00263293" w:rsidRDefault="00E26E07">
          <w:pPr>
            <w:pStyle w:val="Spistreci2"/>
            <w:tabs>
              <w:tab w:val="right" w:leader="dot" w:pos="9060"/>
            </w:tabs>
            <w:rPr>
              <w:rFonts w:eastAsiaTheme="minorEastAsia"/>
              <w:noProof/>
              <w:lang w:eastAsia="pl-PL"/>
            </w:rPr>
          </w:pPr>
          <w:hyperlink w:anchor="_Toc78205890" w:history="1">
            <w:r w:rsidR="00263293" w:rsidRPr="00256285">
              <w:rPr>
                <w:rStyle w:val="Hipercze"/>
                <w:rFonts w:eastAsia="Calibri"/>
                <w:b/>
                <w:noProof/>
                <w:lang w:eastAsia="ar-SA"/>
              </w:rPr>
              <w:t>8.1. Programy ochrony powietrza</w:t>
            </w:r>
            <w:r w:rsidR="00263293">
              <w:rPr>
                <w:noProof/>
                <w:webHidden/>
              </w:rPr>
              <w:tab/>
            </w:r>
            <w:r w:rsidR="00263293">
              <w:rPr>
                <w:noProof/>
                <w:webHidden/>
              </w:rPr>
              <w:fldChar w:fldCharType="begin"/>
            </w:r>
            <w:r w:rsidR="00263293">
              <w:rPr>
                <w:noProof/>
                <w:webHidden/>
              </w:rPr>
              <w:instrText xml:space="preserve"> PAGEREF _Toc78205890 \h </w:instrText>
            </w:r>
            <w:r w:rsidR="00263293">
              <w:rPr>
                <w:noProof/>
                <w:webHidden/>
              </w:rPr>
            </w:r>
            <w:r w:rsidR="00263293">
              <w:rPr>
                <w:noProof/>
                <w:webHidden/>
              </w:rPr>
              <w:fldChar w:fldCharType="separate"/>
            </w:r>
            <w:r w:rsidR="00270F78">
              <w:rPr>
                <w:noProof/>
                <w:webHidden/>
              </w:rPr>
              <w:t>58</w:t>
            </w:r>
            <w:r w:rsidR="00263293">
              <w:rPr>
                <w:noProof/>
                <w:webHidden/>
              </w:rPr>
              <w:fldChar w:fldCharType="end"/>
            </w:r>
          </w:hyperlink>
        </w:p>
        <w:p w14:paraId="1FB58A22" w14:textId="3D9903B4" w:rsidR="00263293" w:rsidRDefault="00E26E07">
          <w:pPr>
            <w:pStyle w:val="Spistreci2"/>
            <w:tabs>
              <w:tab w:val="right" w:leader="dot" w:pos="9060"/>
            </w:tabs>
            <w:rPr>
              <w:rFonts w:eastAsiaTheme="minorEastAsia"/>
              <w:noProof/>
              <w:lang w:eastAsia="pl-PL"/>
            </w:rPr>
          </w:pPr>
          <w:hyperlink w:anchor="_Toc78205891" w:history="1">
            <w:r w:rsidR="00263293" w:rsidRPr="00256285">
              <w:rPr>
                <w:rStyle w:val="Hipercze"/>
                <w:rFonts w:eastAsia="Calibri"/>
                <w:b/>
                <w:noProof/>
                <w:lang w:eastAsia="ar-SA"/>
              </w:rPr>
              <w:t>8.2 Uchwały antysmogowe</w:t>
            </w:r>
            <w:r w:rsidR="00263293">
              <w:rPr>
                <w:noProof/>
                <w:webHidden/>
              </w:rPr>
              <w:tab/>
            </w:r>
            <w:r w:rsidR="00263293">
              <w:rPr>
                <w:noProof/>
                <w:webHidden/>
              </w:rPr>
              <w:fldChar w:fldCharType="begin"/>
            </w:r>
            <w:r w:rsidR="00263293">
              <w:rPr>
                <w:noProof/>
                <w:webHidden/>
              </w:rPr>
              <w:instrText xml:space="preserve"> PAGEREF _Toc78205891 \h </w:instrText>
            </w:r>
            <w:r w:rsidR="00263293">
              <w:rPr>
                <w:noProof/>
                <w:webHidden/>
              </w:rPr>
            </w:r>
            <w:r w:rsidR="00263293">
              <w:rPr>
                <w:noProof/>
                <w:webHidden/>
              </w:rPr>
              <w:fldChar w:fldCharType="separate"/>
            </w:r>
            <w:r w:rsidR="00270F78">
              <w:rPr>
                <w:noProof/>
                <w:webHidden/>
              </w:rPr>
              <w:t>59</w:t>
            </w:r>
            <w:r w:rsidR="00263293">
              <w:rPr>
                <w:noProof/>
                <w:webHidden/>
              </w:rPr>
              <w:fldChar w:fldCharType="end"/>
            </w:r>
          </w:hyperlink>
        </w:p>
        <w:p w14:paraId="1280FA45" w14:textId="4B082140" w:rsidR="00263293" w:rsidRDefault="00E26E07">
          <w:pPr>
            <w:pStyle w:val="Spistreci2"/>
            <w:tabs>
              <w:tab w:val="right" w:leader="dot" w:pos="9060"/>
            </w:tabs>
            <w:rPr>
              <w:rFonts w:eastAsiaTheme="minorEastAsia"/>
              <w:noProof/>
              <w:lang w:eastAsia="pl-PL"/>
            </w:rPr>
          </w:pPr>
          <w:hyperlink w:anchor="_Toc78205892" w:history="1">
            <w:r w:rsidR="00263293" w:rsidRPr="00256285">
              <w:rPr>
                <w:rStyle w:val="Hipercze"/>
                <w:b/>
                <w:noProof/>
              </w:rPr>
              <w:t>8.3. Działania naprawcze w gminach</w:t>
            </w:r>
            <w:r w:rsidR="00263293">
              <w:rPr>
                <w:noProof/>
                <w:webHidden/>
              </w:rPr>
              <w:tab/>
            </w:r>
            <w:r w:rsidR="00263293">
              <w:rPr>
                <w:noProof/>
                <w:webHidden/>
              </w:rPr>
              <w:fldChar w:fldCharType="begin"/>
            </w:r>
            <w:r w:rsidR="00263293">
              <w:rPr>
                <w:noProof/>
                <w:webHidden/>
              </w:rPr>
              <w:instrText xml:space="preserve"> PAGEREF _Toc78205892 \h </w:instrText>
            </w:r>
            <w:r w:rsidR="00263293">
              <w:rPr>
                <w:noProof/>
                <w:webHidden/>
              </w:rPr>
            </w:r>
            <w:r w:rsidR="00263293">
              <w:rPr>
                <w:noProof/>
                <w:webHidden/>
              </w:rPr>
              <w:fldChar w:fldCharType="separate"/>
            </w:r>
            <w:r w:rsidR="00270F78">
              <w:rPr>
                <w:noProof/>
                <w:webHidden/>
              </w:rPr>
              <w:t>60</w:t>
            </w:r>
            <w:r w:rsidR="00263293">
              <w:rPr>
                <w:noProof/>
                <w:webHidden/>
              </w:rPr>
              <w:fldChar w:fldCharType="end"/>
            </w:r>
          </w:hyperlink>
        </w:p>
        <w:p w14:paraId="790DDA37" w14:textId="08BFA421" w:rsidR="00263293" w:rsidRDefault="00E26E07">
          <w:pPr>
            <w:pStyle w:val="Spistreci1"/>
            <w:tabs>
              <w:tab w:val="left" w:pos="440"/>
              <w:tab w:val="right" w:leader="dot" w:pos="9060"/>
            </w:tabs>
            <w:rPr>
              <w:rFonts w:eastAsiaTheme="minorEastAsia"/>
              <w:noProof/>
              <w:lang w:eastAsia="pl-PL"/>
            </w:rPr>
          </w:pPr>
          <w:hyperlink w:anchor="_Toc78205893" w:history="1">
            <w:r w:rsidR="00263293" w:rsidRPr="00256285">
              <w:rPr>
                <w:rStyle w:val="Hipercze"/>
                <w:b/>
                <w:noProof/>
              </w:rPr>
              <w:t>9.</w:t>
            </w:r>
            <w:r w:rsidR="00263293">
              <w:rPr>
                <w:rFonts w:eastAsiaTheme="minorEastAsia"/>
                <w:noProof/>
                <w:lang w:eastAsia="pl-PL"/>
              </w:rPr>
              <w:tab/>
            </w:r>
            <w:r w:rsidR="00263293" w:rsidRPr="00256285">
              <w:rPr>
                <w:rStyle w:val="Hipercze"/>
                <w:b/>
                <w:noProof/>
              </w:rPr>
              <w:t>Wyzwania aktualizacji Krajowego Programu Ochrony Powietrza</w:t>
            </w:r>
            <w:r w:rsidR="00263293">
              <w:rPr>
                <w:noProof/>
                <w:webHidden/>
              </w:rPr>
              <w:tab/>
            </w:r>
            <w:r w:rsidR="00263293">
              <w:rPr>
                <w:noProof/>
                <w:webHidden/>
              </w:rPr>
              <w:fldChar w:fldCharType="begin"/>
            </w:r>
            <w:r w:rsidR="00263293">
              <w:rPr>
                <w:noProof/>
                <w:webHidden/>
              </w:rPr>
              <w:instrText xml:space="preserve"> PAGEREF _Toc78205893 \h </w:instrText>
            </w:r>
            <w:r w:rsidR="00263293">
              <w:rPr>
                <w:noProof/>
                <w:webHidden/>
              </w:rPr>
            </w:r>
            <w:r w:rsidR="00263293">
              <w:rPr>
                <w:noProof/>
                <w:webHidden/>
              </w:rPr>
              <w:fldChar w:fldCharType="separate"/>
            </w:r>
            <w:r w:rsidR="00270F78">
              <w:rPr>
                <w:noProof/>
                <w:webHidden/>
              </w:rPr>
              <w:t>66</w:t>
            </w:r>
            <w:r w:rsidR="00263293">
              <w:rPr>
                <w:noProof/>
                <w:webHidden/>
              </w:rPr>
              <w:fldChar w:fldCharType="end"/>
            </w:r>
          </w:hyperlink>
        </w:p>
        <w:p w14:paraId="2379762E" w14:textId="3F90FE32" w:rsidR="00263293" w:rsidRDefault="00E26E07">
          <w:pPr>
            <w:pStyle w:val="Spistreci2"/>
            <w:tabs>
              <w:tab w:val="left" w:pos="880"/>
              <w:tab w:val="right" w:leader="dot" w:pos="9060"/>
            </w:tabs>
            <w:rPr>
              <w:rFonts w:eastAsiaTheme="minorEastAsia"/>
              <w:noProof/>
              <w:lang w:eastAsia="pl-PL"/>
            </w:rPr>
          </w:pPr>
          <w:hyperlink w:anchor="_Toc78205894" w:history="1">
            <w:r w:rsidR="00263293" w:rsidRPr="00256285">
              <w:rPr>
                <w:rStyle w:val="Hipercze"/>
                <w:b/>
                <w:noProof/>
              </w:rPr>
              <w:t>9.1.</w:t>
            </w:r>
            <w:r w:rsidR="00263293">
              <w:rPr>
                <w:rFonts w:eastAsiaTheme="minorEastAsia"/>
                <w:noProof/>
                <w:lang w:eastAsia="pl-PL"/>
              </w:rPr>
              <w:tab/>
            </w:r>
            <w:r w:rsidR="00263293" w:rsidRPr="00256285">
              <w:rPr>
                <w:rStyle w:val="Hipercze"/>
                <w:b/>
                <w:noProof/>
              </w:rPr>
              <w:t>Kierunek Interwencji 1 – OGRANICZENIE EMISJI ZANIECZYSZCZEŃ POWIETRZA Z SEKTORA BYTOWO-KOMUNALNEGO</w:t>
            </w:r>
            <w:r w:rsidR="00263293">
              <w:rPr>
                <w:noProof/>
                <w:webHidden/>
              </w:rPr>
              <w:tab/>
            </w:r>
            <w:r w:rsidR="00263293">
              <w:rPr>
                <w:noProof/>
                <w:webHidden/>
              </w:rPr>
              <w:fldChar w:fldCharType="begin"/>
            </w:r>
            <w:r w:rsidR="00263293">
              <w:rPr>
                <w:noProof/>
                <w:webHidden/>
              </w:rPr>
              <w:instrText xml:space="preserve"> PAGEREF _Toc78205894 \h </w:instrText>
            </w:r>
            <w:r w:rsidR="00263293">
              <w:rPr>
                <w:noProof/>
                <w:webHidden/>
              </w:rPr>
            </w:r>
            <w:r w:rsidR="00263293">
              <w:rPr>
                <w:noProof/>
                <w:webHidden/>
              </w:rPr>
              <w:fldChar w:fldCharType="separate"/>
            </w:r>
            <w:r w:rsidR="00270F78">
              <w:rPr>
                <w:noProof/>
                <w:webHidden/>
              </w:rPr>
              <w:t>67</w:t>
            </w:r>
            <w:r w:rsidR="00263293">
              <w:rPr>
                <w:noProof/>
                <w:webHidden/>
              </w:rPr>
              <w:fldChar w:fldCharType="end"/>
            </w:r>
          </w:hyperlink>
        </w:p>
        <w:p w14:paraId="05B7827B" w14:textId="69535B0D" w:rsidR="00263293" w:rsidRDefault="00E26E07">
          <w:pPr>
            <w:pStyle w:val="Spistreci2"/>
            <w:tabs>
              <w:tab w:val="left" w:pos="880"/>
              <w:tab w:val="right" w:leader="dot" w:pos="9060"/>
            </w:tabs>
            <w:rPr>
              <w:rFonts w:eastAsiaTheme="minorEastAsia"/>
              <w:noProof/>
              <w:lang w:eastAsia="pl-PL"/>
            </w:rPr>
          </w:pPr>
          <w:hyperlink w:anchor="_Toc78205895" w:history="1">
            <w:r w:rsidR="00263293" w:rsidRPr="00256285">
              <w:rPr>
                <w:rStyle w:val="Hipercze"/>
                <w:b/>
                <w:noProof/>
              </w:rPr>
              <w:t>9.3</w:t>
            </w:r>
            <w:r w:rsidR="00263293">
              <w:rPr>
                <w:rFonts w:eastAsiaTheme="minorEastAsia"/>
                <w:noProof/>
                <w:lang w:eastAsia="pl-PL"/>
              </w:rPr>
              <w:tab/>
            </w:r>
            <w:r w:rsidR="00263293" w:rsidRPr="00256285">
              <w:rPr>
                <w:rStyle w:val="Hipercze"/>
                <w:b/>
                <w:noProof/>
              </w:rPr>
              <w:t>Kierunek interwencji 3 – OGRANICZENIE POZIOMU ZANIECZYSZCZEŃ POWIETRZA W MIASTACH, POLITYKA MIEJSKA</w:t>
            </w:r>
            <w:r w:rsidR="00263293">
              <w:rPr>
                <w:noProof/>
                <w:webHidden/>
              </w:rPr>
              <w:tab/>
            </w:r>
            <w:r w:rsidR="00263293">
              <w:rPr>
                <w:noProof/>
                <w:webHidden/>
              </w:rPr>
              <w:fldChar w:fldCharType="begin"/>
            </w:r>
            <w:r w:rsidR="00263293">
              <w:rPr>
                <w:noProof/>
                <w:webHidden/>
              </w:rPr>
              <w:instrText xml:space="preserve"> PAGEREF _Toc78205895 \h </w:instrText>
            </w:r>
            <w:r w:rsidR="00263293">
              <w:rPr>
                <w:noProof/>
                <w:webHidden/>
              </w:rPr>
            </w:r>
            <w:r w:rsidR="00263293">
              <w:rPr>
                <w:noProof/>
                <w:webHidden/>
              </w:rPr>
              <w:fldChar w:fldCharType="separate"/>
            </w:r>
            <w:r w:rsidR="00270F78">
              <w:rPr>
                <w:noProof/>
                <w:webHidden/>
              </w:rPr>
              <w:t>94</w:t>
            </w:r>
            <w:r w:rsidR="00263293">
              <w:rPr>
                <w:noProof/>
                <w:webHidden/>
              </w:rPr>
              <w:fldChar w:fldCharType="end"/>
            </w:r>
          </w:hyperlink>
        </w:p>
        <w:p w14:paraId="6C154BE6" w14:textId="4BFC4FF1" w:rsidR="00263293" w:rsidRDefault="00E26E07">
          <w:pPr>
            <w:pStyle w:val="Spistreci3"/>
            <w:tabs>
              <w:tab w:val="right" w:leader="dot" w:pos="9060"/>
            </w:tabs>
            <w:rPr>
              <w:rFonts w:eastAsiaTheme="minorEastAsia"/>
              <w:noProof/>
              <w:lang w:eastAsia="pl-PL"/>
            </w:rPr>
          </w:pPr>
          <w:hyperlink w:anchor="_Toc78205896" w:history="1">
            <w:r w:rsidR="00263293" w:rsidRPr="00256285">
              <w:rPr>
                <w:rStyle w:val="Hipercze"/>
                <w:b/>
                <w:noProof/>
              </w:rPr>
              <w:t>9.3.1 Wprowadzenie do Polityki miejskiej</w:t>
            </w:r>
            <w:r w:rsidR="00263293">
              <w:rPr>
                <w:noProof/>
                <w:webHidden/>
              </w:rPr>
              <w:tab/>
            </w:r>
            <w:r w:rsidR="00263293">
              <w:rPr>
                <w:noProof/>
                <w:webHidden/>
              </w:rPr>
              <w:fldChar w:fldCharType="begin"/>
            </w:r>
            <w:r w:rsidR="00263293">
              <w:rPr>
                <w:noProof/>
                <w:webHidden/>
              </w:rPr>
              <w:instrText xml:space="preserve"> PAGEREF _Toc78205896 \h </w:instrText>
            </w:r>
            <w:r w:rsidR="00263293">
              <w:rPr>
                <w:noProof/>
                <w:webHidden/>
              </w:rPr>
            </w:r>
            <w:r w:rsidR="00263293">
              <w:rPr>
                <w:noProof/>
                <w:webHidden/>
              </w:rPr>
              <w:fldChar w:fldCharType="separate"/>
            </w:r>
            <w:r w:rsidR="00270F78">
              <w:rPr>
                <w:noProof/>
                <w:webHidden/>
              </w:rPr>
              <w:t>94</w:t>
            </w:r>
            <w:r w:rsidR="00263293">
              <w:rPr>
                <w:noProof/>
                <w:webHidden/>
              </w:rPr>
              <w:fldChar w:fldCharType="end"/>
            </w:r>
          </w:hyperlink>
        </w:p>
        <w:p w14:paraId="080D9EA2" w14:textId="6D2A6F41" w:rsidR="00263293" w:rsidRDefault="00E26E07">
          <w:pPr>
            <w:pStyle w:val="Spistreci3"/>
            <w:tabs>
              <w:tab w:val="right" w:leader="dot" w:pos="9060"/>
            </w:tabs>
            <w:rPr>
              <w:rFonts w:eastAsiaTheme="minorEastAsia"/>
              <w:noProof/>
              <w:lang w:eastAsia="pl-PL"/>
            </w:rPr>
          </w:pPr>
          <w:hyperlink w:anchor="_Toc78205897" w:history="1">
            <w:r w:rsidR="00263293" w:rsidRPr="00256285">
              <w:rPr>
                <w:rStyle w:val="Hipercze"/>
                <w:b/>
                <w:noProof/>
                <w:lang w:eastAsia="pl-PL"/>
              </w:rPr>
              <w:t>9.3.2 Podstawy strategiczne Polityki miejskiej</w:t>
            </w:r>
            <w:r w:rsidR="00263293">
              <w:rPr>
                <w:noProof/>
                <w:webHidden/>
              </w:rPr>
              <w:tab/>
            </w:r>
            <w:r w:rsidR="00263293">
              <w:rPr>
                <w:noProof/>
                <w:webHidden/>
              </w:rPr>
              <w:fldChar w:fldCharType="begin"/>
            </w:r>
            <w:r w:rsidR="00263293">
              <w:rPr>
                <w:noProof/>
                <w:webHidden/>
              </w:rPr>
              <w:instrText xml:space="preserve"> PAGEREF _Toc78205897 \h </w:instrText>
            </w:r>
            <w:r w:rsidR="00263293">
              <w:rPr>
                <w:noProof/>
                <w:webHidden/>
              </w:rPr>
            </w:r>
            <w:r w:rsidR="00263293">
              <w:rPr>
                <w:noProof/>
                <w:webHidden/>
              </w:rPr>
              <w:fldChar w:fldCharType="separate"/>
            </w:r>
            <w:r w:rsidR="00270F78">
              <w:rPr>
                <w:noProof/>
                <w:webHidden/>
              </w:rPr>
              <w:t>97</w:t>
            </w:r>
            <w:r w:rsidR="00263293">
              <w:rPr>
                <w:noProof/>
                <w:webHidden/>
              </w:rPr>
              <w:fldChar w:fldCharType="end"/>
            </w:r>
          </w:hyperlink>
        </w:p>
        <w:p w14:paraId="0D8B6BDF" w14:textId="7045DE4B" w:rsidR="00263293" w:rsidRDefault="00E26E07">
          <w:pPr>
            <w:pStyle w:val="Spistreci3"/>
            <w:tabs>
              <w:tab w:val="right" w:leader="dot" w:pos="9060"/>
            </w:tabs>
            <w:rPr>
              <w:rFonts w:eastAsiaTheme="minorEastAsia"/>
              <w:noProof/>
              <w:lang w:eastAsia="pl-PL"/>
            </w:rPr>
          </w:pPr>
          <w:hyperlink w:anchor="_Toc78205898" w:history="1">
            <w:r w:rsidR="00263293" w:rsidRPr="00256285">
              <w:rPr>
                <w:rStyle w:val="Hipercze"/>
                <w:b/>
                <w:noProof/>
              </w:rPr>
              <w:t>9.3.3 Koncepcja Smart City (inteligentne miasta) – miasta przyszłości</w:t>
            </w:r>
            <w:r w:rsidR="00263293">
              <w:rPr>
                <w:noProof/>
                <w:webHidden/>
              </w:rPr>
              <w:tab/>
            </w:r>
            <w:r w:rsidR="00263293">
              <w:rPr>
                <w:noProof/>
                <w:webHidden/>
              </w:rPr>
              <w:fldChar w:fldCharType="begin"/>
            </w:r>
            <w:r w:rsidR="00263293">
              <w:rPr>
                <w:noProof/>
                <w:webHidden/>
              </w:rPr>
              <w:instrText xml:space="preserve"> PAGEREF _Toc78205898 \h </w:instrText>
            </w:r>
            <w:r w:rsidR="00263293">
              <w:rPr>
                <w:noProof/>
                <w:webHidden/>
              </w:rPr>
            </w:r>
            <w:r w:rsidR="00263293">
              <w:rPr>
                <w:noProof/>
                <w:webHidden/>
              </w:rPr>
              <w:fldChar w:fldCharType="separate"/>
            </w:r>
            <w:r w:rsidR="00270F78">
              <w:rPr>
                <w:noProof/>
                <w:webHidden/>
              </w:rPr>
              <w:t>98</w:t>
            </w:r>
            <w:r w:rsidR="00263293">
              <w:rPr>
                <w:noProof/>
                <w:webHidden/>
              </w:rPr>
              <w:fldChar w:fldCharType="end"/>
            </w:r>
          </w:hyperlink>
        </w:p>
        <w:p w14:paraId="38B5F446" w14:textId="7BE0A59E" w:rsidR="00263293" w:rsidRDefault="00E26E07">
          <w:pPr>
            <w:pStyle w:val="Spistreci3"/>
            <w:tabs>
              <w:tab w:val="right" w:leader="dot" w:pos="9060"/>
            </w:tabs>
            <w:rPr>
              <w:rFonts w:eastAsiaTheme="minorEastAsia"/>
              <w:noProof/>
              <w:lang w:eastAsia="pl-PL"/>
            </w:rPr>
          </w:pPr>
          <w:hyperlink w:anchor="_Toc78205899" w:history="1">
            <w:r w:rsidR="00263293" w:rsidRPr="00256285">
              <w:rPr>
                <w:rStyle w:val="Hipercze"/>
                <w:b/>
                <w:noProof/>
                <w:lang w:eastAsia="pl-PL"/>
              </w:rPr>
              <w:t>9.3.4 Sektory działalności najbardziej odpowiedzialne za nieodpowiednią jakość powietrza na obszarach zurbanizowanych</w:t>
            </w:r>
            <w:r w:rsidR="00263293">
              <w:rPr>
                <w:noProof/>
                <w:webHidden/>
              </w:rPr>
              <w:tab/>
            </w:r>
            <w:r w:rsidR="00263293">
              <w:rPr>
                <w:noProof/>
                <w:webHidden/>
              </w:rPr>
              <w:fldChar w:fldCharType="begin"/>
            </w:r>
            <w:r w:rsidR="00263293">
              <w:rPr>
                <w:noProof/>
                <w:webHidden/>
              </w:rPr>
              <w:instrText xml:space="preserve"> PAGEREF _Toc78205899 \h </w:instrText>
            </w:r>
            <w:r w:rsidR="00263293">
              <w:rPr>
                <w:noProof/>
                <w:webHidden/>
              </w:rPr>
            </w:r>
            <w:r w:rsidR="00263293">
              <w:rPr>
                <w:noProof/>
                <w:webHidden/>
              </w:rPr>
              <w:fldChar w:fldCharType="separate"/>
            </w:r>
            <w:r w:rsidR="00270F78">
              <w:rPr>
                <w:noProof/>
                <w:webHidden/>
              </w:rPr>
              <w:t>103</w:t>
            </w:r>
            <w:r w:rsidR="00263293">
              <w:rPr>
                <w:noProof/>
                <w:webHidden/>
              </w:rPr>
              <w:fldChar w:fldCharType="end"/>
            </w:r>
          </w:hyperlink>
        </w:p>
        <w:p w14:paraId="3768E5FD" w14:textId="07E3CFAB" w:rsidR="00263293" w:rsidRDefault="00E26E07">
          <w:pPr>
            <w:pStyle w:val="Spistreci3"/>
            <w:tabs>
              <w:tab w:val="right" w:leader="dot" w:pos="9060"/>
            </w:tabs>
            <w:rPr>
              <w:rFonts w:eastAsiaTheme="minorEastAsia"/>
              <w:noProof/>
              <w:lang w:eastAsia="pl-PL"/>
            </w:rPr>
          </w:pPr>
          <w:hyperlink w:anchor="_Toc78205900" w:history="1">
            <w:r w:rsidR="00263293" w:rsidRPr="00256285">
              <w:rPr>
                <w:rStyle w:val="Hipercze"/>
                <w:b/>
                <w:noProof/>
              </w:rPr>
              <w:t>9.3.5 Działania, pakiety i inicjatywy podejmowane w celu rozwoju infrastruktury i poprawy warunków życia, stanu środowiska, w tym jakości powietrza na obszarach zurbanizowanych</w:t>
            </w:r>
            <w:r w:rsidR="00263293">
              <w:rPr>
                <w:noProof/>
                <w:webHidden/>
              </w:rPr>
              <w:tab/>
            </w:r>
            <w:r w:rsidR="00263293">
              <w:rPr>
                <w:noProof/>
                <w:webHidden/>
              </w:rPr>
              <w:fldChar w:fldCharType="begin"/>
            </w:r>
            <w:r w:rsidR="00263293">
              <w:rPr>
                <w:noProof/>
                <w:webHidden/>
              </w:rPr>
              <w:instrText xml:space="preserve"> PAGEREF _Toc78205900 \h </w:instrText>
            </w:r>
            <w:r w:rsidR="00263293">
              <w:rPr>
                <w:noProof/>
                <w:webHidden/>
              </w:rPr>
            </w:r>
            <w:r w:rsidR="00263293">
              <w:rPr>
                <w:noProof/>
                <w:webHidden/>
              </w:rPr>
              <w:fldChar w:fldCharType="separate"/>
            </w:r>
            <w:r w:rsidR="00270F78">
              <w:rPr>
                <w:noProof/>
                <w:webHidden/>
              </w:rPr>
              <w:t>104</w:t>
            </w:r>
            <w:r w:rsidR="00263293">
              <w:rPr>
                <w:noProof/>
                <w:webHidden/>
              </w:rPr>
              <w:fldChar w:fldCharType="end"/>
            </w:r>
          </w:hyperlink>
        </w:p>
        <w:p w14:paraId="4E4BFC77" w14:textId="06E42C7F" w:rsidR="00263293" w:rsidRDefault="00E26E07">
          <w:pPr>
            <w:pStyle w:val="Spistreci3"/>
            <w:tabs>
              <w:tab w:val="right" w:leader="dot" w:pos="9060"/>
            </w:tabs>
            <w:rPr>
              <w:rFonts w:eastAsiaTheme="minorEastAsia"/>
              <w:noProof/>
              <w:lang w:eastAsia="pl-PL"/>
            </w:rPr>
          </w:pPr>
          <w:hyperlink w:anchor="_Toc78205901" w:history="1">
            <w:r w:rsidR="00263293" w:rsidRPr="00256285">
              <w:rPr>
                <w:rStyle w:val="Hipercze"/>
                <w:b/>
                <w:noProof/>
              </w:rPr>
              <w:t>9.3.6 Najważniejsze projekty, inicjatywy działania dotyczące obszarów zurbanizowanych</w:t>
            </w:r>
            <w:r w:rsidR="00263293">
              <w:rPr>
                <w:noProof/>
                <w:webHidden/>
              </w:rPr>
              <w:tab/>
            </w:r>
            <w:r w:rsidR="00263293">
              <w:rPr>
                <w:noProof/>
                <w:webHidden/>
              </w:rPr>
              <w:fldChar w:fldCharType="begin"/>
            </w:r>
            <w:r w:rsidR="00263293">
              <w:rPr>
                <w:noProof/>
                <w:webHidden/>
              </w:rPr>
              <w:instrText xml:space="preserve"> PAGEREF _Toc78205901 \h </w:instrText>
            </w:r>
            <w:r w:rsidR="00263293">
              <w:rPr>
                <w:noProof/>
                <w:webHidden/>
              </w:rPr>
            </w:r>
            <w:r w:rsidR="00263293">
              <w:rPr>
                <w:noProof/>
                <w:webHidden/>
              </w:rPr>
              <w:fldChar w:fldCharType="separate"/>
            </w:r>
            <w:r w:rsidR="00270F78">
              <w:rPr>
                <w:noProof/>
                <w:webHidden/>
              </w:rPr>
              <w:t>105</w:t>
            </w:r>
            <w:r w:rsidR="00263293">
              <w:rPr>
                <w:noProof/>
                <w:webHidden/>
              </w:rPr>
              <w:fldChar w:fldCharType="end"/>
            </w:r>
          </w:hyperlink>
        </w:p>
        <w:p w14:paraId="54214E1A" w14:textId="5369A9A9" w:rsidR="00263293" w:rsidRDefault="00E26E07">
          <w:pPr>
            <w:pStyle w:val="Spistreci2"/>
            <w:tabs>
              <w:tab w:val="right" w:leader="dot" w:pos="9060"/>
            </w:tabs>
            <w:rPr>
              <w:rFonts w:eastAsiaTheme="minorEastAsia"/>
              <w:noProof/>
              <w:lang w:eastAsia="pl-PL"/>
            </w:rPr>
          </w:pPr>
          <w:hyperlink w:anchor="_Toc78205902" w:history="1">
            <w:r w:rsidR="00263293" w:rsidRPr="00256285">
              <w:rPr>
                <w:rStyle w:val="Hipercze"/>
                <w:b/>
                <w:noProof/>
              </w:rPr>
              <w:t>9.4. Kierunek Interwencji 4 – ZWIĘKSZENIE UDZIAŁU CZYSTEJ ENERGII, CIEPŁA, ROZWÓJ ODNAWIALNYCH ŹRÓDEŁ ENERGII</w:t>
            </w:r>
            <w:r w:rsidR="00263293">
              <w:rPr>
                <w:noProof/>
                <w:webHidden/>
              </w:rPr>
              <w:tab/>
            </w:r>
            <w:r w:rsidR="00263293">
              <w:rPr>
                <w:noProof/>
                <w:webHidden/>
              </w:rPr>
              <w:fldChar w:fldCharType="begin"/>
            </w:r>
            <w:r w:rsidR="00263293">
              <w:rPr>
                <w:noProof/>
                <w:webHidden/>
              </w:rPr>
              <w:instrText xml:space="preserve"> PAGEREF _Toc78205902 \h </w:instrText>
            </w:r>
            <w:r w:rsidR="00263293">
              <w:rPr>
                <w:noProof/>
                <w:webHidden/>
              </w:rPr>
            </w:r>
            <w:r w:rsidR="00263293">
              <w:rPr>
                <w:noProof/>
                <w:webHidden/>
              </w:rPr>
              <w:fldChar w:fldCharType="separate"/>
            </w:r>
            <w:r w:rsidR="00270F78">
              <w:rPr>
                <w:noProof/>
                <w:webHidden/>
              </w:rPr>
              <w:t>108</w:t>
            </w:r>
            <w:r w:rsidR="00263293">
              <w:rPr>
                <w:noProof/>
                <w:webHidden/>
              </w:rPr>
              <w:fldChar w:fldCharType="end"/>
            </w:r>
          </w:hyperlink>
        </w:p>
        <w:p w14:paraId="1CBE125D" w14:textId="7F2E3B76" w:rsidR="00263293" w:rsidRDefault="00E26E07">
          <w:pPr>
            <w:pStyle w:val="Spistreci3"/>
            <w:tabs>
              <w:tab w:val="right" w:leader="dot" w:pos="9060"/>
            </w:tabs>
            <w:rPr>
              <w:rFonts w:eastAsiaTheme="minorEastAsia"/>
              <w:noProof/>
              <w:lang w:eastAsia="pl-PL"/>
            </w:rPr>
          </w:pPr>
          <w:hyperlink w:anchor="_Toc78205903" w:history="1">
            <w:r w:rsidR="00263293" w:rsidRPr="00256285">
              <w:rPr>
                <w:rStyle w:val="Hipercze"/>
                <w:b/>
                <w:noProof/>
                <w:lang w:eastAsia="ar-SA"/>
              </w:rPr>
              <w:t>9.4.1 Rozwój odnawialnych źródeł energii – kierunki działań</w:t>
            </w:r>
            <w:r w:rsidR="00263293">
              <w:rPr>
                <w:noProof/>
                <w:webHidden/>
              </w:rPr>
              <w:tab/>
            </w:r>
            <w:r w:rsidR="00263293">
              <w:rPr>
                <w:noProof/>
                <w:webHidden/>
              </w:rPr>
              <w:fldChar w:fldCharType="begin"/>
            </w:r>
            <w:r w:rsidR="00263293">
              <w:rPr>
                <w:noProof/>
                <w:webHidden/>
              </w:rPr>
              <w:instrText xml:space="preserve"> PAGEREF _Toc78205903 \h </w:instrText>
            </w:r>
            <w:r w:rsidR="00263293">
              <w:rPr>
                <w:noProof/>
                <w:webHidden/>
              </w:rPr>
            </w:r>
            <w:r w:rsidR="00263293">
              <w:rPr>
                <w:noProof/>
                <w:webHidden/>
              </w:rPr>
              <w:fldChar w:fldCharType="separate"/>
            </w:r>
            <w:r w:rsidR="00270F78">
              <w:rPr>
                <w:noProof/>
                <w:webHidden/>
              </w:rPr>
              <w:t>108</w:t>
            </w:r>
            <w:r w:rsidR="00263293">
              <w:rPr>
                <w:noProof/>
                <w:webHidden/>
              </w:rPr>
              <w:fldChar w:fldCharType="end"/>
            </w:r>
          </w:hyperlink>
        </w:p>
        <w:p w14:paraId="42D3483C" w14:textId="1D66D540" w:rsidR="00263293" w:rsidRDefault="00E26E07">
          <w:pPr>
            <w:pStyle w:val="Spistreci3"/>
            <w:tabs>
              <w:tab w:val="right" w:leader="dot" w:pos="9060"/>
            </w:tabs>
            <w:rPr>
              <w:rFonts w:eastAsiaTheme="minorEastAsia"/>
              <w:noProof/>
              <w:lang w:eastAsia="pl-PL"/>
            </w:rPr>
          </w:pPr>
          <w:hyperlink w:anchor="_Toc78205904" w:history="1">
            <w:r w:rsidR="00263293" w:rsidRPr="00256285">
              <w:rPr>
                <w:rStyle w:val="Hipercze"/>
                <w:rFonts w:eastAsia="Calibri"/>
                <w:b/>
                <w:noProof/>
                <w:lang w:eastAsia="ar-SA"/>
              </w:rPr>
              <w:t>9.4.2 Rozwój ciepłownictwa - kierunki działań</w:t>
            </w:r>
            <w:r w:rsidR="00263293">
              <w:rPr>
                <w:noProof/>
                <w:webHidden/>
              </w:rPr>
              <w:tab/>
            </w:r>
            <w:r w:rsidR="00263293">
              <w:rPr>
                <w:noProof/>
                <w:webHidden/>
              </w:rPr>
              <w:fldChar w:fldCharType="begin"/>
            </w:r>
            <w:r w:rsidR="00263293">
              <w:rPr>
                <w:noProof/>
                <w:webHidden/>
              </w:rPr>
              <w:instrText xml:space="preserve"> PAGEREF _Toc78205904 \h </w:instrText>
            </w:r>
            <w:r w:rsidR="00263293">
              <w:rPr>
                <w:noProof/>
                <w:webHidden/>
              </w:rPr>
            </w:r>
            <w:r w:rsidR="00263293">
              <w:rPr>
                <w:noProof/>
                <w:webHidden/>
              </w:rPr>
              <w:fldChar w:fldCharType="separate"/>
            </w:r>
            <w:r w:rsidR="00270F78">
              <w:rPr>
                <w:noProof/>
                <w:webHidden/>
              </w:rPr>
              <w:t>110</w:t>
            </w:r>
            <w:r w:rsidR="00263293">
              <w:rPr>
                <w:noProof/>
                <w:webHidden/>
              </w:rPr>
              <w:fldChar w:fldCharType="end"/>
            </w:r>
          </w:hyperlink>
        </w:p>
        <w:p w14:paraId="3E870674" w14:textId="3AFC6B0E" w:rsidR="00263293" w:rsidRDefault="00E26E07">
          <w:pPr>
            <w:pStyle w:val="Spistreci3"/>
            <w:tabs>
              <w:tab w:val="right" w:leader="dot" w:pos="9060"/>
            </w:tabs>
            <w:rPr>
              <w:rFonts w:eastAsiaTheme="minorEastAsia"/>
              <w:noProof/>
              <w:lang w:eastAsia="pl-PL"/>
            </w:rPr>
          </w:pPr>
          <w:hyperlink w:anchor="_Toc78205905" w:history="1">
            <w:r w:rsidR="00263293" w:rsidRPr="00256285">
              <w:rPr>
                <w:rStyle w:val="Hipercze"/>
                <w:rFonts w:eastAsiaTheme="majorEastAsia"/>
                <w:b/>
                <w:noProof/>
              </w:rPr>
              <w:t>9.4.3 Rozwój czystej energii, gospodarka wodorowa</w:t>
            </w:r>
            <w:r w:rsidR="00263293">
              <w:rPr>
                <w:noProof/>
                <w:webHidden/>
              </w:rPr>
              <w:tab/>
            </w:r>
            <w:r w:rsidR="00263293">
              <w:rPr>
                <w:noProof/>
                <w:webHidden/>
              </w:rPr>
              <w:fldChar w:fldCharType="begin"/>
            </w:r>
            <w:r w:rsidR="00263293">
              <w:rPr>
                <w:noProof/>
                <w:webHidden/>
              </w:rPr>
              <w:instrText xml:space="preserve"> PAGEREF _Toc78205905 \h </w:instrText>
            </w:r>
            <w:r w:rsidR="00263293">
              <w:rPr>
                <w:noProof/>
                <w:webHidden/>
              </w:rPr>
            </w:r>
            <w:r w:rsidR="00263293">
              <w:rPr>
                <w:noProof/>
                <w:webHidden/>
              </w:rPr>
              <w:fldChar w:fldCharType="separate"/>
            </w:r>
            <w:r w:rsidR="00270F78">
              <w:rPr>
                <w:noProof/>
                <w:webHidden/>
              </w:rPr>
              <w:t>113</w:t>
            </w:r>
            <w:r w:rsidR="00263293">
              <w:rPr>
                <w:noProof/>
                <w:webHidden/>
              </w:rPr>
              <w:fldChar w:fldCharType="end"/>
            </w:r>
          </w:hyperlink>
        </w:p>
        <w:p w14:paraId="5D0F761E" w14:textId="01E602EB" w:rsidR="00263293" w:rsidRDefault="00E26E07">
          <w:pPr>
            <w:pStyle w:val="Spistreci2"/>
            <w:tabs>
              <w:tab w:val="right" w:leader="dot" w:pos="9060"/>
            </w:tabs>
            <w:rPr>
              <w:rFonts w:eastAsiaTheme="minorEastAsia"/>
              <w:noProof/>
              <w:lang w:eastAsia="pl-PL"/>
            </w:rPr>
          </w:pPr>
          <w:hyperlink w:anchor="_Toc78205906" w:history="1">
            <w:r w:rsidR="00263293" w:rsidRPr="00256285">
              <w:rPr>
                <w:rStyle w:val="Hipercze"/>
                <w:b/>
                <w:noProof/>
              </w:rPr>
              <w:t>9.5 Kierunek Interwencji 5 – EDUKACJA EKOLOGICZNA</w:t>
            </w:r>
            <w:r w:rsidR="00263293">
              <w:rPr>
                <w:noProof/>
                <w:webHidden/>
              </w:rPr>
              <w:tab/>
            </w:r>
            <w:r w:rsidR="00263293">
              <w:rPr>
                <w:noProof/>
                <w:webHidden/>
              </w:rPr>
              <w:fldChar w:fldCharType="begin"/>
            </w:r>
            <w:r w:rsidR="00263293">
              <w:rPr>
                <w:noProof/>
                <w:webHidden/>
              </w:rPr>
              <w:instrText xml:space="preserve"> PAGEREF _Toc78205906 \h </w:instrText>
            </w:r>
            <w:r w:rsidR="00263293">
              <w:rPr>
                <w:noProof/>
                <w:webHidden/>
              </w:rPr>
            </w:r>
            <w:r w:rsidR="00263293">
              <w:rPr>
                <w:noProof/>
                <w:webHidden/>
              </w:rPr>
              <w:fldChar w:fldCharType="separate"/>
            </w:r>
            <w:r w:rsidR="00270F78">
              <w:rPr>
                <w:noProof/>
                <w:webHidden/>
              </w:rPr>
              <w:t>120</w:t>
            </w:r>
            <w:r w:rsidR="00263293">
              <w:rPr>
                <w:noProof/>
                <w:webHidden/>
              </w:rPr>
              <w:fldChar w:fldCharType="end"/>
            </w:r>
          </w:hyperlink>
        </w:p>
        <w:p w14:paraId="35333EE8" w14:textId="410A524F" w:rsidR="00263293" w:rsidRDefault="00E26E07">
          <w:pPr>
            <w:pStyle w:val="Spistreci2"/>
            <w:tabs>
              <w:tab w:val="right" w:leader="dot" w:pos="9060"/>
            </w:tabs>
            <w:rPr>
              <w:rFonts w:eastAsiaTheme="minorEastAsia"/>
              <w:noProof/>
              <w:lang w:eastAsia="pl-PL"/>
            </w:rPr>
          </w:pPr>
          <w:hyperlink w:anchor="_Toc78205907" w:history="1">
            <w:r w:rsidR="00263293" w:rsidRPr="00256285">
              <w:rPr>
                <w:rStyle w:val="Hipercze"/>
                <w:b/>
                <w:noProof/>
              </w:rPr>
              <w:t>9.6 Kierunek Interwencji 6 ŹRÓDŁA FINANSOWANIA DZIAŁAŃ OKREŚLONYCH W AKTUALIZACJI KPOP</w:t>
            </w:r>
            <w:r w:rsidR="00263293">
              <w:rPr>
                <w:noProof/>
                <w:webHidden/>
              </w:rPr>
              <w:tab/>
            </w:r>
            <w:r w:rsidR="00263293">
              <w:rPr>
                <w:noProof/>
                <w:webHidden/>
              </w:rPr>
              <w:fldChar w:fldCharType="begin"/>
            </w:r>
            <w:r w:rsidR="00263293">
              <w:rPr>
                <w:noProof/>
                <w:webHidden/>
              </w:rPr>
              <w:instrText xml:space="preserve"> PAGEREF _Toc78205907 \h </w:instrText>
            </w:r>
            <w:r w:rsidR="00263293">
              <w:rPr>
                <w:noProof/>
                <w:webHidden/>
              </w:rPr>
            </w:r>
            <w:r w:rsidR="00263293">
              <w:rPr>
                <w:noProof/>
                <w:webHidden/>
              </w:rPr>
              <w:fldChar w:fldCharType="separate"/>
            </w:r>
            <w:r w:rsidR="00270F78">
              <w:rPr>
                <w:noProof/>
                <w:webHidden/>
              </w:rPr>
              <w:t>124</w:t>
            </w:r>
            <w:r w:rsidR="00263293">
              <w:rPr>
                <w:noProof/>
                <w:webHidden/>
              </w:rPr>
              <w:fldChar w:fldCharType="end"/>
            </w:r>
          </w:hyperlink>
        </w:p>
        <w:p w14:paraId="0A01143D" w14:textId="48A4425C" w:rsidR="00263293" w:rsidRDefault="00E26E07">
          <w:pPr>
            <w:pStyle w:val="Spistreci1"/>
            <w:tabs>
              <w:tab w:val="right" w:leader="dot" w:pos="9060"/>
            </w:tabs>
            <w:rPr>
              <w:rFonts w:eastAsiaTheme="minorEastAsia"/>
              <w:noProof/>
              <w:lang w:eastAsia="pl-PL"/>
            </w:rPr>
          </w:pPr>
          <w:hyperlink w:anchor="_Toc78205908" w:history="1">
            <w:r w:rsidR="00263293" w:rsidRPr="00256285">
              <w:rPr>
                <w:rStyle w:val="Hipercze"/>
                <w:b/>
                <w:noProof/>
              </w:rPr>
              <w:t>10. Zadania aKPOP do 2025 (z perspektywą do 2030 r. oraz do 2040 r.)</w:t>
            </w:r>
            <w:r w:rsidR="00263293">
              <w:rPr>
                <w:noProof/>
                <w:webHidden/>
              </w:rPr>
              <w:tab/>
            </w:r>
            <w:r w:rsidR="00263293">
              <w:rPr>
                <w:noProof/>
                <w:webHidden/>
              </w:rPr>
              <w:fldChar w:fldCharType="begin"/>
            </w:r>
            <w:r w:rsidR="00263293">
              <w:rPr>
                <w:noProof/>
                <w:webHidden/>
              </w:rPr>
              <w:instrText xml:space="preserve"> PAGEREF _Toc78205908 \h </w:instrText>
            </w:r>
            <w:r w:rsidR="00263293">
              <w:rPr>
                <w:noProof/>
                <w:webHidden/>
              </w:rPr>
            </w:r>
            <w:r w:rsidR="00263293">
              <w:rPr>
                <w:noProof/>
                <w:webHidden/>
              </w:rPr>
              <w:fldChar w:fldCharType="separate"/>
            </w:r>
            <w:r w:rsidR="00270F78">
              <w:rPr>
                <w:noProof/>
                <w:webHidden/>
              </w:rPr>
              <w:t>129</w:t>
            </w:r>
            <w:r w:rsidR="00263293">
              <w:rPr>
                <w:noProof/>
                <w:webHidden/>
              </w:rPr>
              <w:fldChar w:fldCharType="end"/>
            </w:r>
          </w:hyperlink>
        </w:p>
        <w:p w14:paraId="66722659" w14:textId="51EFD5EA" w:rsidR="00263293" w:rsidRDefault="00E26E07">
          <w:pPr>
            <w:pStyle w:val="Spistreci1"/>
            <w:tabs>
              <w:tab w:val="left" w:pos="660"/>
              <w:tab w:val="right" w:leader="dot" w:pos="9060"/>
            </w:tabs>
            <w:rPr>
              <w:rFonts w:eastAsiaTheme="minorEastAsia"/>
              <w:noProof/>
              <w:lang w:eastAsia="pl-PL"/>
            </w:rPr>
          </w:pPr>
          <w:hyperlink w:anchor="_Toc78205909" w:history="1">
            <w:r w:rsidR="00263293" w:rsidRPr="00256285">
              <w:rPr>
                <w:rStyle w:val="Hipercze"/>
                <w:b/>
                <w:noProof/>
              </w:rPr>
              <w:t>11.</w:t>
            </w:r>
            <w:r w:rsidR="00263293">
              <w:rPr>
                <w:rFonts w:eastAsiaTheme="minorEastAsia"/>
                <w:noProof/>
                <w:lang w:eastAsia="pl-PL"/>
              </w:rPr>
              <w:tab/>
            </w:r>
            <w:r w:rsidR="00263293" w:rsidRPr="00256285">
              <w:rPr>
                <w:rStyle w:val="Hipercze"/>
                <w:b/>
                <w:noProof/>
              </w:rPr>
              <w:t>System wdrażania i monitoringu aKPOP</w:t>
            </w:r>
            <w:r w:rsidR="00263293" w:rsidRPr="00256285">
              <w:rPr>
                <w:rStyle w:val="Hipercze"/>
                <w:noProof/>
              </w:rPr>
              <w:t>:</w:t>
            </w:r>
            <w:r w:rsidR="00263293">
              <w:rPr>
                <w:noProof/>
                <w:webHidden/>
              </w:rPr>
              <w:tab/>
            </w:r>
            <w:r w:rsidR="00263293">
              <w:rPr>
                <w:noProof/>
                <w:webHidden/>
              </w:rPr>
              <w:fldChar w:fldCharType="begin"/>
            </w:r>
            <w:r w:rsidR="00263293">
              <w:rPr>
                <w:noProof/>
                <w:webHidden/>
              </w:rPr>
              <w:instrText xml:space="preserve"> PAGEREF _Toc78205909 \h </w:instrText>
            </w:r>
            <w:r w:rsidR="00263293">
              <w:rPr>
                <w:noProof/>
                <w:webHidden/>
              </w:rPr>
            </w:r>
            <w:r w:rsidR="00263293">
              <w:rPr>
                <w:noProof/>
                <w:webHidden/>
              </w:rPr>
              <w:fldChar w:fldCharType="separate"/>
            </w:r>
            <w:r w:rsidR="00270F78">
              <w:rPr>
                <w:noProof/>
                <w:webHidden/>
              </w:rPr>
              <w:t>144</w:t>
            </w:r>
            <w:r w:rsidR="00263293">
              <w:rPr>
                <w:noProof/>
                <w:webHidden/>
              </w:rPr>
              <w:fldChar w:fldCharType="end"/>
            </w:r>
          </w:hyperlink>
        </w:p>
        <w:p w14:paraId="44361B65" w14:textId="23CC1E4D" w:rsidR="00263293" w:rsidRDefault="00E26E07">
          <w:pPr>
            <w:pStyle w:val="Spistreci3"/>
            <w:tabs>
              <w:tab w:val="left" w:pos="1320"/>
              <w:tab w:val="right" w:leader="dot" w:pos="9060"/>
            </w:tabs>
            <w:rPr>
              <w:rFonts w:eastAsiaTheme="minorEastAsia"/>
              <w:noProof/>
              <w:lang w:eastAsia="pl-PL"/>
            </w:rPr>
          </w:pPr>
          <w:hyperlink w:anchor="_Toc78205910" w:history="1">
            <w:r w:rsidR="00263293" w:rsidRPr="00256285">
              <w:rPr>
                <w:rStyle w:val="Hipercze"/>
                <w:b/>
                <w:noProof/>
              </w:rPr>
              <w:t>11.1.</w:t>
            </w:r>
            <w:r w:rsidR="00263293">
              <w:rPr>
                <w:rFonts w:eastAsiaTheme="minorEastAsia"/>
                <w:noProof/>
                <w:lang w:eastAsia="pl-PL"/>
              </w:rPr>
              <w:tab/>
            </w:r>
            <w:r w:rsidR="00263293" w:rsidRPr="00256285">
              <w:rPr>
                <w:rStyle w:val="Hipercze"/>
                <w:b/>
                <w:noProof/>
              </w:rPr>
              <w:t>Wskaźnik realizacji celu głównego i celów szczegółowych aKPOP</w:t>
            </w:r>
            <w:r w:rsidR="00263293">
              <w:rPr>
                <w:noProof/>
                <w:webHidden/>
              </w:rPr>
              <w:tab/>
            </w:r>
            <w:r w:rsidR="00263293">
              <w:rPr>
                <w:noProof/>
                <w:webHidden/>
              </w:rPr>
              <w:fldChar w:fldCharType="begin"/>
            </w:r>
            <w:r w:rsidR="00263293">
              <w:rPr>
                <w:noProof/>
                <w:webHidden/>
              </w:rPr>
              <w:instrText xml:space="preserve"> PAGEREF _Toc78205910 \h </w:instrText>
            </w:r>
            <w:r w:rsidR="00263293">
              <w:rPr>
                <w:noProof/>
                <w:webHidden/>
              </w:rPr>
            </w:r>
            <w:r w:rsidR="00263293">
              <w:rPr>
                <w:noProof/>
                <w:webHidden/>
              </w:rPr>
              <w:fldChar w:fldCharType="separate"/>
            </w:r>
            <w:r w:rsidR="00270F78">
              <w:rPr>
                <w:noProof/>
                <w:webHidden/>
              </w:rPr>
              <w:t>144</w:t>
            </w:r>
            <w:r w:rsidR="00263293">
              <w:rPr>
                <w:noProof/>
                <w:webHidden/>
              </w:rPr>
              <w:fldChar w:fldCharType="end"/>
            </w:r>
          </w:hyperlink>
        </w:p>
        <w:p w14:paraId="436E7177" w14:textId="6AC5BD38" w:rsidR="001C78DF" w:rsidRPr="0035160C" w:rsidRDefault="001C78DF">
          <w:r w:rsidRPr="0035160C">
            <w:rPr>
              <w:b/>
              <w:bCs/>
            </w:rPr>
            <w:fldChar w:fldCharType="end"/>
          </w:r>
        </w:p>
      </w:sdtContent>
    </w:sdt>
    <w:p w14:paraId="5A62246A" w14:textId="77777777" w:rsidR="001C78DF" w:rsidRPr="0035160C" w:rsidRDefault="001C78DF">
      <w:pPr>
        <w:rPr>
          <w:sz w:val="24"/>
          <w:szCs w:val="24"/>
        </w:rPr>
      </w:pPr>
    </w:p>
    <w:p w14:paraId="0304CE97" w14:textId="481DF0A4" w:rsidR="001C78DF" w:rsidRPr="00EC625B" w:rsidRDefault="00E26E07" w:rsidP="00EC625B">
      <w:pPr>
        <w:jc w:val="both"/>
        <w:rPr>
          <w:b/>
          <w:sz w:val="24"/>
          <w:szCs w:val="24"/>
        </w:rPr>
      </w:pPr>
      <w:hyperlink r:id="rId10" w:history="1">
        <w:r w:rsidR="00EC625B" w:rsidRPr="001B5670">
          <w:rPr>
            <w:rStyle w:val="Hipercze"/>
            <w:b/>
            <w:sz w:val="24"/>
            <w:szCs w:val="24"/>
          </w:rPr>
          <w:t xml:space="preserve">Załącznik nr 1. Zestawienie programów finansowych dedykowanych realizacji przedsięwzięć proekologicznych, mających na celu poprawę jakości powietrza </w:t>
        </w:r>
      </w:hyperlink>
      <w:r w:rsidR="00EC625B" w:rsidRPr="00EC625B">
        <w:rPr>
          <w:b/>
          <w:sz w:val="24"/>
          <w:szCs w:val="24"/>
        </w:rPr>
        <w:t xml:space="preserve"> </w:t>
      </w:r>
    </w:p>
    <w:p w14:paraId="6A761C3E" w14:textId="77777777" w:rsidR="001C78DF" w:rsidRPr="0035160C" w:rsidRDefault="001C78DF">
      <w:pPr>
        <w:rPr>
          <w:sz w:val="24"/>
          <w:szCs w:val="24"/>
        </w:rPr>
      </w:pPr>
    </w:p>
    <w:p w14:paraId="502668DE" w14:textId="77777777" w:rsidR="001C78DF" w:rsidRPr="0035160C" w:rsidRDefault="001C78DF">
      <w:pPr>
        <w:rPr>
          <w:sz w:val="24"/>
          <w:szCs w:val="24"/>
        </w:rPr>
      </w:pPr>
    </w:p>
    <w:p w14:paraId="6C91DE2B" w14:textId="77777777" w:rsidR="001C78DF" w:rsidRPr="0035160C" w:rsidRDefault="001C78DF">
      <w:pPr>
        <w:rPr>
          <w:sz w:val="24"/>
          <w:szCs w:val="24"/>
        </w:rPr>
      </w:pPr>
    </w:p>
    <w:p w14:paraId="33050970" w14:textId="77777777" w:rsidR="001C78DF" w:rsidRPr="0035160C" w:rsidRDefault="001C78DF">
      <w:pPr>
        <w:rPr>
          <w:sz w:val="24"/>
          <w:szCs w:val="24"/>
        </w:rPr>
      </w:pPr>
    </w:p>
    <w:p w14:paraId="6347E43A" w14:textId="77777777" w:rsidR="001C78DF" w:rsidRPr="0035160C" w:rsidRDefault="001C78DF">
      <w:pPr>
        <w:rPr>
          <w:sz w:val="24"/>
          <w:szCs w:val="24"/>
        </w:rPr>
      </w:pPr>
    </w:p>
    <w:p w14:paraId="580B7D67" w14:textId="77777777" w:rsidR="001C78DF" w:rsidRPr="0035160C" w:rsidRDefault="001C78DF">
      <w:pPr>
        <w:rPr>
          <w:sz w:val="24"/>
          <w:szCs w:val="24"/>
        </w:rPr>
      </w:pPr>
    </w:p>
    <w:p w14:paraId="4BD6CDAE" w14:textId="77777777" w:rsidR="001C78DF" w:rsidRPr="0035160C" w:rsidRDefault="001C78DF">
      <w:pPr>
        <w:rPr>
          <w:sz w:val="24"/>
          <w:szCs w:val="24"/>
        </w:rPr>
      </w:pPr>
    </w:p>
    <w:p w14:paraId="0A9D7052" w14:textId="6E4EFFBE" w:rsidR="001C78DF" w:rsidRDefault="001C78DF">
      <w:pPr>
        <w:rPr>
          <w:sz w:val="24"/>
          <w:szCs w:val="24"/>
        </w:rPr>
      </w:pPr>
    </w:p>
    <w:p w14:paraId="67B61674" w14:textId="7D2FCCE6" w:rsidR="00C0372D" w:rsidRDefault="00C0372D">
      <w:pPr>
        <w:rPr>
          <w:sz w:val="24"/>
          <w:szCs w:val="24"/>
        </w:rPr>
      </w:pPr>
    </w:p>
    <w:p w14:paraId="2DD4890B" w14:textId="5DF48B8E" w:rsidR="00C0372D" w:rsidRDefault="00C0372D">
      <w:pPr>
        <w:rPr>
          <w:sz w:val="24"/>
          <w:szCs w:val="24"/>
        </w:rPr>
      </w:pPr>
    </w:p>
    <w:p w14:paraId="099ABDE0" w14:textId="2B653C26" w:rsidR="00C0372D" w:rsidRDefault="00C0372D">
      <w:pPr>
        <w:rPr>
          <w:sz w:val="24"/>
          <w:szCs w:val="24"/>
        </w:rPr>
      </w:pPr>
    </w:p>
    <w:p w14:paraId="65C13F97" w14:textId="77777777" w:rsidR="00C0372D" w:rsidRPr="0035160C" w:rsidRDefault="00C0372D">
      <w:pPr>
        <w:rPr>
          <w:sz w:val="24"/>
          <w:szCs w:val="24"/>
        </w:rPr>
      </w:pPr>
    </w:p>
    <w:p w14:paraId="29D2931F" w14:textId="77777777" w:rsidR="00CD17B3" w:rsidRPr="0035160C" w:rsidRDefault="00CD17B3" w:rsidP="00CD17B3">
      <w:pPr>
        <w:pStyle w:val="Nagwek1"/>
        <w:numPr>
          <w:ilvl w:val="0"/>
          <w:numId w:val="0"/>
        </w:numPr>
        <w:rPr>
          <w:b/>
          <w:bCs w:val="0"/>
          <w:color w:val="4472C4" w:themeColor="accent1"/>
          <w:sz w:val="24"/>
          <w:szCs w:val="24"/>
        </w:rPr>
      </w:pPr>
      <w:bookmarkStart w:id="2" w:name="_Toc78205871"/>
      <w:r w:rsidRPr="0035160C">
        <w:rPr>
          <w:b/>
          <w:bCs w:val="0"/>
          <w:color w:val="4472C4" w:themeColor="accent1"/>
          <w:sz w:val="24"/>
          <w:szCs w:val="24"/>
        </w:rPr>
        <w:lastRenderedPageBreak/>
        <w:t>Indeks skrótów</w:t>
      </w:r>
      <w:bookmarkEnd w:id="1"/>
      <w:bookmarkEnd w:id="0"/>
      <w:bookmarkEnd w:id="2"/>
    </w:p>
    <w:tbl>
      <w:tblPr>
        <w:tblStyle w:val="Tabela-Siatka"/>
        <w:tblW w:w="0" w:type="auto"/>
        <w:tblLook w:val="04A0" w:firstRow="1" w:lastRow="0" w:firstColumn="1" w:lastColumn="0" w:noHBand="0" w:noVBand="1"/>
      </w:tblPr>
      <w:tblGrid>
        <w:gridCol w:w="1493"/>
        <w:gridCol w:w="7344"/>
      </w:tblGrid>
      <w:tr w:rsidR="00CD17B3" w:rsidRPr="0035160C" w14:paraId="12264D69" w14:textId="77777777" w:rsidTr="00756D73">
        <w:tc>
          <w:tcPr>
            <w:tcW w:w="1493" w:type="dxa"/>
          </w:tcPr>
          <w:p w14:paraId="0E62D851" w14:textId="321214B4" w:rsidR="00CD17B3" w:rsidRPr="0035160C" w:rsidRDefault="001F27F6" w:rsidP="007D438F">
            <w:pPr>
              <w:rPr>
                <w:rFonts w:cstheme="minorHAnsi"/>
                <w:b/>
                <w:shd w:val="clear" w:color="auto" w:fill="FFFFFF"/>
              </w:rPr>
            </w:pPr>
            <w:r>
              <w:rPr>
                <w:b/>
              </w:rPr>
              <w:t>aKPOP</w:t>
            </w:r>
          </w:p>
        </w:tc>
        <w:tc>
          <w:tcPr>
            <w:tcW w:w="7344" w:type="dxa"/>
          </w:tcPr>
          <w:p w14:paraId="01115CEB" w14:textId="7AB105FE" w:rsidR="00CD17B3" w:rsidRPr="0035160C" w:rsidRDefault="001F27F6" w:rsidP="007D438F">
            <w:pPr>
              <w:pStyle w:val="Indeks1"/>
            </w:pPr>
            <w:r>
              <w:t xml:space="preserve">Aktualizacja Krajowego Programu Ochrony Powietrza </w:t>
            </w:r>
          </w:p>
        </w:tc>
      </w:tr>
      <w:tr w:rsidR="001F27F6" w:rsidRPr="0035160C" w14:paraId="5F4B8AEE" w14:textId="77777777" w:rsidTr="00756D73">
        <w:tc>
          <w:tcPr>
            <w:tcW w:w="1493" w:type="dxa"/>
          </w:tcPr>
          <w:p w14:paraId="78AD0E45" w14:textId="030690D2" w:rsidR="001F27F6" w:rsidRPr="0035160C" w:rsidRDefault="001F27F6" w:rsidP="001F27F6">
            <w:pPr>
              <w:rPr>
                <w:b/>
              </w:rPr>
            </w:pPr>
            <w:r w:rsidRPr="0035160C">
              <w:rPr>
                <w:b/>
              </w:rPr>
              <w:t>BEiŚ</w:t>
            </w:r>
          </w:p>
        </w:tc>
        <w:tc>
          <w:tcPr>
            <w:tcW w:w="7344" w:type="dxa"/>
          </w:tcPr>
          <w:p w14:paraId="22097148" w14:textId="2DEE691C" w:rsidR="001F27F6" w:rsidRPr="0035160C" w:rsidRDefault="001F27F6" w:rsidP="001F27F6">
            <w:pPr>
              <w:pStyle w:val="Indeks1"/>
            </w:pPr>
            <w:r w:rsidRPr="0035160C">
              <w:t>Strategia Bezpieczeństwo Energetyczne i Środowisko –perspektywa do 2020 r.</w:t>
            </w:r>
          </w:p>
        </w:tc>
      </w:tr>
      <w:tr w:rsidR="00247AE1" w:rsidRPr="0035160C" w14:paraId="332CFC60" w14:textId="77777777" w:rsidTr="00756D73">
        <w:tc>
          <w:tcPr>
            <w:tcW w:w="1493" w:type="dxa"/>
          </w:tcPr>
          <w:p w14:paraId="36CF1D66" w14:textId="3594B030" w:rsidR="00247AE1" w:rsidRPr="0035160C" w:rsidRDefault="00247AE1" w:rsidP="001F27F6">
            <w:pPr>
              <w:rPr>
                <w:b/>
              </w:rPr>
            </w:pPr>
            <w:r>
              <w:rPr>
                <w:b/>
              </w:rPr>
              <w:t>CEEB</w:t>
            </w:r>
          </w:p>
        </w:tc>
        <w:tc>
          <w:tcPr>
            <w:tcW w:w="7344" w:type="dxa"/>
          </w:tcPr>
          <w:p w14:paraId="42A79C89" w14:textId="74875B88" w:rsidR="00247AE1" w:rsidRPr="0035160C" w:rsidRDefault="00247AE1" w:rsidP="001F27F6">
            <w:pPr>
              <w:pStyle w:val="Indeks1"/>
            </w:pPr>
            <w:r>
              <w:t>Centralna Ewidencja Emisyjności Budynków</w:t>
            </w:r>
          </w:p>
        </w:tc>
      </w:tr>
      <w:tr w:rsidR="001F27F6" w:rsidRPr="00210D88" w14:paraId="47CB387A" w14:textId="77777777" w:rsidTr="00756D73">
        <w:tc>
          <w:tcPr>
            <w:tcW w:w="1493" w:type="dxa"/>
          </w:tcPr>
          <w:p w14:paraId="627464CC" w14:textId="77777777" w:rsidR="001F27F6" w:rsidRPr="0035160C" w:rsidRDefault="001F27F6" w:rsidP="001F27F6">
            <w:pPr>
              <w:rPr>
                <w:rFonts w:cstheme="minorHAnsi"/>
                <w:b/>
                <w:shd w:val="clear" w:color="auto" w:fill="FFFFFF"/>
              </w:rPr>
            </w:pPr>
            <w:r w:rsidRPr="0035160C">
              <w:rPr>
                <w:b/>
              </w:rPr>
              <w:t xml:space="preserve">Copernicus </w:t>
            </w:r>
          </w:p>
        </w:tc>
        <w:tc>
          <w:tcPr>
            <w:tcW w:w="7344" w:type="dxa"/>
          </w:tcPr>
          <w:p w14:paraId="264BDF88" w14:textId="743FE1D9" w:rsidR="001F27F6" w:rsidRPr="0035160C" w:rsidRDefault="001F27F6" w:rsidP="001F27F6">
            <w:pPr>
              <w:pStyle w:val="Indeks1"/>
              <w:rPr>
                <w:lang w:val="en-GB"/>
              </w:rPr>
            </w:pPr>
            <w:r>
              <w:rPr>
                <w:lang w:val="en-US"/>
              </w:rPr>
              <w:t xml:space="preserve">Serwis Monitoringu Atmosfery </w:t>
            </w:r>
            <w:r w:rsidRPr="0035160C">
              <w:rPr>
                <w:lang w:val="en-US"/>
              </w:rPr>
              <w:t>(CAMS50 Copernicus Atmosphere Monitoring Service – Region</w:t>
            </w:r>
            <w:r w:rsidRPr="0035160C">
              <w:rPr>
                <w:lang w:val="en-GB"/>
              </w:rPr>
              <w:t>al Production)</w:t>
            </w:r>
          </w:p>
        </w:tc>
      </w:tr>
      <w:tr w:rsidR="001F27F6" w:rsidRPr="0035160C" w14:paraId="49BF8B38" w14:textId="77777777" w:rsidTr="00756D73">
        <w:tc>
          <w:tcPr>
            <w:tcW w:w="1493" w:type="dxa"/>
          </w:tcPr>
          <w:p w14:paraId="5A427284" w14:textId="77777777" w:rsidR="001F27F6" w:rsidRPr="0035160C" w:rsidRDefault="001F27F6" w:rsidP="001F27F6">
            <w:pPr>
              <w:rPr>
                <w:rFonts w:cstheme="minorHAnsi"/>
                <w:b/>
                <w:shd w:val="clear" w:color="auto" w:fill="FFFFFF"/>
                <w:lang w:val="en-US"/>
              </w:rPr>
            </w:pPr>
            <w:r w:rsidRPr="0035160C">
              <w:rPr>
                <w:b/>
                <w:lang w:val="en-US"/>
              </w:rPr>
              <w:t>Dyrektywa 2004/107/WE</w:t>
            </w:r>
          </w:p>
        </w:tc>
        <w:tc>
          <w:tcPr>
            <w:tcW w:w="7344" w:type="dxa"/>
          </w:tcPr>
          <w:p w14:paraId="423015C2" w14:textId="6963466C" w:rsidR="001F27F6" w:rsidRPr="0035160C" w:rsidRDefault="001F27F6" w:rsidP="001F27F6">
            <w:pPr>
              <w:pStyle w:val="Indeks1"/>
            </w:pPr>
            <w:r w:rsidRPr="0035160C">
              <w:rPr>
                <w:rFonts w:cstheme="minorHAnsi"/>
              </w:rPr>
              <w:t xml:space="preserve">Dyrektywa </w:t>
            </w:r>
            <w:r w:rsidRPr="0035160C">
              <w:t>2004/107/WE</w:t>
            </w:r>
            <w:r w:rsidRPr="0035160C">
              <w:rPr>
                <w:rFonts w:cstheme="minorHAnsi"/>
              </w:rPr>
              <w:t xml:space="preserve"> Parlamentu Europejskiego i Rady </w:t>
            </w:r>
            <w:r w:rsidRPr="0035160C">
              <w:rPr>
                <w:rFonts w:cstheme="minorHAnsi"/>
                <w:shd w:val="clear" w:color="auto" w:fill="FFFFFF"/>
              </w:rPr>
              <w:t xml:space="preserve">z dnia 15 grudnia 2004 r. w sprawie arsenu, kadmu, rtęci, niklu i wielopierścieniowych węglowodorów aromatycznych w otaczającym powietrzu (Dz. Urz. UE L 23 z 26.01.2005, str. 3, Dz. Urz. UE L </w:t>
            </w:r>
            <w:r w:rsidR="00BE6C81" w:rsidRPr="00BE6C81">
              <w:rPr>
                <w:rFonts w:cstheme="minorHAnsi"/>
                <w:shd w:val="clear" w:color="auto" w:fill="FFFFFF"/>
              </w:rPr>
              <w:t>87</w:t>
            </w:r>
            <w:r w:rsidR="00BE6C81">
              <w:rPr>
                <w:rFonts w:cstheme="minorHAnsi"/>
                <w:shd w:val="clear" w:color="auto" w:fill="FFFFFF"/>
              </w:rPr>
              <w:t xml:space="preserve"> </w:t>
            </w:r>
            <w:r w:rsidRPr="0035160C">
              <w:rPr>
                <w:rFonts w:cstheme="minorHAnsi"/>
                <w:shd w:val="clear" w:color="auto" w:fill="FFFFFF"/>
              </w:rPr>
              <w:t>z 31.03.2009</w:t>
            </w:r>
            <w:r w:rsidR="00BE6C81">
              <w:rPr>
                <w:rFonts w:cstheme="minorHAnsi"/>
                <w:shd w:val="clear" w:color="auto" w:fill="FFFFFF"/>
              </w:rPr>
              <w:t>,</w:t>
            </w:r>
            <w:r w:rsidRPr="0035160C">
              <w:rPr>
                <w:rFonts w:cstheme="minorHAnsi"/>
                <w:shd w:val="clear" w:color="auto" w:fill="FFFFFF"/>
              </w:rPr>
              <w:t xml:space="preserve"> str. 109 oraz Dz. Urz. UE L 226 z 29. 08.2015, str. 4)</w:t>
            </w:r>
          </w:p>
        </w:tc>
      </w:tr>
      <w:tr w:rsidR="001F27F6" w:rsidRPr="0035160C" w14:paraId="56BC8081" w14:textId="77777777" w:rsidTr="00756D73">
        <w:tc>
          <w:tcPr>
            <w:tcW w:w="1493" w:type="dxa"/>
          </w:tcPr>
          <w:p w14:paraId="544CB1B8" w14:textId="462778A4" w:rsidR="001F27F6" w:rsidRPr="0035160C" w:rsidRDefault="001F27F6" w:rsidP="001F27F6">
            <w:pPr>
              <w:rPr>
                <w:rFonts w:cstheme="minorHAnsi"/>
                <w:b/>
                <w:noProof/>
              </w:rPr>
            </w:pPr>
            <w:r w:rsidRPr="0035160C">
              <w:rPr>
                <w:rFonts w:cstheme="minorHAnsi"/>
                <w:b/>
                <w:shd w:val="clear" w:color="auto" w:fill="FFFFFF"/>
              </w:rPr>
              <w:t>Dyrektywa 2008/50/WE</w:t>
            </w:r>
          </w:p>
        </w:tc>
        <w:tc>
          <w:tcPr>
            <w:tcW w:w="7344" w:type="dxa"/>
          </w:tcPr>
          <w:p w14:paraId="1D4AB989" w14:textId="26CC4273" w:rsidR="001F27F6" w:rsidRPr="0035160C" w:rsidRDefault="001F27F6" w:rsidP="001F27F6">
            <w:pPr>
              <w:pStyle w:val="Indeks1"/>
              <w:rPr>
                <w:noProof/>
              </w:rPr>
            </w:pPr>
            <w:r w:rsidRPr="0035160C">
              <w:t xml:space="preserve">Dyrektywa 2008/50/WE Parlamentu Europejskiego i Rady </w:t>
            </w:r>
            <w:r w:rsidRPr="0035160C">
              <w:rPr>
                <w:shd w:val="clear" w:color="auto" w:fill="FFFFFF"/>
              </w:rPr>
              <w:t>z dnia 21 maja 2008 r. w sprawie jakości powietrza i czystszego powietrza dla Europy (Dz. Urz. UE L 152 z 11.06.2008, str.1, Dz. Urz. UE Lz 24.04.2012 oraz Dz. Urz. UE L 2908/2015 str. 4)</w:t>
            </w:r>
          </w:p>
        </w:tc>
      </w:tr>
      <w:tr w:rsidR="001F27F6" w:rsidRPr="0035160C" w14:paraId="0329A0D6" w14:textId="77777777" w:rsidTr="00756D73">
        <w:tc>
          <w:tcPr>
            <w:tcW w:w="1493" w:type="dxa"/>
          </w:tcPr>
          <w:p w14:paraId="189AB67F" w14:textId="77777777" w:rsidR="001F27F6" w:rsidRPr="0035160C" w:rsidRDefault="001F27F6" w:rsidP="001F27F6">
            <w:pPr>
              <w:rPr>
                <w:b/>
              </w:rPr>
            </w:pPr>
            <w:r w:rsidRPr="0035160C">
              <w:rPr>
                <w:rFonts w:cstheme="minorHAnsi"/>
                <w:b/>
              </w:rPr>
              <w:t>Dyrektywa IED</w:t>
            </w:r>
          </w:p>
        </w:tc>
        <w:tc>
          <w:tcPr>
            <w:tcW w:w="7344" w:type="dxa"/>
          </w:tcPr>
          <w:p w14:paraId="0257F39E" w14:textId="51C83658" w:rsidR="001F27F6" w:rsidRPr="0035160C" w:rsidRDefault="001F27F6" w:rsidP="001F27F6">
            <w:pPr>
              <w:pStyle w:val="Indeks1"/>
              <w:rPr>
                <w:rFonts w:cstheme="minorHAnsi"/>
              </w:rPr>
            </w:pPr>
            <w:r>
              <w:rPr>
                <w:rFonts w:cstheme="minorHAnsi"/>
              </w:rPr>
              <w:t>D</w:t>
            </w:r>
            <w:r w:rsidRPr="0035160C">
              <w:rPr>
                <w:rFonts w:cstheme="minorHAnsi"/>
              </w:rPr>
              <w:t xml:space="preserve">yrektywy Parlamentu Europejskiego i Rady 2010/75/UE z dnia 24 listopada 2010 r. w sprawie emisji przemysłowych (zintegrowane zapobieganie zanieczyszczeniom i ich kontrola) (Dz. Urz. UE L 344 z 17.12.2010, str. 17) </w:t>
            </w:r>
          </w:p>
        </w:tc>
      </w:tr>
      <w:tr w:rsidR="001F27F6" w:rsidRPr="0035160C" w14:paraId="1C315A5C" w14:textId="77777777" w:rsidTr="00756D73">
        <w:tc>
          <w:tcPr>
            <w:tcW w:w="1493" w:type="dxa"/>
          </w:tcPr>
          <w:p w14:paraId="6F0BDA34" w14:textId="77777777" w:rsidR="001F27F6" w:rsidRPr="0035160C" w:rsidRDefault="001F27F6" w:rsidP="001F27F6">
            <w:pPr>
              <w:rPr>
                <w:b/>
              </w:rPr>
            </w:pPr>
            <w:r w:rsidRPr="0035160C">
              <w:rPr>
                <w:b/>
              </w:rPr>
              <w:t>ETZT</w:t>
            </w:r>
          </w:p>
        </w:tc>
        <w:tc>
          <w:tcPr>
            <w:tcW w:w="7344" w:type="dxa"/>
          </w:tcPr>
          <w:p w14:paraId="34BEF107" w14:textId="77777777" w:rsidR="001F27F6" w:rsidRPr="0035160C" w:rsidRDefault="001F27F6" w:rsidP="001F27F6">
            <w:pPr>
              <w:pStyle w:val="Indeks1"/>
              <w:rPr>
                <w:rFonts w:cstheme="minorHAnsi"/>
              </w:rPr>
            </w:pPr>
            <w:r w:rsidRPr="0035160C">
              <w:rPr>
                <w:rFonts w:cstheme="minorHAnsi"/>
              </w:rPr>
              <w:t>Europejski Tydzień Zrównoważonego Transportu</w:t>
            </w:r>
          </w:p>
        </w:tc>
      </w:tr>
      <w:tr w:rsidR="001F27F6" w:rsidRPr="0035160C" w14:paraId="697E68CA" w14:textId="77777777" w:rsidTr="00756D73">
        <w:tc>
          <w:tcPr>
            <w:tcW w:w="1493" w:type="dxa"/>
          </w:tcPr>
          <w:p w14:paraId="2C643378" w14:textId="77777777" w:rsidR="001F27F6" w:rsidRPr="0035160C" w:rsidRDefault="001F27F6" w:rsidP="001F27F6">
            <w:pPr>
              <w:rPr>
                <w:rFonts w:cstheme="minorHAnsi"/>
                <w:b/>
                <w:noProof/>
              </w:rPr>
            </w:pPr>
            <w:r w:rsidRPr="0035160C">
              <w:rPr>
                <w:rFonts w:cstheme="minorHAnsi"/>
                <w:b/>
                <w:noProof/>
              </w:rPr>
              <w:t>KPEiK</w:t>
            </w:r>
          </w:p>
        </w:tc>
        <w:tc>
          <w:tcPr>
            <w:tcW w:w="7344" w:type="dxa"/>
          </w:tcPr>
          <w:p w14:paraId="1B175757" w14:textId="77777777" w:rsidR="001F27F6" w:rsidRPr="0035160C" w:rsidRDefault="001F27F6" w:rsidP="001F27F6">
            <w:pPr>
              <w:pStyle w:val="Indeks1"/>
              <w:rPr>
                <w:noProof/>
              </w:rPr>
            </w:pPr>
            <w:r w:rsidRPr="0035160C">
              <w:rPr>
                <w:rFonts w:cstheme="minorHAnsi"/>
              </w:rPr>
              <w:t>Krajowy plan na rzecz energii i klimatu na lata 2021-2030</w:t>
            </w:r>
          </w:p>
        </w:tc>
      </w:tr>
      <w:tr w:rsidR="001F27F6" w:rsidRPr="0035160C" w14:paraId="0F3E393B" w14:textId="77777777" w:rsidTr="00756D73">
        <w:tc>
          <w:tcPr>
            <w:tcW w:w="1493" w:type="dxa"/>
          </w:tcPr>
          <w:p w14:paraId="3186F276" w14:textId="77777777" w:rsidR="001F27F6" w:rsidRPr="0035160C" w:rsidRDefault="001F27F6" w:rsidP="001F27F6">
            <w:pPr>
              <w:rPr>
                <w:rFonts w:cstheme="minorHAnsi"/>
                <w:b/>
                <w:noProof/>
              </w:rPr>
            </w:pPr>
            <w:r w:rsidRPr="0035160C">
              <w:rPr>
                <w:rFonts w:cstheme="minorHAnsi"/>
                <w:b/>
                <w:noProof/>
              </w:rPr>
              <w:t>KPOP</w:t>
            </w:r>
          </w:p>
        </w:tc>
        <w:tc>
          <w:tcPr>
            <w:tcW w:w="7344" w:type="dxa"/>
          </w:tcPr>
          <w:p w14:paraId="211073FB" w14:textId="77777777" w:rsidR="001F27F6" w:rsidRPr="0035160C" w:rsidRDefault="001F27F6" w:rsidP="001F27F6">
            <w:pPr>
              <w:pStyle w:val="Indeks1"/>
              <w:rPr>
                <w:rFonts w:cstheme="minorHAnsi"/>
              </w:rPr>
            </w:pPr>
            <w:r w:rsidRPr="0035160C">
              <w:rPr>
                <w:rFonts w:cstheme="minorHAnsi"/>
              </w:rPr>
              <w:t>Krajowy Program Ochrony Powietrza do 2020 r. (z perspektywą do 2030 r.)</w:t>
            </w:r>
          </w:p>
        </w:tc>
      </w:tr>
      <w:tr w:rsidR="001F27F6" w:rsidRPr="0035160C" w14:paraId="56B714BD" w14:textId="77777777" w:rsidTr="00756D73">
        <w:tc>
          <w:tcPr>
            <w:tcW w:w="1493" w:type="dxa"/>
          </w:tcPr>
          <w:p w14:paraId="61264620" w14:textId="77777777" w:rsidR="001F27F6" w:rsidRPr="0035160C" w:rsidRDefault="001F27F6" w:rsidP="001F27F6">
            <w:pPr>
              <w:rPr>
                <w:rFonts w:cstheme="minorHAnsi"/>
              </w:rPr>
            </w:pPr>
            <w:r w:rsidRPr="0035160C">
              <w:rPr>
                <w:rFonts w:cstheme="minorHAnsi"/>
                <w:b/>
                <w:noProof/>
              </w:rPr>
              <w:t>NEC</w:t>
            </w:r>
          </w:p>
        </w:tc>
        <w:tc>
          <w:tcPr>
            <w:tcW w:w="7344" w:type="dxa"/>
          </w:tcPr>
          <w:p w14:paraId="145D3496" w14:textId="23A263DF" w:rsidR="001F27F6" w:rsidRPr="0035160C" w:rsidRDefault="001F27F6" w:rsidP="001F27F6">
            <w:pPr>
              <w:pStyle w:val="Indeks1"/>
            </w:pPr>
            <w:r w:rsidRPr="0035160C">
              <w:rPr>
                <w:noProof/>
              </w:rPr>
              <w:t>Dyrektywa Parlamentu Europejskiego i Rady (UE) 2016/2284 z dnia 14 grudnia  2016 r. w sprawie redukcji krajowych emisji niektórych rodzajów zanieczyszczeń atmosferycznych</w:t>
            </w:r>
            <w:r>
              <w:rPr>
                <w:noProof/>
              </w:rPr>
              <w:t>,</w:t>
            </w:r>
            <w:r w:rsidRPr="0035160C">
              <w:rPr>
                <w:noProof/>
              </w:rPr>
              <w:t xml:space="preserve"> zmiany dyrektywy 2003/35/WE oraz uchyleni</w:t>
            </w:r>
            <w:r>
              <w:rPr>
                <w:noProof/>
              </w:rPr>
              <w:t>a</w:t>
            </w:r>
            <w:r w:rsidRPr="0035160C">
              <w:rPr>
                <w:noProof/>
              </w:rPr>
              <w:t xml:space="preserve"> dyrektywy 2001/81/WE (ang. National Emission Ceilings) (Dz. Urz. UE L 344 z 17.12.2016,str.1)</w:t>
            </w:r>
          </w:p>
        </w:tc>
      </w:tr>
      <w:tr w:rsidR="001F27F6" w:rsidRPr="00210D88" w14:paraId="7739ECF1" w14:textId="77777777" w:rsidTr="00756D73">
        <w:tc>
          <w:tcPr>
            <w:tcW w:w="1493" w:type="dxa"/>
          </w:tcPr>
          <w:p w14:paraId="48A383FB" w14:textId="77777777" w:rsidR="001F27F6" w:rsidRPr="0035160C" w:rsidRDefault="001F27F6" w:rsidP="001F27F6">
            <w:pPr>
              <w:rPr>
                <w:rFonts w:cstheme="minorHAnsi"/>
              </w:rPr>
            </w:pPr>
            <w:r w:rsidRPr="0035160C">
              <w:rPr>
                <w:rFonts w:cstheme="minorHAnsi"/>
                <w:b/>
                <w:noProof/>
                <w:lang w:val="en-GB"/>
              </w:rPr>
              <w:t>EMEP</w:t>
            </w:r>
          </w:p>
        </w:tc>
        <w:tc>
          <w:tcPr>
            <w:tcW w:w="7344" w:type="dxa"/>
          </w:tcPr>
          <w:p w14:paraId="440B0E8C" w14:textId="77777777" w:rsidR="001F27F6" w:rsidRPr="0035160C" w:rsidRDefault="001F27F6" w:rsidP="001F27F6">
            <w:pPr>
              <w:rPr>
                <w:rFonts w:cstheme="minorHAnsi"/>
                <w:lang w:val="en-GB"/>
              </w:rPr>
            </w:pPr>
            <w:r w:rsidRPr="0035160C">
              <w:rPr>
                <w:rFonts w:cstheme="minorHAnsi"/>
                <w:noProof/>
              </w:rPr>
              <w:t xml:space="preserve">Europejski Program Monitorowania i Oceny (ang. </w:t>
            </w:r>
            <w:r w:rsidRPr="0035160C">
              <w:rPr>
                <w:rFonts w:cstheme="minorHAnsi"/>
                <w:noProof/>
                <w:lang w:val="en-US"/>
              </w:rPr>
              <w:t>The European Monitoring and Evaluation Programme)</w:t>
            </w:r>
          </w:p>
        </w:tc>
      </w:tr>
      <w:tr w:rsidR="001F27F6" w:rsidRPr="0035160C" w14:paraId="22250F2E" w14:textId="77777777" w:rsidTr="00756D73">
        <w:tc>
          <w:tcPr>
            <w:tcW w:w="1493" w:type="dxa"/>
          </w:tcPr>
          <w:p w14:paraId="0443E2D3" w14:textId="77777777" w:rsidR="001F27F6" w:rsidRPr="0035160C" w:rsidRDefault="001F27F6" w:rsidP="001F27F6">
            <w:pPr>
              <w:rPr>
                <w:rFonts w:cstheme="minorHAnsi"/>
              </w:rPr>
            </w:pPr>
            <w:r w:rsidRPr="0035160C">
              <w:rPr>
                <w:rFonts w:cstheme="minorHAnsi"/>
                <w:b/>
                <w:noProof/>
              </w:rPr>
              <w:t>FNT</w:t>
            </w:r>
          </w:p>
        </w:tc>
        <w:tc>
          <w:tcPr>
            <w:tcW w:w="7344" w:type="dxa"/>
          </w:tcPr>
          <w:p w14:paraId="3B616323" w14:textId="77777777" w:rsidR="001F27F6" w:rsidRPr="0035160C" w:rsidRDefault="001F27F6" w:rsidP="001F27F6">
            <w:pPr>
              <w:rPr>
                <w:rFonts w:cstheme="minorHAnsi"/>
              </w:rPr>
            </w:pPr>
            <w:r w:rsidRPr="0035160C">
              <w:rPr>
                <w:rFonts w:cstheme="minorHAnsi"/>
                <w:noProof/>
              </w:rPr>
              <w:t>Fundusz Niskoemisyjnego Transportu</w:t>
            </w:r>
          </w:p>
        </w:tc>
      </w:tr>
      <w:tr w:rsidR="001F27F6" w:rsidRPr="00210D88" w14:paraId="5E99E85C" w14:textId="77777777" w:rsidTr="00756D73">
        <w:tc>
          <w:tcPr>
            <w:tcW w:w="1493" w:type="dxa"/>
          </w:tcPr>
          <w:p w14:paraId="02C42CE9" w14:textId="77777777" w:rsidR="001F27F6" w:rsidRPr="0035160C" w:rsidRDefault="001F27F6" w:rsidP="001F27F6">
            <w:pPr>
              <w:rPr>
                <w:rFonts w:cstheme="minorHAnsi"/>
                <w:b/>
                <w:noProof/>
              </w:rPr>
            </w:pPr>
            <w:r w:rsidRPr="0035160C">
              <w:rPr>
                <w:rFonts w:cstheme="minorHAnsi"/>
                <w:b/>
                <w:noProof/>
              </w:rPr>
              <w:t>FAIRMODE</w:t>
            </w:r>
          </w:p>
        </w:tc>
        <w:tc>
          <w:tcPr>
            <w:tcW w:w="7344" w:type="dxa"/>
          </w:tcPr>
          <w:p w14:paraId="3AFB87EA" w14:textId="4D6E8619" w:rsidR="001F27F6" w:rsidRPr="0035160C" w:rsidRDefault="001F27F6" w:rsidP="001F27F6">
            <w:pPr>
              <w:rPr>
                <w:rFonts w:cstheme="minorHAnsi"/>
                <w:noProof/>
                <w:lang w:val="en-GB"/>
              </w:rPr>
            </w:pPr>
            <w:r>
              <w:rPr>
                <w:rFonts w:cstheme="minorHAnsi"/>
                <w:noProof/>
                <w:lang w:val="en-GB"/>
              </w:rPr>
              <w:t>E</w:t>
            </w:r>
            <w:r>
              <w:rPr>
                <w:rFonts w:cstheme="minorHAnsi"/>
                <w:lang w:val="en-GB"/>
              </w:rPr>
              <w:t xml:space="preserve">uropejskie Forum Modelowania Jakości Powietrza (ang. </w:t>
            </w:r>
            <w:r w:rsidRPr="0035160C">
              <w:rPr>
                <w:rFonts w:cstheme="minorHAnsi"/>
                <w:noProof/>
                <w:lang w:val="en-GB"/>
              </w:rPr>
              <w:t>Forum for Air Quality Modelling in Europe</w:t>
            </w:r>
            <w:r>
              <w:rPr>
                <w:rFonts w:cstheme="minorHAnsi"/>
                <w:noProof/>
                <w:lang w:val="en-GB"/>
              </w:rPr>
              <w:t>)</w:t>
            </w:r>
          </w:p>
        </w:tc>
      </w:tr>
      <w:tr w:rsidR="001F27F6" w:rsidRPr="0035160C" w14:paraId="31E428C6" w14:textId="77777777" w:rsidTr="00756D73">
        <w:tc>
          <w:tcPr>
            <w:tcW w:w="1493" w:type="dxa"/>
          </w:tcPr>
          <w:p w14:paraId="517405C9" w14:textId="77777777" w:rsidR="001F27F6" w:rsidRPr="0035160C" w:rsidRDefault="001F27F6" w:rsidP="001F27F6">
            <w:pPr>
              <w:rPr>
                <w:rFonts w:cstheme="minorHAnsi"/>
                <w:b/>
                <w:noProof/>
              </w:rPr>
            </w:pPr>
            <w:r w:rsidRPr="0035160C">
              <w:rPr>
                <w:rFonts w:cstheme="minorHAnsi"/>
                <w:b/>
              </w:rPr>
              <w:t>GIOŚ</w:t>
            </w:r>
          </w:p>
        </w:tc>
        <w:tc>
          <w:tcPr>
            <w:tcW w:w="7344" w:type="dxa"/>
          </w:tcPr>
          <w:p w14:paraId="6B0ECD3A" w14:textId="77777777" w:rsidR="001F27F6" w:rsidRPr="0035160C" w:rsidRDefault="001F27F6" w:rsidP="001F27F6">
            <w:pPr>
              <w:rPr>
                <w:rFonts w:cstheme="minorHAnsi"/>
                <w:noProof/>
              </w:rPr>
            </w:pPr>
            <w:r w:rsidRPr="0035160C">
              <w:rPr>
                <w:rFonts w:cstheme="minorHAnsi"/>
              </w:rPr>
              <w:t xml:space="preserve">Główny Inspektor Ochrony Środowiska </w:t>
            </w:r>
          </w:p>
        </w:tc>
      </w:tr>
      <w:tr w:rsidR="001F27F6" w:rsidRPr="0035160C" w14:paraId="3D6BCC49" w14:textId="77777777" w:rsidTr="00756D73">
        <w:tc>
          <w:tcPr>
            <w:tcW w:w="1493" w:type="dxa"/>
          </w:tcPr>
          <w:p w14:paraId="11E353E4" w14:textId="49A6E82B" w:rsidR="001F27F6" w:rsidRDefault="001F27F6" w:rsidP="001F27F6">
            <w:pPr>
              <w:rPr>
                <w:rFonts w:cstheme="minorHAnsi"/>
                <w:b/>
              </w:rPr>
            </w:pPr>
            <w:r>
              <w:rPr>
                <w:rFonts w:cstheme="minorHAnsi"/>
                <w:b/>
              </w:rPr>
              <w:t>NFOŚiGW</w:t>
            </w:r>
          </w:p>
        </w:tc>
        <w:tc>
          <w:tcPr>
            <w:tcW w:w="7344" w:type="dxa"/>
          </w:tcPr>
          <w:p w14:paraId="59160933" w14:textId="0BF8A7EC" w:rsidR="001F27F6" w:rsidRDefault="001F27F6" w:rsidP="001F27F6">
            <w:pPr>
              <w:rPr>
                <w:rFonts w:cstheme="minorHAnsi"/>
              </w:rPr>
            </w:pPr>
            <w:r>
              <w:rPr>
                <w:rFonts w:cstheme="minorHAnsi"/>
              </w:rPr>
              <w:t>Narodowy Fundusz Ochrony Środowiska i Gospodarki Wodnej</w:t>
            </w:r>
          </w:p>
        </w:tc>
      </w:tr>
      <w:tr w:rsidR="001F27F6" w:rsidRPr="0035160C" w14:paraId="5CAAE4CD" w14:textId="77777777" w:rsidTr="00756D73">
        <w:tc>
          <w:tcPr>
            <w:tcW w:w="1493" w:type="dxa"/>
          </w:tcPr>
          <w:p w14:paraId="18FD13C4" w14:textId="77777777" w:rsidR="001F27F6" w:rsidRPr="0035160C" w:rsidRDefault="001F27F6" w:rsidP="001F27F6">
            <w:pPr>
              <w:rPr>
                <w:rFonts w:cstheme="minorHAnsi"/>
                <w:b/>
                <w:noProof/>
              </w:rPr>
            </w:pPr>
            <w:r w:rsidRPr="0035160C">
              <w:rPr>
                <w:rFonts w:cstheme="minorHAnsi"/>
                <w:b/>
                <w:noProof/>
              </w:rPr>
              <w:t>GHG</w:t>
            </w:r>
          </w:p>
        </w:tc>
        <w:tc>
          <w:tcPr>
            <w:tcW w:w="7344" w:type="dxa"/>
          </w:tcPr>
          <w:p w14:paraId="3FEC05E4" w14:textId="77777777" w:rsidR="001F27F6" w:rsidRPr="0035160C" w:rsidRDefault="001F27F6" w:rsidP="001F27F6">
            <w:pPr>
              <w:rPr>
                <w:rFonts w:cstheme="minorHAnsi"/>
                <w:noProof/>
              </w:rPr>
            </w:pPr>
            <w:r w:rsidRPr="0035160C">
              <w:rPr>
                <w:rFonts w:cstheme="minorHAnsi"/>
                <w:noProof/>
              </w:rPr>
              <w:t>Gazy cieplarniane</w:t>
            </w:r>
          </w:p>
        </w:tc>
      </w:tr>
      <w:tr w:rsidR="000A5F8E" w:rsidRPr="0035160C" w14:paraId="36446293" w14:textId="77777777" w:rsidTr="00756D73">
        <w:tc>
          <w:tcPr>
            <w:tcW w:w="1493" w:type="dxa"/>
          </w:tcPr>
          <w:p w14:paraId="3E0AF7EB" w14:textId="4CD65361" w:rsidR="000A5F8E" w:rsidRPr="0035160C" w:rsidRDefault="000A5F8E" w:rsidP="001F27F6">
            <w:pPr>
              <w:rPr>
                <w:rFonts w:cstheme="minorHAnsi"/>
                <w:b/>
                <w:noProof/>
              </w:rPr>
            </w:pPr>
            <w:r>
              <w:rPr>
                <w:rFonts w:cstheme="minorHAnsi"/>
                <w:b/>
                <w:noProof/>
              </w:rPr>
              <w:t>IOŚ-PIB</w:t>
            </w:r>
          </w:p>
        </w:tc>
        <w:tc>
          <w:tcPr>
            <w:tcW w:w="7344" w:type="dxa"/>
          </w:tcPr>
          <w:p w14:paraId="45D5CDC9" w14:textId="2C07ABC7" w:rsidR="000A5F8E" w:rsidRPr="0035160C" w:rsidRDefault="000A5F8E" w:rsidP="001F27F6">
            <w:pPr>
              <w:rPr>
                <w:rFonts w:cstheme="minorHAnsi"/>
                <w:noProof/>
              </w:rPr>
            </w:pPr>
            <w:r>
              <w:rPr>
                <w:rFonts w:cstheme="minorHAnsi"/>
                <w:noProof/>
              </w:rPr>
              <w:t>Instytut Ochrony Środowiska – Państwowy Instytut Badawczy</w:t>
            </w:r>
          </w:p>
        </w:tc>
      </w:tr>
      <w:tr w:rsidR="001F27F6" w:rsidRPr="0035160C" w14:paraId="569948E6" w14:textId="77777777" w:rsidTr="00756D73">
        <w:tc>
          <w:tcPr>
            <w:tcW w:w="1493" w:type="dxa"/>
          </w:tcPr>
          <w:p w14:paraId="231878AC" w14:textId="77777777" w:rsidR="001F27F6" w:rsidRPr="0035160C" w:rsidRDefault="001F27F6" w:rsidP="001F27F6">
            <w:pPr>
              <w:rPr>
                <w:rFonts w:cstheme="minorHAnsi"/>
              </w:rPr>
            </w:pPr>
            <w:r w:rsidRPr="0035160C">
              <w:rPr>
                <w:rFonts w:cstheme="minorHAnsi"/>
                <w:b/>
                <w:noProof/>
              </w:rPr>
              <w:t>ITS</w:t>
            </w:r>
          </w:p>
        </w:tc>
        <w:tc>
          <w:tcPr>
            <w:tcW w:w="7344" w:type="dxa"/>
          </w:tcPr>
          <w:p w14:paraId="7CDA1D0C" w14:textId="77777777" w:rsidR="001F27F6" w:rsidRPr="0035160C" w:rsidRDefault="001F27F6" w:rsidP="001F27F6">
            <w:pPr>
              <w:rPr>
                <w:rFonts w:cstheme="minorHAnsi"/>
              </w:rPr>
            </w:pPr>
            <w:r w:rsidRPr="0035160C">
              <w:rPr>
                <w:rFonts w:cstheme="minorHAnsi"/>
                <w:noProof/>
              </w:rPr>
              <w:t>Inteligentne Systemy Transportowe</w:t>
            </w:r>
          </w:p>
        </w:tc>
      </w:tr>
      <w:tr w:rsidR="000A5F8E" w:rsidRPr="0035160C" w14:paraId="6249E11C" w14:textId="77777777" w:rsidTr="00756D73">
        <w:tc>
          <w:tcPr>
            <w:tcW w:w="1493" w:type="dxa"/>
          </w:tcPr>
          <w:p w14:paraId="55B28C9B" w14:textId="683FC309" w:rsidR="000A5F8E" w:rsidRPr="0035160C" w:rsidRDefault="000A5F8E" w:rsidP="001F27F6">
            <w:pPr>
              <w:rPr>
                <w:rFonts w:cstheme="minorHAnsi"/>
                <w:b/>
                <w:noProof/>
              </w:rPr>
            </w:pPr>
            <w:r>
              <w:rPr>
                <w:rFonts w:cstheme="minorHAnsi"/>
                <w:b/>
                <w:noProof/>
              </w:rPr>
              <w:t>KOBiZE</w:t>
            </w:r>
          </w:p>
        </w:tc>
        <w:tc>
          <w:tcPr>
            <w:tcW w:w="7344" w:type="dxa"/>
          </w:tcPr>
          <w:p w14:paraId="3DC8FACA" w14:textId="47E99C3F" w:rsidR="000A5F8E" w:rsidRPr="000A5F8E" w:rsidRDefault="000A5F8E" w:rsidP="001F27F6">
            <w:pPr>
              <w:rPr>
                <w:rFonts w:cstheme="minorHAnsi"/>
                <w:bCs/>
                <w:noProof/>
              </w:rPr>
            </w:pPr>
            <w:r w:rsidRPr="00DD0E4C">
              <w:rPr>
                <w:rFonts w:cstheme="minorHAnsi"/>
                <w:bCs/>
                <w:noProof/>
              </w:rPr>
              <w:t>Krajowy Ośrodek Bilansnowania i Zarządzania Emisjiami</w:t>
            </w:r>
            <w:r>
              <w:rPr>
                <w:rFonts w:cstheme="minorHAnsi"/>
                <w:bCs/>
                <w:noProof/>
              </w:rPr>
              <w:t>, funkcjonujący w strukturach IOŚ-PIB</w:t>
            </w:r>
            <w:r w:rsidRPr="000A5F8E">
              <w:rPr>
                <w:rFonts w:cstheme="minorHAnsi"/>
                <w:bCs/>
                <w:noProof/>
              </w:rPr>
              <w:t xml:space="preserve"> </w:t>
            </w:r>
          </w:p>
        </w:tc>
      </w:tr>
      <w:tr w:rsidR="001F27F6" w:rsidRPr="0035160C" w14:paraId="46E048ED" w14:textId="77777777" w:rsidTr="00756D73">
        <w:tc>
          <w:tcPr>
            <w:tcW w:w="1493" w:type="dxa"/>
          </w:tcPr>
          <w:p w14:paraId="518E7CFD" w14:textId="77777777" w:rsidR="001F27F6" w:rsidRPr="0035160C" w:rsidRDefault="001F27F6" w:rsidP="001F27F6">
            <w:pPr>
              <w:rPr>
                <w:rFonts w:cstheme="minorHAnsi"/>
              </w:rPr>
            </w:pPr>
            <w:r w:rsidRPr="0035160C">
              <w:rPr>
                <w:rFonts w:cstheme="minorHAnsi"/>
                <w:b/>
                <w:noProof/>
              </w:rPr>
              <w:t>KPEiK</w:t>
            </w:r>
          </w:p>
        </w:tc>
        <w:tc>
          <w:tcPr>
            <w:tcW w:w="7344" w:type="dxa"/>
          </w:tcPr>
          <w:p w14:paraId="625DE327" w14:textId="77777777" w:rsidR="001F27F6" w:rsidRPr="0035160C" w:rsidRDefault="001F27F6" w:rsidP="001F27F6">
            <w:pPr>
              <w:rPr>
                <w:rFonts w:cstheme="minorHAnsi"/>
              </w:rPr>
            </w:pPr>
            <w:r w:rsidRPr="0035160C">
              <w:rPr>
                <w:rFonts w:cstheme="minorHAnsi"/>
                <w:noProof/>
              </w:rPr>
              <w:t>Krajowy Plan na rzecz Energii i Klimatu</w:t>
            </w:r>
          </w:p>
        </w:tc>
      </w:tr>
      <w:tr w:rsidR="001F27F6" w:rsidRPr="0035160C" w14:paraId="3A3B0F05" w14:textId="77777777" w:rsidTr="00756D73">
        <w:tc>
          <w:tcPr>
            <w:tcW w:w="1493" w:type="dxa"/>
          </w:tcPr>
          <w:p w14:paraId="255A8C4F" w14:textId="089AD5CF" w:rsidR="001F27F6" w:rsidRPr="0035160C" w:rsidRDefault="001F27F6" w:rsidP="001F27F6">
            <w:pPr>
              <w:rPr>
                <w:rFonts w:cstheme="minorHAnsi"/>
              </w:rPr>
            </w:pPr>
            <w:r w:rsidRPr="0035160C">
              <w:rPr>
                <w:rFonts w:cstheme="minorHAnsi"/>
                <w:b/>
                <w:noProof/>
              </w:rPr>
              <w:t>KPOP</w:t>
            </w:r>
          </w:p>
        </w:tc>
        <w:tc>
          <w:tcPr>
            <w:tcW w:w="7344" w:type="dxa"/>
          </w:tcPr>
          <w:p w14:paraId="1DC56EDE" w14:textId="77777777" w:rsidR="001F27F6" w:rsidRPr="0035160C" w:rsidRDefault="001F27F6" w:rsidP="001F27F6">
            <w:pPr>
              <w:pStyle w:val="Indeks1"/>
            </w:pPr>
            <w:r w:rsidRPr="0035160C">
              <w:rPr>
                <w:noProof/>
              </w:rPr>
              <w:t xml:space="preserve">Krajowy Program Ochrony Powietrza </w:t>
            </w:r>
          </w:p>
        </w:tc>
      </w:tr>
      <w:tr w:rsidR="001F27F6" w:rsidRPr="0035160C" w14:paraId="25C1F9A1" w14:textId="77777777" w:rsidTr="00756D73">
        <w:tc>
          <w:tcPr>
            <w:tcW w:w="1493" w:type="dxa"/>
          </w:tcPr>
          <w:p w14:paraId="5277E0AF" w14:textId="276A6F74" w:rsidR="001F27F6" w:rsidRPr="0035160C" w:rsidRDefault="001F27F6" w:rsidP="001F27F6">
            <w:pPr>
              <w:rPr>
                <w:rFonts w:cstheme="minorHAnsi"/>
                <w:b/>
                <w:noProof/>
              </w:rPr>
            </w:pPr>
            <w:r w:rsidRPr="0035160C">
              <w:rPr>
                <w:rFonts w:cstheme="minorHAnsi"/>
                <w:b/>
                <w:noProof/>
              </w:rPr>
              <w:t>KPOZP</w:t>
            </w:r>
          </w:p>
        </w:tc>
        <w:tc>
          <w:tcPr>
            <w:tcW w:w="7344" w:type="dxa"/>
          </w:tcPr>
          <w:p w14:paraId="5BF37450" w14:textId="5CB79B67" w:rsidR="001F27F6" w:rsidRPr="0035160C" w:rsidRDefault="001F27F6" w:rsidP="001F27F6">
            <w:pPr>
              <w:pStyle w:val="Indeks1"/>
              <w:rPr>
                <w:noProof/>
              </w:rPr>
            </w:pPr>
            <w:r w:rsidRPr="0035160C">
              <w:rPr>
                <w:noProof/>
              </w:rPr>
              <w:t>Krajowy Program Ograniczenia Zanieczyszczenia Powietrza</w:t>
            </w:r>
          </w:p>
        </w:tc>
      </w:tr>
      <w:tr w:rsidR="001F27F6" w:rsidRPr="0035160C" w14:paraId="6F9A6B3D" w14:textId="77777777" w:rsidTr="00756D73">
        <w:tc>
          <w:tcPr>
            <w:tcW w:w="1493" w:type="dxa"/>
          </w:tcPr>
          <w:p w14:paraId="06BBFA87" w14:textId="77777777" w:rsidR="001F27F6" w:rsidRPr="0035160C" w:rsidRDefault="001F27F6" w:rsidP="001F27F6">
            <w:pPr>
              <w:rPr>
                <w:rFonts w:cstheme="minorHAnsi"/>
                <w:b/>
                <w:noProof/>
              </w:rPr>
            </w:pPr>
            <w:r w:rsidRPr="0035160C">
              <w:rPr>
                <w:rFonts w:cstheme="minorHAnsi"/>
                <w:b/>
                <w:noProof/>
              </w:rPr>
              <w:t>KPM2023</w:t>
            </w:r>
          </w:p>
        </w:tc>
        <w:tc>
          <w:tcPr>
            <w:tcW w:w="7344" w:type="dxa"/>
          </w:tcPr>
          <w:p w14:paraId="7486B9FF" w14:textId="77777777" w:rsidR="001F27F6" w:rsidRPr="0035160C" w:rsidRDefault="001F27F6" w:rsidP="001F27F6">
            <w:pPr>
              <w:pStyle w:val="Indeks1"/>
              <w:rPr>
                <w:noProof/>
              </w:rPr>
            </w:pPr>
            <w:r w:rsidRPr="0035160C">
              <w:rPr>
                <w:noProof/>
              </w:rPr>
              <w:t>Krajowa Polityka Miejska 2023</w:t>
            </w:r>
          </w:p>
        </w:tc>
      </w:tr>
      <w:tr w:rsidR="001F27F6" w:rsidRPr="0035160C" w14:paraId="728D16F0" w14:textId="77777777" w:rsidTr="00756D73">
        <w:tc>
          <w:tcPr>
            <w:tcW w:w="1493" w:type="dxa"/>
          </w:tcPr>
          <w:p w14:paraId="1210E9E4" w14:textId="77777777" w:rsidR="001F27F6" w:rsidRPr="0035160C" w:rsidRDefault="001F27F6" w:rsidP="001F27F6">
            <w:pPr>
              <w:rPr>
                <w:rFonts w:cstheme="minorHAnsi"/>
              </w:rPr>
            </w:pPr>
            <w:r w:rsidRPr="0035160C">
              <w:rPr>
                <w:rFonts w:cstheme="minorHAnsi"/>
                <w:b/>
                <w:noProof/>
              </w:rPr>
              <w:t>KSE</w:t>
            </w:r>
          </w:p>
        </w:tc>
        <w:tc>
          <w:tcPr>
            <w:tcW w:w="7344" w:type="dxa"/>
          </w:tcPr>
          <w:p w14:paraId="2DE98481" w14:textId="77777777" w:rsidR="001F27F6" w:rsidRPr="0035160C" w:rsidRDefault="001F27F6" w:rsidP="001F27F6">
            <w:pPr>
              <w:rPr>
                <w:rFonts w:cstheme="minorHAnsi"/>
              </w:rPr>
            </w:pPr>
            <w:r w:rsidRPr="0035160C">
              <w:rPr>
                <w:rFonts w:cstheme="minorHAnsi"/>
                <w:noProof/>
              </w:rPr>
              <w:t>Krajowy System Elektroenergetyczny</w:t>
            </w:r>
          </w:p>
        </w:tc>
      </w:tr>
      <w:tr w:rsidR="001F27F6" w:rsidRPr="0035160C" w14:paraId="5A9D3927" w14:textId="77777777" w:rsidTr="00756D73">
        <w:tc>
          <w:tcPr>
            <w:tcW w:w="1493" w:type="dxa"/>
          </w:tcPr>
          <w:p w14:paraId="29B5D95E" w14:textId="77777777" w:rsidR="001F27F6" w:rsidRPr="001F27F6" w:rsidRDefault="001F27F6" w:rsidP="001F27F6">
            <w:pPr>
              <w:rPr>
                <w:rFonts w:cstheme="minorHAnsi"/>
              </w:rPr>
            </w:pPr>
            <w:r w:rsidRPr="001F27F6">
              <w:rPr>
                <w:rFonts w:cstheme="minorHAnsi"/>
                <w:b/>
                <w:noProof/>
              </w:rPr>
              <w:t>LRTAP</w:t>
            </w:r>
          </w:p>
        </w:tc>
        <w:tc>
          <w:tcPr>
            <w:tcW w:w="7344" w:type="dxa"/>
          </w:tcPr>
          <w:p w14:paraId="4060BF71" w14:textId="20F0A293" w:rsidR="001F27F6" w:rsidRPr="00E82789" w:rsidRDefault="001F27F6" w:rsidP="00DD0E4C">
            <w:pPr>
              <w:pStyle w:val="pf0"/>
              <w:rPr>
                <w:rFonts w:cstheme="minorHAnsi"/>
              </w:rPr>
            </w:pPr>
            <w:r w:rsidRPr="00DD0E4C">
              <w:rPr>
                <w:rFonts w:asciiTheme="minorHAnsi" w:hAnsiTheme="minorHAnsi" w:cstheme="minorHAnsi"/>
                <w:sz w:val="22"/>
                <w:szCs w:val="22"/>
              </w:rPr>
              <w:t xml:space="preserve">Konwencja </w:t>
            </w:r>
            <w:r w:rsidRPr="00DD0E4C">
              <w:rPr>
                <w:rStyle w:val="cf01"/>
                <w:rFonts w:asciiTheme="minorHAnsi" w:eastAsiaTheme="majorEastAsia" w:hAnsiTheme="minorHAnsi" w:cstheme="minorHAnsi"/>
                <w:sz w:val="22"/>
                <w:szCs w:val="22"/>
              </w:rPr>
              <w:t xml:space="preserve">Europejskiej Komisji Gospodarczej Narodów Zjednoczonych </w:t>
            </w:r>
            <w:r w:rsidRPr="00DD0E4C">
              <w:rPr>
                <w:rFonts w:asciiTheme="minorHAnsi" w:hAnsiTheme="minorHAnsi" w:cstheme="minorHAnsi"/>
                <w:sz w:val="22"/>
                <w:szCs w:val="22"/>
              </w:rPr>
              <w:t xml:space="preserve">w sprawie transgranicznego zanieczyszczenia powietrza na dalekie odległości, sporządzona w Genewie dnia 13 listopada 1979 r. </w:t>
            </w:r>
            <w:r w:rsidRPr="00DD0E4C">
              <w:rPr>
                <w:rFonts w:asciiTheme="minorHAnsi" w:hAnsiTheme="minorHAnsi" w:cstheme="minorHAnsi"/>
                <w:noProof/>
                <w:sz w:val="22"/>
                <w:szCs w:val="22"/>
              </w:rPr>
              <w:t>(</w:t>
            </w:r>
            <w:r w:rsidRPr="00DD0E4C">
              <w:rPr>
                <w:rFonts w:asciiTheme="minorHAnsi" w:hAnsiTheme="minorHAnsi" w:cstheme="minorHAnsi"/>
                <w:i/>
                <w:noProof/>
                <w:sz w:val="22"/>
                <w:szCs w:val="22"/>
              </w:rPr>
              <w:t>Convention on Long-Range Transboundary Air Pollution</w:t>
            </w:r>
            <w:r w:rsidRPr="00DD0E4C">
              <w:rPr>
                <w:rFonts w:asciiTheme="minorHAnsi" w:hAnsiTheme="minorHAnsi" w:cstheme="minorHAnsi"/>
                <w:noProof/>
                <w:sz w:val="22"/>
                <w:szCs w:val="22"/>
              </w:rPr>
              <w:t xml:space="preserve">) </w:t>
            </w:r>
          </w:p>
        </w:tc>
      </w:tr>
      <w:tr w:rsidR="001F27F6" w:rsidRPr="0035160C" w14:paraId="0A38AAF2" w14:textId="77777777" w:rsidTr="00756D73">
        <w:tc>
          <w:tcPr>
            <w:tcW w:w="1493" w:type="dxa"/>
          </w:tcPr>
          <w:p w14:paraId="5CA6649C" w14:textId="77777777" w:rsidR="001F27F6" w:rsidRPr="0035160C" w:rsidRDefault="001F27F6" w:rsidP="001F27F6">
            <w:pPr>
              <w:rPr>
                <w:rFonts w:cstheme="minorHAnsi"/>
                <w:b/>
                <w:noProof/>
              </w:rPr>
            </w:pPr>
            <w:r w:rsidRPr="0035160C">
              <w:rPr>
                <w:rFonts w:cstheme="minorHAnsi"/>
                <w:b/>
                <w:noProof/>
              </w:rPr>
              <w:t>MCP</w:t>
            </w:r>
          </w:p>
        </w:tc>
        <w:tc>
          <w:tcPr>
            <w:tcW w:w="7344" w:type="dxa"/>
          </w:tcPr>
          <w:p w14:paraId="766E8D89" w14:textId="77777777" w:rsidR="001F27F6" w:rsidRPr="0035160C" w:rsidRDefault="001F27F6" w:rsidP="001F27F6">
            <w:pPr>
              <w:rPr>
                <w:rFonts w:cstheme="minorHAnsi"/>
                <w:noProof/>
              </w:rPr>
            </w:pPr>
            <w:r w:rsidRPr="0035160C">
              <w:rPr>
                <w:rFonts w:cstheme="minorHAnsi"/>
                <w:noProof/>
              </w:rPr>
              <w:t xml:space="preserve">Dyrektywa Parlamentu Europejskiego i Rady (UE) 2015/2193 z dnia 25 listopada 2015 r. w sprawie ograniczenia emisji niektórych zanieczyszczeń do powietrza </w:t>
            </w:r>
            <w:r w:rsidRPr="0035160C">
              <w:rPr>
                <w:rFonts w:cstheme="minorHAnsi"/>
                <w:noProof/>
              </w:rPr>
              <w:lastRenderedPageBreak/>
              <w:t>ze średnich obiektów energetycznego spalania (Dz. Urz. UE L 313 z 28.11.2015, str. 1)</w:t>
            </w:r>
          </w:p>
        </w:tc>
      </w:tr>
      <w:tr w:rsidR="001F27F6" w:rsidRPr="006171F2" w14:paraId="3DE8D6BE" w14:textId="77777777" w:rsidTr="00756D73">
        <w:tc>
          <w:tcPr>
            <w:tcW w:w="1493" w:type="dxa"/>
          </w:tcPr>
          <w:p w14:paraId="3B02C83A" w14:textId="77777777" w:rsidR="001F27F6" w:rsidRPr="0035160C" w:rsidRDefault="001F27F6" w:rsidP="001F27F6">
            <w:pPr>
              <w:rPr>
                <w:rFonts w:cstheme="minorHAnsi"/>
                <w:b/>
                <w:noProof/>
              </w:rPr>
            </w:pPr>
            <w:r w:rsidRPr="0035160C">
              <w:rPr>
                <w:rFonts w:cstheme="minorHAnsi"/>
                <w:b/>
                <w:noProof/>
              </w:rPr>
              <w:lastRenderedPageBreak/>
              <w:t>Model GEM-AQ</w:t>
            </w:r>
          </w:p>
        </w:tc>
        <w:tc>
          <w:tcPr>
            <w:tcW w:w="7344" w:type="dxa"/>
          </w:tcPr>
          <w:p w14:paraId="74C82964" w14:textId="43B12CCC" w:rsidR="001F27F6" w:rsidRPr="0035160C" w:rsidRDefault="001F27F6" w:rsidP="001F27F6">
            <w:pPr>
              <w:rPr>
                <w:rFonts w:cstheme="minorHAnsi"/>
                <w:noProof/>
                <w:lang w:val="en-US"/>
              </w:rPr>
            </w:pPr>
            <w:r w:rsidRPr="0035160C">
              <w:rPr>
                <w:rFonts w:cstheme="minorHAnsi"/>
                <w:noProof/>
                <w:lang w:val="en-US"/>
              </w:rPr>
              <w:t>Model prognoz pogody GEM (</w:t>
            </w:r>
            <w:r>
              <w:rPr>
                <w:rFonts w:cstheme="minorHAnsi"/>
                <w:noProof/>
                <w:lang w:val="en-US"/>
              </w:rPr>
              <w:t xml:space="preserve">ang. </w:t>
            </w:r>
            <w:r w:rsidRPr="0035160C">
              <w:rPr>
                <w:rFonts w:cstheme="minorHAnsi"/>
                <w:noProof/>
                <w:lang w:val="en-US"/>
              </w:rPr>
              <w:t>Global EnvironmentalMultiscale Model)</w:t>
            </w:r>
          </w:p>
        </w:tc>
      </w:tr>
      <w:tr w:rsidR="001F27F6" w:rsidRPr="0035160C" w14:paraId="5682E90B" w14:textId="77777777" w:rsidTr="00756D73">
        <w:tc>
          <w:tcPr>
            <w:tcW w:w="1493" w:type="dxa"/>
          </w:tcPr>
          <w:p w14:paraId="3693A345" w14:textId="198DAEDE" w:rsidR="001F27F6" w:rsidRPr="0035160C" w:rsidRDefault="001F27F6" w:rsidP="001F27F6">
            <w:pPr>
              <w:rPr>
                <w:rFonts w:cstheme="minorHAnsi"/>
                <w:b/>
                <w:noProof/>
              </w:rPr>
            </w:pPr>
            <w:r w:rsidRPr="0035160C">
              <w:rPr>
                <w:rFonts w:cstheme="minorHAnsi"/>
                <w:b/>
                <w:noProof/>
              </w:rPr>
              <w:t>PDK</w:t>
            </w:r>
          </w:p>
        </w:tc>
        <w:tc>
          <w:tcPr>
            <w:tcW w:w="7344" w:type="dxa"/>
          </w:tcPr>
          <w:p w14:paraId="58EB50AD" w14:textId="0498EACA" w:rsidR="001F27F6" w:rsidRPr="0035160C" w:rsidRDefault="001F27F6" w:rsidP="001F27F6">
            <w:pPr>
              <w:rPr>
                <w:rFonts w:cstheme="minorHAnsi"/>
                <w:noProof/>
                <w:lang w:val="en-US"/>
              </w:rPr>
            </w:pPr>
            <w:r w:rsidRPr="0035160C">
              <w:rPr>
                <w:rFonts w:cstheme="minorHAnsi"/>
                <w:noProof/>
                <w:lang w:val="en-US"/>
              </w:rPr>
              <w:t>Plan działań krótkoterminowych</w:t>
            </w:r>
          </w:p>
        </w:tc>
      </w:tr>
      <w:tr w:rsidR="009D0A0C" w:rsidRPr="0035160C" w14:paraId="3ADD0DCC" w14:textId="77777777" w:rsidTr="00756D73">
        <w:tc>
          <w:tcPr>
            <w:tcW w:w="1493" w:type="dxa"/>
          </w:tcPr>
          <w:p w14:paraId="0564B566" w14:textId="45ECBCA7" w:rsidR="009D0A0C" w:rsidRPr="0035160C" w:rsidRDefault="009D0A0C" w:rsidP="001F27F6">
            <w:pPr>
              <w:rPr>
                <w:rFonts w:cstheme="minorHAnsi"/>
                <w:b/>
                <w:noProof/>
              </w:rPr>
            </w:pPr>
            <w:r>
              <w:rPr>
                <w:rFonts w:cstheme="minorHAnsi"/>
                <w:b/>
                <w:noProof/>
              </w:rPr>
              <w:t>PEP2030</w:t>
            </w:r>
          </w:p>
        </w:tc>
        <w:tc>
          <w:tcPr>
            <w:tcW w:w="7344" w:type="dxa"/>
          </w:tcPr>
          <w:p w14:paraId="038FB345" w14:textId="134CE4E3" w:rsidR="009D0A0C" w:rsidRPr="00DD0E4C" w:rsidRDefault="009D0A0C" w:rsidP="00DD0E4C">
            <w:pPr>
              <w:pStyle w:val="Tekstprzypisudolnego"/>
            </w:pPr>
            <w:r>
              <w:t>Polityka Ekologiczna Państwa 2030</w:t>
            </w:r>
          </w:p>
        </w:tc>
      </w:tr>
      <w:tr w:rsidR="001F27F6" w:rsidRPr="0035160C" w14:paraId="0731BB32" w14:textId="77777777" w:rsidTr="00756D73">
        <w:tc>
          <w:tcPr>
            <w:tcW w:w="1493" w:type="dxa"/>
          </w:tcPr>
          <w:p w14:paraId="5C0551CC" w14:textId="77777777" w:rsidR="001F27F6" w:rsidRPr="0035160C" w:rsidRDefault="001F27F6" w:rsidP="001F27F6">
            <w:pPr>
              <w:rPr>
                <w:rFonts w:cstheme="minorHAnsi"/>
              </w:rPr>
            </w:pPr>
            <w:r w:rsidRPr="0035160C">
              <w:rPr>
                <w:rFonts w:cstheme="minorHAnsi"/>
                <w:b/>
                <w:noProof/>
              </w:rPr>
              <w:t>PEP2040</w:t>
            </w:r>
          </w:p>
        </w:tc>
        <w:tc>
          <w:tcPr>
            <w:tcW w:w="7344" w:type="dxa"/>
          </w:tcPr>
          <w:p w14:paraId="531FD4C0" w14:textId="597169EF" w:rsidR="009D0A0C" w:rsidRPr="009D0A0C" w:rsidRDefault="001F27F6" w:rsidP="009D0A0C">
            <w:pPr>
              <w:pStyle w:val="Indeks1"/>
              <w:rPr>
                <w:noProof/>
              </w:rPr>
            </w:pPr>
            <w:r w:rsidRPr="0035160C">
              <w:rPr>
                <w:noProof/>
              </w:rPr>
              <w:t>Polityka Energetyczna Polski do roku 2040</w:t>
            </w:r>
            <w:r w:rsidR="009D0A0C">
              <w:rPr>
                <w:noProof/>
              </w:rPr>
              <w:t>.</w:t>
            </w:r>
          </w:p>
        </w:tc>
      </w:tr>
      <w:tr w:rsidR="001F27F6" w:rsidRPr="0035160C" w14:paraId="3A4F156C" w14:textId="77777777" w:rsidTr="00756D73">
        <w:tc>
          <w:tcPr>
            <w:tcW w:w="1493" w:type="dxa"/>
          </w:tcPr>
          <w:p w14:paraId="19E720CB" w14:textId="77777777" w:rsidR="001F27F6" w:rsidRPr="0035160C" w:rsidRDefault="001F27F6" w:rsidP="001F27F6">
            <w:pPr>
              <w:rPr>
                <w:rFonts w:cstheme="minorHAnsi"/>
              </w:rPr>
            </w:pPr>
            <w:r w:rsidRPr="0035160C">
              <w:rPr>
                <w:rFonts w:cstheme="minorHAnsi"/>
                <w:b/>
                <w:noProof/>
              </w:rPr>
              <w:t>POP</w:t>
            </w:r>
          </w:p>
        </w:tc>
        <w:tc>
          <w:tcPr>
            <w:tcW w:w="7344" w:type="dxa"/>
          </w:tcPr>
          <w:p w14:paraId="52E1C4FE" w14:textId="77777777" w:rsidR="001F27F6" w:rsidRPr="0035160C" w:rsidRDefault="001F27F6" w:rsidP="001F27F6">
            <w:pPr>
              <w:pStyle w:val="Indeks1"/>
            </w:pPr>
            <w:r w:rsidRPr="0035160C">
              <w:rPr>
                <w:noProof/>
              </w:rPr>
              <w:t>Program Ochrony Powietrza</w:t>
            </w:r>
          </w:p>
        </w:tc>
      </w:tr>
      <w:tr w:rsidR="001F27F6" w:rsidRPr="0035160C" w14:paraId="789222A4" w14:textId="77777777" w:rsidTr="00756D73">
        <w:tc>
          <w:tcPr>
            <w:tcW w:w="1493" w:type="dxa"/>
          </w:tcPr>
          <w:p w14:paraId="06F59F36" w14:textId="77777777" w:rsidR="001F27F6" w:rsidRPr="0035160C" w:rsidRDefault="001F27F6" w:rsidP="001F27F6">
            <w:pPr>
              <w:rPr>
                <w:rFonts w:cstheme="minorHAnsi"/>
                <w:b/>
                <w:noProof/>
              </w:rPr>
            </w:pPr>
            <w:r w:rsidRPr="0035160C">
              <w:rPr>
                <w:rFonts w:cstheme="minorHAnsi"/>
                <w:b/>
                <w:noProof/>
              </w:rPr>
              <w:t>POŚ</w:t>
            </w:r>
          </w:p>
        </w:tc>
        <w:tc>
          <w:tcPr>
            <w:tcW w:w="7344" w:type="dxa"/>
          </w:tcPr>
          <w:p w14:paraId="17E99F54" w14:textId="77777777" w:rsidR="001F27F6" w:rsidRPr="0035160C" w:rsidRDefault="001F27F6" w:rsidP="001F27F6">
            <w:pPr>
              <w:pStyle w:val="Indeks1"/>
              <w:rPr>
                <w:noProof/>
              </w:rPr>
            </w:pPr>
            <w:r w:rsidRPr="0035160C">
              <w:rPr>
                <w:noProof/>
              </w:rPr>
              <w:t>Ustawa z dnia 27 kwietnia 2001 r. - Prawo ochrony środowiska (Dz. U. z 2020 r. poz. 1219, z późn. zm.)</w:t>
            </w:r>
          </w:p>
        </w:tc>
      </w:tr>
      <w:tr w:rsidR="001F27F6" w:rsidRPr="0035160C" w14:paraId="21B15709" w14:textId="77777777" w:rsidTr="00756D73">
        <w:tc>
          <w:tcPr>
            <w:tcW w:w="1493" w:type="dxa"/>
          </w:tcPr>
          <w:p w14:paraId="1947F893" w14:textId="77777777" w:rsidR="001F27F6" w:rsidRPr="0035160C" w:rsidRDefault="001F27F6" w:rsidP="001F27F6">
            <w:pPr>
              <w:rPr>
                <w:rFonts w:cstheme="minorHAnsi"/>
                <w:b/>
                <w:noProof/>
              </w:rPr>
            </w:pPr>
            <w:r w:rsidRPr="0035160C">
              <w:rPr>
                <w:rFonts w:cstheme="minorHAnsi"/>
                <w:b/>
                <w:noProof/>
              </w:rPr>
              <w:t>PMŚ</w:t>
            </w:r>
          </w:p>
        </w:tc>
        <w:tc>
          <w:tcPr>
            <w:tcW w:w="7344" w:type="dxa"/>
          </w:tcPr>
          <w:p w14:paraId="7917D0C7" w14:textId="77777777" w:rsidR="001F27F6" w:rsidRPr="0035160C" w:rsidRDefault="001F27F6" w:rsidP="001F27F6">
            <w:pPr>
              <w:rPr>
                <w:rFonts w:cstheme="minorHAnsi"/>
                <w:noProof/>
              </w:rPr>
            </w:pPr>
            <w:r w:rsidRPr="0035160C">
              <w:rPr>
                <w:rFonts w:cstheme="minorHAnsi"/>
              </w:rPr>
              <w:t>Państwowy Monitoring Środowiska</w:t>
            </w:r>
          </w:p>
        </w:tc>
      </w:tr>
      <w:tr w:rsidR="001F27F6" w:rsidRPr="0035160C" w14:paraId="1A3544D7" w14:textId="77777777" w:rsidTr="00756D73">
        <w:tc>
          <w:tcPr>
            <w:tcW w:w="1493" w:type="dxa"/>
          </w:tcPr>
          <w:p w14:paraId="2B64A7BF" w14:textId="77777777" w:rsidR="001F27F6" w:rsidRPr="0035160C" w:rsidRDefault="001F27F6" w:rsidP="001F27F6">
            <w:pPr>
              <w:rPr>
                <w:rFonts w:cstheme="minorHAnsi"/>
                <w:b/>
                <w:noProof/>
              </w:rPr>
            </w:pPr>
            <w:r w:rsidRPr="0035160C">
              <w:rPr>
                <w:rFonts w:cstheme="minorHAnsi"/>
                <w:b/>
                <w:noProof/>
              </w:rPr>
              <w:t xml:space="preserve">SOR </w:t>
            </w:r>
          </w:p>
        </w:tc>
        <w:tc>
          <w:tcPr>
            <w:tcW w:w="7344" w:type="dxa"/>
          </w:tcPr>
          <w:p w14:paraId="4F841C0F" w14:textId="77777777" w:rsidR="001F27F6" w:rsidRPr="0035160C" w:rsidRDefault="001F27F6" w:rsidP="001F27F6">
            <w:pPr>
              <w:rPr>
                <w:rFonts w:cstheme="minorHAnsi"/>
                <w:noProof/>
              </w:rPr>
            </w:pPr>
            <w:r w:rsidRPr="0035160C">
              <w:t>Strategia na rzecz odpowiedzialnego rozwoju do roku 2020 (z perspektywą do 2030)</w:t>
            </w:r>
          </w:p>
        </w:tc>
      </w:tr>
      <w:tr w:rsidR="001F27F6" w:rsidRPr="0035160C" w14:paraId="778D84D3" w14:textId="77777777" w:rsidTr="00756D73">
        <w:tc>
          <w:tcPr>
            <w:tcW w:w="1493" w:type="dxa"/>
          </w:tcPr>
          <w:p w14:paraId="089EBA56" w14:textId="77777777" w:rsidR="001F27F6" w:rsidRPr="0035160C" w:rsidRDefault="001F27F6" w:rsidP="001F27F6">
            <w:pPr>
              <w:rPr>
                <w:rFonts w:cstheme="minorHAnsi"/>
                <w:b/>
                <w:noProof/>
              </w:rPr>
            </w:pPr>
            <w:r w:rsidRPr="0035160C">
              <w:rPr>
                <w:rFonts w:cstheme="minorHAnsi"/>
                <w:b/>
                <w:noProof/>
              </w:rPr>
              <w:t>SNAP</w:t>
            </w:r>
          </w:p>
        </w:tc>
        <w:tc>
          <w:tcPr>
            <w:tcW w:w="7344" w:type="dxa"/>
          </w:tcPr>
          <w:p w14:paraId="4C5F1AA2" w14:textId="3AA3452A" w:rsidR="001F27F6" w:rsidRPr="0035160C" w:rsidRDefault="001F27F6" w:rsidP="001F27F6">
            <w:pPr>
              <w:rPr>
                <w:rFonts w:cstheme="minorHAnsi"/>
                <w:noProof/>
              </w:rPr>
            </w:pPr>
            <w:r w:rsidRPr="0035160C">
              <w:rPr>
                <w:rFonts w:cstheme="minorHAnsi"/>
              </w:rPr>
              <w:t>Wybrana nomenklatura dotycząca zanieczyszczenia powietrza</w:t>
            </w:r>
            <w:r>
              <w:rPr>
                <w:rFonts w:cstheme="minorHAnsi"/>
              </w:rPr>
              <w:t xml:space="preserve"> </w:t>
            </w:r>
            <w:r w:rsidRPr="0035160C">
              <w:rPr>
                <w:rFonts w:cstheme="minorHAnsi"/>
                <w:noProof/>
              </w:rPr>
              <w:t>(</w:t>
            </w:r>
            <w:r>
              <w:rPr>
                <w:rFonts w:cstheme="minorHAnsi"/>
                <w:noProof/>
              </w:rPr>
              <w:t xml:space="preserve">ang. </w:t>
            </w:r>
            <w:r w:rsidRPr="0035160C">
              <w:rPr>
                <w:rFonts w:cstheme="minorHAnsi"/>
                <w:noProof/>
              </w:rPr>
              <w:t>Selected nomenclature for air pollution)</w:t>
            </w:r>
          </w:p>
        </w:tc>
      </w:tr>
      <w:tr w:rsidR="001F27F6" w:rsidRPr="0035160C" w14:paraId="184B4B6B" w14:textId="77777777" w:rsidTr="00756D73">
        <w:tc>
          <w:tcPr>
            <w:tcW w:w="1493" w:type="dxa"/>
          </w:tcPr>
          <w:p w14:paraId="0B2D99E7" w14:textId="77777777" w:rsidR="001F27F6" w:rsidRPr="0035160C" w:rsidRDefault="001F27F6" w:rsidP="001F27F6">
            <w:pPr>
              <w:rPr>
                <w:rFonts w:cstheme="minorHAnsi"/>
                <w:b/>
                <w:noProof/>
              </w:rPr>
            </w:pPr>
            <w:r w:rsidRPr="0035160C">
              <w:rPr>
                <w:rFonts w:cstheme="minorHAnsi"/>
                <w:b/>
                <w:noProof/>
              </w:rPr>
              <w:t>SNAP 01</w:t>
            </w:r>
          </w:p>
        </w:tc>
        <w:tc>
          <w:tcPr>
            <w:tcW w:w="7344" w:type="dxa"/>
          </w:tcPr>
          <w:p w14:paraId="6F75E125" w14:textId="77777777" w:rsidR="001F27F6" w:rsidRPr="0035160C" w:rsidRDefault="001F27F6" w:rsidP="001F27F6">
            <w:pPr>
              <w:rPr>
                <w:rFonts w:cstheme="minorHAnsi"/>
                <w:noProof/>
              </w:rPr>
            </w:pPr>
            <w:r w:rsidRPr="0035160C">
              <w:rPr>
                <w:rFonts w:cstheme="minorHAnsi"/>
                <w:noProof/>
              </w:rPr>
              <w:t>Proces spalania w sektorze produkcji i transformacji energii</w:t>
            </w:r>
          </w:p>
        </w:tc>
      </w:tr>
      <w:tr w:rsidR="001F27F6" w:rsidRPr="0035160C" w14:paraId="366D2653" w14:textId="77777777" w:rsidTr="00756D73">
        <w:tc>
          <w:tcPr>
            <w:tcW w:w="1493" w:type="dxa"/>
          </w:tcPr>
          <w:p w14:paraId="1B990ED5" w14:textId="77777777" w:rsidR="001F27F6" w:rsidRPr="0035160C" w:rsidRDefault="001F27F6" w:rsidP="001F27F6">
            <w:pPr>
              <w:rPr>
                <w:rFonts w:cstheme="minorHAnsi"/>
                <w:b/>
                <w:noProof/>
              </w:rPr>
            </w:pPr>
            <w:r w:rsidRPr="0035160C">
              <w:rPr>
                <w:rFonts w:cstheme="minorHAnsi"/>
                <w:b/>
                <w:noProof/>
              </w:rPr>
              <w:t>SNAP 02</w:t>
            </w:r>
          </w:p>
        </w:tc>
        <w:tc>
          <w:tcPr>
            <w:tcW w:w="7344" w:type="dxa"/>
          </w:tcPr>
          <w:p w14:paraId="59DAB561" w14:textId="77777777" w:rsidR="001F27F6" w:rsidRPr="0035160C" w:rsidRDefault="001F27F6" w:rsidP="001F27F6">
            <w:pPr>
              <w:rPr>
                <w:rFonts w:cstheme="minorHAnsi"/>
                <w:noProof/>
              </w:rPr>
            </w:pPr>
            <w:r w:rsidRPr="0035160C">
              <w:rPr>
                <w:rFonts w:cstheme="minorHAnsi"/>
                <w:noProof/>
              </w:rPr>
              <w:t>Proces spalania</w:t>
            </w:r>
          </w:p>
        </w:tc>
      </w:tr>
      <w:tr w:rsidR="001F27F6" w:rsidRPr="0035160C" w14:paraId="39EBF613" w14:textId="77777777" w:rsidTr="00756D73">
        <w:tc>
          <w:tcPr>
            <w:tcW w:w="1493" w:type="dxa"/>
          </w:tcPr>
          <w:p w14:paraId="14642110" w14:textId="77777777" w:rsidR="001F27F6" w:rsidRPr="0035160C" w:rsidRDefault="001F27F6" w:rsidP="001F27F6">
            <w:pPr>
              <w:rPr>
                <w:rFonts w:cstheme="minorHAnsi"/>
                <w:b/>
                <w:noProof/>
              </w:rPr>
            </w:pPr>
            <w:r w:rsidRPr="0035160C">
              <w:rPr>
                <w:rFonts w:cstheme="minorHAnsi"/>
                <w:b/>
                <w:noProof/>
              </w:rPr>
              <w:t>SNAP 03</w:t>
            </w:r>
          </w:p>
        </w:tc>
        <w:tc>
          <w:tcPr>
            <w:tcW w:w="7344" w:type="dxa"/>
          </w:tcPr>
          <w:p w14:paraId="60550D4C" w14:textId="77777777" w:rsidR="001F27F6" w:rsidRPr="0035160C" w:rsidRDefault="001F27F6" w:rsidP="001F27F6">
            <w:pPr>
              <w:rPr>
                <w:rFonts w:cstheme="minorHAnsi"/>
                <w:noProof/>
              </w:rPr>
            </w:pPr>
            <w:r w:rsidRPr="0035160C">
              <w:rPr>
                <w:rFonts w:cstheme="minorHAnsi"/>
                <w:noProof/>
              </w:rPr>
              <w:t>Proces spalania w przemyśle</w:t>
            </w:r>
          </w:p>
        </w:tc>
      </w:tr>
      <w:tr w:rsidR="001F27F6" w:rsidRPr="0035160C" w14:paraId="449E52D5" w14:textId="77777777" w:rsidTr="00756D73">
        <w:tc>
          <w:tcPr>
            <w:tcW w:w="1493" w:type="dxa"/>
          </w:tcPr>
          <w:p w14:paraId="2C4C0C19" w14:textId="77777777" w:rsidR="001F27F6" w:rsidRPr="0035160C" w:rsidRDefault="001F27F6" w:rsidP="001F27F6">
            <w:pPr>
              <w:rPr>
                <w:rFonts w:cstheme="minorHAnsi"/>
                <w:b/>
                <w:noProof/>
              </w:rPr>
            </w:pPr>
            <w:r w:rsidRPr="0035160C">
              <w:rPr>
                <w:rFonts w:cstheme="minorHAnsi"/>
                <w:b/>
                <w:noProof/>
              </w:rPr>
              <w:t>SNAP 04</w:t>
            </w:r>
          </w:p>
        </w:tc>
        <w:tc>
          <w:tcPr>
            <w:tcW w:w="7344" w:type="dxa"/>
          </w:tcPr>
          <w:p w14:paraId="7C78E2B6" w14:textId="77777777" w:rsidR="001F27F6" w:rsidRPr="0035160C" w:rsidRDefault="001F27F6" w:rsidP="001F27F6">
            <w:pPr>
              <w:rPr>
                <w:rFonts w:cstheme="minorHAnsi"/>
                <w:noProof/>
              </w:rPr>
            </w:pPr>
            <w:r w:rsidRPr="0035160C">
              <w:rPr>
                <w:rFonts w:cstheme="minorHAnsi"/>
                <w:noProof/>
              </w:rPr>
              <w:t>Procesy produkcyjne</w:t>
            </w:r>
          </w:p>
        </w:tc>
      </w:tr>
      <w:tr w:rsidR="001F27F6" w:rsidRPr="0035160C" w14:paraId="40B93298" w14:textId="77777777" w:rsidTr="00756D73">
        <w:tc>
          <w:tcPr>
            <w:tcW w:w="1493" w:type="dxa"/>
          </w:tcPr>
          <w:p w14:paraId="08DC92D1" w14:textId="77777777" w:rsidR="001F27F6" w:rsidRPr="0035160C" w:rsidRDefault="001F27F6" w:rsidP="001F27F6">
            <w:pPr>
              <w:rPr>
                <w:rFonts w:cstheme="minorHAnsi"/>
                <w:b/>
                <w:noProof/>
              </w:rPr>
            </w:pPr>
            <w:r w:rsidRPr="0035160C">
              <w:rPr>
                <w:rFonts w:cstheme="minorHAnsi"/>
                <w:b/>
                <w:noProof/>
              </w:rPr>
              <w:t>SNAP 05</w:t>
            </w:r>
          </w:p>
        </w:tc>
        <w:tc>
          <w:tcPr>
            <w:tcW w:w="7344" w:type="dxa"/>
          </w:tcPr>
          <w:p w14:paraId="10F922D0" w14:textId="77777777" w:rsidR="001F27F6" w:rsidRPr="0035160C" w:rsidRDefault="001F27F6" w:rsidP="001F27F6">
            <w:pPr>
              <w:rPr>
                <w:rFonts w:cstheme="minorHAnsi"/>
                <w:noProof/>
              </w:rPr>
            </w:pPr>
            <w:r w:rsidRPr="0035160C">
              <w:rPr>
                <w:rFonts w:cstheme="minorHAnsi"/>
                <w:noProof/>
              </w:rPr>
              <w:t>Wydobycie i dystrybucja paliw kopalnych</w:t>
            </w:r>
          </w:p>
        </w:tc>
      </w:tr>
      <w:tr w:rsidR="001F27F6" w:rsidRPr="0035160C" w14:paraId="2DF6375C" w14:textId="77777777" w:rsidTr="00756D73">
        <w:tc>
          <w:tcPr>
            <w:tcW w:w="1493" w:type="dxa"/>
          </w:tcPr>
          <w:p w14:paraId="1BD6D16E" w14:textId="77777777" w:rsidR="001F27F6" w:rsidRPr="0035160C" w:rsidRDefault="001F27F6" w:rsidP="001F27F6">
            <w:pPr>
              <w:rPr>
                <w:rFonts w:cstheme="minorHAnsi"/>
                <w:b/>
                <w:noProof/>
              </w:rPr>
            </w:pPr>
            <w:r w:rsidRPr="0035160C">
              <w:rPr>
                <w:rFonts w:cstheme="minorHAnsi"/>
                <w:b/>
                <w:noProof/>
              </w:rPr>
              <w:t>SNAP 06</w:t>
            </w:r>
          </w:p>
        </w:tc>
        <w:tc>
          <w:tcPr>
            <w:tcW w:w="7344" w:type="dxa"/>
          </w:tcPr>
          <w:p w14:paraId="1B2D2522" w14:textId="77777777" w:rsidR="001F27F6" w:rsidRPr="0035160C" w:rsidRDefault="001F27F6" w:rsidP="001F27F6">
            <w:pPr>
              <w:rPr>
                <w:rFonts w:cstheme="minorHAnsi"/>
                <w:noProof/>
              </w:rPr>
            </w:pPr>
            <w:r w:rsidRPr="0035160C">
              <w:rPr>
                <w:rFonts w:cstheme="minorHAnsi"/>
                <w:noProof/>
              </w:rPr>
              <w:t xml:space="preserve">Zastosowanie rozpuszczalników i innych substancji </w:t>
            </w:r>
          </w:p>
        </w:tc>
      </w:tr>
      <w:tr w:rsidR="001F27F6" w:rsidRPr="0035160C" w14:paraId="3D7B2CF0" w14:textId="77777777" w:rsidTr="00756D73">
        <w:tc>
          <w:tcPr>
            <w:tcW w:w="1493" w:type="dxa"/>
          </w:tcPr>
          <w:p w14:paraId="59B68C21" w14:textId="77777777" w:rsidR="001F27F6" w:rsidRPr="0035160C" w:rsidRDefault="001F27F6" w:rsidP="001F27F6">
            <w:pPr>
              <w:rPr>
                <w:rFonts w:cstheme="minorHAnsi"/>
                <w:b/>
                <w:noProof/>
              </w:rPr>
            </w:pPr>
            <w:r w:rsidRPr="0035160C">
              <w:rPr>
                <w:rFonts w:cstheme="minorHAnsi"/>
                <w:b/>
                <w:noProof/>
              </w:rPr>
              <w:t>SNAP 07</w:t>
            </w:r>
          </w:p>
        </w:tc>
        <w:tc>
          <w:tcPr>
            <w:tcW w:w="7344" w:type="dxa"/>
          </w:tcPr>
          <w:p w14:paraId="4B2AA14F" w14:textId="77777777" w:rsidR="001F27F6" w:rsidRPr="0035160C" w:rsidRDefault="001F27F6" w:rsidP="001F27F6">
            <w:pPr>
              <w:rPr>
                <w:rFonts w:cstheme="minorHAnsi"/>
                <w:noProof/>
              </w:rPr>
            </w:pPr>
            <w:r w:rsidRPr="0035160C">
              <w:rPr>
                <w:rFonts w:cstheme="minorHAnsi"/>
                <w:noProof/>
              </w:rPr>
              <w:t>Transport drogowy</w:t>
            </w:r>
          </w:p>
        </w:tc>
      </w:tr>
      <w:tr w:rsidR="001F27F6" w:rsidRPr="0035160C" w14:paraId="2B846DAD" w14:textId="77777777" w:rsidTr="00756D73">
        <w:tc>
          <w:tcPr>
            <w:tcW w:w="1493" w:type="dxa"/>
          </w:tcPr>
          <w:p w14:paraId="3977D9D7" w14:textId="77777777" w:rsidR="001F27F6" w:rsidRPr="0035160C" w:rsidRDefault="001F27F6" w:rsidP="001F27F6">
            <w:pPr>
              <w:rPr>
                <w:rFonts w:cstheme="minorHAnsi"/>
                <w:b/>
                <w:noProof/>
              </w:rPr>
            </w:pPr>
            <w:r w:rsidRPr="0035160C">
              <w:rPr>
                <w:rFonts w:cstheme="minorHAnsi"/>
                <w:b/>
                <w:noProof/>
              </w:rPr>
              <w:t>SNAP 08</w:t>
            </w:r>
          </w:p>
        </w:tc>
        <w:tc>
          <w:tcPr>
            <w:tcW w:w="7344" w:type="dxa"/>
          </w:tcPr>
          <w:p w14:paraId="45ECE11A" w14:textId="77777777" w:rsidR="001F27F6" w:rsidRPr="0035160C" w:rsidRDefault="001F27F6" w:rsidP="001F27F6">
            <w:pPr>
              <w:rPr>
                <w:rFonts w:cstheme="minorHAnsi"/>
                <w:noProof/>
              </w:rPr>
            </w:pPr>
            <w:r w:rsidRPr="0035160C">
              <w:rPr>
                <w:rFonts w:cstheme="minorHAnsi"/>
                <w:noProof/>
              </w:rPr>
              <w:t>Inne pojazdy i urządzenia</w:t>
            </w:r>
          </w:p>
        </w:tc>
      </w:tr>
      <w:tr w:rsidR="001F27F6" w:rsidRPr="0035160C" w14:paraId="09E6997D" w14:textId="77777777" w:rsidTr="00756D73">
        <w:tc>
          <w:tcPr>
            <w:tcW w:w="1493" w:type="dxa"/>
          </w:tcPr>
          <w:p w14:paraId="1270476A" w14:textId="77777777" w:rsidR="001F27F6" w:rsidRPr="0035160C" w:rsidRDefault="001F27F6" w:rsidP="001F27F6">
            <w:pPr>
              <w:rPr>
                <w:rFonts w:cstheme="minorHAnsi"/>
                <w:b/>
                <w:noProof/>
              </w:rPr>
            </w:pPr>
            <w:r w:rsidRPr="0035160C">
              <w:rPr>
                <w:rFonts w:cstheme="minorHAnsi"/>
                <w:b/>
                <w:noProof/>
              </w:rPr>
              <w:t>SNAP 09</w:t>
            </w:r>
          </w:p>
        </w:tc>
        <w:tc>
          <w:tcPr>
            <w:tcW w:w="7344" w:type="dxa"/>
          </w:tcPr>
          <w:p w14:paraId="78705E82" w14:textId="77777777" w:rsidR="001F27F6" w:rsidRPr="0035160C" w:rsidRDefault="001F27F6" w:rsidP="001F27F6">
            <w:pPr>
              <w:rPr>
                <w:rFonts w:cstheme="minorHAnsi"/>
                <w:noProof/>
              </w:rPr>
            </w:pPr>
            <w:r w:rsidRPr="0035160C">
              <w:rPr>
                <w:rFonts w:cstheme="minorHAnsi"/>
                <w:noProof/>
              </w:rPr>
              <w:t>Zagospodarowanie odpadów</w:t>
            </w:r>
          </w:p>
        </w:tc>
      </w:tr>
      <w:tr w:rsidR="001F27F6" w:rsidRPr="0035160C" w14:paraId="7C238725" w14:textId="77777777" w:rsidTr="00756D73">
        <w:tc>
          <w:tcPr>
            <w:tcW w:w="1493" w:type="dxa"/>
          </w:tcPr>
          <w:p w14:paraId="6E9B186A" w14:textId="77777777" w:rsidR="001F27F6" w:rsidRPr="0035160C" w:rsidRDefault="001F27F6" w:rsidP="001F27F6">
            <w:pPr>
              <w:rPr>
                <w:rFonts w:cstheme="minorHAnsi"/>
                <w:b/>
                <w:noProof/>
              </w:rPr>
            </w:pPr>
            <w:r w:rsidRPr="0035160C">
              <w:rPr>
                <w:rFonts w:cstheme="minorHAnsi"/>
                <w:b/>
                <w:noProof/>
              </w:rPr>
              <w:t>SNAP 10</w:t>
            </w:r>
          </w:p>
        </w:tc>
        <w:tc>
          <w:tcPr>
            <w:tcW w:w="7344" w:type="dxa"/>
          </w:tcPr>
          <w:p w14:paraId="4F0489B3" w14:textId="77777777" w:rsidR="001F27F6" w:rsidRPr="0035160C" w:rsidRDefault="001F27F6" w:rsidP="001F27F6">
            <w:pPr>
              <w:rPr>
                <w:rFonts w:cstheme="minorHAnsi"/>
                <w:noProof/>
              </w:rPr>
            </w:pPr>
            <w:r w:rsidRPr="0035160C">
              <w:rPr>
                <w:rFonts w:cstheme="minorHAnsi"/>
                <w:noProof/>
              </w:rPr>
              <w:t>Rolnictwo</w:t>
            </w:r>
          </w:p>
        </w:tc>
      </w:tr>
      <w:tr w:rsidR="001F27F6" w:rsidRPr="0035160C" w14:paraId="5E7C9E56" w14:textId="77777777" w:rsidTr="00756D73">
        <w:tc>
          <w:tcPr>
            <w:tcW w:w="1493" w:type="dxa"/>
          </w:tcPr>
          <w:p w14:paraId="7A047E97" w14:textId="77777777" w:rsidR="001F27F6" w:rsidRPr="0035160C" w:rsidRDefault="001F27F6" w:rsidP="001F27F6">
            <w:pPr>
              <w:rPr>
                <w:rFonts w:cstheme="minorHAnsi"/>
                <w:b/>
                <w:noProof/>
              </w:rPr>
            </w:pPr>
            <w:r w:rsidRPr="0035160C">
              <w:rPr>
                <w:rFonts w:cstheme="minorHAnsi"/>
                <w:b/>
                <w:noProof/>
              </w:rPr>
              <w:t>SRT</w:t>
            </w:r>
          </w:p>
        </w:tc>
        <w:tc>
          <w:tcPr>
            <w:tcW w:w="7344" w:type="dxa"/>
          </w:tcPr>
          <w:p w14:paraId="19795348" w14:textId="77777777" w:rsidR="001F27F6" w:rsidRPr="0035160C" w:rsidRDefault="001F27F6" w:rsidP="001F27F6">
            <w:pPr>
              <w:pStyle w:val="Indeks1"/>
              <w:rPr>
                <w:noProof/>
              </w:rPr>
            </w:pPr>
            <w:r w:rsidRPr="0035160C">
              <w:t>Strategia Rozwoju Transportu do roku 2020 (z perspektywą 2030 r.)</w:t>
            </w:r>
          </w:p>
        </w:tc>
      </w:tr>
      <w:tr w:rsidR="001F27F6" w:rsidRPr="0035160C" w14:paraId="43B6B1CF" w14:textId="77777777" w:rsidTr="00756D73">
        <w:tc>
          <w:tcPr>
            <w:tcW w:w="1493" w:type="dxa"/>
          </w:tcPr>
          <w:p w14:paraId="6DD33762" w14:textId="77777777" w:rsidR="001F27F6" w:rsidRPr="0035160C" w:rsidRDefault="001F27F6" w:rsidP="001F27F6">
            <w:pPr>
              <w:rPr>
                <w:rFonts w:cstheme="minorHAnsi"/>
                <w:b/>
                <w:noProof/>
              </w:rPr>
            </w:pPr>
            <w:r w:rsidRPr="0035160C">
              <w:rPr>
                <w:b/>
                <w:noProof/>
              </w:rPr>
              <w:t xml:space="preserve">SUMP </w:t>
            </w:r>
          </w:p>
        </w:tc>
        <w:tc>
          <w:tcPr>
            <w:tcW w:w="7344" w:type="dxa"/>
          </w:tcPr>
          <w:p w14:paraId="5B00AB41" w14:textId="57299450" w:rsidR="001F27F6" w:rsidRPr="0035160C" w:rsidRDefault="001F27F6" w:rsidP="001F27F6">
            <w:pPr>
              <w:pStyle w:val="Indeks1"/>
              <w:rPr>
                <w:noProof/>
              </w:rPr>
            </w:pPr>
            <w:r>
              <w:rPr>
                <w:noProof/>
              </w:rPr>
              <w:t>)</w:t>
            </w:r>
            <w:r w:rsidRPr="0035160C">
              <w:rPr>
                <w:noProof/>
              </w:rPr>
              <w:t xml:space="preserve"> Plan zrównoważonej mobilności miejskiej</w:t>
            </w:r>
            <w:r>
              <w:rPr>
                <w:noProof/>
              </w:rPr>
              <w:t xml:space="preserve"> (ang. </w:t>
            </w:r>
            <w:r w:rsidRPr="0035160C">
              <w:rPr>
                <w:noProof/>
              </w:rPr>
              <w:t>Sustainable Urban Mobility Plan</w:t>
            </w:r>
          </w:p>
        </w:tc>
      </w:tr>
      <w:tr w:rsidR="001F27F6" w:rsidRPr="0035160C" w14:paraId="6C69FF4B" w14:textId="77777777" w:rsidTr="00756D73">
        <w:tc>
          <w:tcPr>
            <w:tcW w:w="1493" w:type="dxa"/>
          </w:tcPr>
          <w:p w14:paraId="52D019D4" w14:textId="77777777" w:rsidR="001F27F6" w:rsidRPr="0035160C" w:rsidRDefault="001F27F6" w:rsidP="001F27F6">
            <w:pPr>
              <w:rPr>
                <w:rFonts w:cstheme="minorHAnsi"/>
                <w:b/>
                <w:noProof/>
              </w:rPr>
            </w:pPr>
            <w:r w:rsidRPr="0035160C">
              <w:rPr>
                <w:rFonts w:cstheme="minorHAnsi"/>
                <w:b/>
                <w:noProof/>
              </w:rPr>
              <w:t>WHO</w:t>
            </w:r>
          </w:p>
        </w:tc>
        <w:tc>
          <w:tcPr>
            <w:tcW w:w="7344" w:type="dxa"/>
          </w:tcPr>
          <w:p w14:paraId="147BCCBC" w14:textId="77777777" w:rsidR="001F27F6" w:rsidRPr="0035160C" w:rsidRDefault="001F27F6" w:rsidP="001F27F6">
            <w:pPr>
              <w:pStyle w:val="Indeks1"/>
            </w:pPr>
            <w:r w:rsidRPr="0035160C">
              <w:rPr>
                <w:noProof/>
              </w:rPr>
              <w:t>Światowa Organizacja Zdrowia (ang. World Health Organization)</w:t>
            </w:r>
          </w:p>
        </w:tc>
      </w:tr>
      <w:tr w:rsidR="001F27F6" w:rsidRPr="0035160C" w14:paraId="28296FDF" w14:textId="77777777" w:rsidTr="00756D73">
        <w:tc>
          <w:tcPr>
            <w:tcW w:w="1493" w:type="dxa"/>
          </w:tcPr>
          <w:p w14:paraId="3973C686" w14:textId="77777777" w:rsidR="001F27F6" w:rsidRPr="0035160C" w:rsidRDefault="001F27F6" w:rsidP="001F27F6">
            <w:pPr>
              <w:rPr>
                <w:rFonts w:cstheme="minorHAnsi"/>
                <w:b/>
                <w:noProof/>
              </w:rPr>
            </w:pPr>
            <w:r w:rsidRPr="0035160C">
              <w:rPr>
                <w:rFonts w:cstheme="minorHAnsi"/>
                <w:b/>
                <w:noProof/>
              </w:rPr>
              <w:t>WM</w:t>
            </w:r>
          </w:p>
        </w:tc>
        <w:tc>
          <w:tcPr>
            <w:tcW w:w="7344" w:type="dxa"/>
          </w:tcPr>
          <w:p w14:paraId="2993DA46" w14:textId="194B7FC0" w:rsidR="001F27F6" w:rsidRPr="0035160C" w:rsidRDefault="001F27F6" w:rsidP="001F27F6">
            <w:pPr>
              <w:pStyle w:val="Indeks1"/>
            </w:pPr>
            <w:r w:rsidRPr="0035160C">
              <w:t>Scenariusz z działaniami</w:t>
            </w:r>
            <w:r>
              <w:t xml:space="preserve"> </w:t>
            </w:r>
            <w:r w:rsidRPr="0035160C">
              <w:t>(</w:t>
            </w:r>
            <w:r>
              <w:t>ang.</w:t>
            </w:r>
            <w:r w:rsidR="00BE6C81">
              <w:t xml:space="preserve"> </w:t>
            </w:r>
            <w:r w:rsidR="00BE6C81" w:rsidRPr="00BE6C81">
              <w:t>Scenario With Measures</w:t>
            </w:r>
            <w:r w:rsidRPr="0035160C">
              <w:t>)</w:t>
            </w:r>
          </w:p>
        </w:tc>
      </w:tr>
      <w:tr w:rsidR="001F27F6" w:rsidRPr="0035160C" w14:paraId="140B9D37" w14:textId="77777777" w:rsidTr="00756D73">
        <w:tc>
          <w:tcPr>
            <w:tcW w:w="1493" w:type="dxa"/>
          </w:tcPr>
          <w:p w14:paraId="58B57994" w14:textId="77777777" w:rsidR="001F27F6" w:rsidRPr="0035160C" w:rsidRDefault="001F27F6" w:rsidP="001F27F6">
            <w:pPr>
              <w:rPr>
                <w:rFonts w:cstheme="minorHAnsi"/>
                <w:b/>
                <w:noProof/>
              </w:rPr>
            </w:pPr>
            <w:r w:rsidRPr="0035160C">
              <w:rPr>
                <w:rFonts w:cstheme="minorHAnsi"/>
                <w:b/>
              </w:rPr>
              <w:t>WAM</w:t>
            </w:r>
          </w:p>
        </w:tc>
        <w:tc>
          <w:tcPr>
            <w:tcW w:w="7344" w:type="dxa"/>
          </w:tcPr>
          <w:p w14:paraId="45060C1D" w14:textId="0070BA5A" w:rsidR="001F27F6" w:rsidRPr="0035160C" w:rsidRDefault="001F27F6" w:rsidP="001F27F6">
            <w:pPr>
              <w:rPr>
                <w:rFonts w:cstheme="minorHAnsi"/>
              </w:rPr>
            </w:pPr>
            <w:r w:rsidRPr="0035160C">
              <w:rPr>
                <w:rFonts w:cstheme="minorHAnsi"/>
              </w:rPr>
              <w:t>Scenariusz z dodatkowymi działaniami(</w:t>
            </w:r>
            <w:r>
              <w:rPr>
                <w:rFonts w:cstheme="minorHAnsi"/>
              </w:rPr>
              <w:t xml:space="preserve">ang. </w:t>
            </w:r>
            <w:r w:rsidRPr="0035160C">
              <w:rPr>
                <w:rFonts w:cstheme="minorHAnsi"/>
              </w:rPr>
              <w:t>Scenario With Additional Measures)</w:t>
            </w:r>
            <w:r w:rsidR="00BE6C81">
              <w:rPr>
                <w:rFonts w:cstheme="minorHAnsi"/>
              </w:rPr>
              <w:t xml:space="preserve"> </w:t>
            </w:r>
          </w:p>
        </w:tc>
      </w:tr>
      <w:tr w:rsidR="001F27F6" w:rsidRPr="0035160C" w14:paraId="082241CD" w14:textId="77777777" w:rsidTr="00756D73">
        <w:tc>
          <w:tcPr>
            <w:tcW w:w="1493" w:type="dxa"/>
          </w:tcPr>
          <w:p w14:paraId="4F519438" w14:textId="75D178C0" w:rsidR="001F27F6" w:rsidRPr="0035160C" w:rsidRDefault="001F27F6" w:rsidP="001F27F6">
            <w:pPr>
              <w:rPr>
                <w:rFonts w:cstheme="minorHAnsi"/>
                <w:b/>
              </w:rPr>
            </w:pPr>
            <w:r>
              <w:rPr>
                <w:rFonts w:cstheme="minorHAnsi"/>
                <w:b/>
              </w:rPr>
              <w:t>WFOŚiGW</w:t>
            </w:r>
          </w:p>
        </w:tc>
        <w:tc>
          <w:tcPr>
            <w:tcW w:w="7344" w:type="dxa"/>
          </w:tcPr>
          <w:p w14:paraId="07B00E53" w14:textId="001264DA" w:rsidR="001F27F6" w:rsidRPr="0035160C" w:rsidDel="00FA4684" w:rsidRDefault="001F27F6" w:rsidP="001F27F6">
            <w:pPr>
              <w:rPr>
                <w:rFonts w:cstheme="minorHAnsi"/>
              </w:rPr>
            </w:pPr>
            <w:r>
              <w:rPr>
                <w:rFonts w:cstheme="minorHAnsi"/>
              </w:rPr>
              <w:t>Wojewódzki Fundusz Ochrony Środowiska i Gospodarki Wodnej</w:t>
            </w:r>
          </w:p>
        </w:tc>
      </w:tr>
      <w:tr w:rsidR="001F27F6" w:rsidRPr="0035160C" w14:paraId="27C80BA0" w14:textId="77777777" w:rsidTr="00756D73">
        <w:tc>
          <w:tcPr>
            <w:tcW w:w="1493" w:type="dxa"/>
          </w:tcPr>
          <w:p w14:paraId="1C9AF0F1" w14:textId="77777777" w:rsidR="001F27F6" w:rsidRPr="0035160C" w:rsidRDefault="001F27F6" w:rsidP="001F27F6">
            <w:pPr>
              <w:rPr>
                <w:rFonts w:cstheme="minorHAnsi"/>
                <w:b/>
                <w:noProof/>
              </w:rPr>
            </w:pPr>
            <w:r w:rsidRPr="0035160C">
              <w:rPr>
                <w:rFonts w:cstheme="minorHAnsi"/>
                <w:b/>
                <w:noProof/>
              </w:rPr>
              <w:t>WIOŚ</w:t>
            </w:r>
          </w:p>
        </w:tc>
        <w:tc>
          <w:tcPr>
            <w:tcW w:w="7344" w:type="dxa"/>
          </w:tcPr>
          <w:p w14:paraId="7F1A1C99" w14:textId="77777777" w:rsidR="001F27F6" w:rsidRPr="0035160C" w:rsidRDefault="001F27F6" w:rsidP="001F27F6">
            <w:pPr>
              <w:pStyle w:val="Indeks1"/>
            </w:pPr>
            <w:r w:rsidRPr="0035160C">
              <w:rPr>
                <w:noProof/>
              </w:rPr>
              <w:t>Wojewódzki Inspektor Ochrony Środowiska</w:t>
            </w:r>
          </w:p>
        </w:tc>
      </w:tr>
      <w:tr w:rsidR="001F27F6" w:rsidRPr="0035160C" w14:paraId="0B1B61FD" w14:textId="77777777" w:rsidTr="00756D73">
        <w:tc>
          <w:tcPr>
            <w:tcW w:w="1493" w:type="dxa"/>
          </w:tcPr>
          <w:p w14:paraId="4072BE49" w14:textId="77777777" w:rsidR="001F27F6" w:rsidRPr="0035160C" w:rsidRDefault="001F27F6" w:rsidP="001F27F6">
            <w:pPr>
              <w:rPr>
                <w:rFonts w:cstheme="minorHAnsi"/>
                <w:b/>
                <w:noProof/>
              </w:rPr>
            </w:pPr>
            <w:r w:rsidRPr="0035160C">
              <w:rPr>
                <w:rFonts w:cstheme="minorHAnsi"/>
                <w:b/>
                <w:noProof/>
              </w:rPr>
              <w:t>ZIT</w:t>
            </w:r>
          </w:p>
        </w:tc>
        <w:tc>
          <w:tcPr>
            <w:tcW w:w="7344" w:type="dxa"/>
          </w:tcPr>
          <w:p w14:paraId="0CFAC31A" w14:textId="77777777" w:rsidR="001F27F6" w:rsidRPr="0035160C" w:rsidRDefault="001F27F6" w:rsidP="001F27F6">
            <w:pPr>
              <w:pStyle w:val="Indeks1"/>
              <w:rPr>
                <w:noProof/>
              </w:rPr>
            </w:pPr>
            <w:r w:rsidRPr="0035160C">
              <w:t>Zintegrowane Inwestycje Terytorialne</w:t>
            </w:r>
          </w:p>
        </w:tc>
      </w:tr>
    </w:tbl>
    <w:p w14:paraId="348ADA76" w14:textId="77777777" w:rsidR="00ED2AD4" w:rsidRPr="0035160C" w:rsidRDefault="00ED2AD4" w:rsidP="00384CC1">
      <w:pPr>
        <w:jc w:val="both"/>
      </w:pPr>
    </w:p>
    <w:p w14:paraId="4DEBB982" w14:textId="77777777" w:rsidR="00ED2AD4" w:rsidRPr="0035160C" w:rsidRDefault="00ED2AD4">
      <w:r w:rsidRPr="0035160C">
        <w:br w:type="page"/>
      </w:r>
    </w:p>
    <w:p w14:paraId="6738857E" w14:textId="77777777" w:rsidR="00ED2AD4" w:rsidRPr="0035160C" w:rsidRDefault="00ED2AD4" w:rsidP="001C78DF">
      <w:pPr>
        <w:pStyle w:val="Nagwek1"/>
        <w:rPr>
          <w:b/>
          <w:sz w:val="24"/>
          <w:szCs w:val="24"/>
        </w:rPr>
      </w:pPr>
      <w:bookmarkStart w:id="3" w:name="_Toc536359292"/>
      <w:bookmarkStart w:id="4" w:name="_Toc4760429"/>
      <w:bookmarkStart w:id="5" w:name="_Toc78205872"/>
      <w:r w:rsidRPr="0035160C">
        <w:rPr>
          <w:b/>
          <w:sz w:val="24"/>
          <w:szCs w:val="24"/>
        </w:rPr>
        <w:lastRenderedPageBreak/>
        <w:t>Wprowadzenie</w:t>
      </w:r>
      <w:bookmarkEnd w:id="3"/>
      <w:bookmarkEnd w:id="4"/>
      <w:bookmarkEnd w:id="5"/>
    </w:p>
    <w:p w14:paraId="7E6627BC" w14:textId="49AEEE57" w:rsidR="00F3168E" w:rsidRPr="0035160C" w:rsidRDefault="00877FE8" w:rsidP="00557A39">
      <w:pPr>
        <w:jc w:val="both"/>
      </w:pPr>
      <w:bookmarkStart w:id="6" w:name="_Hlk69587936"/>
      <w:r w:rsidRPr="0035160C">
        <w:t>Problematyka jakości powietrza coraz częściej utożsamiana jest z negatywnym wpływem</w:t>
      </w:r>
      <w:r w:rsidR="00691E40" w:rsidRPr="0035160C">
        <w:t xml:space="preserve"> </w:t>
      </w:r>
      <w:r w:rsidR="001158AA">
        <w:t>zanieczyszcz</w:t>
      </w:r>
      <w:r w:rsidR="008E1BF6">
        <w:t>e</w:t>
      </w:r>
      <w:r w:rsidR="001158AA">
        <w:t xml:space="preserve">ń </w:t>
      </w:r>
      <w:r w:rsidR="00691E40" w:rsidRPr="0035160C">
        <w:t>nie tylko na środowisko jako całość, ale także</w:t>
      </w:r>
      <w:r w:rsidRPr="0035160C">
        <w:t xml:space="preserve"> na stan zdrowia i komfort życia</w:t>
      </w:r>
      <w:r w:rsidR="001C6035" w:rsidRPr="0035160C">
        <w:t xml:space="preserve"> ludzi</w:t>
      </w:r>
      <w:r w:rsidRPr="0035160C">
        <w:t xml:space="preserve">. </w:t>
      </w:r>
      <w:r w:rsidR="001C6035" w:rsidRPr="0035160C">
        <w:t xml:space="preserve">Związane jest to z faktem coraz większej świadomości społeczeństwa </w:t>
      </w:r>
      <w:r w:rsidR="00B35950" w:rsidRPr="0035160C">
        <w:t xml:space="preserve">na temat </w:t>
      </w:r>
      <w:r w:rsidR="001C6035" w:rsidRPr="0035160C">
        <w:t>wpływ</w:t>
      </w:r>
      <w:r w:rsidR="00B35950" w:rsidRPr="0035160C">
        <w:t xml:space="preserve">u </w:t>
      </w:r>
      <w:r w:rsidR="001C6035" w:rsidRPr="0035160C">
        <w:t xml:space="preserve">zanieczyszczenia powietrza na stan zdrowia. Wpływają na to z pewnością </w:t>
      </w:r>
      <w:r w:rsidR="001158AA" w:rsidRPr="0035160C">
        <w:t>działania edukacyjno-</w:t>
      </w:r>
      <w:r w:rsidR="00996E3C">
        <w:t>informacyjne</w:t>
      </w:r>
      <w:r w:rsidR="001158AA">
        <w:t>,</w:t>
      </w:r>
      <w:r w:rsidR="001158AA" w:rsidRPr="0035160C">
        <w:t xml:space="preserve"> </w:t>
      </w:r>
      <w:r w:rsidR="001C6035" w:rsidRPr="0035160C">
        <w:t>prowadzone na wszystkich poziomach zarządzania jakością powietrza, zarówno na poziomie krajowym przez administrację rządową, jak również na poziomie wojewódzkim, powiatowym i gminnym przez administrację samorządu terytorialn</w:t>
      </w:r>
      <w:r w:rsidR="00BE6C81">
        <w:t>ego</w:t>
      </w:r>
      <w:r w:rsidR="001C6035" w:rsidRPr="0035160C">
        <w:t>.</w:t>
      </w:r>
      <w:r w:rsidR="00F3168E" w:rsidRPr="0035160C">
        <w:t xml:space="preserve"> </w:t>
      </w:r>
    </w:p>
    <w:p w14:paraId="5E22B27B" w14:textId="77777777" w:rsidR="00B92334" w:rsidRDefault="00B92334" w:rsidP="000237C5">
      <w:pPr>
        <w:jc w:val="both"/>
      </w:pPr>
      <w:r w:rsidRPr="00B92334">
        <w:t>Problem nieodpowiedniej jakości powietrza nie jest wyłącznie „krajowym” problemem, borykają się z nim niemal wszystkie państwa rozwinięte i rozwijające się. Wysokie stężenia zanieczyszczeń są częstym zjawiskiem w regionach przemysłowych (północne Włochy), ze specyficzną topografią (jak np. niecki górskie, doliny) oraz mocno zurbanizowanych.</w:t>
      </w:r>
    </w:p>
    <w:p w14:paraId="54F91990" w14:textId="5B672DC9" w:rsidR="000237C5" w:rsidRDefault="00557A39" w:rsidP="000237C5">
      <w:pPr>
        <w:jc w:val="both"/>
      </w:pPr>
      <w:r w:rsidRPr="0035160C">
        <w:t>Niemniej w Polsce stężeni</w:t>
      </w:r>
      <w:r w:rsidR="006202D2" w:rsidRPr="0035160C">
        <w:t xml:space="preserve">a normowanych </w:t>
      </w:r>
      <w:r w:rsidRPr="0035160C">
        <w:t>substancji w</w:t>
      </w:r>
      <w:r w:rsidR="00C0194F" w:rsidRPr="0035160C">
        <w:t> </w:t>
      </w:r>
      <w:r w:rsidRPr="0035160C">
        <w:t xml:space="preserve">powietrzu </w:t>
      </w:r>
      <w:r w:rsidR="000237C5" w:rsidRPr="0035160C">
        <w:t>są</w:t>
      </w:r>
      <w:r w:rsidRPr="0035160C">
        <w:t xml:space="preserve"> </w:t>
      </w:r>
      <w:r w:rsidR="00FA071E" w:rsidRPr="0035160C">
        <w:t>znacząco wyższe</w:t>
      </w:r>
      <w:r w:rsidRPr="0035160C">
        <w:t xml:space="preserve"> w</w:t>
      </w:r>
      <w:r w:rsidR="001B24B7">
        <w:t xml:space="preserve"> </w:t>
      </w:r>
      <w:r w:rsidRPr="0035160C">
        <w:t xml:space="preserve">porównaniu do innych </w:t>
      </w:r>
      <w:r w:rsidR="00FA071E" w:rsidRPr="0035160C">
        <w:t xml:space="preserve">państw członkowskich </w:t>
      </w:r>
      <w:r w:rsidRPr="0035160C">
        <w:t>Unii Europejskiej i</w:t>
      </w:r>
      <w:r w:rsidR="00A62246">
        <w:t> </w:t>
      </w:r>
      <w:r w:rsidRPr="0035160C">
        <w:t>w</w:t>
      </w:r>
      <w:r w:rsidR="001B24B7">
        <w:t xml:space="preserve"> </w:t>
      </w:r>
      <w:r w:rsidRPr="0035160C">
        <w:t>okres</w:t>
      </w:r>
      <w:r w:rsidR="000237C5" w:rsidRPr="0035160C">
        <w:t xml:space="preserve">ie jesienno-zimowym, tzw. okresie „grzewczym” problem ten dotyczy praktycznie całego </w:t>
      </w:r>
      <w:r w:rsidRPr="0035160C">
        <w:t>kraj</w:t>
      </w:r>
      <w:r w:rsidR="000237C5" w:rsidRPr="0035160C">
        <w:t>u</w:t>
      </w:r>
      <w:r w:rsidRPr="0035160C">
        <w:t>.</w:t>
      </w:r>
      <w:bookmarkEnd w:id="6"/>
      <w:r w:rsidRPr="0035160C">
        <w:t xml:space="preserve"> </w:t>
      </w:r>
    </w:p>
    <w:p w14:paraId="205452AF" w14:textId="61A766F5" w:rsidR="00B92334" w:rsidRPr="0035160C" w:rsidRDefault="00B92334" w:rsidP="000237C5">
      <w:pPr>
        <w:jc w:val="both"/>
      </w:pPr>
      <w:r w:rsidRPr="00B92334">
        <w:t>Zła jakość powietrza istotnie wpływa na zdrowie społeczeństw i wywołuje straty finansowe. Z tego powodu w Europie od lat wspierane są działania ukierunkowane na poprawę tej sytuacji.</w:t>
      </w:r>
    </w:p>
    <w:p w14:paraId="18494B53" w14:textId="5A2DEFC0" w:rsidR="00396D6A" w:rsidRPr="0035160C" w:rsidRDefault="00396D6A" w:rsidP="00396D6A">
      <w:pPr>
        <w:jc w:val="both"/>
        <w:rPr>
          <w:b/>
          <w:bCs/>
          <w:i/>
          <w:iCs/>
          <w:color w:val="2F5496" w:themeColor="accent1" w:themeShade="BF"/>
        </w:rPr>
      </w:pPr>
      <w:r w:rsidRPr="0035160C">
        <w:rPr>
          <w:b/>
          <w:bCs/>
          <w:i/>
          <w:iCs/>
          <w:color w:val="2F5496" w:themeColor="accent1" w:themeShade="BF"/>
        </w:rPr>
        <w:t>„Z danych EEA wynika, że inwestowanie w lepszą jakość powietrza jest inwestycją na rzecz poprawy zdrowia i wydajności dla wszystkich Europejczyków. Strategie polityczne i działania, które są spójne z europejskimi ambicjami w zakresie zerowych emisji zanieczyszczeń, prowadzą do dłuższego i</w:t>
      </w:r>
      <w:r w:rsidR="001B24B7">
        <w:rPr>
          <w:b/>
          <w:bCs/>
          <w:i/>
          <w:iCs/>
          <w:color w:val="2F5496" w:themeColor="accent1" w:themeShade="BF"/>
        </w:rPr>
        <w:t> </w:t>
      </w:r>
      <w:r w:rsidRPr="0035160C">
        <w:rPr>
          <w:b/>
          <w:bCs/>
          <w:i/>
          <w:iCs/>
          <w:color w:val="2F5496" w:themeColor="accent1" w:themeShade="BF"/>
        </w:rPr>
        <w:t xml:space="preserve">zdrowszego życia i bardziej odpornych społeczeństw.” </w:t>
      </w:r>
    </w:p>
    <w:p w14:paraId="58D2D4BF" w14:textId="1E9A978A" w:rsidR="00396D6A" w:rsidRPr="0035160C" w:rsidRDefault="00396D6A" w:rsidP="00A62246">
      <w:pPr>
        <w:ind w:left="1416" w:firstLine="427"/>
        <w:jc w:val="both"/>
        <w:rPr>
          <w:rFonts w:cstheme="minorHAnsi"/>
          <w:sz w:val="20"/>
          <w:szCs w:val="20"/>
        </w:rPr>
      </w:pPr>
      <w:r w:rsidRPr="0035160C">
        <w:rPr>
          <w:rFonts w:cstheme="minorHAnsi"/>
          <w:sz w:val="20"/>
          <w:szCs w:val="20"/>
        </w:rPr>
        <w:t xml:space="preserve">Hans Bruyninckx, dyrektor wykonawczy </w:t>
      </w:r>
      <w:r w:rsidR="00C1297F" w:rsidRPr="0035160C">
        <w:rPr>
          <w:rFonts w:cstheme="minorHAnsi"/>
          <w:sz w:val="20"/>
          <w:szCs w:val="20"/>
        </w:rPr>
        <w:t xml:space="preserve">Europejskiej Agencji Ochrony Środowiska (EEA) </w:t>
      </w:r>
    </w:p>
    <w:p w14:paraId="5ABACDF5" w14:textId="57CC4C57" w:rsidR="00A77206" w:rsidRDefault="00973175" w:rsidP="00B53946">
      <w:pPr>
        <w:jc w:val="both"/>
      </w:pPr>
      <w:r>
        <w:t>W</w:t>
      </w:r>
      <w:r w:rsidR="00B53946" w:rsidRPr="0035160C">
        <w:t xml:space="preserve"> związku z panującą pandemią COVID-19 w kraju i na świecie, jak również biorąc pod uwagę wyniki badań wskazujących na</w:t>
      </w:r>
      <w:r>
        <w:t xml:space="preserve"> możliwy</w:t>
      </w:r>
      <w:r w:rsidR="00B53946" w:rsidRPr="0035160C">
        <w:t xml:space="preserve"> związek</w:t>
      </w:r>
      <w:r w:rsidR="00AF2E47">
        <w:t xml:space="preserve"> pomiędzy </w:t>
      </w:r>
      <w:r w:rsidR="00DA6994">
        <w:t>obszara</w:t>
      </w:r>
      <w:r w:rsidR="00AF2E47">
        <w:t>mi</w:t>
      </w:r>
      <w:r w:rsidR="00DA6994">
        <w:t xml:space="preserve">, na których stwierdzane są długotrwałe przekroczenia norm jakości powietrza </w:t>
      </w:r>
      <w:r w:rsidR="00AF2E47">
        <w:t xml:space="preserve">z </w:t>
      </w:r>
      <w:r w:rsidR="00A62680">
        <w:t>występowa</w:t>
      </w:r>
      <w:r w:rsidR="00AF2E47">
        <w:t>niem</w:t>
      </w:r>
      <w:r w:rsidR="00A62680">
        <w:t xml:space="preserve"> podwyższon</w:t>
      </w:r>
      <w:r w:rsidR="00AF2E47">
        <w:t>ych</w:t>
      </w:r>
      <w:r w:rsidR="00A62680">
        <w:t xml:space="preserve"> wskaźnik</w:t>
      </w:r>
      <w:r w:rsidR="000A5F8E">
        <w:t>ó</w:t>
      </w:r>
      <w:r w:rsidR="00AF2E47">
        <w:t>w</w:t>
      </w:r>
      <w:r w:rsidR="00A62680">
        <w:t xml:space="preserve"> </w:t>
      </w:r>
      <w:r w:rsidR="00DA6994">
        <w:t xml:space="preserve">zachorowania, co może </w:t>
      </w:r>
      <w:r w:rsidR="00A62680">
        <w:t>wynikać z większej podatności osób tam mieszkających na choroby płuc</w:t>
      </w:r>
      <w:r w:rsidR="00AF2E47">
        <w:t xml:space="preserve">, problem </w:t>
      </w:r>
      <w:r w:rsidR="000A5F8E">
        <w:t>zanieczyszczenia</w:t>
      </w:r>
      <w:r w:rsidR="00AF2E47">
        <w:t xml:space="preserve"> powietrza nabiera nowego znaczenia</w:t>
      </w:r>
      <w:r w:rsidR="000A5F8E">
        <w:t>, i wymaga podjęcia pilnych działań w tym zakresie</w:t>
      </w:r>
      <w:r w:rsidR="008D75BB">
        <w:t>.</w:t>
      </w:r>
      <w:r w:rsidR="00B53946" w:rsidRPr="0035160C">
        <w:t xml:space="preserve"> </w:t>
      </w:r>
    </w:p>
    <w:p w14:paraId="3C10D237" w14:textId="53999A58" w:rsidR="00B53946" w:rsidRPr="0035160C" w:rsidRDefault="00A77206" w:rsidP="00B53946">
      <w:pPr>
        <w:jc w:val="both"/>
      </w:pPr>
      <w:r>
        <w:t>P</w:t>
      </w:r>
      <w:r w:rsidR="00B53946" w:rsidRPr="0035160C">
        <w:t>oprawa jakości powietrza staje się jednym z</w:t>
      </w:r>
      <w:r w:rsidR="008D75BB">
        <w:t xml:space="preserve"> </w:t>
      </w:r>
      <w:r w:rsidR="00B53946" w:rsidRPr="0035160C">
        <w:t xml:space="preserve">głównych wyzwań cywilizacyjnych stojących przed Polską. Skuteczność działań w tym obszarze będzie mieć konsekwencje dla zdrowia i jakości życia Polaków w następnych dziesięcioleciach. </w:t>
      </w:r>
    </w:p>
    <w:p w14:paraId="73568C11" w14:textId="46C2FBA8" w:rsidR="00C0194F" w:rsidRPr="0035160C" w:rsidRDefault="00A6760D" w:rsidP="00C0194F">
      <w:pPr>
        <w:jc w:val="both"/>
      </w:pPr>
      <w:r w:rsidRPr="0035160C">
        <w:t>Podkreślić należy, że niezmiennie od kilkunastu lat, w Polsce, podobnie jak we wszystkich państwach Unii Europejskiej, prowadzony jest monitoring jakości powietrza</w:t>
      </w:r>
      <w:r w:rsidR="00146485" w:rsidRPr="0035160C">
        <w:t xml:space="preserve">. </w:t>
      </w:r>
      <w:r w:rsidR="00FA071E" w:rsidRPr="0035160C">
        <w:t xml:space="preserve">Na podstawie </w:t>
      </w:r>
      <w:r w:rsidR="00146485" w:rsidRPr="0035160C">
        <w:t>wynik</w:t>
      </w:r>
      <w:r w:rsidR="00FA071E" w:rsidRPr="0035160C">
        <w:t>ów ostatniej</w:t>
      </w:r>
      <w:r w:rsidR="00146485" w:rsidRPr="0035160C">
        <w:t xml:space="preserve"> oceny jakości powietrza </w:t>
      </w:r>
      <w:r w:rsidR="00C0194F" w:rsidRPr="0035160C">
        <w:t>przeprowadzon</w:t>
      </w:r>
      <w:r w:rsidR="00B35950" w:rsidRPr="0035160C">
        <w:t>ej</w:t>
      </w:r>
      <w:r w:rsidR="00C0194F" w:rsidRPr="0035160C">
        <w:t xml:space="preserve"> przez </w:t>
      </w:r>
      <w:r w:rsidR="00AF2E47">
        <w:t>GIOŚ</w:t>
      </w:r>
      <w:r w:rsidR="00C0194F" w:rsidRPr="0035160C">
        <w:t xml:space="preserve">, </w:t>
      </w:r>
      <w:r w:rsidR="00FA071E" w:rsidRPr="0035160C">
        <w:t xml:space="preserve">można </w:t>
      </w:r>
      <w:r w:rsidR="00676FB1" w:rsidRPr="0035160C">
        <w:t>uznać</w:t>
      </w:r>
      <w:r w:rsidR="00FA071E" w:rsidRPr="0035160C">
        <w:t xml:space="preserve">, że stan powietrza się poprawia, co można potwierdzić na podstawie </w:t>
      </w:r>
      <w:r w:rsidR="00C0194F" w:rsidRPr="0035160C">
        <w:t>porównania wyników oceny za 2019 r. do wyników za 2018</w:t>
      </w:r>
      <w:r w:rsidR="001B24B7">
        <w:t xml:space="preserve"> </w:t>
      </w:r>
      <w:r w:rsidR="00C0194F" w:rsidRPr="0035160C">
        <w:t>r. Zmniejszyła się znacząco liczba stref z przekroczeniami norm</w:t>
      </w:r>
      <w:r w:rsidR="00676FB1" w:rsidRPr="0035160C">
        <w:t xml:space="preserve"> jakości powietrza</w:t>
      </w:r>
      <w:r w:rsidR="00C0194F" w:rsidRPr="0035160C">
        <w:t xml:space="preserve">, w tym przede wszystkim </w:t>
      </w:r>
      <w:r w:rsidR="00FA071E" w:rsidRPr="0035160C">
        <w:t>dla najbardziej problematycznych dotychczas</w:t>
      </w:r>
      <w:r w:rsidR="00621F2B">
        <w:t xml:space="preserve"> frakcji</w:t>
      </w:r>
      <w:r w:rsidR="00FA071E" w:rsidRPr="0035160C">
        <w:t xml:space="preserve"> </w:t>
      </w:r>
      <w:r w:rsidR="00C0194F" w:rsidRPr="0035160C">
        <w:t>pyłu zawieszonego PM10 oraz PM2,5, nie tylko w związku z</w:t>
      </w:r>
      <w:r w:rsidR="004A6EA3" w:rsidRPr="0035160C">
        <w:t xml:space="preserve"> </w:t>
      </w:r>
      <w:r w:rsidR="00C0194F" w:rsidRPr="0035160C">
        <w:t>występującymi korzystnymi warunkami meteorologicznymi, ale przede wszystkim w wyniku podjętych działań naprawczych na wszystkich szczeblach zarządzania</w:t>
      </w:r>
      <w:r w:rsidR="00342D76" w:rsidRPr="0035160C">
        <w:t xml:space="preserve"> jakością powietrza</w:t>
      </w:r>
      <w:r w:rsidR="00C0194F" w:rsidRPr="0035160C">
        <w:t xml:space="preserve">. </w:t>
      </w:r>
    </w:p>
    <w:p w14:paraId="5A485173" w14:textId="51D74F27" w:rsidR="00A6760D" w:rsidRPr="0035160C" w:rsidRDefault="00342D76" w:rsidP="00C0194F">
      <w:pPr>
        <w:jc w:val="both"/>
      </w:pPr>
      <w:r w:rsidRPr="0035160C">
        <w:t>Jednocześnie z</w:t>
      </w:r>
      <w:r w:rsidR="00C0194F" w:rsidRPr="0035160C">
        <w:t xml:space="preserve"> danych </w:t>
      </w:r>
      <w:r w:rsidR="00AF2E47">
        <w:t>GIOŚ</w:t>
      </w:r>
      <w:r w:rsidR="00A62246">
        <w:t xml:space="preserve"> </w:t>
      </w:r>
      <w:r w:rsidR="00C0194F" w:rsidRPr="0035160C">
        <w:t>wynika, że w dalszym ciągu dominującym problemem są przekroczenia norm dla pyłu zawieszonego</w:t>
      </w:r>
      <w:r w:rsidR="000165D6">
        <w:t xml:space="preserve"> we frakcjach</w:t>
      </w:r>
      <w:r w:rsidR="00C0194F" w:rsidRPr="0035160C">
        <w:t xml:space="preserve"> PM10 i</w:t>
      </w:r>
      <w:r w:rsidR="00A62246">
        <w:t> </w:t>
      </w:r>
      <w:r w:rsidR="00C0194F" w:rsidRPr="0035160C">
        <w:t xml:space="preserve">PM2,5, oraz </w:t>
      </w:r>
      <w:r w:rsidR="00290287">
        <w:t xml:space="preserve">benzo(a)pirenu </w:t>
      </w:r>
      <w:r w:rsidR="00AF2E47">
        <w:t xml:space="preserve">(B(a)P) </w:t>
      </w:r>
      <w:r w:rsidR="00290287">
        <w:t>oznaczanego w</w:t>
      </w:r>
      <w:r w:rsidR="000165D6">
        <w:t xml:space="preserve">e </w:t>
      </w:r>
      <w:r w:rsidR="000165D6">
        <w:lastRenderedPageBreak/>
        <w:t>frakcji PM10</w:t>
      </w:r>
      <w:r w:rsidR="00290287">
        <w:t xml:space="preserve"> py</w:t>
      </w:r>
      <w:r w:rsidR="000165D6">
        <w:t>łu</w:t>
      </w:r>
      <w:r w:rsidR="00290287">
        <w:t xml:space="preserve"> zawieszon</w:t>
      </w:r>
      <w:r w:rsidR="000165D6">
        <w:t>ego</w:t>
      </w:r>
      <w:r w:rsidR="00C0194F" w:rsidRPr="0035160C">
        <w:t xml:space="preserve">, którego podstawowym źródłem jest spalanie paliw stałych do celów grzewczych w okresie jesienno-zimowym przez </w:t>
      </w:r>
      <w:r w:rsidR="00C1297F" w:rsidRPr="0035160C">
        <w:t>gospodarstwa domowe</w:t>
      </w:r>
      <w:r w:rsidR="00C0194F" w:rsidRPr="0035160C">
        <w:t>.</w:t>
      </w:r>
    </w:p>
    <w:p w14:paraId="23698A90" w14:textId="09D0965C" w:rsidR="000237C5" w:rsidRPr="0035160C" w:rsidRDefault="000237C5" w:rsidP="000237C5">
      <w:pPr>
        <w:jc w:val="both"/>
      </w:pPr>
      <w:r w:rsidRPr="0035160C">
        <w:t xml:space="preserve">Tym </w:t>
      </w:r>
      <w:r w:rsidR="00FA071E" w:rsidRPr="0035160C">
        <w:t>samym można stwierdzić</w:t>
      </w:r>
      <w:r w:rsidR="007562B8" w:rsidRPr="0035160C">
        <w:t xml:space="preserve">, że </w:t>
      </w:r>
      <w:r w:rsidR="00FA071E" w:rsidRPr="0035160C">
        <w:t>prowadzone dotychczas działa</w:t>
      </w:r>
      <w:r w:rsidR="00F3168E" w:rsidRPr="0035160C">
        <w:t>nia</w:t>
      </w:r>
      <w:r w:rsidR="00FA071E" w:rsidRPr="0035160C">
        <w:t xml:space="preserve"> naprawcz</w:t>
      </w:r>
      <w:r w:rsidR="00F3168E" w:rsidRPr="0035160C">
        <w:t>e</w:t>
      </w:r>
      <w:r w:rsidR="00FA071E" w:rsidRPr="0035160C">
        <w:t xml:space="preserve"> ukierunkowan</w:t>
      </w:r>
      <w:r w:rsidR="00F3168E" w:rsidRPr="0035160C">
        <w:t>e</w:t>
      </w:r>
      <w:r w:rsidR="00FA071E" w:rsidRPr="0035160C">
        <w:t xml:space="preserve"> na ograniczenie emisji zanieczyszczeń </w:t>
      </w:r>
      <w:r w:rsidR="009F5708" w:rsidRPr="0035160C">
        <w:t xml:space="preserve">do </w:t>
      </w:r>
      <w:r w:rsidR="00FA071E" w:rsidRPr="0035160C">
        <w:t xml:space="preserve">powietrza z sektora bytowo-komunalnego </w:t>
      </w:r>
      <w:r w:rsidR="00F3168E" w:rsidRPr="0035160C">
        <w:t>są</w:t>
      </w:r>
      <w:r w:rsidR="00FA071E" w:rsidRPr="0035160C">
        <w:t xml:space="preserve"> z całą pewnością właściwymi kierunkami, niezbędn</w:t>
      </w:r>
      <w:r w:rsidR="00323160">
        <w:t>a</w:t>
      </w:r>
      <w:r w:rsidR="00FA071E" w:rsidRPr="0035160C">
        <w:t xml:space="preserve"> jest jednak </w:t>
      </w:r>
      <w:r w:rsidR="007562B8" w:rsidRPr="0035160C">
        <w:t xml:space="preserve">ich </w:t>
      </w:r>
      <w:r w:rsidR="00323160" w:rsidRPr="0035160C">
        <w:t>kontynuacja</w:t>
      </w:r>
      <w:r w:rsidR="00323160">
        <w:t>,</w:t>
      </w:r>
      <w:r w:rsidR="00323160" w:rsidRPr="0035160C">
        <w:t xml:space="preserve"> </w:t>
      </w:r>
      <w:r w:rsidR="009F5708" w:rsidRPr="0035160C">
        <w:t xml:space="preserve">intensyfikacja </w:t>
      </w:r>
      <w:r w:rsidR="007562B8" w:rsidRPr="0035160C">
        <w:t>oraz poszukiwanie nowych obszarów działań do podjęcia. Dodatkowo</w:t>
      </w:r>
      <w:r w:rsidR="00323160">
        <w:t>,</w:t>
      </w:r>
      <w:r w:rsidR="007562B8" w:rsidRPr="0035160C">
        <w:t xml:space="preserve"> ze względu na dobrze zdiagnozowany obszar sektora mieszkalnictwa, zasadnym jest zwiększenie nacisku na </w:t>
      </w:r>
      <w:r w:rsidR="001158AA">
        <w:t xml:space="preserve">dokładne rozpoznanie </w:t>
      </w:r>
      <w:r w:rsidR="007562B8" w:rsidRPr="0035160C">
        <w:t>negatywnego wpływu sektora transportu drogowego na stan powietrza</w:t>
      </w:r>
      <w:r w:rsidR="001158AA">
        <w:t xml:space="preserve"> i możliwych działań mitygacyjnych</w:t>
      </w:r>
      <w:r w:rsidR="007562B8" w:rsidRPr="0035160C">
        <w:t xml:space="preserve">. Dotyczy to zwłaszcza obszarów zurbanizowanych, gdzie wpływ ten jest najbardziej zauważalny i dotkliwy. </w:t>
      </w:r>
    </w:p>
    <w:p w14:paraId="22F56B5D" w14:textId="6733D7D6" w:rsidR="00ED2AD4" w:rsidRPr="0035160C" w:rsidRDefault="007562B8" w:rsidP="00ED2AD4">
      <w:pPr>
        <w:jc w:val="both"/>
      </w:pPr>
      <w:r w:rsidRPr="0035160C">
        <w:t>Jednocześnie</w:t>
      </w:r>
      <w:r w:rsidR="00131C71">
        <w:t>,</w:t>
      </w:r>
      <w:r w:rsidRPr="0035160C">
        <w:t xml:space="preserve"> mając na uwadze </w:t>
      </w:r>
      <w:r w:rsidR="00ED2AD4" w:rsidRPr="0035160C">
        <w:t xml:space="preserve">pkt 9 Preambuły Dyrektywy 2008/50/WE, </w:t>
      </w:r>
      <w:r w:rsidRPr="0035160C">
        <w:t>który stanowi, że „</w:t>
      </w:r>
      <w:r w:rsidR="00ED2AD4" w:rsidRPr="0035160C">
        <w:rPr>
          <w:i/>
          <w:iCs/>
        </w:rPr>
        <w:t>jakość powietrza należy utrzymać tam, gdzie już jest ona dobra, lub ją poprawić. W</w:t>
      </w:r>
      <w:r w:rsidR="00A62246">
        <w:rPr>
          <w:i/>
          <w:iCs/>
        </w:rPr>
        <w:t> </w:t>
      </w:r>
      <w:r w:rsidR="00ED2AD4" w:rsidRPr="0035160C">
        <w:rPr>
          <w:i/>
          <w:iCs/>
        </w:rPr>
        <w:t>przypadku gdy cele dotyczące jakości powietrza ustalone w niniejszej dyrektywie nie są osiągane, państwa członkowskie powinny podjąć działania w celu dotrzymania wartości dopuszczalnych i</w:t>
      </w:r>
      <w:r w:rsidR="00A62246">
        <w:rPr>
          <w:i/>
          <w:iCs/>
        </w:rPr>
        <w:t> </w:t>
      </w:r>
      <w:r w:rsidR="00ED2AD4" w:rsidRPr="0035160C">
        <w:rPr>
          <w:i/>
          <w:iCs/>
        </w:rPr>
        <w:t>poziomów krytycznych oraz, w</w:t>
      </w:r>
      <w:r w:rsidR="00B35950" w:rsidRPr="0035160C">
        <w:rPr>
          <w:i/>
          <w:iCs/>
        </w:rPr>
        <w:t xml:space="preserve"> </w:t>
      </w:r>
      <w:r w:rsidR="00ED2AD4" w:rsidRPr="0035160C">
        <w:rPr>
          <w:i/>
          <w:iCs/>
        </w:rPr>
        <w:t>miarę możliwości, dotrzymania wartości docelowych i osiągnięcia celów długoterminowych</w:t>
      </w:r>
      <w:r w:rsidRPr="0035160C">
        <w:rPr>
          <w:i/>
          <w:iCs/>
        </w:rPr>
        <w:t xml:space="preserve">”, </w:t>
      </w:r>
      <w:r w:rsidRPr="0035160C">
        <w:t xml:space="preserve">jak najbardziej uzasadniona jest kontynuacja działań na poziomie krajowym, w ramach </w:t>
      </w:r>
      <w:r w:rsidR="00323160">
        <w:t>KPOP</w:t>
      </w:r>
      <w:r w:rsidR="00ED2AD4" w:rsidRPr="0035160C">
        <w:t xml:space="preserve">. </w:t>
      </w:r>
    </w:p>
    <w:p w14:paraId="3C249957" w14:textId="74A1ECA8" w:rsidR="00CD3F46" w:rsidRPr="0035160C" w:rsidRDefault="009F5708" w:rsidP="00CD3F46">
      <w:pPr>
        <w:jc w:val="both"/>
      </w:pPr>
      <w:r w:rsidRPr="0035160C">
        <w:rPr>
          <w:b/>
          <w:bCs/>
          <w:color w:val="2F5496" w:themeColor="accent1" w:themeShade="BF"/>
        </w:rPr>
        <w:t>K</w:t>
      </w:r>
      <w:r w:rsidR="00323160">
        <w:rPr>
          <w:b/>
          <w:bCs/>
          <w:color w:val="2F5496" w:themeColor="accent1" w:themeShade="BF"/>
        </w:rPr>
        <w:t>POP</w:t>
      </w:r>
      <w:r w:rsidR="000A5F8E">
        <w:t xml:space="preserve"> </w:t>
      </w:r>
      <w:r w:rsidR="00756D73" w:rsidRPr="0035160C">
        <w:t xml:space="preserve">przygotowany na podstawie art. 91c </w:t>
      </w:r>
      <w:r w:rsidR="00323160">
        <w:t>POŚ</w:t>
      </w:r>
      <w:r w:rsidR="00756D73" w:rsidRPr="0035160C">
        <w:t xml:space="preserve">, </w:t>
      </w:r>
      <w:r w:rsidR="00513013" w:rsidRPr="0035160C">
        <w:t>został</w:t>
      </w:r>
      <w:r w:rsidR="007562B8" w:rsidRPr="0035160C">
        <w:t xml:space="preserve"> </w:t>
      </w:r>
      <w:r w:rsidR="00756D73" w:rsidRPr="0035160C">
        <w:t>ogłoszony w</w:t>
      </w:r>
      <w:r w:rsidR="00CD3F46" w:rsidRPr="0035160C">
        <w:t xml:space="preserve"> </w:t>
      </w:r>
      <w:r w:rsidR="00756D73" w:rsidRPr="0035160C">
        <w:t>dniu 9 września 2015</w:t>
      </w:r>
      <w:r w:rsidR="00CD3F46" w:rsidRPr="0035160C">
        <w:t> </w:t>
      </w:r>
      <w:r w:rsidR="00756D73" w:rsidRPr="0035160C">
        <w:t xml:space="preserve">r. </w:t>
      </w:r>
      <w:r w:rsidR="007562B8" w:rsidRPr="0035160C">
        <w:t>w Monitorze Polskim</w:t>
      </w:r>
      <w:r w:rsidR="00282106" w:rsidRPr="0035160C">
        <w:t xml:space="preserve"> </w:t>
      </w:r>
      <w:r w:rsidR="00CD3F46" w:rsidRPr="0035160C">
        <w:t>i</w:t>
      </w:r>
      <w:r w:rsidR="0037495D" w:rsidRPr="0035160C">
        <w:t xml:space="preserve"> określa perspektywę realizacji najważniejszych, kluczowych z punktu widzenia poprawy jakości powietrza działań do końca 2020 r., oraz kontynuację wybranych kierunków działań w perspektywie do 2030</w:t>
      </w:r>
      <w:r w:rsidR="001263E6" w:rsidRPr="0035160C">
        <w:t> </w:t>
      </w:r>
      <w:r w:rsidR="0037495D" w:rsidRPr="0035160C">
        <w:t>r.</w:t>
      </w:r>
    </w:p>
    <w:p w14:paraId="631B6E2D" w14:textId="384FA7F0" w:rsidR="0037495D" w:rsidRPr="0035160C" w:rsidRDefault="00CD3F46" w:rsidP="00CD3F46">
      <w:pPr>
        <w:jc w:val="both"/>
      </w:pPr>
      <w:r w:rsidRPr="0035160C">
        <w:t>Aktualnie</w:t>
      </w:r>
      <w:r w:rsidR="0037495D" w:rsidRPr="0035160C">
        <w:t xml:space="preserve"> formuła </w:t>
      </w:r>
      <w:r w:rsidRPr="0035160C">
        <w:t xml:space="preserve">KPOP </w:t>
      </w:r>
      <w:r w:rsidR="0037495D" w:rsidRPr="0035160C">
        <w:t xml:space="preserve">generalnie się już wyczerpała w wyniku zrealizowania przez właściwe resorty kluczowych działań w nim określonych, a wyniki ocen jakości powietrza, prowadzonych przez </w:t>
      </w:r>
      <w:r w:rsidR="00A62246">
        <w:t>GIOŚ</w:t>
      </w:r>
      <w:r w:rsidR="0037495D" w:rsidRPr="0035160C">
        <w:t xml:space="preserve"> w</w:t>
      </w:r>
      <w:r w:rsidR="00A62246">
        <w:t> </w:t>
      </w:r>
      <w:r w:rsidR="0037495D" w:rsidRPr="0035160C">
        <w:t xml:space="preserve">dalszym ciągu wskazują na przekroczenia norm jakości powietrza </w:t>
      </w:r>
      <w:r w:rsidR="00996E3C">
        <w:t xml:space="preserve">na obszarach niektórych </w:t>
      </w:r>
      <w:r w:rsidR="0037495D" w:rsidRPr="0035160C">
        <w:t>stref w kraju</w:t>
      </w:r>
      <w:r w:rsidR="001158AA">
        <w:t>.</w:t>
      </w:r>
      <w:r w:rsidR="0037495D" w:rsidRPr="0035160C">
        <w:t xml:space="preserve"> </w:t>
      </w:r>
      <w:r w:rsidR="001158AA">
        <w:t>K</w:t>
      </w:r>
      <w:r w:rsidR="0037495D" w:rsidRPr="0035160C">
        <w:t xml:space="preserve">oniecznym jest </w:t>
      </w:r>
      <w:r w:rsidR="001158AA">
        <w:t xml:space="preserve">zatem </w:t>
      </w:r>
      <w:r w:rsidR="0037495D" w:rsidRPr="0035160C">
        <w:t>kontynuowanie realizowanych i inicjonowanie nowych w tym obszarze działań na wszystkich poziomach zarządzania jakością powietrza, które spowodują nie tylko ograniczenie</w:t>
      </w:r>
      <w:r w:rsidR="00323160">
        <w:t>,</w:t>
      </w:r>
      <w:r w:rsidR="0037495D" w:rsidRPr="0035160C">
        <w:t xml:space="preserve"> ale także uniknięcie emisji zanieczyszczeń do powietrza w wyniku działalności człowieka. </w:t>
      </w:r>
    </w:p>
    <w:p w14:paraId="2E5EB0CE" w14:textId="44C22BE2" w:rsidR="00CD3F46" w:rsidRPr="0035160C" w:rsidRDefault="0037495D" w:rsidP="00CD3F46">
      <w:pPr>
        <w:jc w:val="both"/>
        <w:rPr>
          <w:iCs/>
        </w:rPr>
      </w:pPr>
      <w:r w:rsidRPr="0035160C">
        <w:rPr>
          <w:iCs/>
        </w:rPr>
        <w:t xml:space="preserve">Tym samym, </w:t>
      </w:r>
      <w:r w:rsidR="00CD3F46" w:rsidRPr="0035160C">
        <w:rPr>
          <w:iCs/>
        </w:rPr>
        <w:t>uzasadnion</w:t>
      </w:r>
      <w:r w:rsidR="001158AA">
        <w:rPr>
          <w:iCs/>
        </w:rPr>
        <w:t>e</w:t>
      </w:r>
      <w:r w:rsidR="00CD3F46" w:rsidRPr="0035160C">
        <w:rPr>
          <w:iCs/>
        </w:rPr>
        <w:t xml:space="preserve"> jest przygotowanie kolejnej odsłony Programu</w:t>
      </w:r>
      <w:r w:rsidR="00342D76" w:rsidRPr="0035160C">
        <w:rPr>
          <w:iCs/>
        </w:rPr>
        <w:t xml:space="preserve"> poprzez jego aktualizację</w:t>
      </w:r>
      <w:r w:rsidR="00CD3F46" w:rsidRPr="0035160C">
        <w:rPr>
          <w:iCs/>
        </w:rPr>
        <w:t>, w któr</w:t>
      </w:r>
      <w:r w:rsidR="001158AA">
        <w:rPr>
          <w:iCs/>
        </w:rPr>
        <w:t>ej</w:t>
      </w:r>
      <w:r w:rsidR="00CD3F46" w:rsidRPr="0035160C">
        <w:rPr>
          <w:iCs/>
        </w:rPr>
        <w:t xml:space="preserve"> określone zostaną działania </w:t>
      </w:r>
      <w:r w:rsidR="00CE0F8B">
        <w:rPr>
          <w:iCs/>
        </w:rPr>
        <w:t>naprawcze</w:t>
      </w:r>
      <w:r w:rsidR="00CE0F8B" w:rsidRPr="0035160C">
        <w:rPr>
          <w:iCs/>
        </w:rPr>
        <w:t xml:space="preserve"> </w:t>
      </w:r>
      <w:r w:rsidR="00CD3F46" w:rsidRPr="0035160C">
        <w:rPr>
          <w:iCs/>
        </w:rPr>
        <w:t>do realizacji w perspektywie krótkoterminowej do 2025 r., średnioterminowej do 2030 r. oraz długoterminowej do 2040 r., które będą nie tylko spójne z</w:t>
      </w:r>
      <w:r w:rsidR="004A6EA3" w:rsidRPr="0035160C">
        <w:rPr>
          <w:iCs/>
        </w:rPr>
        <w:t> </w:t>
      </w:r>
      <w:r w:rsidR="00CD3F46" w:rsidRPr="0035160C">
        <w:rPr>
          <w:iCs/>
        </w:rPr>
        <w:t>dotychczas realizowaną polityką poprawy jakości powietrza oraz przeciwdziałania zmianom klimatu na poziomie krajowym oraz wojewódzkim i gminnym, ale przede wszystkim będą określać nowe kierunki działań w tym obszarze.</w:t>
      </w:r>
    </w:p>
    <w:p w14:paraId="01B19D5D" w14:textId="77777777" w:rsidR="00CE43E3" w:rsidRPr="0035160C" w:rsidRDefault="00CE43E3">
      <w:r w:rsidRPr="0035160C">
        <w:br w:type="page"/>
      </w:r>
    </w:p>
    <w:p w14:paraId="15EEBA0D" w14:textId="77777777" w:rsidR="00CE43E3" w:rsidRPr="0035160C" w:rsidRDefault="00CE43E3" w:rsidP="001C78DF">
      <w:pPr>
        <w:pStyle w:val="Nagwek1"/>
        <w:numPr>
          <w:ilvl w:val="0"/>
          <w:numId w:val="0"/>
        </w:numPr>
        <w:ind w:left="431" w:hanging="431"/>
        <w:rPr>
          <w:b/>
          <w:sz w:val="24"/>
          <w:szCs w:val="24"/>
        </w:rPr>
      </w:pPr>
      <w:bookmarkStart w:id="7" w:name="_Toc78205873"/>
      <w:r w:rsidRPr="0035160C">
        <w:rPr>
          <w:b/>
          <w:sz w:val="24"/>
          <w:szCs w:val="24"/>
        </w:rPr>
        <w:lastRenderedPageBreak/>
        <w:t>2.</w:t>
      </w:r>
      <w:r w:rsidRPr="0035160C">
        <w:rPr>
          <w:b/>
          <w:sz w:val="24"/>
          <w:szCs w:val="24"/>
        </w:rPr>
        <w:tab/>
        <w:t xml:space="preserve">Podsumowanie stanu realizacji Krajowego Programu Ochrony Powietrza do 2020 r. </w:t>
      </w:r>
      <w:r w:rsidRPr="0035160C">
        <w:rPr>
          <w:b/>
          <w:sz w:val="24"/>
          <w:szCs w:val="24"/>
        </w:rPr>
        <w:br/>
        <w:t>(z perspektywą do 2030 r.)</w:t>
      </w:r>
      <w:bookmarkEnd w:id="7"/>
    </w:p>
    <w:p w14:paraId="367EA655" w14:textId="77777777" w:rsidR="007C4410" w:rsidRPr="0035160C" w:rsidRDefault="00342D76" w:rsidP="00756D73">
      <w:pPr>
        <w:jc w:val="both"/>
        <w:rPr>
          <w:bCs/>
        </w:rPr>
      </w:pPr>
      <w:r w:rsidRPr="0035160C">
        <w:rPr>
          <w:bCs/>
        </w:rPr>
        <w:t xml:space="preserve">W celu poprawy jakości powietrza w Polsce, w 2015 r. przygotowany został KPOP, </w:t>
      </w:r>
      <w:r w:rsidR="007C4410" w:rsidRPr="0035160C">
        <w:rPr>
          <w:bCs/>
        </w:rPr>
        <w:t>który</w:t>
      </w:r>
      <w:r w:rsidRPr="0035160C">
        <w:rPr>
          <w:bCs/>
        </w:rPr>
        <w:t xml:space="preserve"> określa</w:t>
      </w:r>
      <w:r w:rsidR="007C4410" w:rsidRPr="0035160C">
        <w:rPr>
          <w:bCs/>
        </w:rPr>
        <w:t>ł</w:t>
      </w:r>
      <w:r w:rsidRPr="0035160C">
        <w:rPr>
          <w:bCs/>
        </w:rPr>
        <w:t xml:space="preserve"> kierunki działań, jakie powinny zostać podjęte na szczeblu </w:t>
      </w:r>
      <w:r w:rsidR="007C4410" w:rsidRPr="0035160C">
        <w:rPr>
          <w:bCs/>
        </w:rPr>
        <w:t>krajowym</w:t>
      </w:r>
      <w:r w:rsidRPr="0035160C">
        <w:rPr>
          <w:bCs/>
        </w:rPr>
        <w:t xml:space="preserve">, </w:t>
      </w:r>
      <w:r w:rsidR="007C4410" w:rsidRPr="0035160C">
        <w:rPr>
          <w:bCs/>
        </w:rPr>
        <w:t xml:space="preserve">wojewódzkim </w:t>
      </w:r>
      <w:r w:rsidRPr="0035160C">
        <w:rPr>
          <w:bCs/>
        </w:rPr>
        <w:t xml:space="preserve">i </w:t>
      </w:r>
      <w:r w:rsidR="007C4410" w:rsidRPr="0035160C">
        <w:rPr>
          <w:bCs/>
        </w:rPr>
        <w:t>gminnym</w:t>
      </w:r>
      <w:r w:rsidRPr="0035160C">
        <w:rPr>
          <w:bCs/>
        </w:rPr>
        <w:t xml:space="preserve">. </w:t>
      </w:r>
    </w:p>
    <w:p w14:paraId="55573F70" w14:textId="57B0F443" w:rsidR="00EC31AC" w:rsidRPr="0035160C" w:rsidRDefault="00342D76" w:rsidP="00756D73">
      <w:pPr>
        <w:jc w:val="both"/>
        <w:rPr>
          <w:bCs/>
        </w:rPr>
      </w:pPr>
      <w:r w:rsidRPr="0035160C">
        <w:rPr>
          <w:bCs/>
        </w:rPr>
        <w:t>Dodatkowo w 2016 r. utworzony został Komitet Sterujący do spraw Krajowego Programu Ochrony Powietrza</w:t>
      </w:r>
      <w:r w:rsidR="00EC31AC" w:rsidRPr="0035160C">
        <w:rPr>
          <w:bCs/>
        </w:rPr>
        <w:t>, zgodnie z zarządzeniem nr 123 Prezesa Rady Ministrów z dnia 18 października 2016 r</w:t>
      </w:r>
      <w:r w:rsidR="00EC31AC" w:rsidRPr="0035160C">
        <w:rPr>
          <w:bCs/>
          <w:i/>
        </w:rPr>
        <w:t>. w</w:t>
      </w:r>
      <w:r w:rsidR="00290287">
        <w:rPr>
          <w:bCs/>
          <w:i/>
        </w:rPr>
        <w:t> </w:t>
      </w:r>
      <w:r w:rsidR="00EC31AC" w:rsidRPr="0035160C">
        <w:rPr>
          <w:bCs/>
          <w:i/>
        </w:rPr>
        <w:t xml:space="preserve">sprawie Komitetu Sterującego do spraw Krajowego Programu Ochrony Powietrza </w:t>
      </w:r>
      <w:r w:rsidR="00EC31AC" w:rsidRPr="0035160C">
        <w:rPr>
          <w:bCs/>
        </w:rPr>
        <w:t>(M. P. poz. 994)</w:t>
      </w:r>
      <w:r w:rsidRPr="0035160C">
        <w:rPr>
          <w:bCs/>
        </w:rPr>
        <w:t xml:space="preserve">. Jego celem było przede wszystkim koordynowanie realizacji wspólnych </w:t>
      </w:r>
      <w:r w:rsidRPr="00DD0E4C">
        <w:rPr>
          <w:bCs/>
        </w:rPr>
        <w:t>działań</w:t>
      </w:r>
      <w:r w:rsidRPr="0035160C">
        <w:rPr>
          <w:bCs/>
        </w:rPr>
        <w:t xml:space="preserve">, jak również monitorowanie stanu </w:t>
      </w:r>
      <w:r w:rsidR="00DA6994">
        <w:rPr>
          <w:bCs/>
        </w:rPr>
        <w:t xml:space="preserve">ich </w:t>
      </w:r>
      <w:r w:rsidRPr="0035160C">
        <w:rPr>
          <w:bCs/>
        </w:rPr>
        <w:t xml:space="preserve">zaawansowania wynikających z Programu. </w:t>
      </w:r>
    </w:p>
    <w:p w14:paraId="5AD6A6A6" w14:textId="24B29EAB" w:rsidR="00EC31AC" w:rsidRPr="0035160C" w:rsidRDefault="00EC31AC" w:rsidP="00EC31AC">
      <w:pPr>
        <w:jc w:val="both"/>
      </w:pPr>
      <w:r w:rsidRPr="0035160C">
        <w:t xml:space="preserve">Dokument </w:t>
      </w:r>
      <w:r w:rsidR="005620FE" w:rsidRPr="0035160C">
        <w:t xml:space="preserve">ten </w:t>
      </w:r>
      <w:r w:rsidRPr="0035160C">
        <w:t>zawiera</w:t>
      </w:r>
      <w:r w:rsidR="005620FE" w:rsidRPr="0035160C">
        <w:t>ł</w:t>
      </w:r>
      <w:r w:rsidRPr="0035160C">
        <w:t xml:space="preserve"> informacje na temat </w:t>
      </w:r>
      <w:r w:rsidRPr="00DD0E4C">
        <w:t>działań</w:t>
      </w:r>
      <w:r w:rsidRPr="0035160C">
        <w:t xml:space="preserve"> priorytetowych do realizacji do końca 2018 r. oraz średnioterminowych, których realizacja przewidziana </w:t>
      </w:r>
      <w:r w:rsidR="00131C71">
        <w:t>była</w:t>
      </w:r>
      <w:r w:rsidR="00131C71" w:rsidRPr="0035160C">
        <w:t xml:space="preserve"> </w:t>
      </w:r>
      <w:r w:rsidRPr="0035160C">
        <w:t xml:space="preserve">do 2020 r., jakie zostały podjęte w obszarze poszczególnych kierunków działań KPOP na poziomie krajowym. </w:t>
      </w:r>
    </w:p>
    <w:p w14:paraId="02644039" w14:textId="1D00E5C4" w:rsidR="00756D73" w:rsidRPr="0035160C" w:rsidRDefault="007956B6" w:rsidP="00756D73">
      <w:pPr>
        <w:jc w:val="both"/>
      </w:pPr>
      <w:r w:rsidRPr="0035160C">
        <w:t>Dotychczasowy s</w:t>
      </w:r>
      <w:r w:rsidR="004D0F53" w:rsidRPr="0035160C">
        <w:t>ystem monitorowania i sprawozdawczości</w:t>
      </w:r>
      <w:r w:rsidR="004769FE">
        <w:t xml:space="preserve"> </w:t>
      </w:r>
      <w:r w:rsidR="004769FE" w:rsidRPr="0035160C">
        <w:t>stanu zaawansowania realizacji działań określonych w Planie działań do KPOP</w:t>
      </w:r>
      <w:r w:rsidR="004769FE">
        <w:t>,</w:t>
      </w:r>
      <w:r w:rsidR="004769FE" w:rsidRPr="0035160C">
        <w:t xml:space="preserve"> </w:t>
      </w:r>
      <w:r w:rsidR="004769FE">
        <w:t xml:space="preserve">prowadzony przez </w:t>
      </w:r>
      <w:r w:rsidR="004769FE" w:rsidRPr="0035160C">
        <w:t>Komitet Sterując</w:t>
      </w:r>
      <w:r w:rsidR="004769FE">
        <w:t>y</w:t>
      </w:r>
      <w:r w:rsidR="004769FE" w:rsidRPr="0035160C">
        <w:t xml:space="preserve"> do spraw K</w:t>
      </w:r>
      <w:r w:rsidR="004769FE">
        <w:t xml:space="preserve">rajowego </w:t>
      </w:r>
      <w:r w:rsidR="004769FE" w:rsidRPr="0035160C">
        <w:t>P</w:t>
      </w:r>
      <w:r w:rsidR="004769FE">
        <w:t xml:space="preserve">rogramu </w:t>
      </w:r>
      <w:r w:rsidR="004769FE" w:rsidRPr="0035160C">
        <w:t>O</w:t>
      </w:r>
      <w:r w:rsidR="004769FE">
        <w:t xml:space="preserve">chrony </w:t>
      </w:r>
      <w:r w:rsidR="004769FE" w:rsidRPr="0035160C">
        <w:t>P</w:t>
      </w:r>
      <w:r w:rsidR="004769FE">
        <w:t>owietrza,</w:t>
      </w:r>
      <w:r w:rsidR="004769FE" w:rsidRPr="0035160C">
        <w:t xml:space="preserve"> </w:t>
      </w:r>
      <w:r w:rsidR="004D0F53" w:rsidRPr="0035160C">
        <w:t xml:space="preserve"> </w:t>
      </w:r>
      <w:r w:rsidR="00756D73" w:rsidRPr="0035160C">
        <w:t>wynika</w:t>
      </w:r>
      <w:r w:rsidR="004D4DF7" w:rsidRPr="0035160C">
        <w:t>ł</w:t>
      </w:r>
      <w:r w:rsidR="00756D73" w:rsidRPr="0035160C">
        <w:t xml:space="preserve"> wprost z</w:t>
      </w:r>
      <w:r w:rsidR="00A62246">
        <w:t> </w:t>
      </w:r>
      <w:r w:rsidR="00756D73" w:rsidRPr="0035160C">
        <w:t>postanowień § 11 zarządzenia nr 123 Prezesa Rady Ministrów z dnia 18 października 2016 r</w:t>
      </w:r>
      <w:r w:rsidR="00756D73" w:rsidRPr="0035160C">
        <w:rPr>
          <w:i/>
        </w:rPr>
        <w:t>.</w:t>
      </w:r>
      <w:r w:rsidR="005620FE" w:rsidRPr="0035160C">
        <w:t xml:space="preserve"> </w:t>
      </w:r>
      <w:r w:rsidR="00756D73" w:rsidRPr="0035160C">
        <w:t>Niniejszy dokument opracow</w:t>
      </w:r>
      <w:r w:rsidR="004D4DF7" w:rsidRPr="0035160C">
        <w:t>ywany był</w:t>
      </w:r>
      <w:r w:rsidR="00756D73" w:rsidRPr="0035160C">
        <w:t xml:space="preserve"> na podstawie materiałów własnych ówczesnego Ministerstwa Środowiska</w:t>
      </w:r>
      <w:r w:rsidR="004D4DF7" w:rsidRPr="0035160C">
        <w:t xml:space="preserve"> </w:t>
      </w:r>
      <w:r w:rsidR="00756D73" w:rsidRPr="0035160C">
        <w:t>oraz informacji przekazanych przez inne resorty zaangażowane w realizację celów KPOP. Sprawozdanie, zgodnie z § 11 ust. 1 ww. zarządzenia, przed przedstawieniem go przez Przewodniczącego Komitetu Sterującego ds. KPOP Radzie Ministrów podlega</w:t>
      </w:r>
      <w:r w:rsidR="00D84EF4" w:rsidRPr="0035160C">
        <w:t>ł</w:t>
      </w:r>
      <w:r w:rsidR="00756D73" w:rsidRPr="0035160C">
        <w:t xml:space="preserve"> rozpatrzeniu i akceptacji przez Komitet Sterujący.</w:t>
      </w:r>
    </w:p>
    <w:p w14:paraId="29F24798" w14:textId="4E76E833" w:rsidR="005620FE" w:rsidRPr="0035160C" w:rsidRDefault="005620FE" w:rsidP="00756D73">
      <w:pPr>
        <w:jc w:val="both"/>
      </w:pPr>
      <w:r w:rsidRPr="0035160C">
        <w:t xml:space="preserve">Zrealizowanych </w:t>
      </w:r>
      <w:r w:rsidR="00CD6712">
        <w:t xml:space="preserve">w całości </w:t>
      </w:r>
      <w:r w:rsidRPr="0035160C">
        <w:t xml:space="preserve">zostało </w:t>
      </w:r>
      <w:r w:rsidR="00D91BFB" w:rsidRPr="0035160C">
        <w:t xml:space="preserve">23 </w:t>
      </w:r>
      <w:r w:rsidRPr="0035160C">
        <w:t>zada</w:t>
      </w:r>
      <w:r w:rsidR="00D91BFB" w:rsidRPr="0035160C">
        <w:t>nia</w:t>
      </w:r>
      <w:r w:rsidR="00CD6712">
        <w:t>, zaś</w:t>
      </w:r>
      <w:r w:rsidRPr="0035160C">
        <w:t xml:space="preserve"> </w:t>
      </w:r>
      <w:r w:rsidR="00D91BFB" w:rsidRPr="0035160C">
        <w:t>3</w:t>
      </w:r>
      <w:r w:rsidRPr="0035160C">
        <w:t xml:space="preserve"> zadania zostały zrealizowane</w:t>
      </w:r>
      <w:r w:rsidR="004769FE" w:rsidRPr="004769FE">
        <w:t xml:space="preserve"> </w:t>
      </w:r>
      <w:r w:rsidR="004769FE" w:rsidRPr="0035160C">
        <w:t>częściowo</w:t>
      </w:r>
      <w:r w:rsidRPr="0035160C">
        <w:t>. W trakcie realizacji jest w</w:t>
      </w:r>
      <w:r w:rsidR="00B96406" w:rsidRPr="0035160C">
        <w:t> </w:t>
      </w:r>
      <w:r w:rsidRPr="0035160C">
        <w:t>dalszym ciągu 12 zadań, natomiast w przypadku 6 zadań, które co prawda zostały zrealizowane, planowana jest ich dalsza kontynuacja. Dotyczy to przede wszystkim takich zadań jak utrzymanie najwyższego priorytetu poprawy jakości powietrza w</w:t>
      </w:r>
      <w:r w:rsidR="00A62246">
        <w:t> </w:t>
      </w:r>
      <w:r w:rsidRPr="0035160C">
        <w:t xml:space="preserve">działaniach </w:t>
      </w:r>
      <w:r w:rsidR="004769FE">
        <w:t xml:space="preserve">NFOŚiGW oraz </w:t>
      </w:r>
      <w:r w:rsidR="00FA243A">
        <w:t>WFOŚiGW</w:t>
      </w:r>
      <w:r w:rsidRPr="0035160C">
        <w:t xml:space="preserve">, jak również prowadzenie przez </w:t>
      </w:r>
      <w:r w:rsidR="00290287">
        <w:t xml:space="preserve">GIOŚ </w:t>
      </w:r>
      <w:r w:rsidRPr="0035160C">
        <w:t xml:space="preserve">działań informacyjnych dla społeczeństwa poprzez utrzymywanie i stałe usprawnianie ogólnokrajowego portalu </w:t>
      </w:r>
      <w:r w:rsidR="00FA243A">
        <w:t>„</w:t>
      </w:r>
      <w:r w:rsidRPr="0035160C">
        <w:t>Jakość powietrza</w:t>
      </w:r>
      <w:r w:rsidR="00FA243A">
        <w:t>”</w:t>
      </w:r>
      <w:r w:rsidRPr="0035160C">
        <w:t xml:space="preserve"> oraz wydawanie publikacji prezentujących aktualne dane o jakości powietrza ze stacji pomiarowych P</w:t>
      </w:r>
      <w:r w:rsidR="00FA243A">
        <w:t>MŚ</w:t>
      </w:r>
      <w:r w:rsidRPr="0035160C">
        <w:t>, czy też ogólnokrajowych kampanii edukacyjno-informacyjnych przez Ministerstwo Klimatu i</w:t>
      </w:r>
      <w:r w:rsidR="001B24B7">
        <w:t xml:space="preserve"> </w:t>
      </w:r>
      <w:r w:rsidRPr="0035160C">
        <w:t xml:space="preserve">Środowiska. </w:t>
      </w:r>
    </w:p>
    <w:p w14:paraId="3452BD96" w14:textId="42B6C9BD" w:rsidR="005620FE" w:rsidRPr="0035160C" w:rsidRDefault="005620FE" w:rsidP="005620FE">
      <w:pPr>
        <w:jc w:val="both"/>
        <w:rPr>
          <w:bCs/>
        </w:rPr>
      </w:pPr>
      <w:r w:rsidRPr="0035160C">
        <w:rPr>
          <w:b/>
          <w:color w:val="2F5496" w:themeColor="accent1" w:themeShade="BF"/>
        </w:rPr>
        <w:t xml:space="preserve">Z pewnością można stwierdzić, że zrealizowane do tej pory na poziomie krajowym działania na rzecz poprawy jakości powietrza w Polsce są wynikiem ich zainicjowania w KPOP </w:t>
      </w:r>
      <w:r w:rsidRPr="0035160C">
        <w:rPr>
          <w:bCs/>
        </w:rPr>
        <w:t>oraz zaangażowania właściwych resortów w</w:t>
      </w:r>
      <w:r w:rsidR="001B24B7">
        <w:rPr>
          <w:bCs/>
        </w:rPr>
        <w:t xml:space="preserve"> </w:t>
      </w:r>
      <w:r w:rsidRPr="0035160C">
        <w:rPr>
          <w:bCs/>
        </w:rPr>
        <w:t>ich realizację</w:t>
      </w:r>
      <w:r w:rsidR="00FA243A">
        <w:rPr>
          <w:bCs/>
        </w:rPr>
        <w:t>.</w:t>
      </w:r>
    </w:p>
    <w:p w14:paraId="653FE8F3" w14:textId="561D6356" w:rsidR="005620FE" w:rsidRPr="0035160C" w:rsidRDefault="005620FE" w:rsidP="005620FE">
      <w:pPr>
        <w:jc w:val="both"/>
      </w:pPr>
      <w:r w:rsidRPr="0035160C">
        <w:rPr>
          <w:b/>
          <w:color w:val="2F5496" w:themeColor="accent1" w:themeShade="BF"/>
        </w:rPr>
        <w:t>Kluczową rolę w procesie poprawy stanu powietrza stanowi</w:t>
      </w:r>
      <w:r w:rsidR="00B96406" w:rsidRPr="0035160C">
        <w:rPr>
          <w:b/>
          <w:color w:val="2F5496" w:themeColor="accent1" w:themeShade="BF"/>
        </w:rPr>
        <w:t>, podnoszona od kilkunastu lat,</w:t>
      </w:r>
      <w:r w:rsidRPr="0035160C">
        <w:rPr>
          <w:b/>
          <w:color w:val="2F5496" w:themeColor="accent1" w:themeShade="BF"/>
        </w:rPr>
        <w:t xml:space="preserve"> standaryzacja paliw stałych</w:t>
      </w:r>
      <w:r w:rsidRPr="0035160C">
        <w:rPr>
          <w:color w:val="2F5496" w:themeColor="accent1" w:themeShade="BF"/>
        </w:rPr>
        <w:t xml:space="preserve"> </w:t>
      </w:r>
      <w:r w:rsidRPr="0035160C">
        <w:rPr>
          <w:b/>
          <w:color w:val="2F5496" w:themeColor="accent1" w:themeShade="BF"/>
        </w:rPr>
        <w:t>oraz</w:t>
      </w:r>
      <w:r w:rsidRPr="0035160C">
        <w:rPr>
          <w:color w:val="2F5496" w:themeColor="accent1" w:themeShade="BF"/>
        </w:rPr>
        <w:t xml:space="preserve"> </w:t>
      </w:r>
      <w:r w:rsidRPr="0035160C">
        <w:rPr>
          <w:b/>
          <w:color w:val="2F5496" w:themeColor="accent1" w:themeShade="BF"/>
        </w:rPr>
        <w:t>wymagań emisyjnych dla kotłów na paliwa stałe</w:t>
      </w:r>
      <w:r w:rsidRPr="0035160C">
        <w:t>. W wyniku podjętej inicjatywy, zadanie to zostało zrealizowane poprzez:</w:t>
      </w:r>
    </w:p>
    <w:p w14:paraId="542C8F63" w14:textId="63C00B83" w:rsidR="005620FE" w:rsidRPr="0035160C" w:rsidRDefault="005620FE" w:rsidP="00CA3BB7">
      <w:pPr>
        <w:numPr>
          <w:ilvl w:val="0"/>
          <w:numId w:val="20"/>
        </w:numPr>
        <w:ind w:left="426" w:hanging="426"/>
        <w:jc w:val="both"/>
      </w:pPr>
      <w:r w:rsidRPr="0035160C">
        <w:t>wydanie w porozumieniu z Ministrem Środowiska, rozporządzenia Ministra Rozwoju i</w:t>
      </w:r>
      <w:r w:rsidR="00BE6C81">
        <w:t xml:space="preserve"> </w:t>
      </w:r>
      <w:r w:rsidRPr="0035160C">
        <w:t xml:space="preserve">Finansów z dnia 1 sierpnia 2017 r. </w:t>
      </w:r>
      <w:r w:rsidRPr="0035160C">
        <w:rPr>
          <w:i/>
          <w:iCs/>
        </w:rPr>
        <w:t>w sprawie kotłów na paliwa stałe</w:t>
      </w:r>
      <w:r w:rsidR="00BE6C81">
        <w:rPr>
          <w:i/>
          <w:iCs/>
        </w:rPr>
        <w:t xml:space="preserve"> </w:t>
      </w:r>
      <w:r w:rsidR="00BE6C81" w:rsidRPr="00BE6C81">
        <w:t>(Dz. U. poz. 1690)</w:t>
      </w:r>
      <w:r w:rsidRPr="00BE6C81">
        <w:t>,</w:t>
      </w:r>
      <w:r w:rsidRPr="0035160C">
        <w:t xml:space="preserve"> znowelizowanego rozporządzeniem Ministra Przedsiębiorczości i Technologii z dnia 21 lutego 2019 r. </w:t>
      </w:r>
      <w:r w:rsidRPr="0035160C">
        <w:rPr>
          <w:i/>
          <w:iCs/>
        </w:rPr>
        <w:t>zmieniającym rozporządzenie w sprawie wymagań dla kotłów na paliwo stałe</w:t>
      </w:r>
      <w:r w:rsidRPr="0035160C">
        <w:t xml:space="preserve"> (Dz. U. poz. 363). W wyniku tego działania obecnie na polskim rynku dostępne są w sprzedaży wyłącznie kotły spełniające najwyższe standardy emisyjne Unii Europejskiej;</w:t>
      </w:r>
    </w:p>
    <w:p w14:paraId="0DCE15D0" w14:textId="79662FFF" w:rsidR="005620FE" w:rsidRPr="0035160C" w:rsidRDefault="005620FE" w:rsidP="00CA3BB7">
      <w:pPr>
        <w:numPr>
          <w:ilvl w:val="0"/>
          <w:numId w:val="20"/>
        </w:numPr>
        <w:ind w:left="426" w:hanging="426"/>
        <w:jc w:val="both"/>
      </w:pPr>
      <w:r w:rsidRPr="0035160C">
        <w:t xml:space="preserve">uchwalenie ustawy z dnia 5 lipca 2018 r. </w:t>
      </w:r>
      <w:r w:rsidRPr="0035160C">
        <w:rPr>
          <w:i/>
          <w:iCs/>
        </w:rPr>
        <w:t xml:space="preserve">o zmianie ustawy o systemie monitorowania </w:t>
      </w:r>
      <w:r w:rsidRPr="0035160C">
        <w:rPr>
          <w:i/>
          <w:iCs/>
        </w:rPr>
        <w:br/>
        <w:t>i kontrolowania jakości paliw oraz ustawy o Krajowej Administracji Skarbowej</w:t>
      </w:r>
      <w:r w:rsidRPr="0035160C">
        <w:t xml:space="preserve"> (Dz. U. poz. 1654) </w:t>
      </w:r>
      <w:r w:rsidRPr="0035160C">
        <w:lastRenderedPageBreak/>
        <w:t>oraz przygotowanie pakietu rozporządzeń wykonawczych do ustawy, w tym przede wszystkim rozporządzenia Ministra Energii z dnia 27</w:t>
      </w:r>
      <w:r w:rsidR="00996E3C">
        <w:t xml:space="preserve"> </w:t>
      </w:r>
      <w:r w:rsidRPr="0035160C">
        <w:t xml:space="preserve">września 2018 r. </w:t>
      </w:r>
      <w:r w:rsidRPr="0035160C">
        <w:rPr>
          <w:i/>
          <w:iCs/>
        </w:rPr>
        <w:t>w sprawie wymagań jakościowych dla paliw stałych</w:t>
      </w:r>
      <w:r w:rsidRPr="0035160C">
        <w:t xml:space="preserve"> (Dz. U. poz. 1890). </w:t>
      </w:r>
    </w:p>
    <w:p w14:paraId="16515F1C" w14:textId="71C7B3E6" w:rsidR="005620FE" w:rsidRPr="0035160C" w:rsidRDefault="005620FE" w:rsidP="00CA3BB7">
      <w:pPr>
        <w:numPr>
          <w:ilvl w:val="0"/>
          <w:numId w:val="20"/>
        </w:numPr>
        <w:spacing w:after="0"/>
        <w:ind w:left="426" w:hanging="426"/>
        <w:jc w:val="both"/>
        <w:rPr>
          <w:b/>
          <w:color w:val="2F5496" w:themeColor="accent1" w:themeShade="BF"/>
        </w:rPr>
      </w:pPr>
      <w:r w:rsidRPr="0035160C">
        <w:rPr>
          <w:b/>
          <w:color w:val="2F5496" w:themeColor="accent1" w:themeShade="BF"/>
        </w:rPr>
        <w:t>Dzięki zmianom przepisów art. 96 ustawy – Prawo ochrony środowiska wprowadzono narzędzia dla samorządu terytorialnego pozwalające na określenie na danym terenie (w</w:t>
      </w:r>
      <w:r w:rsidR="001B24B7">
        <w:rPr>
          <w:b/>
          <w:color w:val="2F5496" w:themeColor="accent1" w:themeShade="BF"/>
        </w:rPr>
        <w:t xml:space="preserve"> </w:t>
      </w:r>
      <w:r w:rsidRPr="0035160C">
        <w:rPr>
          <w:b/>
          <w:color w:val="2F5496" w:themeColor="accent1" w:themeShade="BF"/>
        </w:rPr>
        <w:t>drodze uchwały sejmiku województwa):</w:t>
      </w:r>
    </w:p>
    <w:p w14:paraId="4ABA7FBA" w14:textId="1219820E" w:rsidR="005620FE" w:rsidRPr="0035160C" w:rsidRDefault="005620FE" w:rsidP="00CA3BB7">
      <w:pPr>
        <w:numPr>
          <w:ilvl w:val="0"/>
          <w:numId w:val="21"/>
        </w:numPr>
        <w:spacing w:after="0"/>
        <w:jc w:val="both"/>
        <w:rPr>
          <w:b/>
          <w:color w:val="2F5496" w:themeColor="accent1" w:themeShade="BF"/>
        </w:rPr>
      </w:pPr>
      <w:r w:rsidRPr="0035160C">
        <w:rPr>
          <w:b/>
          <w:color w:val="2F5496" w:themeColor="accent1" w:themeShade="BF"/>
        </w:rPr>
        <w:t>dopuszczalnych rodzajów i</w:t>
      </w:r>
      <w:r w:rsidR="001B24B7">
        <w:rPr>
          <w:b/>
          <w:color w:val="2F5496" w:themeColor="accent1" w:themeShade="BF"/>
        </w:rPr>
        <w:t xml:space="preserve"> </w:t>
      </w:r>
      <w:r w:rsidRPr="0035160C">
        <w:rPr>
          <w:b/>
          <w:color w:val="2F5496" w:themeColor="accent1" w:themeShade="BF"/>
        </w:rPr>
        <w:t>jakości paliw;</w:t>
      </w:r>
    </w:p>
    <w:p w14:paraId="6FC2D224" w14:textId="54673F4D" w:rsidR="005620FE" w:rsidRPr="0035160C" w:rsidRDefault="005620FE" w:rsidP="00CA3BB7">
      <w:pPr>
        <w:numPr>
          <w:ilvl w:val="0"/>
          <w:numId w:val="21"/>
        </w:numPr>
        <w:spacing w:after="0"/>
        <w:jc w:val="both"/>
        <w:rPr>
          <w:b/>
          <w:color w:val="2F5496" w:themeColor="accent1" w:themeShade="BF"/>
        </w:rPr>
      </w:pPr>
      <w:r w:rsidRPr="0035160C">
        <w:rPr>
          <w:b/>
          <w:color w:val="2F5496" w:themeColor="accent1" w:themeShade="BF"/>
        </w:rPr>
        <w:t>standardów dla urządzeń grzewczych wykorzystywanych w</w:t>
      </w:r>
      <w:r w:rsidR="001B24B7">
        <w:rPr>
          <w:b/>
          <w:color w:val="2F5496" w:themeColor="accent1" w:themeShade="BF"/>
        </w:rPr>
        <w:t xml:space="preserve"> </w:t>
      </w:r>
      <w:r w:rsidRPr="0035160C">
        <w:rPr>
          <w:b/>
          <w:color w:val="2F5496" w:themeColor="accent1" w:themeShade="BF"/>
        </w:rPr>
        <w:t>sektorze bytowo-komunalnym;</w:t>
      </w:r>
    </w:p>
    <w:p w14:paraId="2004AB89" w14:textId="155FCDF7" w:rsidR="005620FE" w:rsidRPr="0035160C" w:rsidRDefault="005620FE" w:rsidP="00CA3BB7">
      <w:pPr>
        <w:numPr>
          <w:ilvl w:val="0"/>
          <w:numId w:val="21"/>
        </w:numPr>
        <w:spacing w:after="0"/>
        <w:jc w:val="both"/>
        <w:rPr>
          <w:bCs/>
        </w:rPr>
      </w:pPr>
      <w:r w:rsidRPr="0035160C">
        <w:rPr>
          <w:b/>
          <w:color w:val="2F5496" w:themeColor="accent1" w:themeShade="BF"/>
        </w:rPr>
        <w:t>wykorzystywanie w procesie przygotowania pozwoleń na wprowadzanie gazów i pyłów do powietrza mechanizmu kompensowania emisji z udziałem większej liczby podmiotów</w:t>
      </w:r>
      <w:r w:rsidRPr="0035160C">
        <w:t>, w tym z</w:t>
      </w:r>
      <w:r w:rsidR="00B96406" w:rsidRPr="0035160C">
        <w:t> </w:t>
      </w:r>
      <w:r w:rsidRPr="0035160C">
        <w:t>uwzględnieniem trwałej redukcji emisji pochodzącej z instalacji spalania paliw stałych eksploatowanych przez osoby fizyczne m.in. w gospodarstwach domowych.</w:t>
      </w:r>
    </w:p>
    <w:p w14:paraId="7B230787" w14:textId="50ED2EC8" w:rsidR="00B96406" w:rsidRPr="0035160C" w:rsidRDefault="00B96406" w:rsidP="00CA3BB7">
      <w:pPr>
        <w:pStyle w:val="Akapitzlist"/>
        <w:numPr>
          <w:ilvl w:val="0"/>
          <w:numId w:val="22"/>
        </w:numPr>
        <w:spacing w:before="120" w:after="120"/>
        <w:ind w:left="426" w:hanging="426"/>
        <w:jc w:val="both"/>
      </w:pPr>
      <w:r w:rsidRPr="0035160C">
        <w:t xml:space="preserve">W celu przyspieszenia procesu poprawy jakości powietrza, intensyfikacji realizacji działań prowadzonych na poziomie wojewódzkim i gminnym, w tym przede wszystkim przez osoby fizyczne, będące właścicielami budynków mieszkalnych z instalacjami grzewczymi wykorzystującymi paliwa stałe, które są spalane w wyeksploatowanych urządzeniach grzewczych, na </w:t>
      </w:r>
      <w:r w:rsidRPr="0035160C">
        <w:rPr>
          <w:b/>
          <w:bCs/>
          <w:color w:val="2F5496" w:themeColor="accent1" w:themeShade="BF"/>
        </w:rPr>
        <w:t xml:space="preserve">poziomie krajowym przygotowano odpowiednie narzędzia finansowe wspierające te działania - Program Priorytetowy </w:t>
      </w:r>
      <w:r w:rsidR="00FA243A">
        <w:rPr>
          <w:b/>
          <w:bCs/>
          <w:color w:val="2F5496" w:themeColor="accent1" w:themeShade="BF"/>
        </w:rPr>
        <w:t>NFOŚiGW</w:t>
      </w:r>
      <w:r w:rsidR="00290287" w:rsidRPr="00290287">
        <w:rPr>
          <w:b/>
          <w:bCs/>
        </w:rPr>
        <w:t xml:space="preserve"> </w:t>
      </w:r>
      <w:r w:rsidR="00290287">
        <w:rPr>
          <w:b/>
          <w:bCs/>
          <w:color w:val="2F5496" w:themeColor="accent1" w:themeShade="BF"/>
        </w:rPr>
        <w:t xml:space="preserve">pn. </w:t>
      </w:r>
      <w:r w:rsidRPr="0035160C">
        <w:rPr>
          <w:b/>
          <w:bCs/>
          <w:color w:val="2F5496" w:themeColor="accent1" w:themeShade="BF"/>
        </w:rPr>
        <w:t>„Czyste Powietrze”</w:t>
      </w:r>
      <w:r w:rsidRPr="0035160C">
        <w:rPr>
          <w:b/>
          <w:bCs/>
        </w:rPr>
        <w:t>.</w:t>
      </w:r>
      <w:r w:rsidRPr="0035160C">
        <w:t xml:space="preserve"> Podstawowym celem Programu Priorytetowego „Czyste Powietrze”, realizowanego przez NFOŚiGW wraz </w:t>
      </w:r>
      <w:r w:rsidR="00FA243A">
        <w:t xml:space="preserve">z WFOŚiGW </w:t>
      </w:r>
      <w:r w:rsidRPr="0035160C">
        <w:t>oraz gminami, które podpisały porozumienia o wspólnej realizacji, jest eliminacja wszystkich „pozaklasowych” kotłów na paliwa stałe, a następnie podnoszenie efektywności energetycznej budynków mieszkalnych chociażby poprzez wymianę stolarki okiennej czy drzwiowej.</w:t>
      </w:r>
    </w:p>
    <w:p w14:paraId="08823402" w14:textId="629A6B9A" w:rsidR="00B96406" w:rsidRPr="0035160C" w:rsidRDefault="000837F6" w:rsidP="00B63546">
      <w:r>
        <w:br w:type="page"/>
      </w:r>
    </w:p>
    <w:p w14:paraId="6D3F95ED" w14:textId="36288965" w:rsidR="003405EF" w:rsidRDefault="003405EF" w:rsidP="00CA3BB7">
      <w:pPr>
        <w:pStyle w:val="Nagwek1"/>
        <w:numPr>
          <w:ilvl w:val="0"/>
          <w:numId w:val="70"/>
        </w:numPr>
        <w:rPr>
          <w:b/>
          <w:sz w:val="24"/>
          <w:szCs w:val="24"/>
        </w:rPr>
      </w:pPr>
      <w:bookmarkStart w:id="8" w:name="_Toc78205874"/>
      <w:r w:rsidRPr="0035160C">
        <w:rPr>
          <w:b/>
          <w:sz w:val="24"/>
          <w:szCs w:val="24"/>
        </w:rPr>
        <w:lastRenderedPageBreak/>
        <w:t xml:space="preserve">Streszczenie </w:t>
      </w:r>
      <w:r w:rsidR="00B0649B" w:rsidRPr="0035160C">
        <w:rPr>
          <w:b/>
          <w:sz w:val="24"/>
          <w:szCs w:val="24"/>
        </w:rPr>
        <w:t>aktualizacj</w:t>
      </w:r>
      <w:r w:rsidR="00B0649B">
        <w:rPr>
          <w:b/>
          <w:sz w:val="24"/>
          <w:szCs w:val="24"/>
        </w:rPr>
        <w:t>i</w:t>
      </w:r>
      <w:r w:rsidR="00B0649B" w:rsidRPr="0035160C">
        <w:rPr>
          <w:b/>
          <w:sz w:val="24"/>
          <w:szCs w:val="24"/>
        </w:rPr>
        <w:t xml:space="preserve"> </w:t>
      </w:r>
      <w:r w:rsidRPr="0035160C">
        <w:rPr>
          <w:b/>
          <w:sz w:val="24"/>
          <w:szCs w:val="24"/>
        </w:rPr>
        <w:t>K</w:t>
      </w:r>
      <w:r w:rsidR="00FA243A">
        <w:rPr>
          <w:b/>
          <w:sz w:val="24"/>
          <w:szCs w:val="24"/>
        </w:rPr>
        <w:t xml:space="preserve">rajowego </w:t>
      </w:r>
      <w:r w:rsidRPr="0035160C">
        <w:rPr>
          <w:b/>
          <w:sz w:val="24"/>
          <w:szCs w:val="24"/>
        </w:rPr>
        <w:t>P</w:t>
      </w:r>
      <w:r w:rsidR="00FA243A">
        <w:rPr>
          <w:b/>
          <w:sz w:val="24"/>
          <w:szCs w:val="24"/>
        </w:rPr>
        <w:t xml:space="preserve">rogramu </w:t>
      </w:r>
      <w:r w:rsidRPr="0035160C">
        <w:rPr>
          <w:b/>
          <w:sz w:val="24"/>
          <w:szCs w:val="24"/>
        </w:rPr>
        <w:t>O</w:t>
      </w:r>
      <w:r w:rsidR="00FA243A">
        <w:rPr>
          <w:b/>
          <w:sz w:val="24"/>
          <w:szCs w:val="24"/>
        </w:rPr>
        <w:t xml:space="preserve">chrony </w:t>
      </w:r>
      <w:r w:rsidRPr="0035160C">
        <w:rPr>
          <w:b/>
          <w:sz w:val="24"/>
          <w:szCs w:val="24"/>
        </w:rPr>
        <w:t>P</w:t>
      </w:r>
      <w:r w:rsidR="00FA243A">
        <w:rPr>
          <w:b/>
          <w:sz w:val="24"/>
          <w:szCs w:val="24"/>
        </w:rPr>
        <w:t>owietrza</w:t>
      </w:r>
      <w:bookmarkEnd w:id="8"/>
    </w:p>
    <w:p w14:paraId="3C62A5FC" w14:textId="4CCA3E13" w:rsidR="00557485" w:rsidRPr="00DD0E4C" w:rsidRDefault="00F4439F" w:rsidP="00557485">
      <w:pPr>
        <w:jc w:val="both"/>
      </w:pPr>
      <w:r w:rsidRPr="00DD0E4C">
        <w:t>Przedstawiany dokument</w:t>
      </w:r>
      <w:r w:rsidR="00557485" w:rsidRPr="00DD0E4C">
        <w:t xml:space="preserve"> jest aktualizacją średniookresowej strategii poprawy jakości powietrza w</w:t>
      </w:r>
      <w:r w:rsidR="00DD0E4C" w:rsidRPr="00DD0E4C">
        <w:t> </w:t>
      </w:r>
      <w:r w:rsidR="00557485" w:rsidRPr="00DD0E4C">
        <w:t>Polsce, tj. K</w:t>
      </w:r>
      <w:r w:rsidR="00FA243A" w:rsidRPr="00DD0E4C">
        <w:t>POP</w:t>
      </w:r>
      <w:r w:rsidR="00557485" w:rsidRPr="00DD0E4C">
        <w:t xml:space="preserve">. </w:t>
      </w:r>
    </w:p>
    <w:p w14:paraId="555B7207" w14:textId="332F35AA" w:rsidR="00557485" w:rsidRPr="00DD0E4C" w:rsidRDefault="00FA243A" w:rsidP="00557485">
      <w:pPr>
        <w:jc w:val="both"/>
      </w:pPr>
      <w:r w:rsidRPr="00DD0E4C">
        <w:t>A</w:t>
      </w:r>
      <w:r w:rsidR="00F4439F" w:rsidRPr="00DD0E4C">
        <w:t xml:space="preserve">KPOP </w:t>
      </w:r>
      <w:r w:rsidRPr="00DD0E4C">
        <w:t>jest</w:t>
      </w:r>
      <w:r w:rsidR="00F4439F" w:rsidRPr="00DD0E4C">
        <w:t xml:space="preserve"> </w:t>
      </w:r>
      <w:r w:rsidR="00557485" w:rsidRPr="00DD0E4C">
        <w:t xml:space="preserve">kluczowym dokumentem ministra właściwego do spraw klimatu w obszarze krótko-, średnio- i długofalowej polityki poprawy jakości powietrza. </w:t>
      </w:r>
      <w:r w:rsidR="00F75DC5" w:rsidRPr="00F75DC5">
        <w:t>Dokument ten stanowi kompilację prowadzonych i planowanych działań na poziomie krajowym, mających na celu ograniczenie  negatywnego wpływu poszczególnych obszarów działalności człowieka, na stan powietrza</w:t>
      </w:r>
      <w:r w:rsidR="00F75DC5">
        <w:t xml:space="preserve">. </w:t>
      </w:r>
      <w:r w:rsidR="00557485" w:rsidRPr="00DD0E4C">
        <w:t xml:space="preserve">Dokument ten stanowi odpowiedź na wyzwania stojące przed polską administracją publiczną, sektorem prywatnym oraz obywatelami. </w:t>
      </w:r>
    </w:p>
    <w:p w14:paraId="16E07EA7" w14:textId="3DBEA150" w:rsidR="00557485" w:rsidRPr="00DD0E4C" w:rsidRDefault="00557485" w:rsidP="00557485">
      <w:pPr>
        <w:jc w:val="both"/>
      </w:pPr>
      <w:r w:rsidRPr="00DD0E4C">
        <w:t xml:space="preserve">W </w:t>
      </w:r>
      <w:r w:rsidR="00F4439F" w:rsidRPr="00DD0E4C">
        <w:t>Programie</w:t>
      </w:r>
      <w:r w:rsidRPr="00DD0E4C">
        <w:t xml:space="preserve"> zawarte są rekomendacje i kierunki interwencji w newralgicznych obszarach</w:t>
      </w:r>
      <w:r w:rsidR="00B0649B" w:rsidRPr="00DD0E4C">
        <w:t xml:space="preserve"> gospodarczych i społecznych</w:t>
      </w:r>
      <w:r w:rsidRPr="00DD0E4C">
        <w:t xml:space="preserve">. </w:t>
      </w:r>
      <w:r w:rsidR="003E2AF4" w:rsidRPr="00DD0E4C">
        <w:t>S</w:t>
      </w:r>
      <w:r w:rsidRPr="00DD0E4C">
        <w:t>tanowi</w:t>
      </w:r>
      <w:r w:rsidR="003E2AF4" w:rsidRPr="00DD0E4C">
        <w:t xml:space="preserve"> on</w:t>
      </w:r>
      <w:r w:rsidR="00B0649B" w:rsidRPr="00DD0E4C">
        <w:t xml:space="preserve"> </w:t>
      </w:r>
      <w:r w:rsidR="00F4439F" w:rsidRPr="00DD0E4C">
        <w:t>także</w:t>
      </w:r>
      <w:r w:rsidRPr="00DD0E4C">
        <w:t xml:space="preserve"> podstawę d</w:t>
      </w:r>
      <w:r w:rsidR="00F75DC5">
        <w:t>o</w:t>
      </w:r>
      <w:r w:rsidRPr="00DD0E4C">
        <w:t xml:space="preserve"> zmian w systemie zarządzania </w:t>
      </w:r>
      <w:r w:rsidR="00B0649B" w:rsidRPr="00DD0E4C">
        <w:t xml:space="preserve">jakością powietrza w Polsce, </w:t>
      </w:r>
      <w:r w:rsidRPr="00DD0E4C">
        <w:t>w tym obowiązujących dokumentów strategicznych (strategii, polityk, programów).</w:t>
      </w:r>
    </w:p>
    <w:p w14:paraId="70B0485E" w14:textId="24A1F9BB" w:rsidR="00557485" w:rsidRPr="00DD0E4C" w:rsidRDefault="00F4439F" w:rsidP="00B0649B">
      <w:pPr>
        <w:jc w:val="both"/>
      </w:pPr>
      <w:r w:rsidRPr="00DD0E4C">
        <w:t>Program</w:t>
      </w:r>
      <w:r w:rsidR="00557485" w:rsidRPr="00DD0E4C">
        <w:t xml:space="preserve"> określa podstawowe uwarunkowania, cele i kierunki </w:t>
      </w:r>
      <w:r w:rsidR="00B0649B" w:rsidRPr="00DD0E4C">
        <w:t>interwencji</w:t>
      </w:r>
      <w:r w:rsidR="00557485" w:rsidRPr="00DD0E4C">
        <w:t xml:space="preserve"> w perspektywie roku 202</w:t>
      </w:r>
      <w:r w:rsidR="00B0649B" w:rsidRPr="00DD0E4C">
        <w:t xml:space="preserve">5, 2030 oraz </w:t>
      </w:r>
      <w:r w:rsidR="00557485" w:rsidRPr="00DD0E4C">
        <w:t>20</w:t>
      </w:r>
      <w:r w:rsidR="00B0649B" w:rsidRPr="00DD0E4C">
        <w:t>4</w:t>
      </w:r>
      <w:r w:rsidR="00557485" w:rsidRPr="00DD0E4C">
        <w:t xml:space="preserve">0. </w:t>
      </w:r>
    </w:p>
    <w:p w14:paraId="3A2F1A45" w14:textId="77777777" w:rsidR="00F75DC5" w:rsidRDefault="00F75DC5" w:rsidP="00B0649B">
      <w:pPr>
        <w:jc w:val="both"/>
      </w:pPr>
      <w:r w:rsidRPr="00F75DC5">
        <w:t>Głównym celem aKPOP jest ochrona zdrowia i komfortu życia mieszkańców oraz środowiska naturalnego jako całości, w szczególności - pilna poprawa stanu powietrza na obszarach stref, w których – jak wynika z corocznie przeprowadzanej przez Główny Inspektorat Ochrony Środowiska oceny jakości powietrza - stwierdzane są w dalszym ciągu przekroczenia poziomów dopuszczalnych i docelowych niektórych zanieczyszczeń.</w:t>
      </w:r>
    </w:p>
    <w:p w14:paraId="6B78BB4A" w14:textId="5C5BBF8C" w:rsidR="002278E6" w:rsidRPr="00DD0E4C" w:rsidRDefault="00B0649B" w:rsidP="00B0649B">
      <w:pPr>
        <w:jc w:val="both"/>
      </w:pPr>
      <w:r w:rsidRPr="00DD0E4C">
        <w:t xml:space="preserve">Cel ten </w:t>
      </w:r>
      <w:r w:rsidR="000A5F8E" w:rsidRPr="00DD0E4C">
        <w:t>osiągnięty</w:t>
      </w:r>
      <w:r w:rsidRPr="00DD0E4C">
        <w:t xml:space="preserve"> będzie poprzez realizację </w:t>
      </w:r>
      <w:r w:rsidR="00F4439F" w:rsidRPr="00DD0E4C">
        <w:t>działań określonych w wybranych kierunkach interwencji</w:t>
      </w:r>
      <w:r w:rsidRPr="00DD0E4C">
        <w:t>. Przedstawione w przedmiotowej aKPOP działania powinny być planowane w połączeniu z kierunkami interwencji Polityki Ekologicznej Polski do 2030 r.</w:t>
      </w:r>
      <w:r w:rsidR="000A5F8E" w:rsidRPr="00DD0E4C">
        <w:rPr>
          <w:rStyle w:val="Odwoanieprzypisudolnego"/>
        </w:rPr>
        <w:footnoteReference w:id="1"/>
      </w:r>
      <w:r w:rsidRPr="00DD0E4C">
        <w:t xml:space="preserve"> oraz realizacją celów i projektów strategicznych PEP2040.</w:t>
      </w:r>
      <w:r w:rsidR="002278E6" w:rsidRPr="00DD0E4C">
        <w:t xml:space="preserve"> </w:t>
      </w:r>
    </w:p>
    <w:p w14:paraId="51C2C910" w14:textId="03E2CDAB" w:rsidR="00557485" w:rsidRPr="00DD0E4C" w:rsidRDefault="00557485" w:rsidP="00557485">
      <w:pPr>
        <w:jc w:val="both"/>
      </w:pPr>
      <w:r w:rsidRPr="00DD0E4C">
        <w:t>Oczekiwanym</w:t>
      </w:r>
      <w:r w:rsidR="002278E6" w:rsidRPr="00DD0E4C">
        <w:t>, najważniejszym</w:t>
      </w:r>
      <w:r w:rsidRPr="00DD0E4C">
        <w:t xml:space="preserve"> efektem realizacji </w:t>
      </w:r>
      <w:r w:rsidR="002278E6" w:rsidRPr="00DD0E4C">
        <w:t xml:space="preserve">aKPOP </w:t>
      </w:r>
      <w:r w:rsidRPr="00DD0E4C">
        <w:t xml:space="preserve">będzie </w:t>
      </w:r>
      <w:r w:rsidR="002278E6" w:rsidRPr="00DD0E4C">
        <w:t>poprawa stanu powietrza</w:t>
      </w:r>
      <w:r w:rsidR="003E2AF4" w:rsidRPr="00DD0E4C">
        <w:t xml:space="preserve"> poprzez doprowadzenie go</w:t>
      </w:r>
      <w:r w:rsidR="002278E6" w:rsidRPr="00DD0E4C">
        <w:t xml:space="preserve"> do stanu odpowiadającego normom określony</w:t>
      </w:r>
      <w:r w:rsidR="003E2AF4" w:rsidRPr="00DD0E4C">
        <w:t>m</w:t>
      </w:r>
      <w:r w:rsidR="002278E6" w:rsidRPr="00DD0E4C">
        <w:t xml:space="preserve"> w prawodawstwie krajowym oraz unijnym, a także w dalszej perspektywie dążenie do osiągnięcia norm rekomendowanych przez Światową Organizację Zdrowia. </w:t>
      </w:r>
    </w:p>
    <w:p w14:paraId="6228FB3C" w14:textId="4C96E879" w:rsidR="00F4439F" w:rsidRPr="00DD0E4C" w:rsidRDefault="00F4439F" w:rsidP="00F4439F">
      <w:pPr>
        <w:jc w:val="both"/>
        <w:rPr>
          <w:bCs/>
        </w:rPr>
      </w:pPr>
      <w:r w:rsidRPr="00DD0E4C">
        <w:rPr>
          <w:b/>
        </w:rPr>
        <w:t>Kierunkami interwencji prowadzącymi do osiągnięcia celów szczegółowych</w:t>
      </w:r>
      <w:r w:rsidRPr="00DD0E4C">
        <w:rPr>
          <w:bCs/>
        </w:rPr>
        <w:t>, tj. osiągnięcia i dotrzymania co najmniej standardów jakości powietrza określonych w prawodawstwie unijnym oraz krajowym, będą:</w:t>
      </w:r>
    </w:p>
    <w:p w14:paraId="593B1ACA" w14:textId="2EF8D1FE" w:rsidR="00F4439F" w:rsidRPr="00DD0E4C" w:rsidRDefault="00F4439F" w:rsidP="00F4439F">
      <w:pPr>
        <w:numPr>
          <w:ilvl w:val="0"/>
          <w:numId w:val="8"/>
        </w:numPr>
        <w:jc w:val="both"/>
        <w:rPr>
          <w:b/>
        </w:rPr>
      </w:pPr>
      <w:r w:rsidRPr="00DD0E4C">
        <w:rPr>
          <w:b/>
        </w:rPr>
        <w:t xml:space="preserve">utrzymanie priorytetu poprawy jakości powietrza oraz rozwój systemu oceny jakości powietrza poprzez zwiększenie liczby stacji pomiarowych uwzględnionych w pomiarach jakości powietrza w ramach </w:t>
      </w:r>
      <w:r w:rsidR="003E2AF4" w:rsidRPr="00DD0E4C">
        <w:rPr>
          <w:b/>
        </w:rPr>
        <w:t>PMŚ,</w:t>
      </w:r>
      <w:r w:rsidRPr="00DD0E4C">
        <w:rPr>
          <w:b/>
        </w:rPr>
        <w:t xml:space="preserve"> </w:t>
      </w:r>
    </w:p>
    <w:p w14:paraId="7BAD5E70" w14:textId="57777831" w:rsidR="00F4439F" w:rsidRPr="00DD0E4C" w:rsidRDefault="00F4439F" w:rsidP="00F4439F">
      <w:pPr>
        <w:numPr>
          <w:ilvl w:val="0"/>
          <w:numId w:val="8"/>
        </w:numPr>
        <w:jc w:val="both"/>
        <w:rPr>
          <w:b/>
        </w:rPr>
      </w:pPr>
      <w:r w:rsidRPr="00DD0E4C">
        <w:rPr>
          <w:b/>
        </w:rPr>
        <w:t>ograniczenie wielkości emisji zanieczyszczeń powietrza z sektora bytowo-komunalnego</w:t>
      </w:r>
      <w:r w:rsidR="003E2AF4" w:rsidRPr="00DD0E4C">
        <w:rPr>
          <w:b/>
        </w:rPr>
        <w:t>,</w:t>
      </w:r>
    </w:p>
    <w:p w14:paraId="1E129D1C" w14:textId="1D4AC7B2" w:rsidR="00F4439F" w:rsidRPr="00DD0E4C" w:rsidRDefault="00F4439F" w:rsidP="00F4439F">
      <w:pPr>
        <w:numPr>
          <w:ilvl w:val="0"/>
          <w:numId w:val="8"/>
        </w:numPr>
        <w:jc w:val="both"/>
        <w:rPr>
          <w:b/>
        </w:rPr>
      </w:pPr>
      <w:r w:rsidRPr="00DD0E4C">
        <w:rPr>
          <w:b/>
        </w:rPr>
        <w:t>ograniczenie wielkości emisji zanieczyszczeń powietrza z sektora transportu drogowego</w:t>
      </w:r>
      <w:r w:rsidR="003E2AF4" w:rsidRPr="00DD0E4C">
        <w:rPr>
          <w:b/>
        </w:rPr>
        <w:t>,</w:t>
      </w:r>
    </w:p>
    <w:p w14:paraId="71BE719A" w14:textId="58DBAD9C" w:rsidR="00F4439F" w:rsidRPr="00DD0E4C" w:rsidRDefault="00F4439F" w:rsidP="00F4439F">
      <w:pPr>
        <w:numPr>
          <w:ilvl w:val="0"/>
          <w:numId w:val="8"/>
        </w:numPr>
        <w:jc w:val="both"/>
        <w:rPr>
          <w:b/>
        </w:rPr>
      </w:pPr>
      <w:r w:rsidRPr="00DD0E4C">
        <w:rPr>
          <w:b/>
        </w:rPr>
        <w:lastRenderedPageBreak/>
        <w:t>poprawa jakości środowiska i warunków życia w mieście poprzez udoskonalenie infrastruktury</w:t>
      </w:r>
      <w:r w:rsidR="003E2AF4" w:rsidRPr="00DD0E4C">
        <w:rPr>
          <w:b/>
        </w:rPr>
        <w:t>,</w:t>
      </w:r>
      <w:r w:rsidRPr="00DD0E4C">
        <w:rPr>
          <w:b/>
        </w:rPr>
        <w:t xml:space="preserve"> </w:t>
      </w:r>
    </w:p>
    <w:p w14:paraId="05ACC813" w14:textId="1A9CD1F2" w:rsidR="00F4439F" w:rsidRPr="00DD0E4C" w:rsidRDefault="003E2AF4" w:rsidP="00F4439F">
      <w:pPr>
        <w:numPr>
          <w:ilvl w:val="0"/>
          <w:numId w:val="8"/>
        </w:numPr>
        <w:jc w:val="both"/>
        <w:rPr>
          <w:b/>
        </w:rPr>
      </w:pPr>
      <w:r w:rsidRPr="00DD0E4C">
        <w:rPr>
          <w:b/>
        </w:rPr>
        <w:t>z</w:t>
      </w:r>
      <w:r w:rsidR="00F4439F" w:rsidRPr="00DD0E4C">
        <w:rPr>
          <w:b/>
        </w:rPr>
        <w:t>większenie udziału czystej energii, ciepła, rozwój odnawialnych źródeł energii</w:t>
      </w:r>
      <w:r w:rsidRPr="00DD0E4C">
        <w:rPr>
          <w:b/>
        </w:rPr>
        <w:t>,</w:t>
      </w:r>
    </w:p>
    <w:p w14:paraId="7B83D747" w14:textId="0D2EEE22" w:rsidR="00F4439F" w:rsidRPr="00DD0E4C" w:rsidRDefault="00F4439F" w:rsidP="00F4439F">
      <w:pPr>
        <w:numPr>
          <w:ilvl w:val="0"/>
          <w:numId w:val="8"/>
        </w:numPr>
        <w:jc w:val="both"/>
        <w:rPr>
          <w:b/>
        </w:rPr>
      </w:pPr>
      <w:r w:rsidRPr="00DD0E4C">
        <w:rPr>
          <w:b/>
        </w:rPr>
        <w:t>edukacja ekologiczna</w:t>
      </w:r>
      <w:r w:rsidR="003E2AF4" w:rsidRPr="00DD0E4C">
        <w:rPr>
          <w:b/>
        </w:rPr>
        <w:t>,</w:t>
      </w:r>
    </w:p>
    <w:p w14:paraId="119503A2" w14:textId="1E542DDE" w:rsidR="00F4439F" w:rsidRPr="00DD0E4C" w:rsidRDefault="00F4439F" w:rsidP="00F4439F">
      <w:pPr>
        <w:numPr>
          <w:ilvl w:val="0"/>
          <w:numId w:val="8"/>
        </w:numPr>
        <w:jc w:val="both"/>
        <w:rPr>
          <w:b/>
        </w:rPr>
      </w:pPr>
      <w:r w:rsidRPr="00DD0E4C">
        <w:rPr>
          <w:b/>
        </w:rPr>
        <w:t>zapewnienie finansowania przedsięwzięć ukierunkowanych na poprawę jakości powietrza</w:t>
      </w:r>
      <w:r w:rsidR="003E2AF4" w:rsidRPr="00DD0E4C">
        <w:rPr>
          <w:b/>
        </w:rPr>
        <w:t>.</w:t>
      </w:r>
    </w:p>
    <w:p w14:paraId="7ACA93AC" w14:textId="77777777" w:rsidR="00557485" w:rsidRPr="00DD0E4C" w:rsidRDefault="00557485" w:rsidP="00557485">
      <w:pPr>
        <w:jc w:val="both"/>
      </w:pPr>
    </w:p>
    <w:p w14:paraId="20CEC0F9" w14:textId="77777777" w:rsidR="00557485" w:rsidRPr="00557485" w:rsidRDefault="00557485" w:rsidP="00557485">
      <w:pPr>
        <w:jc w:val="both"/>
        <w:rPr>
          <w:i/>
          <w:iCs/>
          <w:color w:val="C00000"/>
        </w:rPr>
      </w:pPr>
    </w:p>
    <w:p w14:paraId="2A528310" w14:textId="7E17ED0A" w:rsidR="00CD3F46" w:rsidRPr="0035160C" w:rsidRDefault="00CD3F46" w:rsidP="00DD0E4C">
      <w:pPr>
        <w:jc w:val="both"/>
      </w:pPr>
      <w:r w:rsidRPr="0035160C">
        <w:br w:type="page"/>
      </w:r>
    </w:p>
    <w:p w14:paraId="140587CD" w14:textId="79AB676E" w:rsidR="00282106" w:rsidRPr="0035160C" w:rsidRDefault="00282106" w:rsidP="001C78DF">
      <w:pPr>
        <w:pStyle w:val="Nagwek1"/>
        <w:numPr>
          <w:ilvl w:val="0"/>
          <w:numId w:val="0"/>
        </w:numPr>
        <w:ind w:left="431" w:hanging="431"/>
        <w:rPr>
          <w:b/>
          <w:sz w:val="24"/>
          <w:szCs w:val="24"/>
        </w:rPr>
      </w:pPr>
      <w:bookmarkStart w:id="9" w:name="_Toc78205875"/>
      <w:r w:rsidRPr="0035160C">
        <w:rPr>
          <w:b/>
          <w:sz w:val="24"/>
          <w:szCs w:val="24"/>
        </w:rPr>
        <w:lastRenderedPageBreak/>
        <w:t>4.</w:t>
      </w:r>
      <w:r w:rsidRPr="0035160C">
        <w:rPr>
          <w:b/>
          <w:sz w:val="24"/>
          <w:szCs w:val="24"/>
        </w:rPr>
        <w:tab/>
        <w:t>Krajowe ramy polityki dotyczącej jakości powietrza i zanieczyszczenia powietrza - miejsce i rola aktualizacji K</w:t>
      </w:r>
      <w:r w:rsidR="003E2AF4">
        <w:rPr>
          <w:b/>
          <w:sz w:val="24"/>
          <w:szCs w:val="24"/>
        </w:rPr>
        <w:t xml:space="preserve">rajowego </w:t>
      </w:r>
      <w:r w:rsidRPr="0035160C">
        <w:rPr>
          <w:b/>
          <w:sz w:val="24"/>
          <w:szCs w:val="24"/>
        </w:rPr>
        <w:t>P</w:t>
      </w:r>
      <w:r w:rsidR="003E2AF4">
        <w:rPr>
          <w:b/>
          <w:sz w:val="24"/>
          <w:szCs w:val="24"/>
        </w:rPr>
        <w:t xml:space="preserve">rogramu </w:t>
      </w:r>
      <w:r w:rsidRPr="0035160C">
        <w:rPr>
          <w:b/>
          <w:sz w:val="24"/>
          <w:szCs w:val="24"/>
        </w:rPr>
        <w:t>O</w:t>
      </w:r>
      <w:r w:rsidR="003E2AF4">
        <w:rPr>
          <w:b/>
          <w:sz w:val="24"/>
          <w:szCs w:val="24"/>
        </w:rPr>
        <w:t xml:space="preserve">chrony </w:t>
      </w:r>
      <w:r w:rsidRPr="0035160C">
        <w:rPr>
          <w:b/>
          <w:sz w:val="24"/>
          <w:szCs w:val="24"/>
        </w:rPr>
        <w:t>P</w:t>
      </w:r>
      <w:r w:rsidR="003E2AF4">
        <w:rPr>
          <w:b/>
          <w:sz w:val="24"/>
          <w:szCs w:val="24"/>
        </w:rPr>
        <w:t>owietrza</w:t>
      </w:r>
      <w:r w:rsidRPr="0035160C">
        <w:rPr>
          <w:b/>
          <w:sz w:val="24"/>
          <w:szCs w:val="24"/>
        </w:rPr>
        <w:t>:</w:t>
      </w:r>
      <w:bookmarkEnd w:id="9"/>
      <w:r w:rsidRPr="0035160C">
        <w:rPr>
          <w:b/>
          <w:sz w:val="24"/>
          <w:szCs w:val="24"/>
        </w:rPr>
        <w:tab/>
      </w:r>
    </w:p>
    <w:p w14:paraId="333789C2" w14:textId="77777777" w:rsidR="00282106" w:rsidRPr="0035160C" w:rsidRDefault="00282106" w:rsidP="001C78DF">
      <w:pPr>
        <w:pStyle w:val="Nagwek2"/>
        <w:numPr>
          <w:ilvl w:val="0"/>
          <w:numId w:val="0"/>
        </w:numPr>
        <w:ind w:left="510"/>
        <w:rPr>
          <w:b/>
          <w:sz w:val="22"/>
          <w:szCs w:val="22"/>
        </w:rPr>
      </w:pPr>
      <w:bookmarkStart w:id="10" w:name="_Toc78205876"/>
      <w:r w:rsidRPr="0035160C">
        <w:rPr>
          <w:b/>
          <w:sz w:val="22"/>
          <w:szCs w:val="22"/>
        </w:rPr>
        <w:t>4.1.</w:t>
      </w:r>
      <w:r w:rsidRPr="0035160C">
        <w:rPr>
          <w:b/>
          <w:sz w:val="22"/>
          <w:szCs w:val="22"/>
        </w:rPr>
        <w:tab/>
        <w:t>Priorytety polityczne i ich odniesienie do priorytetów określonych w innych powiązanych obszarach polityki.</w:t>
      </w:r>
      <w:bookmarkEnd w:id="10"/>
      <w:r w:rsidRPr="0035160C">
        <w:rPr>
          <w:b/>
          <w:sz w:val="22"/>
          <w:szCs w:val="22"/>
        </w:rPr>
        <w:tab/>
      </w:r>
    </w:p>
    <w:p w14:paraId="74AC997C" w14:textId="1C3E5FA7" w:rsidR="00154A16" w:rsidRPr="0035160C" w:rsidRDefault="00925548" w:rsidP="00753CAE">
      <w:pPr>
        <w:pStyle w:val="Default"/>
        <w:jc w:val="both"/>
        <w:rPr>
          <w:rFonts w:asciiTheme="minorHAnsi" w:hAnsiTheme="minorHAnsi" w:cstheme="minorHAnsi"/>
          <w:color w:val="auto"/>
          <w:sz w:val="22"/>
          <w:szCs w:val="22"/>
        </w:rPr>
      </w:pPr>
      <w:r w:rsidRPr="0035160C">
        <w:rPr>
          <w:rFonts w:asciiTheme="minorHAnsi" w:hAnsiTheme="minorHAnsi" w:cstheme="minorHAnsi"/>
          <w:sz w:val="22"/>
          <w:szCs w:val="22"/>
        </w:rPr>
        <w:t>AKPOP je</w:t>
      </w:r>
      <w:r w:rsidR="00154A16" w:rsidRPr="0035160C">
        <w:rPr>
          <w:rFonts w:asciiTheme="minorHAnsi" w:hAnsiTheme="minorHAnsi" w:cstheme="minorHAnsi"/>
          <w:color w:val="auto"/>
          <w:sz w:val="22"/>
          <w:szCs w:val="22"/>
        </w:rPr>
        <w:t xml:space="preserve">st średniookresowym dokumentem </w:t>
      </w:r>
      <w:r w:rsidRPr="0035160C">
        <w:rPr>
          <w:rFonts w:asciiTheme="minorHAnsi" w:hAnsiTheme="minorHAnsi" w:cstheme="minorHAnsi"/>
          <w:color w:val="auto"/>
          <w:sz w:val="22"/>
          <w:szCs w:val="22"/>
        </w:rPr>
        <w:t>strategicznym ministra właściwego do spraw klimatu</w:t>
      </w:r>
      <w:r w:rsidR="00154A16" w:rsidRPr="0035160C">
        <w:rPr>
          <w:rFonts w:asciiTheme="minorHAnsi" w:hAnsiTheme="minorHAnsi" w:cstheme="minorHAnsi"/>
          <w:color w:val="auto"/>
          <w:sz w:val="22"/>
          <w:szCs w:val="22"/>
        </w:rPr>
        <w:t xml:space="preserve">, </w:t>
      </w:r>
      <w:r w:rsidRPr="0035160C">
        <w:rPr>
          <w:rFonts w:asciiTheme="minorHAnsi" w:hAnsiTheme="minorHAnsi" w:cstheme="minorHAnsi"/>
          <w:color w:val="auto"/>
          <w:sz w:val="22"/>
          <w:szCs w:val="22"/>
        </w:rPr>
        <w:t xml:space="preserve">przygotowanym na podstawie art. 91c </w:t>
      </w:r>
      <w:r w:rsidR="00A06137">
        <w:rPr>
          <w:rFonts w:asciiTheme="minorHAnsi" w:hAnsiTheme="minorHAnsi" w:cstheme="minorHAnsi"/>
          <w:color w:val="auto"/>
          <w:sz w:val="22"/>
          <w:szCs w:val="22"/>
        </w:rPr>
        <w:t>POŚ</w:t>
      </w:r>
      <w:r w:rsidRPr="0035160C">
        <w:rPr>
          <w:rFonts w:asciiTheme="minorHAnsi" w:hAnsiTheme="minorHAnsi" w:cstheme="minorHAnsi"/>
          <w:color w:val="auto"/>
          <w:sz w:val="22"/>
          <w:szCs w:val="22"/>
        </w:rPr>
        <w:t>, który stanowi</w:t>
      </w:r>
      <w:r w:rsidR="00154A16" w:rsidRPr="0035160C">
        <w:rPr>
          <w:rFonts w:asciiTheme="minorHAnsi" w:hAnsiTheme="minorHAnsi" w:cstheme="minorHAnsi"/>
          <w:color w:val="auto"/>
          <w:sz w:val="22"/>
          <w:szCs w:val="22"/>
        </w:rPr>
        <w:t xml:space="preserve"> integralny element spójnego systemu zarządzania </w:t>
      </w:r>
      <w:r w:rsidRPr="0035160C">
        <w:rPr>
          <w:rFonts w:asciiTheme="minorHAnsi" w:hAnsiTheme="minorHAnsi" w:cstheme="minorHAnsi"/>
          <w:color w:val="auto"/>
          <w:sz w:val="22"/>
          <w:szCs w:val="22"/>
        </w:rPr>
        <w:t xml:space="preserve">z </w:t>
      </w:r>
      <w:r w:rsidRPr="0035160C">
        <w:rPr>
          <w:rFonts w:asciiTheme="minorHAnsi" w:hAnsiTheme="minorHAnsi" w:cstheme="minorHAnsi"/>
          <w:i/>
          <w:iCs/>
          <w:color w:val="auto"/>
          <w:sz w:val="22"/>
          <w:szCs w:val="22"/>
        </w:rPr>
        <w:t>Polityką Ekologiczną Państwa do 2030 r.</w:t>
      </w:r>
      <w:r w:rsidRPr="0035160C">
        <w:rPr>
          <w:rFonts w:asciiTheme="minorHAnsi" w:hAnsiTheme="minorHAnsi" w:cstheme="minorHAnsi"/>
          <w:color w:val="auto"/>
          <w:sz w:val="22"/>
          <w:szCs w:val="22"/>
        </w:rPr>
        <w:t xml:space="preserve"> Rolą aKPOP</w:t>
      </w:r>
      <w:r w:rsidR="00154A16" w:rsidRPr="0035160C">
        <w:rPr>
          <w:rFonts w:asciiTheme="minorHAnsi" w:hAnsiTheme="minorHAnsi" w:cstheme="minorHAnsi"/>
          <w:color w:val="auto"/>
          <w:sz w:val="22"/>
          <w:szCs w:val="22"/>
        </w:rPr>
        <w:t xml:space="preserve"> jest wskazanie celu oraz nakreślenie kierunków </w:t>
      </w:r>
      <w:r w:rsidRPr="0035160C">
        <w:rPr>
          <w:rFonts w:asciiTheme="minorHAnsi" w:hAnsiTheme="minorHAnsi" w:cstheme="minorHAnsi"/>
          <w:color w:val="auto"/>
          <w:sz w:val="22"/>
          <w:szCs w:val="22"/>
        </w:rPr>
        <w:t xml:space="preserve">interwencji </w:t>
      </w:r>
      <w:r w:rsidR="00243057" w:rsidRPr="0035160C">
        <w:rPr>
          <w:rFonts w:asciiTheme="minorHAnsi" w:hAnsiTheme="minorHAnsi" w:cstheme="minorHAnsi"/>
          <w:color w:val="auto"/>
          <w:sz w:val="22"/>
          <w:szCs w:val="22"/>
        </w:rPr>
        <w:t xml:space="preserve">w obszarze poprawy jakości powietrza w Polsce </w:t>
      </w:r>
      <w:r w:rsidR="00154A16" w:rsidRPr="0035160C">
        <w:rPr>
          <w:rFonts w:asciiTheme="minorHAnsi" w:hAnsiTheme="minorHAnsi" w:cstheme="minorHAnsi"/>
          <w:color w:val="auto"/>
          <w:sz w:val="22"/>
          <w:szCs w:val="22"/>
        </w:rPr>
        <w:t xml:space="preserve">tak, aby etapowo do 2030 r. możliwe było osiągnięcie celów założonych w </w:t>
      </w:r>
      <w:r w:rsidR="00A06137">
        <w:rPr>
          <w:rFonts w:asciiTheme="minorHAnsi" w:hAnsiTheme="minorHAnsi" w:cstheme="minorHAnsi"/>
          <w:color w:val="auto"/>
          <w:sz w:val="22"/>
          <w:szCs w:val="22"/>
        </w:rPr>
        <w:t>SOR</w:t>
      </w:r>
      <w:r w:rsidR="00B96406" w:rsidRPr="0035160C">
        <w:rPr>
          <w:rFonts w:asciiTheme="minorHAnsi" w:hAnsiTheme="minorHAnsi" w:cstheme="minorHAnsi"/>
          <w:color w:val="auto"/>
          <w:sz w:val="22"/>
          <w:szCs w:val="22"/>
        </w:rPr>
        <w:t xml:space="preserve"> p</w:t>
      </w:r>
      <w:r w:rsidR="00753CAE" w:rsidRPr="0035160C">
        <w:rPr>
          <w:rFonts w:asciiTheme="minorHAnsi" w:hAnsiTheme="minorHAnsi" w:cstheme="minorHAnsi"/>
          <w:color w:val="auto"/>
          <w:sz w:val="22"/>
          <w:szCs w:val="22"/>
        </w:rPr>
        <w:t xml:space="preserve">rzyjętej w dniu </w:t>
      </w:r>
      <w:r w:rsidR="00154A16" w:rsidRPr="0035160C">
        <w:rPr>
          <w:rFonts w:asciiTheme="minorHAnsi" w:hAnsiTheme="minorHAnsi" w:cstheme="minorHAnsi"/>
          <w:color w:val="auto"/>
          <w:sz w:val="22"/>
          <w:szCs w:val="22"/>
        </w:rPr>
        <w:t>14</w:t>
      </w:r>
      <w:r w:rsidR="001B24B7">
        <w:rPr>
          <w:rFonts w:asciiTheme="minorHAnsi" w:hAnsiTheme="minorHAnsi" w:cstheme="minorHAnsi"/>
          <w:color w:val="auto"/>
          <w:sz w:val="22"/>
          <w:szCs w:val="22"/>
        </w:rPr>
        <w:t xml:space="preserve"> </w:t>
      </w:r>
      <w:r w:rsidR="00154A16" w:rsidRPr="0035160C">
        <w:rPr>
          <w:rFonts w:asciiTheme="minorHAnsi" w:hAnsiTheme="minorHAnsi" w:cstheme="minorHAnsi"/>
          <w:color w:val="auto"/>
          <w:sz w:val="22"/>
          <w:szCs w:val="22"/>
        </w:rPr>
        <w:t xml:space="preserve">lutego 2017 r. </w:t>
      </w:r>
      <w:r w:rsidR="00753CAE" w:rsidRPr="0035160C">
        <w:rPr>
          <w:rFonts w:asciiTheme="minorHAnsi" w:hAnsiTheme="minorHAnsi" w:cstheme="minorHAnsi"/>
          <w:color w:val="auto"/>
          <w:sz w:val="22"/>
          <w:szCs w:val="22"/>
        </w:rPr>
        <w:t xml:space="preserve">przez </w:t>
      </w:r>
      <w:r w:rsidR="00154A16" w:rsidRPr="0035160C">
        <w:rPr>
          <w:rFonts w:asciiTheme="minorHAnsi" w:hAnsiTheme="minorHAnsi" w:cstheme="minorHAnsi"/>
          <w:color w:val="auto"/>
          <w:sz w:val="22"/>
          <w:szCs w:val="22"/>
        </w:rPr>
        <w:t>Rad</w:t>
      </w:r>
      <w:r w:rsidR="00753CAE" w:rsidRPr="0035160C">
        <w:rPr>
          <w:rFonts w:asciiTheme="minorHAnsi" w:hAnsiTheme="minorHAnsi" w:cstheme="minorHAnsi"/>
          <w:color w:val="auto"/>
          <w:sz w:val="22"/>
          <w:szCs w:val="22"/>
        </w:rPr>
        <w:t>ę</w:t>
      </w:r>
      <w:r w:rsidR="00154A16" w:rsidRPr="0035160C">
        <w:rPr>
          <w:rFonts w:asciiTheme="minorHAnsi" w:hAnsiTheme="minorHAnsi" w:cstheme="minorHAnsi"/>
          <w:color w:val="auto"/>
          <w:sz w:val="22"/>
          <w:szCs w:val="22"/>
        </w:rPr>
        <w:t xml:space="preserve"> Ministrów</w:t>
      </w:r>
      <w:r w:rsidR="00753CAE" w:rsidRPr="0035160C">
        <w:rPr>
          <w:rFonts w:asciiTheme="minorHAnsi" w:hAnsiTheme="minorHAnsi" w:cstheme="minorHAnsi"/>
          <w:color w:val="auto"/>
          <w:sz w:val="22"/>
          <w:szCs w:val="22"/>
        </w:rPr>
        <w:t xml:space="preserve">, </w:t>
      </w:r>
      <w:r w:rsidR="00154A16" w:rsidRPr="0035160C">
        <w:rPr>
          <w:rFonts w:asciiTheme="minorHAnsi" w:hAnsiTheme="minorHAnsi" w:cstheme="minorHAnsi"/>
          <w:color w:val="auto"/>
          <w:sz w:val="22"/>
          <w:szCs w:val="22"/>
        </w:rPr>
        <w:t>będącą kluczowym dokumentem w obszarze średnio- i</w:t>
      </w:r>
      <w:r w:rsidR="001B24B7">
        <w:rPr>
          <w:rFonts w:asciiTheme="minorHAnsi" w:hAnsiTheme="minorHAnsi" w:cstheme="minorHAnsi"/>
          <w:color w:val="auto"/>
          <w:sz w:val="22"/>
          <w:szCs w:val="22"/>
        </w:rPr>
        <w:t xml:space="preserve"> </w:t>
      </w:r>
      <w:r w:rsidR="00154A16" w:rsidRPr="0035160C">
        <w:rPr>
          <w:rFonts w:asciiTheme="minorHAnsi" w:hAnsiTheme="minorHAnsi" w:cstheme="minorHAnsi"/>
          <w:color w:val="auto"/>
          <w:sz w:val="22"/>
          <w:szCs w:val="22"/>
        </w:rPr>
        <w:t>długofalowej polityki gospodarczej państwa. Wskazane w SOR cele, kierunki interwencji, działania i</w:t>
      </w:r>
      <w:r w:rsidR="001B24B7">
        <w:rPr>
          <w:rFonts w:asciiTheme="minorHAnsi" w:hAnsiTheme="minorHAnsi" w:cstheme="minorHAnsi"/>
          <w:color w:val="auto"/>
          <w:sz w:val="22"/>
          <w:szCs w:val="22"/>
        </w:rPr>
        <w:t xml:space="preserve"> </w:t>
      </w:r>
      <w:r w:rsidR="00154A16" w:rsidRPr="0035160C">
        <w:rPr>
          <w:rFonts w:asciiTheme="minorHAnsi" w:hAnsiTheme="minorHAnsi" w:cstheme="minorHAnsi"/>
          <w:color w:val="auto"/>
          <w:sz w:val="22"/>
          <w:szCs w:val="22"/>
        </w:rPr>
        <w:t>projekty strategiczne powinny znaleźć odzwierciedlenie w dokumentach strategicznych. W tym sensie SOR stanowi podstawę do przygotowywania nowych strategii sektorowych, w</w:t>
      </w:r>
      <w:r w:rsidR="005B2DED">
        <w:rPr>
          <w:rFonts w:asciiTheme="minorHAnsi" w:hAnsiTheme="minorHAnsi" w:cstheme="minorHAnsi"/>
          <w:color w:val="auto"/>
          <w:sz w:val="22"/>
          <w:szCs w:val="22"/>
        </w:rPr>
        <w:t xml:space="preserve"> </w:t>
      </w:r>
      <w:r w:rsidR="00154A16" w:rsidRPr="0035160C">
        <w:rPr>
          <w:rFonts w:asciiTheme="minorHAnsi" w:hAnsiTheme="minorHAnsi" w:cstheme="minorHAnsi"/>
          <w:color w:val="auto"/>
          <w:sz w:val="22"/>
          <w:szCs w:val="22"/>
        </w:rPr>
        <w:t xml:space="preserve">tym </w:t>
      </w:r>
      <w:r w:rsidR="00BC536E" w:rsidRPr="0035160C">
        <w:rPr>
          <w:rFonts w:asciiTheme="minorHAnsi" w:hAnsiTheme="minorHAnsi" w:cstheme="minorHAnsi"/>
          <w:color w:val="auto"/>
          <w:sz w:val="22"/>
          <w:szCs w:val="22"/>
        </w:rPr>
        <w:t>aKPOP.</w:t>
      </w:r>
      <w:r w:rsidR="00753CAE" w:rsidRPr="0035160C">
        <w:rPr>
          <w:rFonts w:asciiTheme="minorHAnsi" w:hAnsiTheme="minorHAnsi" w:cstheme="minorHAnsi"/>
          <w:color w:val="auto"/>
          <w:sz w:val="22"/>
          <w:szCs w:val="22"/>
        </w:rPr>
        <w:t xml:space="preserve"> </w:t>
      </w:r>
    </w:p>
    <w:p w14:paraId="554C093D" w14:textId="0A155B38" w:rsidR="00A35E3A" w:rsidRPr="009E5E98" w:rsidRDefault="00154A16" w:rsidP="009E5E98">
      <w:pPr>
        <w:pStyle w:val="Pa5"/>
        <w:spacing w:before="120"/>
        <w:jc w:val="both"/>
        <w:rPr>
          <w:rFonts w:asciiTheme="minorHAnsi" w:hAnsiTheme="minorHAnsi" w:cstheme="minorHAnsi"/>
          <w:color w:val="000000"/>
          <w:sz w:val="22"/>
          <w:szCs w:val="22"/>
        </w:rPr>
      </w:pPr>
      <w:r w:rsidRPr="0035160C">
        <w:rPr>
          <w:rFonts w:asciiTheme="minorHAnsi" w:hAnsiTheme="minorHAnsi" w:cstheme="minorHAnsi"/>
          <w:color w:val="000000"/>
          <w:sz w:val="22"/>
          <w:szCs w:val="22"/>
        </w:rPr>
        <w:t xml:space="preserve">Prace nad </w:t>
      </w:r>
      <w:r w:rsidR="00A06137">
        <w:rPr>
          <w:rFonts w:asciiTheme="minorHAnsi" w:hAnsiTheme="minorHAnsi" w:cstheme="minorHAnsi"/>
          <w:color w:val="000000"/>
          <w:sz w:val="22"/>
          <w:szCs w:val="22"/>
        </w:rPr>
        <w:t>aKPOP</w:t>
      </w:r>
      <w:r w:rsidR="00A06137" w:rsidRPr="0035160C">
        <w:rPr>
          <w:rFonts w:asciiTheme="minorHAnsi" w:hAnsiTheme="minorHAnsi" w:cstheme="minorHAnsi"/>
          <w:color w:val="000000"/>
          <w:sz w:val="22"/>
          <w:szCs w:val="22"/>
        </w:rPr>
        <w:t xml:space="preserve"> </w:t>
      </w:r>
      <w:r w:rsidR="001D18F1" w:rsidRPr="0035160C">
        <w:rPr>
          <w:rFonts w:asciiTheme="minorHAnsi" w:hAnsiTheme="minorHAnsi" w:cstheme="minorHAnsi"/>
          <w:color w:val="000000"/>
          <w:sz w:val="22"/>
          <w:szCs w:val="22"/>
        </w:rPr>
        <w:t>były</w:t>
      </w:r>
      <w:r w:rsidRPr="0035160C">
        <w:rPr>
          <w:rFonts w:asciiTheme="minorHAnsi" w:hAnsiTheme="minorHAnsi" w:cstheme="minorHAnsi"/>
          <w:color w:val="000000"/>
          <w:sz w:val="22"/>
          <w:szCs w:val="22"/>
        </w:rPr>
        <w:t xml:space="preserve"> koordynowane przez Ministerstwo </w:t>
      </w:r>
      <w:r w:rsidR="001D18F1" w:rsidRPr="0035160C">
        <w:rPr>
          <w:rFonts w:asciiTheme="minorHAnsi" w:hAnsiTheme="minorHAnsi" w:cstheme="minorHAnsi"/>
          <w:color w:val="000000"/>
          <w:sz w:val="22"/>
          <w:szCs w:val="22"/>
        </w:rPr>
        <w:t xml:space="preserve">Klimatu i </w:t>
      </w:r>
      <w:r w:rsidRPr="0035160C">
        <w:rPr>
          <w:rFonts w:asciiTheme="minorHAnsi" w:hAnsiTheme="minorHAnsi" w:cstheme="minorHAnsi"/>
          <w:color w:val="000000"/>
          <w:sz w:val="22"/>
          <w:szCs w:val="22"/>
        </w:rPr>
        <w:t xml:space="preserve">Środowiska </w:t>
      </w:r>
      <w:r w:rsidR="00290287">
        <w:rPr>
          <w:rFonts w:asciiTheme="minorHAnsi" w:hAnsiTheme="minorHAnsi" w:cstheme="minorHAnsi"/>
          <w:color w:val="000000"/>
          <w:sz w:val="22"/>
          <w:szCs w:val="22"/>
        </w:rPr>
        <w:t xml:space="preserve">w ramach </w:t>
      </w:r>
      <w:r w:rsidR="001D18F1" w:rsidRPr="0035160C">
        <w:rPr>
          <w:rFonts w:asciiTheme="minorHAnsi" w:hAnsiTheme="minorHAnsi" w:cstheme="minorHAnsi"/>
          <w:color w:val="000000"/>
          <w:sz w:val="22"/>
          <w:szCs w:val="22"/>
        </w:rPr>
        <w:t>Zespołu do spraw aktualizacji Krajowego Programu Ochrony Powietrza</w:t>
      </w:r>
      <w:r w:rsidRPr="0035160C">
        <w:rPr>
          <w:rFonts w:asciiTheme="minorHAnsi" w:hAnsiTheme="minorHAnsi" w:cstheme="minorHAnsi"/>
          <w:color w:val="000000"/>
          <w:sz w:val="22"/>
          <w:szCs w:val="22"/>
        </w:rPr>
        <w:t xml:space="preserve">. </w:t>
      </w:r>
      <w:r w:rsidR="001D18F1" w:rsidRPr="0035160C">
        <w:rPr>
          <w:rFonts w:asciiTheme="minorHAnsi" w:hAnsiTheme="minorHAnsi" w:cstheme="minorHAnsi"/>
          <w:color w:val="000000"/>
          <w:sz w:val="22"/>
          <w:szCs w:val="22"/>
        </w:rPr>
        <w:t>AKPOP</w:t>
      </w:r>
      <w:r w:rsidR="00A35E3A" w:rsidRPr="0035160C">
        <w:rPr>
          <w:rFonts w:asciiTheme="minorHAnsi" w:hAnsiTheme="minorHAnsi" w:cstheme="minorHAnsi"/>
          <w:color w:val="000000"/>
          <w:sz w:val="22"/>
          <w:szCs w:val="22"/>
        </w:rPr>
        <w:t xml:space="preserve"> j</w:t>
      </w:r>
      <w:r w:rsidRPr="0035160C">
        <w:rPr>
          <w:rFonts w:asciiTheme="minorHAnsi" w:hAnsiTheme="minorHAnsi" w:cstheme="minorHAnsi"/>
          <w:color w:val="000000"/>
          <w:sz w:val="22"/>
          <w:szCs w:val="22"/>
        </w:rPr>
        <w:t>est jedną z</w:t>
      </w:r>
      <w:r w:rsidR="001B24B7">
        <w:rPr>
          <w:rFonts w:asciiTheme="minorHAnsi" w:hAnsiTheme="minorHAnsi" w:cstheme="minorHAnsi"/>
          <w:color w:val="000000"/>
          <w:sz w:val="22"/>
          <w:szCs w:val="22"/>
        </w:rPr>
        <w:t xml:space="preserve"> </w:t>
      </w:r>
      <w:r w:rsidRPr="0035160C">
        <w:rPr>
          <w:rFonts w:asciiTheme="minorHAnsi" w:hAnsiTheme="minorHAnsi" w:cstheme="minorHAnsi"/>
          <w:color w:val="000000"/>
          <w:sz w:val="22"/>
          <w:szCs w:val="22"/>
        </w:rPr>
        <w:t xml:space="preserve">podstaw prowadzenia polityki ochrony </w:t>
      </w:r>
      <w:r w:rsidR="00A35E3A" w:rsidRPr="0035160C">
        <w:rPr>
          <w:rFonts w:asciiTheme="minorHAnsi" w:hAnsiTheme="minorHAnsi" w:cstheme="minorHAnsi"/>
          <w:color w:val="000000"/>
          <w:sz w:val="22"/>
          <w:szCs w:val="22"/>
        </w:rPr>
        <w:t xml:space="preserve">powietrza </w:t>
      </w:r>
      <w:r w:rsidRPr="0035160C">
        <w:rPr>
          <w:rFonts w:asciiTheme="minorHAnsi" w:hAnsiTheme="minorHAnsi" w:cstheme="minorHAnsi"/>
          <w:color w:val="000000"/>
          <w:sz w:val="22"/>
          <w:szCs w:val="22"/>
        </w:rPr>
        <w:t>w Polsce</w:t>
      </w:r>
      <w:r w:rsidR="00A35E3A" w:rsidRPr="0035160C">
        <w:rPr>
          <w:rStyle w:val="A11"/>
          <w:rFonts w:asciiTheme="minorHAnsi" w:hAnsiTheme="minorHAnsi" w:cstheme="minorHAnsi"/>
          <w:sz w:val="22"/>
          <w:szCs w:val="22"/>
        </w:rPr>
        <w:t xml:space="preserve">, stanowiący uszczegółowienie </w:t>
      </w:r>
      <w:r w:rsidR="00131C71">
        <w:rPr>
          <w:rStyle w:val="A11"/>
          <w:rFonts w:asciiTheme="minorHAnsi" w:hAnsiTheme="minorHAnsi" w:cstheme="minorHAnsi"/>
          <w:sz w:val="22"/>
          <w:szCs w:val="22"/>
        </w:rPr>
        <w:t>PEP2030</w:t>
      </w:r>
      <w:r w:rsidR="00A35E3A" w:rsidRPr="0035160C">
        <w:rPr>
          <w:rStyle w:val="A11"/>
          <w:rFonts w:asciiTheme="minorHAnsi" w:hAnsiTheme="minorHAnsi" w:cstheme="minorHAnsi"/>
          <w:sz w:val="22"/>
          <w:szCs w:val="22"/>
        </w:rPr>
        <w:t>, która jest</w:t>
      </w:r>
      <w:r w:rsidR="00131C71">
        <w:rPr>
          <w:rStyle w:val="A11"/>
          <w:rFonts w:asciiTheme="minorHAnsi" w:hAnsiTheme="minorHAnsi" w:cstheme="minorHAnsi"/>
          <w:sz w:val="22"/>
          <w:szCs w:val="22"/>
        </w:rPr>
        <w:t xml:space="preserve"> z kolei</w:t>
      </w:r>
      <w:r w:rsidR="00A35E3A" w:rsidRPr="0035160C">
        <w:rPr>
          <w:rStyle w:val="A11"/>
          <w:rFonts w:asciiTheme="minorHAnsi" w:hAnsiTheme="minorHAnsi" w:cstheme="minorHAnsi"/>
          <w:sz w:val="22"/>
          <w:szCs w:val="22"/>
        </w:rPr>
        <w:t xml:space="preserve"> </w:t>
      </w:r>
      <w:r w:rsidRPr="0035160C">
        <w:rPr>
          <w:rFonts w:asciiTheme="minorHAnsi" w:hAnsiTheme="minorHAnsi" w:cstheme="minorHAnsi"/>
          <w:color w:val="000000"/>
          <w:sz w:val="22"/>
          <w:szCs w:val="22"/>
        </w:rPr>
        <w:t>jedną z dziewięciu strategii, stanowiących fundament zarządzania rozwojem kraju.</w:t>
      </w:r>
    </w:p>
    <w:p w14:paraId="610B59B3" w14:textId="5685D3CF" w:rsidR="00282106" w:rsidRPr="0035160C" w:rsidRDefault="00282106" w:rsidP="001C78DF">
      <w:pPr>
        <w:pStyle w:val="Nagwek2"/>
        <w:numPr>
          <w:ilvl w:val="0"/>
          <w:numId w:val="0"/>
        </w:numPr>
        <w:ind w:left="510"/>
        <w:rPr>
          <w:b/>
          <w:sz w:val="22"/>
          <w:szCs w:val="22"/>
        </w:rPr>
      </w:pPr>
      <w:bookmarkStart w:id="11" w:name="_Toc78205877"/>
      <w:r w:rsidRPr="0035160C">
        <w:rPr>
          <w:b/>
          <w:sz w:val="22"/>
          <w:szCs w:val="22"/>
        </w:rPr>
        <w:t>4.2</w:t>
      </w:r>
      <w:r w:rsidRPr="0035160C">
        <w:rPr>
          <w:b/>
          <w:sz w:val="22"/>
          <w:szCs w:val="22"/>
        </w:rPr>
        <w:tab/>
        <w:t>Priorytety dotyczące jakości powietrza: priorytety polityki krajowej związane z</w:t>
      </w:r>
      <w:r w:rsidR="001B24B7">
        <w:rPr>
          <w:b/>
          <w:sz w:val="22"/>
          <w:szCs w:val="22"/>
        </w:rPr>
        <w:t> </w:t>
      </w:r>
      <w:r w:rsidRPr="0035160C">
        <w:rPr>
          <w:b/>
          <w:sz w:val="22"/>
          <w:szCs w:val="22"/>
        </w:rPr>
        <w:t>unijnymi lub krajowymi celami dotyczącymi jakości powietrza (w tym wartości dopuszczalne, wartości docelowe i</w:t>
      </w:r>
      <w:r w:rsidR="001B24B7">
        <w:rPr>
          <w:b/>
          <w:sz w:val="22"/>
          <w:szCs w:val="22"/>
        </w:rPr>
        <w:t xml:space="preserve"> </w:t>
      </w:r>
      <w:r w:rsidRPr="0035160C">
        <w:rPr>
          <w:b/>
          <w:sz w:val="22"/>
          <w:szCs w:val="22"/>
        </w:rPr>
        <w:t>pułapy stężenia ekspozycji).</w:t>
      </w:r>
      <w:bookmarkEnd w:id="11"/>
    </w:p>
    <w:p w14:paraId="26BD8716" w14:textId="53466977" w:rsidR="00C71C95" w:rsidRPr="0035160C" w:rsidRDefault="001263E6" w:rsidP="000A0265">
      <w:pPr>
        <w:jc w:val="both"/>
      </w:pPr>
      <w:r w:rsidRPr="0035160C">
        <w:t>B</w:t>
      </w:r>
      <w:r w:rsidR="00096130" w:rsidRPr="0035160C">
        <w:t>iorąc pod uwagę ostatnie wyniki oceny jakości powietrza, przeprowadzone</w:t>
      </w:r>
      <w:r w:rsidRPr="0035160C">
        <w:t>j</w:t>
      </w:r>
      <w:r w:rsidR="00096130" w:rsidRPr="0035160C">
        <w:t xml:space="preserve"> przez </w:t>
      </w:r>
      <w:r w:rsidR="00290287">
        <w:t>GIOŚ</w:t>
      </w:r>
      <w:r w:rsidR="00096130" w:rsidRPr="0035160C">
        <w:t xml:space="preserve">, </w:t>
      </w:r>
      <w:r w:rsidR="00462A0D" w:rsidRPr="0035160C">
        <w:t xml:space="preserve">które generalnie są potwierdzeniem wyników z lat poprzednich, </w:t>
      </w:r>
      <w:r w:rsidR="00996E3C">
        <w:t xml:space="preserve">pomimo poprawy stanu powietrza w postaci zmniejszenia liczby stref z przekroczeniami norm wybranych substancji, </w:t>
      </w:r>
      <w:r w:rsidR="00096130" w:rsidRPr="0035160C">
        <w:t xml:space="preserve">na Polsce </w:t>
      </w:r>
      <w:r w:rsidR="00996E3C">
        <w:t xml:space="preserve">w dalszym ciągu </w:t>
      </w:r>
      <w:r w:rsidR="00096130" w:rsidRPr="0035160C">
        <w:t>ciąży obowiązek pilnej poprawy jakości powietrza w zakresie osiągnięcia poziomów dopuszczalnych dla</w:t>
      </w:r>
      <w:r w:rsidR="000165D6">
        <w:t xml:space="preserve"> frakcji</w:t>
      </w:r>
      <w:r w:rsidR="00096130" w:rsidRPr="0035160C">
        <w:t xml:space="preserve"> pyłu zawieszonego PM10, PM2,5, </w:t>
      </w:r>
      <w:r w:rsidR="00290287">
        <w:t>dwutlenku azotu (</w:t>
      </w:r>
      <w:r w:rsidR="00A62246">
        <w:t>NO</w:t>
      </w:r>
      <w:r w:rsidR="00A62246" w:rsidRPr="00A62246">
        <w:rPr>
          <w:vertAlign w:val="subscript"/>
        </w:rPr>
        <w:t>2</w:t>
      </w:r>
      <w:r w:rsidR="00290287">
        <w:t>),</w:t>
      </w:r>
      <w:r w:rsidR="00EE4A6B" w:rsidRPr="0035160C">
        <w:t xml:space="preserve"> jak również </w:t>
      </w:r>
      <w:r w:rsidR="00096130" w:rsidRPr="0035160C">
        <w:t xml:space="preserve">poziomów docelowych dla </w:t>
      </w:r>
      <w:r w:rsidR="00A62246">
        <w:t xml:space="preserve">B(a)P </w:t>
      </w:r>
      <w:r w:rsidR="00096130" w:rsidRPr="0035160C">
        <w:t xml:space="preserve">oraz </w:t>
      </w:r>
      <w:r w:rsidR="00290287">
        <w:t>ozonu troposferycznego (</w:t>
      </w:r>
      <w:r w:rsidR="00A62246">
        <w:t>O</w:t>
      </w:r>
      <w:r w:rsidR="00A62246" w:rsidRPr="00A62246">
        <w:rPr>
          <w:vertAlign w:val="subscript"/>
        </w:rPr>
        <w:t>3</w:t>
      </w:r>
      <w:r w:rsidR="003E153D" w:rsidRPr="003E153D">
        <w:t>)</w:t>
      </w:r>
      <w:r w:rsidR="00096130" w:rsidRPr="00A62246">
        <w:t>.</w:t>
      </w:r>
      <w:r w:rsidR="00096130" w:rsidRPr="0035160C">
        <w:t xml:space="preserve"> Jednocześnie koniecznym jest osiągnięcie </w:t>
      </w:r>
      <w:r w:rsidR="00EF3CBE" w:rsidRPr="0035160C">
        <w:t xml:space="preserve">dodatkowych </w:t>
      </w:r>
      <w:r w:rsidR="00096130" w:rsidRPr="0035160C">
        <w:t xml:space="preserve">zobowiązań w zakresie </w:t>
      </w:r>
      <w:r w:rsidR="000165D6">
        <w:t xml:space="preserve">frakcji </w:t>
      </w:r>
      <w:r w:rsidR="00096130" w:rsidRPr="0035160C">
        <w:t>pyłu zawieszonego PM2,5</w:t>
      </w:r>
      <w:r w:rsidR="00EF3CBE" w:rsidRPr="0035160C">
        <w:t xml:space="preserve">, określonych w </w:t>
      </w:r>
      <w:r w:rsidR="00096130" w:rsidRPr="0035160C">
        <w:t>d</w:t>
      </w:r>
      <w:r w:rsidR="000A0265" w:rsidRPr="0035160C">
        <w:t>yrektyw</w:t>
      </w:r>
      <w:r w:rsidR="00EF3CBE" w:rsidRPr="0035160C">
        <w:t>ie</w:t>
      </w:r>
      <w:r w:rsidR="000A0265" w:rsidRPr="0035160C">
        <w:t xml:space="preserve"> 2008/50/WE</w:t>
      </w:r>
      <w:r w:rsidR="00096130" w:rsidRPr="0035160C">
        <w:t xml:space="preserve">, </w:t>
      </w:r>
      <w:r w:rsidR="00C71C95" w:rsidRPr="0035160C">
        <w:t>jakimi są z</w:t>
      </w:r>
      <w:r w:rsidR="001B24B7">
        <w:t> </w:t>
      </w:r>
      <w:r w:rsidR="00C71C95" w:rsidRPr="0035160C">
        <w:t>pewnością K</w:t>
      </w:r>
      <w:r w:rsidR="000A0265" w:rsidRPr="0035160C">
        <w:t>rajow</w:t>
      </w:r>
      <w:r w:rsidR="00C71C95" w:rsidRPr="0035160C">
        <w:t xml:space="preserve">y </w:t>
      </w:r>
      <w:r w:rsidR="000A0265" w:rsidRPr="0035160C">
        <w:t xml:space="preserve">Cel Redukcji Narażenia na pył PM2,5 </w:t>
      </w:r>
      <w:r w:rsidR="00C71C95" w:rsidRPr="0035160C">
        <w:t xml:space="preserve">oraz pułap stężenia ekspozycji na </w:t>
      </w:r>
      <w:r w:rsidR="000165D6">
        <w:t xml:space="preserve">frakcję </w:t>
      </w:r>
      <w:r w:rsidR="00C71C95" w:rsidRPr="0035160C">
        <w:t>pył</w:t>
      </w:r>
      <w:r w:rsidR="000165D6">
        <w:t>u</w:t>
      </w:r>
      <w:r w:rsidR="00C71C95" w:rsidRPr="0035160C">
        <w:t xml:space="preserve"> PM2,5.</w:t>
      </w:r>
      <w:r w:rsidR="004B2ED3" w:rsidRPr="0035160C">
        <w:t xml:space="preserve"> </w:t>
      </w:r>
    </w:p>
    <w:p w14:paraId="4DEC3FC7" w14:textId="4F48E1B5" w:rsidR="001263E6" w:rsidRPr="0035160C" w:rsidRDefault="001263E6" w:rsidP="001263E6">
      <w:pPr>
        <w:jc w:val="both"/>
      </w:pPr>
      <w:r w:rsidRPr="0035160C">
        <w:t>Zgodnie z rozporządzeniem Ministra Środowiska z dnia 14 sierpnia 2012 r. w sprawie krajowego celu redukcji narażenia (Dz. U. poz. 1030),</w:t>
      </w:r>
      <w:r w:rsidRPr="0035160C">
        <w:rPr>
          <w:b/>
          <w:bCs/>
        </w:rPr>
        <w:t xml:space="preserve"> </w:t>
      </w:r>
      <w:r w:rsidRPr="0035160C">
        <w:rPr>
          <w:b/>
          <w:bCs/>
          <w:color w:val="2F5496" w:themeColor="accent1" w:themeShade="BF"/>
        </w:rPr>
        <w:t>Krajowy Cel Redukcji Narażenia planowany do osiągnięcia w</w:t>
      </w:r>
      <w:r w:rsidR="00290287">
        <w:rPr>
          <w:b/>
          <w:bCs/>
          <w:color w:val="2F5496" w:themeColor="accent1" w:themeShade="BF"/>
        </w:rPr>
        <w:t> </w:t>
      </w:r>
      <w:r w:rsidRPr="0035160C">
        <w:rPr>
          <w:b/>
          <w:bCs/>
          <w:color w:val="2F5496" w:themeColor="accent1" w:themeShade="BF"/>
        </w:rPr>
        <w:t>terminie do dnia 1 stycznia 2020 r. dla stężenia</w:t>
      </w:r>
      <w:r w:rsidR="000165D6">
        <w:rPr>
          <w:b/>
          <w:bCs/>
          <w:color w:val="2F5496" w:themeColor="accent1" w:themeShade="BF"/>
        </w:rPr>
        <w:t xml:space="preserve"> frakcji PM2,5</w:t>
      </w:r>
      <w:r w:rsidRPr="0035160C">
        <w:rPr>
          <w:b/>
          <w:bCs/>
          <w:color w:val="2F5496" w:themeColor="accent1" w:themeShade="BF"/>
        </w:rPr>
        <w:t xml:space="preserve"> pyłu zawieszonego w powietrzu wynosi </w:t>
      </w:r>
      <w:r w:rsidR="000A0265" w:rsidRPr="0035160C">
        <w:rPr>
          <w:b/>
          <w:bCs/>
          <w:color w:val="2F5496" w:themeColor="accent1" w:themeShade="BF"/>
        </w:rPr>
        <w:t>18</w:t>
      </w:r>
      <w:r w:rsidR="00290287">
        <w:rPr>
          <w:b/>
          <w:bCs/>
          <w:color w:val="2F5496" w:themeColor="accent1" w:themeShade="BF"/>
        </w:rPr>
        <w:t> </w:t>
      </w:r>
      <w:r w:rsidR="000A0265" w:rsidRPr="0035160C">
        <w:rPr>
          <w:b/>
          <w:bCs/>
          <w:color w:val="2F5496" w:themeColor="accent1" w:themeShade="BF"/>
        </w:rPr>
        <w:t>μg/m</w:t>
      </w:r>
      <w:r w:rsidR="000A0265" w:rsidRPr="0035160C">
        <w:rPr>
          <w:b/>
          <w:bCs/>
          <w:color w:val="2F5496" w:themeColor="accent1" w:themeShade="BF"/>
          <w:vertAlign w:val="superscript"/>
        </w:rPr>
        <w:t>3</w:t>
      </w:r>
      <w:r w:rsidR="00EF3CBE" w:rsidRPr="0035160C">
        <w:rPr>
          <w:color w:val="2F5496" w:themeColor="accent1" w:themeShade="BF"/>
        </w:rPr>
        <w:t xml:space="preserve">. </w:t>
      </w:r>
    </w:p>
    <w:p w14:paraId="6AE80B38" w14:textId="435E74DB" w:rsidR="001263E6" w:rsidRPr="0035160C" w:rsidRDefault="001263E6" w:rsidP="001263E6">
      <w:pPr>
        <w:jc w:val="both"/>
      </w:pPr>
      <w:r w:rsidRPr="0035160C">
        <w:t xml:space="preserve">Natomiast </w:t>
      </w:r>
      <w:r w:rsidRPr="0035160C">
        <w:rPr>
          <w:b/>
          <w:bCs/>
          <w:color w:val="2F5496" w:themeColor="accent1" w:themeShade="BF"/>
        </w:rPr>
        <w:t xml:space="preserve">wartość krajowego wskaźnika średniego narażenia na </w:t>
      </w:r>
      <w:r w:rsidR="000165D6">
        <w:rPr>
          <w:b/>
          <w:bCs/>
          <w:color w:val="2F5496" w:themeColor="accent1" w:themeShade="BF"/>
        </w:rPr>
        <w:t>frakcję</w:t>
      </w:r>
      <w:r w:rsidRPr="0035160C">
        <w:rPr>
          <w:b/>
          <w:bCs/>
          <w:color w:val="2F5496" w:themeColor="accent1" w:themeShade="BF"/>
        </w:rPr>
        <w:t xml:space="preserve"> PM2,5</w:t>
      </w:r>
      <w:r w:rsidR="000165D6">
        <w:rPr>
          <w:b/>
          <w:bCs/>
          <w:color w:val="2F5496" w:themeColor="accent1" w:themeShade="BF"/>
        </w:rPr>
        <w:t xml:space="preserve"> pyłu</w:t>
      </w:r>
      <w:r w:rsidRPr="0035160C">
        <w:rPr>
          <w:b/>
          <w:bCs/>
          <w:color w:val="2F5496" w:themeColor="accent1" w:themeShade="BF"/>
        </w:rPr>
        <w:t xml:space="preserve"> dla 20</w:t>
      </w:r>
      <w:r w:rsidR="007F38CA" w:rsidRPr="0035160C">
        <w:rPr>
          <w:b/>
          <w:bCs/>
          <w:color w:val="2F5496" w:themeColor="accent1" w:themeShade="BF"/>
        </w:rPr>
        <w:t>20</w:t>
      </w:r>
      <w:r w:rsidRPr="0035160C">
        <w:rPr>
          <w:b/>
          <w:bCs/>
          <w:color w:val="2F5496" w:themeColor="accent1" w:themeShade="BF"/>
        </w:rPr>
        <w:t xml:space="preserve"> r. wyn</w:t>
      </w:r>
      <w:r w:rsidR="00A62246">
        <w:rPr>
          <w:b/>
          <w:bCs/>
          <w:color w:val="2F5496" w:themeColor="accent1" w:themeShade="BF"/>
        </w:rPr>
        <w:t>iosła</w:t>
      </w:r>
      <w:r w:rsidR="005F3BEE">
        <w:rPr>
          <w:b/>
          <w:bCs/>
          <w:color w:val="2F5496" w:themeColor="accent1" w:themeShade="BF"/>
        </w:rPr>
        <w:t xml:space="preserve"> </w:t>
      </w:r>
      <w:r w:rsidR="007F38CA" w:rsidRPr="0035160C">
        <w:rPr>
          <w:b/>
          <w:bCs/>
          <w:color w:val="2F5496" w:themeColor="accent1" w:themeShade="BF"/>
        </w:rPr>
        <w:t>19</w:t>
      </w:r>
      <w:r w:rsidRPr="0035160C">
        <w:rPr>
          <w:b/>
          <w:bCs/>
          <w:color w:val="2F5496" w:themeColor="accent1" w:themeShade="BF"/>
        </w:rPr>
        <w:t xml:space="preserve"> µg/m</w:t>
      </w:r>
      <w:r w:rsidRPr="0035160C">
        <w:rPr>
          <w:b/>
          <w:bCs/>
          <w:color w:val="2F5496" w:themeColor="accent1" w:themeShade="BF"/>
          <w:vertAlign w:val="superscript"/>
        </w:rPr>
        <w:t>3</w:t>
      </w:r>
      <w:r w:rsidR="007F38CA" w:rsidRPr="0035160C">
        <w:t>.</w:t>
      </w:r>
      <w:r w:rsidRPr="0035160C">
        <w:rPr>
          <w:vertAlign w:val="superscript"/>
        </w:rPr>
        <w:t xml:space="preserve"> </w:t>
      </w:r>
      <w:r w:rsidR="007F38CA" w:rsidRPr="0035160C">
        <w:rPr>
          <w:rFonts w:cstheme="minorHAnsi"/>
        </w:rPr>
        <w:t>Wartość ta jest o 2 µg/m</w:t>
      </w:r>
      <w:r w:rsidR="007F38CA" w:rsidRPr="0035160C">
        <w:rPr>
          <w:rFonts w:cstheme="minorHAnsi"/>
          <w:vertAlign w:val="superscript"/>
        </w:rPr>
        <w:t>3</w:t>
      </w:r>
      <w:r w:rsidR="007F38CA" w:rsidRPr="0035160C">
        <w:rPr>
          <w:rFonts w:cstheme="minorHAnsi"/>
        </w:rPr>
        <w:t xml:space="preserve"> mniejsza od wartości krajowego wskaźnika średniego narażenia dla roku 2019 oraz o 3 µg/m</w:t>
      </w:r>
      <w:r w:rsidR="007F38CA" w:rsidRPr="0035160C">
        <w:rPr>
          <w:rFonts w:cstheme="minorHAnsi"/>
          <w:vertAlign w:val="superscript"/>
        </w:rPr>
        <w:t>3</w:t>
      </w:r>
      <w:r w:rsidR="007F38CA" w:rsidRPr="0035160C">
        <w:rPr>
          <w:rFonts w:cstheme="minorHAnsi"/>
        </w:rPr>
        <w:t xml:space="preserve"> mniejsza od wskaźnika w latach 2016-2018. Jest to kolejny rok, w którym odnotowano spadek wartości krajowego wskaźnika narażenia na pył zawieszony PM2,5. </w:t>
      </w:r>
    </w:p>
    <w:p w14:paraId="3A727365" w14:textId="3D8452B8" w:rsidR="005A139B" w:rsidRPr="0035160C" w:rsidRDefault="005A139B" w:rsidP="005A139B">
      <w:pPr>
        <w:jc w:val="both"/>
      </w:pPr>
      <w:r w:rsidRPr="0035160C">
        <w:rPr>
          <w:b/>
          <w:bCs/>
          <w:color w:val="2F5496" w:themeColor="accent1" w:themeShade="BF"/>
        </w:rPr>
        <w:t>W 20</w:t>
      </w:r>
      <w:r w:rsidR="00AD04BD" w:rsidRPr="0035160C">
        <w:rPr>
          <w:b/>
          <w:bCs/>
          <w:color w:val="2F5496" w:themeColor="accent1" w:themeShade="BF"/>
        </w:rPr>
        <w:t>20</w:t>
      </w:r>
      <w:r w:rsidRPr="0035160C">
        <w:rPr>
          <w:b/>
          <w:bCs/>
          <w:color w:val="2F5496" w:themeColor="accent1" w:themeShade="BF"/>
        </w:rPr>
        <w:t xml:space="preserve"> r. </w:t>
      </w:r>
      <w:r w:rsidR="00AD04BD" w:rsidRPr="0035160C">
        <w:rPr>
          <w:b/>
          <w:bCs/>
          <w:color w:val="2F5496" w:themeColor="accent1" w:themeShade="BF"/>
        </w:rPr>
        <w:t xml:space="preserve">w dalszym ciągu </w:t>
      </w:r>
      <w:r w:rsidRPr="0035160C">
        <w:rPr>
          <w:b/>
          <w:bCs/>
          <w:color w:val="2F5496" w:themeColor="accent1" w:themeShade="BF"/>
        </w:rPr>
        <w:t xml:space="preserve">w </w:t>
      </w:r>
      <w:r w:rsidR="00AD04BD" w:rsidRPr="0035160C">
        <w:rPr>
          <w:b/>
          <w:bCs/>
          <w:color w:val="2F5496" w:themeColor="accent1" w:themeShade="BF"/>
        </w:rPr>
        <w:t>ośmiu</w:t>
      </w:r>
      <w:r w:rsidRPr="0035160C">
        <w:rPr>
          <w:b/>
          <w:bCs/>
          <w:color w:val="2F5496" w:themeColor="accent1" w:themeShade="BF"/>
        </w:rPr>
        <w:t xml:space="preserve"> miastach powyżej 100 tysięcy mieszkańców</w:t>
      </w:r>
      <w:r w:rsidR="00D41AC9" w:rsidRPr="0035160C">
        <w:rPr>
          <w:b/>
          <w:bCs/>
          <w:color w:val="2F5496" w:themeColor="accent1" w:themeShade="BF"/>
        </w:rPr>
        <w:t>, wartość wskaźnika średniego narażenia na pył PM2,5 przekroczył</w:t>
      </w:r>
      <w:r w:rsidR="006552B0" w:rsidRPr="0035160C">
        <w:rPr>
          <w:b/>
          <w:bCs/>
          <w:color w:val="2F5496" w:themeColor="accent1" w:themeShade="BF"/>
        </w:rPr>
        <w:t>a</w:t>
      </w:r>
      <w:r w:rsidR="00D41AC9" w:rsidRPr="0035160C">
        <w:rPr>
          <w:b/>
          <w:bCs/>
          <w:color w:val="2F5496" w:themeColor="accent1" w:themeShade="BF"/>
        </w:rPr>
        <w:t xml:space="preserve"> </w:t>
      </w:r>
      <w:r w:rsidR="00AD04BD" w:rsidRPr="0035160C">
        <w:rPr>
          <w:b/>
          <w:bCs/>
          <w:color w:val="2F5496" w:themeColor="accent1" w:themeShade="BF"/>
        </w:rPr>
        <w:t xml:space="preserve">wartość </w:t>
      </w:r>
      <w:r w:rsidR="00D41AC9" w:rsidRPr="0035160C">
        <w:rPr>
          <w:b/>
          <w:bCs/>
          <w:color w:val="2F5496" w:themeColor="accent1" w:themeShade="BF"/>
        </w:rPr>
        <w:t>pułap</w:t>
      </w:r>
      <w:r w:rsidR="00AD04BD" w:rsidRPr="0035160C">
        <w:rPr>
          <w:b/>
          <w:bCs/>
          <w:color w:val="2F5496" w:themeColor="accent1" w:themeShade="BF"/>
        </w:rPr>
        <w:t>u</w:t>
      </w:r>
      <w:r w:rsidR="00D41AC9" w:rsidRPr="0035160C">
        <w:rPr>
          <w:b/>
          <w:bCs/>
          <w:color w:val="2F5496" w:themeColor="accent1" w:themeShade="BF"/>
        </w:rPr>
        <w:t xml:space="preserve"> stężenia ekspozycji</w:t>
      </w:r>
      <w:r w:rsidR="00D41AC9" w:rsidRPr="0035160C">
        <w:t>.</w:t>
      </w:r>
      <w:r w:rsidRPr="0035160C">
        <w:t xml:space="preserve"> </w:t>
      </w:r>
    </w:p>
    <w:p w14:paraId="0203DFF6" w14:textId="295EB7DD" w:rsidR="00D41AC9" w:rsidRPr="0035160C" w:rsidRDefault="005A139B" w:rsidP="00D41AC9">
      <w:pPr>
        <w:jc w:val="both"/>
      </w:pPr>
      <w:r w:rsidRPr="0035160C">
        <w:t>Tym samym konieczne jest podjęcie dodatkowych, zintensyfikowanych działań, które pozwolą na szybką redukcję stężeń pyłu zawieszonego PM2,5, tak aby możliwe było jak najszybsze osiągnięcie zarówno Krajowego Celu Redukcji Narażenia na poziomie 18 µg/m</w:t>
      </w:r>
      <w:r w:rsidRPr="0035160C">
        <w:rPr>
          <w:vertAlign w:val="superscript"/>
        </w:rPr>
        <w:t>3</w:t>
      </w:r>
      <w:r w:rsidRPr="0035160C">
        <w:t>,</w:t>
      </w:r>
      <w:r w:rsidRPr="0035160C">
        <w:rPr>
          <w:vertAlign w:val="superscript"/>
        </w:rPr>
        <w:t xml:space="preserve"> </w:t>
      </w:r>
      <w:r w:rsidRPr="0035160C">
        <w:t xml:space="preserve">co de facto </w:t>
      </w:r>
      <w:r w:rsidR="00D41AC9" w:rsidRPr="0035160C">
        <w:t xml:space="preserve">powinno </w:t>
      </w:r>
      <w:r w:rsidRPr="0035160C">
        <w:t>pozwoli</w:t>
      </w:r>
      <w:r w:rsidR="00D41AC9" w:rsidRPr="0035160C">
        <w:t>ć</w:t>
      </w:r>
      <w:r w:rsidRPr="0035160C">
        <w:rPr>
          <w:vertAlign w:val="superscript"/>
        </w:rPr>
        <w:t xml:space="preserve"> </w:t>
      </w:r>
      <w:r w:rsidRPr="0035160C">
        <w:t>na osiągnięcie pułapu stężenia ek</w:t>
      </w:r>
      <w:r w:rsidR="00D41AC9" w:rsidRPr="0035160C">
        <w:t xml:space="preserve">spozycji w miastach powyżej 100 tysięcy mieszkańców, wskazanych </w:t>
      </w:r>
      <w:r w:rsidR="00D41AC9" w:rsidRPr="0035160C">
        <w:lastRenderedPageBreak/>
        <w:t>w</w:t>
      </w:r>
      <w:r w:rsidR="00A62246">
        <w:t> </w:t>
      </w:r>
      <w:r w:rsidR="00D41AC9" w:rsidRPr="0035160C">
        <w:t xml:space="preserve">Załączniku nr 1 do obwieszczenia Ministra Klimatu z dnia 8 września 2020 r. </w:t>
      </w:r>
      <w:r w:rsidR="00D41AC9" w:rsidRPr="0035160C">
        <w:rPr>
          <w:i/>
          <w:iCs/>
        </w:rPr>
        <w:t>w sprawie wykazu miast o liczbie mieszkańców większej niż 100 tysięcy i aglomeracji, w których wartość wskaźnika średniego narażenia dla miasta o liczbie mieszkańców większej niż 100 tysięcy i aglomeracji przekracza wartość pułapu stężenia ekspozycji, oraz wykazu miast o liczbie mieszkańców większej niż 100 tysięcy i</w:t>
      </w:r>
      <w:r w:rsidR="00A62246">
        <w:rPr>
          <w:i/>
          <w:iCs/>
        </w:rPr>
        <w:t> </w:t>
      </w:r>
      <w:r w:rsidR="00D41AC9" w:rsidRPr="0035160C">
        <w:rPr>
          <w:i/>
          <w:iCs/>
        </w:rPr>
        <w:t>aglomeracji, w których wartość wskaźnika średniego narażenia dla miasta o liczbie mieszkańców większej niż 100 tysięcy i</w:t>
      </w:r>
      <w:r w:rsidR="001B24B7">
        <w:rPr>
          <w:i/>
          <w:iCs/>
        </w:rPr>
        <w:t xml:space="preserve"> </w:t>
      </w:r>
      <w:r w:rsidR="00D41AC9" w:rsidRPr="0035160C">
        <w:rPr>
          <w:i/>
          <w:iCs/>
        </w:rPr>
        <w:t>aglomeracji nie przekracza wartości pułapu stężenia ekspozycji</w:t>
      </w:r>
      <w:r w:rsidR="00D41AC9" w:rsidRPr="0035160C">
        <w:t xml:space="preserve"> (M. P. poz. 799).</w:t>
      </w:r>
    </w:p>
    <w:p w14:paraId="0B7D217D" w14:textId="3A9837A4" w:rsidR="00CD3F46" w:rsidRPr="0035160C" w:rsidRDefault="00CD3F46" w:rsidP="000A0265">
      <w:pPr>
        <w:jc w:val="both"/>
      </w:pPr>
      <w:r w:rsidRPr="0035160C">
        <w:t xml:space="preserve">W związku z </w:t>
      </w:r>
      <w:r w:rsidR="00FE397B" w:rsidRPr="0035160C">
        <w:t xml:space="preserve">dokonanym </w:t>
      </w:r>
      <w:r w:rsidRPr="0035160C">
        <w:t>przeglądem dotychczasowej polityki UE w zakresie jakości powietrza oraz opublikowan</w:t>
      </w:r>
      <w:r w:rsidR="00FE397B" w:rsidRPr="0035160C">
        <w:t>ym</w:t>
      </w:r>
      <w:r w:rsidRPr="0035160C">
        <w:t xml:space="preserve"> w 2013 r.</w:t>
      </w:r>
      <w:r w:rsidR="00FE397B" w:rsidRPr="0035160C">
        <w:t xml:space="preserve"> przez Kolegium Komisarzy </w:t>
      </w:r>
      <w:r w:rsidRPr="0035160C">
        <w:t>Pakiet</w:t>
      </w:r>
      <w:r w:rsidR="00FE397B" w:rsidRPr="0035160C">
        <w:t>em</w:t>
      </w:r>
      <w:r w:rsidRPr="0035160C">
        <w:t xml:space="preserve"> „</w:t>
      </w:r>
      <w:r w:rsidRPr="0035160C">
        <w:rPr>
          <w:i/>
        </w:rPr>
        <w:t>The Clean Air Policy Package</w:t>
      </w:r>
      <w:r w:rsidRPr="0035160C">
        <w:t>”, w</w:t>
      </w:r>
      <w:r w:rsidR="001B24B7">
        <w:t> </w:t>
      </w:r>
      <w:r w:rsidRPr="0035160C">
        <w:t xml:space="preserve">ramach którego zostały przyjęte: </w:t>
      </w:r>
    </w:p>
    <w:p w14:paraId="5A7A7CBE" w14:textId="19B5CC8E" w:rsidR="00CD3F46" w:rsidRPr="0035160C" w:rsidRDefault="00290287" w:rsidP="00CA3BB7">
      <w:pPr>
        <w:numPr>
          <w:ilvl w:val="0"/>
          <w:numId w:val="2"/>
        </w:numPr>
        <w:jc w:val="both"/>
      </w:pPr>
      <w:r>
        <w:t>P</w:t>
      </w:r>
      <w:r w:rsidR="00CD3F46" w:rsidRPr="0035160C">
        <w:t>rogram „Czyste powietrze dla Europy”, w którym Komisja przedstawiła, jak zrealizować obecne cele i wytycz</w:t>
      </w:r>
      <w:r w:rsidR="00A06137">
        <w:t>yła</w:t>
      </w:r>
      <w:r w:rsidR="00CD3F46" w:rsidRPr="0035160C">
        <w:t xml:space="preserve"> nowe cele pod względem jakości powietrza na okres do 2030 r.</w:t>
      </w:r>
      <w:r w:rsidR="00585FC0">
        <w:t>,</w:t>
      </w:r>
    </w:p>
    <w:p w14:paraId="2810780A" w14:textId="0DB8D40E" w:rsidR="00FE397B" w:rsidRPr="0035160C" w:rsidRDefault="00CD3F46" w:rsidP="00CA3BB7">
      <w:pPr>
        <w:numPr>
          <w:ilvl w:val="0"/>
          <w:numId w:val="2"/>
        </w:numPr>
        <w:jc w:val="both"/>
      </w:pPr>
      <w:r w:rsidRPr="0035160C">
        <w:t>dyrektywa  MCP, która obejmuje źródła emisji od 1 MW do 50 MW, które wcześniej nie podlegały żadnym regulacjom na poziomie UE. Dyrektywa MCP w założeniu ma wspomóc osiągnięcie w znacznej części zobowiązań redukcyjnych ustanowionych w dyrektywie</w:t>
      </w:r>
      <w:r w:rsidR="00FE397B" w:rsidRPr="0035160C">
        <w:t>, o której mowa poniżej</w:t>
      </w:r>
      <w:r w:rsidR="00585FC0">
        <w:t>,</w:t>
      </w:r>
    </w:p>
    <w:p w14:paraId="6DDBE44E" w14:textId="55AF2389" w:rsidR="00D41223" w:rsidRPr="0035160C" w:rsidRDefault="00FE397B" w:rsidP="00CA3BB7">
      <w:pPr>
        <w:numPr>
          <w:ilvl w:val="0"/>
          <w:numId w:val="2"/>
        </w:numPr>
        <w:jc w:val="both"/>
      </w:pPr>
      <w:r w:rsidRPr="0035160C">
        <w:t>dyrektywa NEC.</w:t>
      </w:r>
    </w:p>
    <w:p w14:paraId="35062CA8" w14:textId="3AF31B4E" w:rsidR="00FE397B" w:rsidRPr="0035160C" w:rsidRDefault="00CD3F46" w:rsidP="00CD3F46">
      <w:pPr>
        <w:jc w:val="both"/>
      </w:pPr>
      <w:r w:rsidRPr="0035160C">
        <w:t>Przyjęte</w:t>
      </w:r>
      <w:r w:rsidR="00FE397B" w:rsidRPr="0035160C">
        <w:t xml:space="preserve"> na poziomie unijnym, </w:t>
      </w:r>
      <w:r w:rsidRPr="0035160C">
        <w:t xml:space="preserve">w ramach pakietu </w:t>
      </w:r>
      <w:r w:rsidRPr="0035160C">
        <w:rPr>
          <w:b/>
          <w:bCs/>
          <w:color w:val="2F5496" w:themeColor="accent1" w:themeShade="BF"/>
        </w:rPr>
        <w:t>„</w:t>
      </w:r>
      <w:r w:rsidRPr="0035160C">
        <w:rPr>
          <w:b/>
          <w:bCs/>
          <w:i/>
          <w:color w:val="2F5496" w:themeColor="accent1" w:themeShade="BF"/>
        </w:rPr>
        <w:t>The Clean Air Policy Package</w:t>
      </w:r>
      <w:r w:rsidRPr="0035160C">
        <w:rPr>
          <w:b/>
          <w:bCs/>
          <w:color w:val="2F5496" w:themeColor="accent1" w:themeShade="BF"/>
        </w:rPr>
        <w:t>”</w:t>
      </w:r>
      <w:r w:rsidR="00FE397B" w:rsidRPr="0035160C">
        <w:t>,</w:t>
      </w:r>
      <w:r w:rsidRPr="0035160C">
        <w:t xml:space="preserve"> akty prawne kontynuują długofalową politykę Unii Europejskiej w zakresie poprawy jakości powietrza, polegającą na osiągnięciu poziomów zanieczyszcz</w:t>
      </w:r>
      <w:r w:rsidR="00585FC0">
        <w:t>e</w:t>
      </w:r>
      <w:r w:rsidRPr="0035160C">
        <w:t xml:space="preserve">nia powietrza, które nie powodują znacznych negatywnych skutków ani zagrożeń dla zdrowia ludzkiego i środowiska. </w:t>
      </w:r>
    </w:p>
    <w:p w14:paraId="597FBB43" w14:textId="77777777" w:rsidR="00F75DC5" w:rsidRDefault="00126CCC" w:rsidP="00126CCC">
      <w:pPr>
        <w:jc w:val="both"/>
        <w:rPr>
          <w:lang w:val="pl"/>
        </w:rPr>
      </w:pPr>
      <w:r w:rsidRPr="0035160C">
        <w:rPr>
          <w:lang w:val="pl"/>
        </w:rPr>
        <w:t xml:space="preserve">Podkreślić należy, że poprawa jakości powietrza od kilkunastu lat jest jednym z </w:t>
      </w:r>
      <w:r w:rsidR="00290287">
        <w:rPr>
          <w:lang w:val="pl"/>
        </w:rPr>
        <w:t xml:space="preserve">nadrzędnych </w:t>
      </w:r>
      <w:r w:rsidRPr="0035160C">
        <w:rPr>
          <w:lang w:val="pl"/>
        </w:rPr>
        <w:t xml:space="preserve">priorytetów na poziomie Unii Europejskim. Obecnie </w:t>
      </w:r>
      <w:r w:rsidRPr="0035160C">
        <w:rPr>
          <w:b/>
          <w:bCs/>
          <w:color w:val="2F5496" w:themeColor="accent1" w:themeShade="BF"/>
          <w:lang w:val="pl"/>
        </w:rPr>
        <w:t>głównym dokumentem strategicznym UE w</w:t>
      </w:r>
      <w:r w:rsidR="001B24B7">
        <w:rPr>
          <w:b/>
          <w:bCs/>
          <w:color w:val="2F5496" w:themeColor="accent1" w:themeShade="BF"/>
          <w:lang w:val="pl"/>
        </w:rPr>
        <w:t> </w:t>
      </w:r>
      <w:r w:rsidRPr="0035160C">
        <w:rPr>
          <w:b/>
          <w:bCs/>
          <w:color w:val="2F5496" w:themeColor="accent1" w:themeShade="BF"/>
          <w:lang w:val="pl"/>
        </w:rPr>
        <w:t xml:space="preserve">sprawie jakości powietrza jest </w:t>
      </w:r>
      <w:r w:rsidR="005F3BEE">
        <w:rPr>
          <w:b/>
          <w:bCs/>
          <w:color w:val="2F5496" w:themeColor="accent1" w:themeShade="BF"/>
          <w:lang w:val="pl"/>
        </w:rPr>
        <w:t>„</w:t>
      </w:r>
      <w:r w:rsidRPr="0035160C">
        <w:rPr>
          <w:b/>
          <w:bCs/>
          <w:color w:val="2F5496" w:themeColor="accent1" w:themeShade="BF"/>
          <w:lang w:val="pl"/>
        </w:rPr>
        <w:t>Program czystego powietrza dla Europy"</w:t>
      </w:r>
      <w:r w:rsidRPr="0035160C">
        <w:rPr>
          <w:lang w:val="pl"/>
        </w:rPr>
        <w:t xml:space="preserve">. </w:t>
      </w:r>
      <w:r w:rsidR="00F75DC5" w:rsidRPr="00F75DC5">
        <w:rPr>
          <w:lang w:val="pl"/>
        </w:rPr>
        <w:t>Określono w nim dwa główne cele na 2030 r.: zmniejszenie liczby przedwczesnych zgonów z powodu pyłu zawieszonego i ozonu o 52% oraz zmniejszenie obszaru ekosystemu przekraczającego limity eutrofizacji do 35%, przy założeniu realizacji obu celów poprzez połączenie środków regulacyjnych i nieregulacyjnych.</w:t>
      </w:r>
    </w:p>
    <w:p w14:paraId="1BF266DF" w14:textId="143FD4FB" w:rsidR="00126CCC" w:rsidRPr="0035160C" w:rsidRDefault="00126CCC" w:rsidP="00126CCC">
      <w:pPr>
        <w:jc w:val="both"/>
      </w:pPr>
      <w:r w:rsidRPr="0035160C">
        <w:rPr>
          <w:lang w:val="pl"/>
        </w:rPr>
        <w:t xml:space="preserve">Niedawno w </w:t>
      </w:r>
      <w:r w:rsidRPr="0035160C">
        <w:rPr>
          <w:b/>
          <w:bCs/>
          <w:color w:val="2F5496" w:themeColor="accent1" w:themeShade="BF"/>
          <w:lang w:val="pl"/>
        </w:rPr>
        <w:t>Europejskim Zielonym Ładzie</w:t>
      </w:r>
      <w:r w:rsidRPr="0035160C">
        <w:rPr>
          <w:color w:val="2F5496" w:themeColor="accent1" w:themeShade="BF"/>
          <w:lang w:val="pl"/>
        </w:rPr>
        <w:t xml:space="preserve"> </w:t>
      </w:r>
      <w:r w:rsidRPr="0035160C">
        <w:rPr>
          <w:lang w:val="pl"/>
        </w:rPr>
        <w:t xml:space="preserve">nałożono na UE zobowiązanie do działań na rzecz zmniejszenia zanieczyszczenia powietrza z głównych sektorów </w:t>
      </w:r>
      <w:r w:rsidR="00D41223" w:rsidRPr="0035160C">
        <w:rPr>
          <w:lang w:val="pl"/>
        </w:rPr>
        <w:t xml:space="preserve">gospodarki, które mają największy wpływ na stan powietrza oraz </w:t>
      </w:r>
      <w:r w:rsidRPr="0035160C">
        <w:rPr>
          <w:lang w:val="pl"/>
        </w:rPr>
        <w:t xml:space="preserve">do sprostania powiązanym ze sobą wyzwaniom związanym z zanieczyszczeniem powietrza </w:t>
      </w:r>
      <w:r w:rsidR="00D41223" w:rsidRPr="0035160C">
        <w:rPr>
          <w:lang w:val="pl"/>
        </w:rPr>
        <w:t xml:space="preserve">oraz ograniczeniu emisji gazów cieplarnianych. </w:t>
      </w:r>
    </w:p>
    <w:p w14:paraId="48EC020C" w14:textId="7FD07357" w:rsidR="00CD3F46" w:rsidRPr="0035160C" w:rsidRDefault="00126CCC" w:rsidP="00CD3F46">
      <w:pPr>
        <w:jc w:val="both"/>
      </w:pPr>
      <w:r w:rsidRPr="0035160C">
        <w:t>Ważną</w:t>
      </w:r>
      <w:r w:rsidR="00FE397B" w:rsidRPr="0035160C">
        <w:t xml:space="preserve"> rolę i wsparcie w realizacji </w:t>
      </w:r>
      <w:r w:rsidR="00397D91" w:rsidRPr="0035160C">
        <w:t>polityki</w:t>
      </w:r>
      <w:r w:rsidR="00FE397B" w:rsidRPr="0035160C">
        <w:t xml:space="preserve"> poprawy jakości powietrza z pewnością będzie stanowiła dyrektywa NEC, </w:t>
      </w:r>
      <w:r w:rsidR="00CD3F46" w:rsidRPr="0035160C">
        <w:t>określając</w:t>
      </w:r>
      <w:r w:rsidR="00397D91" w:rsidRPr="0035160C">
        <w:t>a</w:t>
      </w:r>
      <w:r w:rsidR="00CD3F46" w:rsidRPr="0035160C">
        <w:t xml:space="preserve"> krajowe zobowiązania w</w:t>
      </w:r>
      <w:r w:rsidR="005B2DED">
        <w:t xml:space="preserve"> </w:t>
      </w:r>
      <w:r w:rsidR="00CD3F46" w:rsidRPr="0035160C">
        <w:t>zakresie redukcji emisji poszczególnych zanieczyszczeń w stosunku do roku 2005. Zobowiązania te dla lat 2020-2029 przyjęto zgodnie ze zmienionym Protokołem z Göteborga</w:t>
      </w:r>
      <w:r w:rsidR="00CD3F46" w:rsidRPr="0035160C">
        <w:rPr>
          <w:vertAlign w:val="superscript"/>
        </w:rPr>
        <w:footnoteReference w:id="2"/>
      </w:r>
      <w:r w:rsidR="00CD3F46" w:rsidRPr="0035160C">
        <w:rPr>
          <w:vertAlign w:val="superscript"/>
        </w:rPr>
        <w:t>)</w:t>
      </w:r>
      <w:r w:rsidR="00131C71">
        <w:t xml:space="preserve">. Natomiast </w:t>
      </w:r>
      <w:r w:rsidR="00CD3F46" w:rsidRPr="0035160C">
        <w:t>dla roku 2030 i lat następnych ustanowiono nowe cele w zakresie redukcji poszczególnych zanieczyszczeń w oparciu o oszacowany potencjał redukcyjny każdego państwa członkowskiego.</w:t>
      </w:r>
    </w:p>
    <w:p w14:paraId="2117581C" w14:textId="032B2C0A" w:rsidR="00FE397B" w:rsidRPr="0035160C" w:rsidRDefault="00CD3F46" w:rsidP="00CD3F46">
      <w:pPr>
        <w:jc w:val="both"/>
      </w:pPr>
      <w:r w:rsidRPr="0035160C">
        <w:lastRenderedPageBreak/>
        <w:t>Na podstawie art. 6 dyrektywy NEC, państwa członkowskie</w:t>
      </w:r>
      <w:r w:rsidR="00FE397B" w:rsidRPr="0035160C">
        <w:t xml:space="preserve">, w tym Polska, </w:t>
      </w:r>
      <w:r w:rsidRPr="0035160C">
        <w:t xml:space="preserve">zostały zobowiązane do </w:t>
      </w:r>
      <w:r w:rsidR="00FE397B" w:rsidRPr="0035160C">
        <w:t xml:space="preserve">przygotowania </w:t>
      </w:r>
      <w:r w:rsidRPr="00B63546">
        <w:rPr>
          <w:bCs/>
        </w:rPr>
        <w:t>K</w:t>
      </w:r>
      <w:r w:rsidR="00585FC0">
        <w:t>POZP</w:t>
      </w:r>
      <w:r w:rsidRPr="0035160C">
        <w:t>,</w:t>
      </w:r>
      <w:r w:rsidR="00FE397B" w:rsidRPr="0035160C">
        <w:t xml:space="preserve"> który ma na </w:t>
      </w:r>
      <w:r w:rsidRPr="0035160C">
        <w:t>celu ograniczeni</w:t>
      </w:r>
      <w:r w:rsidR="00FE397B" w:rsidRPr="0035160C">
        <w:t>e</w:t>
      </w:r>
      <w:r w:rsidRPr="0035160C">
        <w:t xml:space="preserve"> rocznych wielkości emisji substancji objętych krajowymi zobowiązaniami w zakresie redukcji emisji. </w:t>
      </w:r>
    </w:p>
    <w:p w14:paraId="179BE42B" w14:textId="7E788E06" w:rsidR="00CD3F46" w:rsidRPr="0035160C" w:rsidRDefault="00FE397B" w:rsidP="00CD3F46">
      <w:pPr>
        <w:jc w:val="both"/>
      </w:pPr>
      <w:r w:rsidRPr="0035160C">
        <w:t>Powiązanie celów środowiskowych, określonych w prawie UE w zakresie szeroko pojętej ochrony powietrza, nastąpi poprzez z</w:t>
      </w:r>
      <w:r w:rsidR="00CD3F46" w:rsidRPr="0035160C">
        <w:t>realizowanie celu głównego KPOZP</w:t>
      </w:r>
      <w:r w:rsidRPr="0035160C">
        <w:t>, które</w:t>
      </w:r>
      <w:r w:rsidR="00CD3F46" w:rsidRPr="0035160C">
        <w:t xml:space="preserve"> będzie wspomagało osiągnięcie poziomów dopuszczalnych i docelowych niektórych substancji</w:t>
      </w:r>
      <w:r w:rsidR="00397D91" w:rsidRPr="0035160C">
        <w:t xml:space="preserve"> w powietrzu</w:t>
      </w:r>
      <w:r w:rsidR="00CD3F46" w:rsidRPr="0035160C">
        <w:t xml:space="preserve">, określonych w dyrektywie 2008/50/WE i dyrektywie 2004/107/WE oraz utrzymanie ich na tych obszarach, na których są dotrzymywane, a w przypadku pyłu </w:t>
      </w:r>
      <w:r w:rsidR="00397D91" w:rsidRPr="0035160C">
        <w:t xml:space="preserve">zawieszonego </w:t>
      </w:r>
      <w:r w:rsidR="00CD3F46" w:rsidRPr="0035160C">
        <w:t>PM2</w:t>
      </w:r>
      <w:r w:rsidR="00397D91" w:rsidRPr="0035160C">
        <w:t>,</w:t>
      </w:r>
      <w:r w:rsidR="00CD3F46" w:rsidRPr="0035160C">
        <w:t xml:space="preserve">5 także pułapu stężenia ekspozycji oraz krajowego celu redukcji narażenia. </w:t>
      </w:r>
      <w:r w:rsidR="00397D91" w:rsidRPr="0035160C">
        <w:t>Dodatkowo wpłynie na osiągnięcie</w:t>
      </w:r>
      <w:r w:rsidR="00CD3F46" w:rsidRPr="0035160C">
        <w:t xml:space="preserve"> długoterminowego celu Unii </w:t>
      </w:r>
      <w:r w:rsidR="00397D91" w:rsidRPr="0035160C">
        <w:t xml:space="preserve">Europejskiej </w:t>
      </w:r>
      <w:r w:rsidR="00CD3F46" w:rsidRPr="0035160C">
        <w:t xml:space="preserve">dotyczącego </w:t>
      </w:r>
      <w:r w:rsidR="00397D91" w:rsidRPr="0035160C">
        <w:t xml:space="preserve">poprawy </w:t>
      </w:r>
      <w:r w:rsidR="00CD3F46" w:rsidRPr="0035160C">
        <w:t xml:space="preserve">jakości powietrza, wspieranego przez </w:t>
      </w:r>
      <w:r w:rsidR="00397D91" w:rsidRPr="0035160C">
        <w:t>W</w:t>
      </w:r>
      <w:r w:rsidR="00CD3F46" w:rsidRPr="0035160C">
        <w:t xml:space="preserve">ytyczne WHO oraz celów Unii dotyczących ochrony różnorodności biologicznej i ekosystemów – przez zmniejszenie poziomów i depozycji zanieczyszczeń powietrza powodujących zakwaszanie, eutrofizację i powstawanie ozonu poniżej krytycznych ładunków i poziomów określonych w konwencji LRTAP. </w:t>
      </w:r>
    </w:p>
    <w:p w14:paraId="12749E26" w14:textId="222BB8C3" w:rsidR="00126CCC" w:rsidRPr="0035160C" w:rsidRDefault="002637ED" w:rsidP="00253A87">
      <w:pPr>
        <w:spacing w:line="276" w:lineRule="auto"/>
        <w:jc w:val="both"/>
      </w:pPr>
      <w:r w:rsidRPr="0035160C">
        <w:t xml:space="preserve">Ponadto </w:t>
      </w:r>
      <w:r w:rsidRPr="0035160C">
        <w:rPr>
          <w:b/>
          <w:bCs/>
          <w:color w:val="2F5496" w:themeColor="accent1" w:themeShade="BF"/>
        </w:rPr>
        <w:t>w związku z</w:t>
      </w:r>
      <w:r w:rsidR="00AD718D" w:rsidRPr="0035160C">
        <w:rPr>
          <w:rFonts w:eastAsia="Calibri" w:cs="Times New Roman"/>
        </w:rPr>
        <w:t xml:space="preserve"> </w:t>
      </w:r>
      <w:r w:rsidR="00AD718D" w:rsidRPr="0035160C">
        <w:rPr>
          <w:rFonts w:eastAsia="Calibri" w:cs="Times New Roman"/>
          <w:b/>
          <w:bCs/>
          <w:color w:val="2F5496" w:themeColor="accent1" w:themeShade="BF"/>
        </w:rPr>
        <w:t>ogłosz</w:t>
      </w:r>
      <w:r w:rsidR="00EA7969" w:rsidRPr="0035160C">
        <w:rPr>
          <w:rFonts w:eastAsia="Calibri" w:cs="Times New Roman"/>
          <w:b/>
          <w:bCs/>
          <w:color w:val="2F5496" w:themeColor="accent1" w:themeShade="BF"/>
        </w:rPr>
        <w:t>onym</w:t>
      </w:r>
      <w:r w:rsidR="00AD718D" w:rsidRPr="0035160C">
        <w:rPr>
          <w:rFonts w:eastAsia="Calibri" w:cs="Times New Roman"/>
          <w:b/>
          <w:bCs/>
          <w:color w:val="2F5496" w:themeColor="accent1" w:themeShade="BF"/>
        </w:rPr>
        <w:t xml:space="preserve"> w dniu 12 maja 2021 r. Komunikatem Komisji do Parlamentu Europejskiego, Rady, Europejskiego Komitetu Ekonomiczno-Społecznego i Komitetu Regionów EMPTY - </w:t>
      </w:r>
      <w:r w:rsidR="00AD718D" w:rsidRPr="0035160C">
        <w:rPr>
          <w:rFonts w:eastAsia="Calibri" w:cs="Times New Roman"/>
          <w:b/>
          <w:bCs/>
          <w:i/>
          <w:iCs/>
          <w:color w:val="2F5496" w:themeColor="accent1" w:themeShade="BF"/>
        </w:rPr>
        <w:t>Droga do zdrowej planety dla wszystkich</w:t>
      </w:r>
      <w:r w:rsidR="00AD718D" w:rsidRPr="0035160C">
        <w:rPr>
          <w:b/>
          <w:bCs/>
          <w:color w:val="2F5496" w:themeColor="accent1" w:themeShade="BF"/>
        </w:rPr>
        <w:t xml:space="preserve"> oraz zgodnie z przedstawionym harmonogramem najbliższych prac strategicznych i legislacyjnych na poziomie unijnym w tym zakresie, w 2022 r. </w:t>
      </w:r>
      <w:r w:rsidRPr="0035160C">
        <w:rPr>
          <w:b/>
          <w:bCs/>
          <w:color w:val="2F5496" w:themeColor="accent1" w:themeShade="BF"/>
        </w:rPr>
        <w:t xml:space="preserve">spodziewać się należy, że Komisja przedstawi propozycję </w:t>
      </w:r>
      <w:r w:rsidR="00253A87" w:rsidRPr="0035160C">
        <w:rPr>
          <w:b/>
          <w:bCs/>
          <w:color w:val="2F5496" w:themeColor="accent1" w:themeShade="BF"/>
        </w:rPr>
        <w:t>nowego pakietu legislacyjnego</w:t>
      </w:r>
      <w:r w:rsidRPr="0035160C">
        <w:rPr>
          <w:b/>
          <w:bCs/>
          <w:color w:val="2F5496" w:themeColor="accent1" w:themeShade="BF"/>
        </w:rPr>
        <w:t>, mając</w:t>
      </w:r>
      <w:r w:rsidR="00253A87" w:rsidRPr="0035160C">
        <w:rPr>
          <w:b/>
          <w:bCs/>
          <w:color w:val="2F5496" w:themeColor="accent1" w:themeShade="BF"/>
        </w:rPr>
        <w:t>ego</w:t>
      </w:r>
      <w:r w:rsidRPr="0035160C">
        <w:rPr>
          <w:b/>
          <w:bCs/>
          <w:color w:val="2F5496" w:themeColor="accent1" w:themeShade="BF"/>
        </w:rPr>
        <w:t xml:space="preserve"> na celu wdrożenie nowych</w:t>
      </w:r>
      <w:r w:rsidR="00382FD5" w:rsidRPr="0035160C">
        <w:rPr>
          <w:b/>
          <w:bCs/>
          <w:color w:val="2F5496" w:themeColor="accent1" w:themeShade="BF"/>
        </w:rPr>
        <w:t xml:space="preserve"> i z pewnością rygorystycznych</w:t>
      </w:r>
      <w:r w:rsidRPr="0035160C">
        <w:rPr>
          <w:b/>
          <w:bCs/>
          <w:color w:val="2F5496" w:themeColor="accent1" w:themeShade="BF"/>
        </w:rPr>
        <w:t xml:space="preserve"> rozwiązań ukierunkowanych na poprawę jakości powietrza w Unii Europejskiej</w:t>
      </w:r>
      <w:r w:rsidRPr="0035160C">
        <w:t xml:space="preserve">. </w:t>
      </w:r>
    </w:p>
    <w:p w14:paraId="361AF96F" w14:textId="0C680D89" w:rsidR="00551272" w:rsidRPr="0035160C" w:rsidRDefault="00CD3F46" w:rsidP="00253A87">
      <w:pPr>
        <w:spacing w:line="276" w:lineRule="auto"/>
        <w:jc w:val="both"/>
        <w:rPr>
          <w:rFonts w:cstheme="minorHAnsi"/>
        </w:rPr>
      </w:pPr>
      <w:r w:rsidRPr="0035160C">
        <w:t xml:space="preserve">Prace nad </w:t>
      </w:r>
      <w:r w:rsidR="00397D91" w:rsidRPr="0035160C">
        <w:t xml:space="preserve">aKPOP zbiegły się </w:t>
      </w:r>
      <w:r w:rsidR="003E153D">
        <w:t xml:space="preserve">także </w:t>
      </w:r>
      <w:r w:rsidR="00397D91" w:rsidRPr="0035160C">
        <w:t xml:space="preserve">w czasie </w:t>
      </w:r>
      <w:r w:rsidRPr="0035160C">
        <w:t xml:space="preserve">z opracowaniem </w:t>
      </w:r>
      <w:r w:rsidR="00693AD8" w:rsidRPr="0035160C">
        <w:t xml:space="preserve">i uchwaleniem w dniu 2 lutego 2021 r. </w:t>
      </w:r>
      <w:r w:rsidR="00551272" w:rsidRPr="0035160C">
        <w:t xml:space="preserve">przez Radę Ministrów </w:t>
      </w:r>
      <w:r w:rsidRPr="00B63546">
        <w:t>P</w:t>
      </w:r>
      <w:r w:rsidR="00585FC0">
        <w:t>EP2040</w:t>
      </w:r>
      <w:r w:rsidR="00253A87" w:rsidRPr="0035160C">
        <w:t xml:space="preserve">. </w:t>
      </w:r>
      <w:r w:rsidR="0013741E" w:rsidRPr="0035160C">
        <w:t>D</w:t>
      </w:r>
      <w:r w:rsidRPr="0035160C">
        <w:t>okument</w:t>
      </w:r>
      <w:r w:rsidR="0013741E" w:rsidRPr="0035160C">
        <w:t xml:space="preserve"> ten jest kluczowy </w:t>
      </w:r>
      <w:r w:rsidRPr="0035160C">
        <w:t>ze względu na przyjęte w</w:t>
      </w:r>
      <w:r w:rsidR="00253A87" w:rsidRPr="0035160C">
        <w:t> </w:t>
      </w:r>
      <w:r w:rsidRPr="0035160C">
        <w:t>nich priorytety w zakresie struktury pali</w:t>
      </w:r>
      <w:r w:rsidR="00585FC0">
        <w:t>w</w:t>
      </w:r>
      <w:r w:rsidRPr="0035160C">
        <w:t xml:space="preserve">owej gospodarki </w:t>
      </w:r>
      <w:r w:rsidRPr="0035160C">
        <w:rPr>
          <w:rFonts w:cstheme="minorHAnsi"/>
        </w:rPr>
        <w:t>kraju</w:t>
      </w:r>
      <w:r w:rsidR="00253A87" w:rsidRPr="0035160C">
        <w:rPr>
          <w:rFonts w:cstheme="minorHAnsi"/>
        </w:rPr>
        <w:t xml:space="preserve">, </w:t>
      </w:r>
      <w:r w:rsidR="00551272" w:rsidRPr="0035160C">
        <w:rPr>
          <w:rFonts w:eastAsia="Times New Roman" w:cstheme="minorHAnsi"/>
        </w:rPr>
        <w:t xml:space="preserve">wyznacza ramy transformacji energetycznej w Polsce. PEP2040 uwzględnia </w:t>
      </w:r>
      <w:r w:rsidR="00EE2C84" w:rsidRPr="0035160C">
        <w:rPr>
          <w:rFonts w:eastAsia="Times New Roman" w:cstheme="minorHAnsi"/>
        </w:rPr>
        <w:t xml:space="preserve">nie tylko </w:t>
      </w:r>
      <w:r w:rsidR="00551272" w:rsidRPr="0035160C">
        <w:rPr>
          <w:rFonts w:eastAsia="Times New Roman" w:cstheme="minorHAnsi"/>
        </w:rPr>
        <w:t>skalę wyzwań związanych z dostosowaniem krajowej gospodarki do uwarunkowań regulacyjnych UE związanych z celami klimatyczno-energetycznymi na 2030 r., Europejskim Zielonym Ładem, planem odbudowy gospodarczej po pandemii COVID</w:t>
      </w:r>
      <w:r w:rsidR="00D92BE4">
        <w:rPr>
          <w:rFonts w:eastAsia="Times New Roman" w:cstheme="minorHAnsi"/>
        </w:rPr>
        <w:t>-19</w:t>
      </w:r>
      <w:r w:rsidR="00551272" w:rsidRPr="0035160C">
        <w:rPr>
          <w:rFonts w:eastAsia="Times New Roman" w:cstheme="minorHAnsi"/>
        </w:rPr>
        <w:t xml:space="preserve"> i dążeniem do osiągnięcia neutralności klimatycznej zgodnie z krajowymi możliwościami, jako wkładu w realizację Porozumienia Paryskiego</w:t>
      </w:r>
      <w:r w:rsidR="00EE2C84" w:rsidRPr="0035160C">
        <w:rPr>
          <w:rFonts w:eastAsia="Times New Roman" w:cstheme="minorHAnsi"/>
        </w:rPr>
        <w:t>, ale także po raz pierwszy w sposób bezpośredni też nawiązuje do problematyki jakości powietrza w Polsce</w:t>
      </w:r>
      <w:r w:rsidR="00551272" w:rsidRPr="0035160C">
        <w:rPr>
          <w:rFonts w:eastAsia="Times New Roman" w:cstheme="minorHAnsi"/>
        </w:rPr>
        <w:t>. Niskoemisyjna transformacja energetyczna przewidziana w PEP2040 inicjować będzie szersze zmiany modernizacyjne całej gospodarki, gwarantując bezpieczeństwo energetyczne, dbając o sprawiedliwy podział kosztów i ochronę najbardziej wrażliwych grup społecznych</w:t>
      </w:r>
      <w:r w:rsidR="00EE2C84" w:rsidRPr="0035160C">
        <w:rPr>
          <w:rFonts w:eastAsia="Times New Roman" w:cstheme="minorHAnsi"/>
        </w:rPr>
        <w:t xml:space="preserve"> oraz poprawę stanu środowiska naturalnego jako całość</w:t>
      </w:r>
      <w:r w:rsidR="00551272" w:rsidRPr="0035160C">
        <w:rPr>
          <w:rFonts w:eastAsia="Times New Roman" w:cstheme="minorHAnsi"/>
        </w:rPr>
        <w:t>.</w:t>
      </w:r>
    </w:p>
    <w:p w14:paraId="43DFEBC5" w14:textId="0EDBEE2E" w:rsidR="00551272" w:rsidRPr="0035160C" w:rsidRDefault="00551272" w:rsidP="00253A87">
      <w:pPr>
        <w:spacing w:before="100" w:after="60" w:line="276" w:lineRule="auto"/>
        <w:jc w:val="both"/>
        <w:rPr>
          <w:rFonts w:eastAsia="Times New Roman" w:cstheme="minorHAnsi"/>
        </w:rPr>
      </w:pPr>
      <w:r w:rsidRPr="0035160C">
        <w:rPr>
          <w:rFonts w:eastAsia="Times New Roman" w:cstheme="minorHAnsi"/>
        </w:rPr>
        <w:t xml:space="preserve">PEP2040 </w:t>
      </w:r>
      <w:r w:rsidR="00EE2C84" w:rsidRPr="0035160C">
        <w:rPr>
          <w:rFonts w:eastAsia="Times New Roman" w:cstheme="minorHAnsi"/>
        </w:rPr>
        <w:t>stanowi</w:t>
      </w:r>
      <w:r w:rsidRPr="0035160C">
        <w:rPr>
          <w:rFonts w:eastAsia="Times New Roman" w:cstheme="minorHAnsi"/>
        </w:rPr>
        <w:t xml:space="preserve"> jedną z dziewięciu zintegrowanych strategii sektorowych, wynikających ze </w:t>
      </w:r>
      <w:r w:rsidRPr="0035160C">
        <w:rPr>
          <w:rFonts w:eastAsia="Times New Roman" w:cstheme="minorHAnsi"/>
          <w:i/>
        </w:rPr>
        <w:t>S</w:t>
      </w:r>
      <w:r w:rsidR="00585FC0">
        <w:rPr>
          <w:rFonts w:eastAsia="Times New Roman" w:cstheme="minorHAnsi"/>
          <w:i/>
        </w:rPr>
        <w:t>OR</w:t>
      </w:r>
      <w:r w:rsidRPr="0035160C">
        <w:rPr>
          <w:rFonts w:eastAsia="Times New Roman" w:cstheme="minorHAnsi"/>
        </w:rPr>
        <w:t xml:space="preserve">. PEP2040 jest spójna z </w:t>
      </w:r>
      <w:r w:rsidRPr="0035160C">
        <w:rPr>
          <w:rFonts w:eastAsia="Times New Roman" w:cstheme="minorHAnsi"/>
          <w:i/>
        </w:rPr>
        <w:t>Krajowym planem na rzecz energii i klimatu na lata 2021-2030</w:t>
      </w:r>
      <w:r w:rsidR="00EE2C84" w:rsidRPr="0035160C">
        <w:rPr>
          <w:rFonts w:eastAsia="Times New Roman" w:cstheme="minorHAnsi"/>
        </w:rPr>
        <w:t xml:space="preserve">, określa także kierunki działań do podjęcia w perspektywie do 2030 r. oraz do 2040 r. w sektorze energetycznym, które będą miały bezpośredni wpływ na gospodarstwa domowe. </w:t>
      </w:r>
    </w:p>
    <w:p w14:paraId="01DB1BCD" w14:textId="1501EDD8" w:rsidR="00EE2C84" w:rsidRPr="0035160C" w:rsidRDefault="00EE2C84" w:rsidP="00EE2C84">
      <w:pPr>
        <w:spacing w:before="100" w:after="400" w:line="276" w:lineRule="auto"/>
        <w:jc w:val="both"/>
        <w:rPr>
          <w:rFonts w:eastAsia="Times New Roman" w:cstheme="minorHAnsi"/>
        </w:rPr>
      </w:pPr>
      <w:r w:rsidRPr="0035160C">
        <w:rPr>
          <w:rFonts w:eastAsia="Times New Roman" w:cstheme="minorHAnsi"/>
        </w:rPr>
        <w:t>Poprzez realizację celów i działań wskazanych w PEP2040 przeprowadzona zostanie niskoemisyjna transformacja energetyczna</w:t>
      </w:r>
      <w:r w:rsidR="00131C71">
        <w:rPr>
          <w:rFonts w:eastAsia="Times New Roman" w:cstheme="minorHAnsi"/>
        </w:rPr>
        <w:t>,</w:t>
      </w:r>
      <w:r w:rsidRPr="0035160C">
        <w:rPr>
          <w:rFonts w:eastAsia="Times New Roman" w:cstheme="minorHAnsi"/>
        </w:rPr>
        <w:t xml:space="preserve"> przy aktywnej roli odbiorcy końcowego i</w:t>
      </w:r>
      <w:r w:rsidR="00B166CF" w:rsidRPr="0035160C">
        <w:rPr>
          <w:rFonts w:eastAsia="Times New Roman" w:cstheme="minorHAnsi"/>
        </w:rPr>
        <w:t xml:space="preserve"> </w:t>
      </w:r>
      <w:r w:rsidRPr="0035160C">
        <w:rPr>
          <w:rFonts w:eastAsia="Times New Roman" w:cstheme="minorHAnsi"/>
        </w:rPr>
        <w:t xml:space="preserve">zaangażowaniu krajowego przemysłu, dając impuls gospodarce, przy zapewnieniu bezpieczeństwa energetycznego, w sposób innowacyjny, akceptowalny społecznie i z poszanowaniem środowiska oraz klimatu. </w:t>
      </w:r>
    </w:p>
    <w:bookmarkStart w:id="12" w:name="_Toc61361066"/>
    <w:p w14:paraId="730988F8" w14:textId="264D1109" w:rsidR="00551272" w:rsidRPr="0035160C" w:rsidRDefault="00382FD5" w:rsidP="00382FD5">
      <w:pPr>
        <w:spacing w:before="360" w:after="360" w:line="240" w:lineRule="auto"/>
        <w:jc w:val="center"/>
        <w:rPr>
          <w:rFonts w:eastAsia="Times New Roman" w:cstheme="minorHAnsi"/>
          <w:b/>
          <w:bCs/>
          <w:color w:val="5A962C"/>
        </w:rPr>
      </w:pPr>
      <w:r w:rsidRPr="0035160C">
        <w:rPr>
          <w:rFonts w:eastAsia="Times New Roman" w:cs="Times New Roman"/>
          <w:noProof/>
          <w:sz w:val="20"/>
          <w:szCs w:val="20"/>
          <w:lang w:eastAsia="pl-PL"/>
        </w:rPr>
        <w:lastRenderedPageBreak/>
        <mc:AlternateContent>
          <mc:Choice Requires="wpg">
            <w:drawing>
              <wp:anchor distT="0" distB="0" distL="114300" distR="114300" simplePos="0" relativeHeight="251664384" behindDoc="0" locked="0" layoutInCell="1" allowOverlap="1" wp14:anchorId="3CD0EF5E" wp14:editId="3E35F50F">
                <wp:simplePos x="0" y="0"/>
                <wp:positionH relativeFrom="column">
                  <wp:posOffset>113665</wp:posOffset>
                </wp:positionH>
                <wp:positionV relativeFrom="paragraph">
                  <wp:posOffset>307340</wp:posOffset>
                </wp:positionV>
                <wp:extent cx="5539740" cy="1254760"/>
                <wp:effectExtent l="0" t="0" r="3810" b="2540"/>
                <wp:wrapTopAndBottom/>
                <wp:docPr id="39" name="Grupa 39"/>
                <wp:cNvGraphicFramePr/>
                <a:graphic xmlns:a="http://schemas.openxmlformats.org/drawingml/2006/main">
                  <a:graphicData uri="http://schemas.microsoft.com/office/word/2010/wordprocessingGroup">
                    <wpg:wgp>
                      <wpg:cNvGrpSpPr/>
                      <wpg:grpSpPr>
                        <a:xfrm>
                          <a:off x="0" y="0"/>
                          <a:ext cx="5539740" cy="1254760"/>
                          <a:chOff x="0" y="0"/>
                          <a:chExt cx="5133340" cy="1079500"/>
                        </a:xfrm>
                      </wpg:grpSpPr>
                      <pic:pic xmlns:pic="http://schemas.openxmlformats.org/drawingml/2006/picture">
                        <pic:nvPicPr>
                          <pic:cNvPr id="40" name="image6.jpeg"/>
                          <pic:cNvPicPr>
                            <a:picLocks noChangeAspect="1"/>
                          </pic:cNvPicPr>
                        </pic:nvPicPr>
                        <pic:blipFill>
                          <a:blip r:embed="rId11" cstate="print"/>
                          <a:stretch>
                            <a:fillRect/>
                          </a:stretch>
                        </pic:blipFill>
                        <pic:spPr>
                          <a:xfrm>
                            <a:off x="1988820" y="0"/>
                            <a:ext cx="1079500" cy="1079500"/>
                          </a:xfrm>
                          <a:prstGeom prst="rect">
                            <a:avLst/>
                          </a:prstGeom>
                        </pic:spPr>
                      </pic:pic>
                      <pic:pic xmlns:pic="http://schemas.openxmlformats.org/drawingml/2006/picture">
                        <pic:nvPicPr>
                          <pic:cNvPr id="42" name="image7.jpeg"/>
                          <pic:cNvPicPr>
                            <a:picLocks noChangeAspect="1"/>
                          </pic:cNvPicPr>
                        </pic:nvPicPr>
                        <pic:blipFill>
                          <a:blip r:embed="rId12" cstate="print"/>
                          <a:stretch>
                            <a:fillRect/>
                          </a:stretch>
                        </pic:blipFill>
                        <pic:spPr>
                          <a:xfrm>
                            <a:off x="4053840" y="0"/>
                            <a:ext cx="1079500" cy="1079500"/>
                          </a:xfrm>
                          <a:prstGeom prst="rect">
                            <a:avLst/>
                          </a:prstGeom>
                        </pic:spPr>
                      </pic:pic>
                      <pic:pic xmlns:pic="http://schemas.openxmlformats.org/drawingml/2006/picture">
                        <pic:nvPicPr>
                          <pic:cNvPr id="44" name="image5.jpe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CA28A6" id="Grupa 39" o:spid="_x0000_s1026" style="position:absolute;margin-left:8.95pt;margin-top:24.2pt;width:436.2pt;height:98.8pt;z-index:251664384;mso-width-relative:margin;mso-height-relative:margin" coordsize="51333,10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6.jpeg" o:spid="_x0000_s1027" type="#_x0000_t75" style="position:absolute;left:19888;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">
                  <v:imagedata r:id="rId18" o:title=""/>
                </v:shape>
                <v:shape id="image7.jpeg" o:spid="_x0000_s1028" type="#_x0000_t75" style="position:absolute;left:40538;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">
                  <v:imagedata r:id="rId19" o:title=""/>
                </v:shape>
                <v:shape id="image5.jpeg" o:spid="_x0000_s1029" type="#_x0000_t75" style="position:absolute;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">
                  <v:imagedata r:id="rId20" o:title=""/>
                </v:shape>
                <w10:wrap type="topAndBottom"/>
              </v:group>
            </w:pict>
          </mc:Fallback>
        </mc:AlternateContent>
      </w:r>
      <w:bookmarkEnd w:id="12"/>
      <w:r w:rsidR="00D84EC3" w:rsidRPr="0035160C">
        <w:rPr>
          <w:rFonts w:eastAsia="Times New Roman" w:cstheme="minorHAnsi"/>
          <w:b/>
          <w:bCs/>
          <w:color w:val="5A962C"/>
        </w:rPr>
        <w:t xml:space="preserve"> Transformacja energetyczna zostanie oparta na trzech filarach:</w:t>
      </w:r>
    </w:p>
    <w:p w14:paraId="7C9BE48F" w14:textId="77777777" w:rsidR="002F4F5A" w:rsidRPr="0035160C" w:rsidRDefault="002F4F5A" w:rsidP="00253A87">
      <w:pPr>
        <w:spacing w:line="276" w:lineRule="auto"/>
        <w:jc w:val="both"/>
      </w:pPr>
    </w:p>
    <w:tbl>
      <w:tblPr>
        <w:tblStyle w:val="TableNormal"/>
        <w:tblW w:w="9196" w:type="dxa"/>
        <w:tblCellSpacing w:w="4" w:type="dxa"/>
        <w:tblLayout w:type="fixed"/>
        <w:tblLook w:val="01E0" w:firstRow="1" w:lastRow="1" w:firstColumn="1" w:lastColumn="1" w:noHBand="0" w:noVBand="0"/>
      </w:tblPr>
      <w:tblGrid>
        <w:gridCol w:w="3065"/>
        <w:gridCol w:w="3064"/>
        <w:gridCol w:w="3067"/>
      </w:tblGrid>
      <w:tr w:rsidR="002F4F5A" w:rsidRPr="0035160C" w14:paraId="4392EA6D" w14:textId="77777777" w:rsidTr="00970A31">
        <w:trPr>
          <w:trHeight w:val="1429"/>
          <w:tblCellSpacing w:w="4" w:type="dxa"/>
        </w:trPr>
        <w:tc>
          <w:tcPr>
            <w:tcW w:w="3053" w:type="dxa"/>
            <w:tcBorders>
              <w:top w:val="nil"/>
              <w:left w:val="nil"/>
            </w:tcBorders>
            <w:shd w:val="clear" w:color="auto" w:fill="2E5395"/>
          </w:tcPr>
          <w:p w14:paraId="61CF77BA" w14:textId="77777777" w:rsidR="002F4F5A" w:rsidRPr="0035160C" w:rsidRDefault="002F4F5A" w:rsidP="00970A31">
            <w:pPr>
              <w:pStyle w:val="TableParagraph"/>
              <w:widowControl/>
              <w:spacing w:before="118"/>
              <w:ind w:left="0" w:right="59"/>
              <w:jc w:val="center"/>
              <w:rPr>
                <w:rFonts w:asciiTheme="minorHAnsi" w:hAnsiTheme="minorHAnsi" w:cstheme="minorHAnsi"/>
                <w:b/>
                <w:sz w:val="22"/>
                <w:lang w:val="pl-PL"/>
              </w:rPr>
            </w:pPr>
            <w:r w:rsidRPr="0035160C">
              <w:rPr>
                <w:rFonts w:asciiTheme="minorHAnsi" w:hAnsiTheme="minorHAnsi" w:cstheme="minorHAnsi"/>
                <w:b/>
                <w:color w:val="FFFFFF"/>
                <w:sz w:val="22"/>
                <w:lang w:val="pl-PL"/>
              </w:rPr>
              <w:t>I filar</w:t>
            </w:r>
          </w:p>
          <w:p w14:paraId="6F31124E" w14:textId="77777777" w:rsidR="002F4F5A" w:rsidRPr="0035160C" w:rsidRDefault="002F4F5A" w:rsidP="00970A31">
            <w:pPr>
              <w:pStyle w:val="TableParagraph"/>
              <w:widowControl/>
              <w:ind w:left="0" w:right="59"/>
              <w:jc w:val="center"/>
              <w:rPr>
                <w:rFonts w:asciiTheme="minorHAnsi" w:hAnsiTheme="minorHAnsi" w:cstheme="minorHAnsi"/>
                <w:sz w:val="22"/>
                <w:lang w:val="pl-PL"/>
              </w:rPr>
            </w:pPr>
            <w:r w:rsidRPr="0035160C">
              <w:rPr>
                <w:rFonts w:asciiTheme="minorHAnsi" w:hAnsiTheme="minorHAnsi" w:cstheme="minorHAnsi"/>
                <w:color w:val="FFFFFF"/>
                <w:sz w:val="22"/>
                <w:lang w:val="pl-PL"/>
              </w:rPr>
              <w:t>Sprawiedliwa transformacja</w:t>
            </w:r>
          </w:p>
        </w:tc>
        <w:tc>
          <w:tcPr>
            <w:tcW w:w="3056" w:type="dxa"/>
            <w:tcBorders>
              <w:top w:val="nil"/>
            </w:tcBorders>
            <w:shd w:val="clear" w:color="auto" w:fill="528135"/>
          </w:tcPr>
          <w:p w14:paraId="48981E37" w14:textId="77777777" w:rsidR="002F4F5A" w:rsidRPr="0035160C" w:rsidRDefault="002F4F5A" w:rsidP="00970A31">
            <w:pPr>
              <w:pStyle w:val="TableParagraph"/>
              <w:widowControl/>
              <w:spacing w:before="118"/>
              <w:ind w:left="0" w:right="106"/>
              <w:jc w:val="center"/>
              <w:rPr>
                <w:rFonts w:asciiTheme="minorHAnsi" w:hAnsiTheme="minorHAnsi" w:cstheme="minorHAnsi"/>
                <w:sz w:val="22"/>
                <w:lang w:val="pl-PL"/>
              </w:rPr>
            </w:pPr>
            <w:r w:rsidRPr="0035160C">
              <w:rPr>
                <w:rFonts w:asciiTheme="minorHAnsi" w:hAnsiTheme="minorHAnsi" w:cstheme="minorHAnsi"/>
                <w:b/>
                <w:color w:val="FFFFFF"/>
                <w:sz w:val="22"/>
                <w:lang w:val="pl-PL"/>
              </w:rPr>
              <w:t>II filar</w:t>
            </w:r>
            <w:r w:rsidRPr="0035160C">
              <w:rPr>
                <w:rFonts w:asciiTheme="minorHAnsi" w:hAnsiTheme="minorHAnsi" w:cstheme="minorHAnsi"/>
                <w:b/>
                <w:color w:val="FFFFFF"/>
                <w:sz w:val="22"/>
                <w:lang w:val="pl-PL"/>
              </w:rPr>
              <w:br/>
            </w:r>
            <w:r w:rsidRPr="0035160C">
              <w:rPr>
                <w:rFonts w:asciiTheme="minorHAnsi" w:hAnsiTheme="minorHAnsi" w:cstheme="minorHAnsi"/>
                <w:color w:val="FFFFFF"/>
                <w:sz w:val="22"/>
                <w:lang w:val="pl-PL"/>
              </w:rPr>
              <w:t>Zeroemisyjny system energetyczny</w:t>
            </w:r>
          </w:p>
        </w:tc>
        <w:tc>
          <w:tcPr>
            <w:tcW w:w="3055" w:type="dxa"/>
            <w:tcBorders>
              <w:top w:val="nil"/>
              <w:right w:val="nil"/>
            </w:tcBorders>
            <w:shd w:val="clear" w:color="auto" w:fill="6F1F24"/>
          </w:tcPr>
          <w:p w14:paraId="0ECC02C5" w14:textId="77777777" w:rsidR="002F4F5A" w:rsidRPr="0035160C" w:rsidRDefault="002F4F5A" w:rsidP="00970A31">
            <w:pPr>
              <w:pStyle w:val="TableParagraph"/>
              <w:widowControl/>
              <w:spacing w:before="118"/>
              <w:ind w:left="0" w:right="165"/>
              <w:jc w:val="center"/>
              <w:rPr>
                <w:rFonts w:asciiTheme="minorHAnsi" w:hAnsiTheme="minorHAnsi" w:cstheme="minorHAnsi"/>
                <w:b/>
                <w:sz w:val="22"/>
                <w:lang w:val="pl-PL"/>
              </w:rPr>
            </w:pPr>
            <w:r w:rsidRPr="0035160C">
              <w:rPr>
                <w:rFonts w:asciiTheme="minorHAnsi" w:hAnsiTheme="minorHAnsi" w:cstheme="minorHAnsi"/>
                <w:b/>
                <w:color w:val="FFFFFF"/>
                <w:sz w:val="22"/>
                <w:lang w:val="pl-PL"/>
              </w:rPr>
              <w:t>III filar</w:t>
            </w:r>
            <w:r w:rsidRPr="0035160C">
              <w:rPr>
                <w:rFonts w:asciiTheme="minorHAnsi" w:hAnsiTheme="minorHAnsi" w:cstheme="minorHAnsi"/>
                <w:b/>
                <w:sz w:val="22"/>
                <w:lang w:val="pl-PL"/>
              </w:rPr>
              <w:br/>
            </w:r>
            <w:r w:rsidRPr="0035160C">
              <w:rPr>
                <w:rFonts w:asciiTheme="minorHAnsi" w:hAnsiTheme="minorHAnsi" w:cstheme="minorHAnsi"/>
                <w:color w:val="FFFFFF"/>
                <w:sz w:val="22"/>
                <w:lang w:val="pl-PL"/>
              </w:rPr>
              <w:t>Dobra jakość powietrza</w:t>
            </w:r>
          </w:p>
        </w:tc>
      </w:tr>
    </w:tbl>
    <w:p w14:paraId="1DA55847" w14:textId="7157D0B9" w:rsidR="002F4F5A" w:rsidRPr="0035160C" w:rsidRDefault="00D84EC3" w:rsidP="00D84EC3">
      <w:pPr>
        <w:spacing w:before="120" w:after="120" w:line="276" w:lineRule="auto"/>
        <w:jc w:val="center"/>
        <w:rPr>
          <w:vertAlign w:val="superscript"/>
        </w:rPr>
      </w:pPr>
      <w:r w:rsidRPr="0035160C">
        <w:rPr>
          <w:rFonts w:eastAsia="Times New Roman" w:cstheme="minorHAnsi"/>
        </w:rPr>
        <w:t>Rys. nr 1. Filary transformacji energetycznej Polski</w:t>
      </w:r>
      <w:r w:rsidRPr="0035160C">
        <w:rPr>
          <w:rFonts w:eastAsia="Times New Roman" w:cstheme="minorHAnsi"/>
          <w:vertAlign w:val="superscript"/>
        </w:rPr>
        <w:t>7</w:t>
      </w:r>
    </w:p>
    <w:p w14:paraId="3C1076BF" w14:textId="77777777" w:rsidR="002F4F5A" w:rsidRPr="0035160C" w:rsidRDefault="002F4F5A" w:rsidP="002F4F5A">
      <w:pPr>
        <w:tabs>
          <w:tab w:val="left" w:pos="284"/>
        </w:tabs>
        <w:spacing w:before="100" w:after="60" w:line="276" w:lineRule="auto"/>
        <w:jc w:val="both"/>
        <w:rPr>
          <w:rFonts w:eastAsia="Times New Roman" w:cstheme="minorHAnsi"/>
          <w:color w:val="336699"/>
        </w:rPr>
      </w:pPr>
      <w:r w:rsidRPr="0035160C">
        <w:rPr>
          <w:rFonts w:eastAsia="Times New Roman" w:cstheme="minorHAnsi"/>
          <w:b/>
          <w:bCs/>
          <w:color w:val="336699"/>
        </w:rPr>
        <w:t xml:space="preserve">I. Sprawiedliwa transformacja </w:t>
      </w:r>
    </w:p>
    <w:p w14:paraId="4466CBD1" w14:textId="5EA8429E" w:rsidR="002F4F5A" w:rsidRPr="0035160C" w:rsidRDefault="002F4F5A" w:rsidP="002F4F5A">
      <w:pPr>
        <w:spacing w:line="276" w:lineRule="auto"/>
        <w:jc w:val="both"/>
        <w:rPr>
          <w:rFonts w:cstheme="minorHAnsi"/>
        </w:rPr>
      </w:pPr>
      <w:r w:rsidRPr="0035160C">
        <w:rPr>
          <w:rFonts w:eastAsia="Times New Roman" w:cstheme="minorHAnsi"/>
          <w:bCs/>
        </w:rPr>
        <w:t>– oznacza zapewnienie nowych możliwości rozwoju regionom i społecznościom najbardziej dotkniętym negatywnymi skutkami przekształceń w związku z niskoemisyjną transformacją energetyczną, jednocześnie zapewniając nowe miejsca pracy i budując nowe gałęzie przemysłu współuczestniczące w przekształceniach sektora energii.</w:t>
      </w:r>
    </w:p>
    <w:p w14:paraId="4E6057B9" w14:textId="77777777" w:rsidR="002F4F5A" w:rsidRPr="0035160C" w:rsidRDefault="002F4F5A" w:rsidP="002F4F5A">
      <w:pPr>
        <w:tabs>
          <w:tab w:val="left" w:pos="284"/>
        </w:tabs>
        <w:spacing w:after="60"/>
        <w:jc w:val="both"/>
        <w:rPr>
          <w:rFonts w:cstheme="minorHAnsi"/>
          <w:color w:val="70AD47" w:themeColor="accent6"/>
        </w:rPr>
      </w:pPr>
      <w:r w:rsidRPr="0035160C">
        <w:rPr>
          <w:rFonts w:cstheme="minorHAnsi"/>
          <w:b/>
          <w:bCs/>
          <w:color w:val="70AD47" w:themeColor="accent6"/>
        </w:rPr>
        <w:t xml:space="preserve">II. Zeroemisyjny system energetyczny </w:t>
      </w:r>
    </w:p>
    <w:p w14:paraId="3BB1F65D" w14:textId="75935431" w:rsidR="002F4F5A" w:rsidRPr="0035160C" w:rsidRDefault="002F4F5A" w:rsidP="002F4F5A">
      <w:pPr>
        <w:pStyle w:val="Akapitzlist"/>
        <w:tabs>
          <w:tab w:val="left" w:pos="284"/>
        </w:tabs>
        <w:spacing w:after="600"/>
        <w:ind w:left="0"/>
        <w:jc w:val="both"/>
        <w:rPr>
          <w:rFonts w:cstheme="minorHAnsi"/>
        </w:rPr>
      </w:pPr>
      <w:r w:rsidRPr="0035160C">
        <w:rPr>
          <w:rFonts w:cstheme="minorHAnsi"/>
          <w:bCs/>
        </w:rPr>
        <w:t>– to kierunek długoterminowy, w którym zmierza transformacja energetyczna. Zmniejszenie emisyjności sektora energetycznego będzie możliwe poprzez</w:t>
      </w:r>
      <w:r w:rsidRPr="0035160C">
        <w:rPr>
          <w:rFonts w:cstheme="minorHAnsi"/>
          <w:b/>
          <w:bCs/>
        </w:rPr>
        <w:t xml:space="preserve"> </w:t>
      </w:r>
      <w:r w:rsidRPr="0035160C">
        <w:rPr>
          <w:rFonts w:cstheme="minorHAnsi"/>
        </w:rPr>
        <w:t>wdrożenie energetyki jądrowej i energetyki wiatrowej na morzu, zwiększenie roli energetyki rozproszonej i obywatelskiej przy jednoczesnym zapewnieniu bezpieczeństwa energetycznego poprzez przejściowe stosowanie technologii energetycznej opartych m.in. na paliwach gazowych</w:t>
      </w:r>
      <w:r w:rsidR="00131C71">
        <w:rPr>
          <w:rFonts w:cstheme="minorHAnsi"/>
        </w:rPr>
        <w:t>.</w:t>
      </w:r>
      <w:r w:rsidRPr="0035160C">
        <w:rPr>
          <w:rFonts w:cstheme="minorHAnsi"/>
        </w:rPr>
        <w:t xml:space="preserve"> </w:t>
      </w:r>
    </w:p>
    <w:p w14:paraId="36F46EFB" w14:textId="77777777" w:rsidR="002F4F5A" w:rsidRPr="0035160C" w:rsidRDefault="002F4F5A" w:rsidP="002F4F5A">
      <w:pPr>
        <w:pStyle w:val="Akapitzlist"/>
        <w:tabs>
          <w:tab w:val="left" w:pos="284"/>
        </w:tabs>
        <w:spacing w:after="600"/>
        <w:ind w:left="0"/>
        <w:jc w:val="both"/>
        <w:rPr>
          <w:rFonts w:cstheme="minorHAnsi"/>
        </w:rPr>
      </w:pPr>
    </w:p>
    <w:p w14:paraId="5D3DB652" w14:textId="77777777" w:rsidR="002F4F5A" w:rsidRPr="0035160C" w:rsidRDefault="002F4F5A" w:rsidP="002F4F5A">
      <w:pPr>
        <w:pStyle w:val="Akapitzlist"/>
        <w:tabs>
          <w:tab w:val="left" w:pos="284"/>
        </w:tabs>
        <w:spacing w:after="600"/>
        <w:ind w:left="0"/>
        <w:jc w:val="both"/>
        <w:rPr>
          <w:rFonts w:cstheme="minorHAnsi"/>
          <w:bCs/>
        </w:rPr>
      </w:pPr>
      <w:r w:rsidRPr="0035160C">
        <w:rPr>
          <w:rFonts w:cstheme="minorHAnsi"/>
          <w:b/>
          <w:bCs/>
          <w:color w:val="920000"/>
        </w:rPr>
        <w:t>III. Dobra jakość powietrza</w:t>
      </w:r>
      <w:r w:rsidRPr="0035160C">
        <w:rPr>
          <w:rFonts w:cstheme="minorHAnsi"/>
          <w:bCs/>
        </w:rPr>
        <w:t xml:space="preserve"> </w:t>
      </w:r>
    </w:p>
    <w:p w14:paraId="51EB99F9" w14:textId="37A7EA52" w:rsidR="0001222A" w:rsidRPr="0035160C" w:rsidRDefault="002F4F5A" w:rsidP="0001222A">
      <w:pPr>
        <w:pStyle w:val="Akapitzlist"/>
        <w:tabs>
          <w:tab w:val="left" w:pos="284"/>
        </w:tabs>
        <w:spacing w:after="0"/>
        <w:ind w:left="0"/>
        <w:jc w:val="both"/>
        <w:rPr>
          <w:rFonts w:cstheme="minorHAnsi"/>
          <w:color w:val="000000" w:themeColor="text1"/>
        </w:rPr>
      </w:pPr>
      <w:r w:rsidRPr="0035160C">
        <w:rPr>
          <w:rFonts w:cstheme="minorHAnsi"/>
          <w:bCs/>
        </w:rPr>
        <w:t>- to cel, który dla odbiorców jest jedną z bardziej zauważalnych oznak odchodzenia od paliw kopalnych; dzięki inwestycjom w transformację sektora ciepłowniczego (systemowego i indywidualnego), elektryfikację transportu oraz promowania domów pasywnych i zeroemisyjnych, wykorzystujących lokalne źródła energii, w widoczny sposób poprawi się jakość powietrza, która ma wpływ na zdrowie społeczeństwa</w:t>
      </w:r>
      <w:r w:rsidR="00585FC0">
        <w:rPr>
          <w:rFonts w:cstheme="minorHAnsi"/>
          <w:color w:val="000000" w:themeColor="text1"/>
        </w:rPr>
        <w:t>. K</w:t>
      </w:r>
      <w:r w:rsidRPr="0035160C">
        <w:rPr>
          <w:rFonts w:cstheme="minorHAnsi"/>
          <w:color w:val="000000" w:themeColor="text1"/>
        </w:rPr>
        <w:t>luczowym rezultatem transformacji odczuwalnym przez każdego obywatela będzie zapewnienie czystego powietrza w Polsce</w:t>
      </w:r>
      <w:r w:rsidR="0001222A" w:rsidRPr="0035160C">
        <w:rPr>
          <w:rFonts w:cstheme="minorHAnsi"/>
          <w:color w:val="000000" w:themeColor="text1"/>
        </w:rPr>
        <w:t>.</w:t>
      </w:r>
    </w:p>
    <w:p w14:paraId="1D514774" w14:textId="77777777" w:rsidR="0001222A" w:rsidRPr="0035160C" w:rsidRDefault="0001222A" w:rsidP="0001222A">
      <w:pPr>
        <w:pStyle w:val="Akapitzlist"/>
        <w:tabs>
          <w:tab w:val="left" w:pos="284"/>
        </w:tabs>
        <w:spacing w:before="120" w:after="0"/>
        <w:ind w:left="0"/>
        <w:jc w:val="both"/>
        <w:rPr>
          <w:rFonts w:cstheme="minorHAnsi"/>
          <w:color w:val="000000" w:themeColor="text1"/>
        </w:rPr>
      </w:pPr>
    </w:p>
    <w:p w14:paraId="03977750" w14:textId="31CCEA9D" w:rsidR="0001222A" w:rsidRPr="0035160C" w:rsidRDefault="002F4F5A" w:rsidP="0001222A">
      <w:pPr>
        <w:pStyle w:val="Akapitzlist"/>
        <w:tabs>
          <w:tab w:val="left" w:pos="284"/>
        </w:tabs>
        <w:spacing w:before="120" w:after="0"/>
        <w:ind w:left="0"/>
        <w:jc w:val="both"/>
        <w:rPr>
          <w:rFonts w:cstheme="minorHAnsi"/>
          <w:color w:val="2F5496" w:themeColor="accent1" w:themeShade="BF"/>
        </w:rPr>
      </w:pPr>
      <w:r w:rsidRPr="0035160C">
        <w:rPr>
          <w:rFonts w:cstheme="minorHAnsi"/>
          <w:color w:val="2F5496" w:themeColor="accent1" w:themeShade="BF"/>
        </w:rPr>
        <w:t xml:space="preserve">Do 2040 r. </w:t>
      </w:r>
      <w:r w:rsidRPr="0035160C">
        <w:rPr>
          <w:rFonts w:cstheme="minorHAnsi"/>
          <w:b/>
          <w:color w:val="2F5496" w:themeColor="accent1" w:themeShade="BF"/>
        </w:rPr>
        <w:t>potrzeby cieplne wszystkich gospodarstw domowych</w:t>
      </w:r>
      <w:r w:rsidRPr="0035160C">
        <w:rPr>
          <w:rFonts w:cstheme="minorHAnsi"/>
          <w:color w:val="2F5496" w:themeColor="accent1" w:themeShade="BF"/>
        </w:rPr>
        <w:t xml:space="preserve"> pokrywane będą przez ciepło systemowe oraz przez zero- lub niskoemisyjne źródła indywidualne.</w:t>
      </w:r>
    </w:p>
    <w:p w14:paraId="686C5EED" w14:textId="3FD50BC7" w:rsidR="00585FC0" w:rsidRDefault="002F4F5A" w:rsidP="00DD0E4C">
      <w:pPr>
        <w:tabs>
          <w:tab w:val="left" w:pos="284"/>
        </w:tabs>
        <w:spacing w:after="0"/>
        <w:jc w:val="both"/>
        <w:rPr>
          <w:color w:val="2F5496" w:themeColor="accent1" w:themeShade="BF"/>
        </w:rPr>
      </w:pPr>
      <w:r w:rsidRPr="00DD0E4C">
        <w:rPr>
          <w:color w:val="2F5496" w:themeColor="accent1" w:themeShade="BF"/>
        </w:rPr>
        <w:t xml:space="preserve">PEP2040 określa szereg działań nakierowanych na </w:t>
      </w:r>
      <w:r w:rsidRPr="00DD0E4C">
        <w:rPr>
          <w:b/>
          <w:color w:val="2F5496" w:themeColor="accent1" w:themeShade="BF"/>
        </w:rPr>
        <w:t>poprawę jakości powietrza</w:t>
      </w:r>
      <w:r w:rsidRPr="00DD0E4C">
        <w:rPr>
          <w:color w:val="2F5496" w:themeColor="accent1" w:themeShade="BF"/>
        </w:rPr>
        <w:t xml:space="preserve">, w tym przede wszystkim: </w:t>
      </w:r>
    </w:p>
    <w:p w14:paraId="2BFEF962" w14:textId="0EBC7B9E" w:rsidR="0001222A" w:rsidRPr="00DD0E4C" w:rsidRDefault="002F4F5A" w:rsidP="00DD0E4C">
      <w:pPr>
        <w:tabs>
          <w:tab w:val="left" w:pos="284"/>
        </w:tabs>
        <w:spacing w:after="0"/>
        <w:jc w:val="both"/>
        <w:rPr>
          <w:rFonts w:cstheme="minorHAnsi"/>
          <w:color w:val="2F5496" w:themeColor="accent1" w:themeShade="BF"/>
        </w:rPr>
      </w:pPr>
      <w:r w:rsidRPr="00DD0E4C">
        <w:rPr>
          <w:color w:val="2F5496" w:themeColor="accent1" w:themeShade="BF"/>
        </w:rPr>
        <w:t>rozwój ciepłownictwa systemowego (4-krotny wzrost liczby efektywnych systemów ciepłowniczych do 2030 r.</w:t>
      </w:r>
      <w:r w:rsidRPr="00DD0E4C">
        <w:rPr>
          <w:color w:val="2F5496" w:themeColor="accent1" w:themeShade="BF"/>
          <w:lang w:bidi="pl-PL"/>
        </w:rPr>
        <w:t>)</w:t>
      </w:r>
      <w:r w:rsidR="00585FC0">
        <w:rPr>
          <w:color w:val="2F5496" w:themeColor="accent1" w:themeShade="BF"/>
          <w:lang w:bidi="pl-PL"/>
        </w:rPr>
        <w:t>,</w:t>
      </w:r>
    </w:p>
    <w:p w14:paraId="2B7C7A45" w14:textId="6FDF212E" w:rsidR="0001222A" w:rsidRPr="0035160C" w:rsidRDefault="002F4F5A" w:rsidP="00CA3BB7">
      <w:pPr>
        <w:pStyle w:val="Akapitzlist"/>
        <w:numPr>
          <w:ilvl w:val="0"/>
          <w:numId w:val="7"/>
        </w:numPr>
        <w:tabs>
          <w:tab w:val="left" w:pos="284"/>
        </w:tabs>
        <w:spacing w:after="600"/>
        <w:ind w:left="284" w:hanging="284"/>
        <w:jc w:val="both"/>
        <w:rPr>
          <w:rFonts w:cstheme="minorHAnsi"/>
          <w:color w:val="2F5496" w:themeColor="accent1" w:themeShade="BF"/>
        </w:rPr>
      </w:pPr>
      <w:r w:rsidRPr="0035160C">
        <w:rPr>
          <w:color w:val="2F5496" w:themeColor="accent1" w:themeShade="BF"/>
        </w:rPr>
        <w:t>niskoemisyjny kierunek transformacji źródeł indywidualnych (pompy ciepła, ogrzewanie elektryczne)</w:t>
      </w:r>
      <w:r w:rsidR="00585FC0">
        <w:rPr>
          <w:color w:val="2F5496" w:themeColor="accent1" w:themeShade="BF"/>
        </w:rPr>
        <w:t>,</w:t>
      </w:r>
    </w:p>
    <w:p w14:paraId="4F74177C" w14:textId="1459F092" w:rsidR="0001222A" w:rsidRPr="0035160C" w:rsidRDefault="002F4F5A" w:rsidP="00CA3BB7">
      <w:pPr>
        <w:pStyle w:val="Akapitzlist"/>
        <w:numPr>
          <w:ilvl w:val="0"/>
          <w:numId w:val="7"/>
        </w:numPr>
        <w:tabs>
          <w:tab w:val="left" w:pos="284"/>
        </w:tabs>
        <w:spacing w:after="600"/>
        <w:ind w:left="284" w:hanging="284"/>
        <w:jc w:val="both"/>
        <w:rPr>
          <w:rFonts w:cstheme="minorHAnsi"/>
          <w:color w:val="2F5496" w:themeColor="accent1" w:themeShade="BF"/>
        </w:rPr>
      </w:pPr>
      <w:r w:rsidRPr="0035160C">
        <w:rPr>
          <w:b/>
          <w:color w:val="2F5496" w:themeColor="accent1" w:themeShade="BF"/>
        </w:rPr>
        <w:lastRenderedPageBreak/>
        <w:t>odejście od spalania węgla w gospodarstwach domowych</w:t>
      </w:r>
      <w:r w:rsidRPr="0035160C">
        <w:rPr>
          <w:color w:val="2F5496" w:themeColor="accent1" w:themeShade="BF"/>
        </w:rPr>
        <w:t xml:space="preserve"> w miastach do 2030 r., na obszarach wiejskich do 2040 r.; przy utrzymaniu możliwości wykorzystania paliwa bezdymnego do 2040 r.</w:t>
      </w:r>
      <w:r w:rsidR="00585FC0">
        <w:rPr>
          <w:color w:val="2F5496" w:themeColor="accent1" w:themeShade="BF"/>
        </w:rPr>
        <w:t>,</w:t>
      </w:r>
    </w:p>
    <w:p w14:paraId="1C6D385F" w14:textId="5E08D82C" w:rsidR="0001222A" w:rsidRPr="0035160C" w:rsidRDefault="002F4F5A" w:rsidP="00CA3BB7">
      <w:pPr>
        <w:pStyle w:val="Akapitzlist"/>
        <w:numPr>
          <w:ilvl w:val="0"/>
          <w:numId w:val="7"/>
        </w:numPr>
        <w:tabs>
          <w:tab w:val="left" w:pos="284"/>
        </w:tabs>
        <w:spacing w:after="600"/>
        <w:ind w:left="284" w:hanging="284"/>
        <w:jc w:val="both"/>
        <w:rPr>
          <w:rFonts w:cstheme="minorHAnsi"/>
          <w:color w:val="2F5496" w:themeColor="accent1" w:themeShade="BF"/>
        </w:rPr>
      </w:pPr>
      <w:r w:rsidRPr="0035160C">
        <w:rPr>
          <w:color w:val="2F5496" w:themeColor="accent1" w:themeShade="BF"/>
        </w:rPr>
        <w:t>zwiększenie efektywności energetycznej budynków</w:t>
      </w:r>
      <w:r w:rsidR="00585FC0">
        <w:rPr>
          <w:color w:val="2F5496" w:themeColor="accent1" w:themeShade="BF"/>
        </w:rPr>
        <w:t>,</w:t>
      </w:r>
    </w:p>
    <w:p w14:paraId="04926B2B" w14:textId="5387D117" w:rsidR="002F4F5A" w:rsidRPr="0035160C" w:rsidRDefault="002F4F5A" w:rsidP="00CA3BB7">
      <w:pPr>
        <w:pStyle w:val="Akapitzlist"/>
        <w:numPr>
          <w:ilvl w:val="0"/>
          <w:numId w:val="7"/>
        </w:numPr>
        <w:tabs>
          <w:tab w:val="left" w:pos="284"/>
        </w:tabs>
        <w:spacing w:after="600"/>
        <w:ind w:left="284" w:hanging="284"/>
        <w:jc w:val="both"/>
        <w:rPr>
          <w:rFonts w:cstheme="minorHAnsi"/>
          <w:color w:val="2F5496" w:themeColor="accent1" w:themeShade="BF"/>
        </w:rPr>
      </w:pPr>
      <w:r w:rsidRPr="0035160C">
        <w:rPr>
          <w:color w:val="2F5496" w:themeColor="accent1" w:themeShade="BF"/>
        </w:rPr>
        <w:t xml:space="preserve">rozwój transportu niskoemisyjnego, w szczególności dążenie do </w:t>
      </w:r>
      <w:r w:rsidRPr="0035160C">
        <w:rPr>
          <w:b/>
          <w:color w:val="2F5496" w:themeColor="accent1" w:themeShade="BF"/>
        </w:rPr>
        <w:t xml:space="preserve">zeroemisyjnej komunikacji publicznej do 2030 r. </w:t>
      </w:r>
      <w:r w:rsidRPr="0035160C">
        <w:rPr>
          <w:color w:val="2F5496" w:themeColor="accent1" w:themeShade="BF"/>
        </w:rPr>
        <w:t xml:space="preserve">w miastach powyżej 100 tys. mieszkańców. </w:t>
      </w:r>
    </w:p>
    <w:p w14:paraId="08A11EB3" w14:textId="6B386286" w:rsidR="00397D91" w:rsidRPr="0035160C" w:rsidRDefault="00CD3F46" w:rsidP="00253A87">
      <w:pPr>
        <w:spacing w:line="276" w:lineRule="auto"/>
        <w:jc w:val="both"/>
      </w:pPr>
      <w:r w:rsidRPr="0035160C">
        <w:t xml:space="preserve">Istotnym elementem </w:t>
      </w:r>
      <w:r w:rsidR="003D092F" w:rsidRPr="0035160C">
        <w:t>a</w:t>
      </w:r>
      <w:r w:rsidRPr="0035160C">
        <w:t>KPOP</w:t>
      </w:r>
      <w:r w:rsidR="003D092F" w:rsidRPr="0035160C">
        <w:t xml:space="preserve"> </w:t>
      </w:r>
      <w:r w:rsidRPr="0035160C">
        <w:t xml:space="preserve">jest </w:t>
      </w:r>
      <w:r w:rsidR="003D092F" w:rsidRPr="0035160C">
        <w:t xml:space="preserve">jego </w:t>
      </w:r>
      <w:r w:rsidRPr="0035160C">
        <w:t xml:space="preserve">spójność i synergia z innymi planami, programami i politykami, co pozwoli na zmniejszanie kosztów wdrażanych działań i środków z nich wynikających. </w:t>
      </w:r>
    </w:p>
    <w:p w14:paraId="2823817C" w14:textId="77777777" w:rsidR="00CD3F46" w:rsidRPr="0035160C" w:rsidRDefault="00CD3F46" w:rsidP="00CD3F46">
      <w:r w:rsidRPr="0035160C">
        <w:br w:type="page"/>
      </w:r>
    </w:p>
    <w:p w14:paraId="1702CC8C" w14:textId="2239DE30" w:rsidR="00282106" w:rsidRPr="0035160C" w:rsidRDefault="00282106" w:rsidP="001C78DF">
      <w:pPr>
        <w:pStyle w:val="Nagwek1"/>
        <w:numPr>
          <w:ilvl w:val="0"/>
          <w:numId w:val="0"/>
        </w:numPr>
        <w:ind w:left="431" w:hanging="431"/>
        <w:rPr>
          <w:b/>
          <w:sz w:val="24"/>
          <w:szCs w:val="24"/>
        </w:rPr>
      </w:pPr>
      <w:bookmarkStart w:id="13" w:name="_Toc78205878"/>
      <w:r w:rsidRPr="0035160C">
        <w:rPr>
          <w:b/>
          <w:sz w:val="24"/>
          <w:szCs w:val="24"/>
        </w:rPr>
        <w:lastRenderedPageBreak/>
        <w:t>5.</w:t>
      </w:r>
      <w:r w:rsidRPr="0035160C">
        <w:rPr>
          <w:b/>
          <w:sz w:val="24"/>
          <w:szCs w:val="24"/>
        </w:rPr>
        <w:tab/>
      </w:r>
      <w:r w:rsidRPr="0035160C">
        <w:rPr>
          <w:rStyle w:val="Nagwek1Znak"/>
          <w:b/>
          <w:sz w:val="24"/>
          <w:szCs w:val="24"/>
        </w:rPr>
        <w:t>Cel i kierunki interwencji aKPOP</w:t>
      </w:r>
      <w:bookmarkEnd w:id="13"/>
    </w:p>
    <w:p w14:paraId="134C5383" w14:textId="7E2AF991" w:rsidR="0094415D" w:rsidRPr="0035160C" w:rsidRDefault="0094415D" w:rsidP="0094415D">
      <w:pPr>
        <w:tabs>
          <w:tab w:val="left" w:pos="3969"/>
        </w:tabs>
        <w:spacing w:after="0"/>
        <w:jc w:val="both"/>
        <w:rPr>
          <w:rFonts w:eastAsia="Times New Roman" w:cstheme="minorHAnsi"/>
          <w:color w:val="000000"/>
          <w:szCs w:val="20"/>
          <w:lang w:eastAsia="en-GB"/>
        </w:rPr>
      </w:pPr>
      <w:r w:rsidRPr="0035160C">
        <w:rPr>
          <w:rFonts w:cstheme="minorHAnsi"/>
        </w:rPr>
        <w:t xml:space="preserve">Celem głównym aKPOP </w:t>
      </w:r>
      <w:bookmarkStart w:id="14" w:name="_Hlk77628612"/>
      <w:r w:rsidRPr="0035160C">
        <w:rPr>
          <w:rFonts w:eastAsia="Times New Roman" w:cstheme="minorHAnsi"/>
          <w:color w:val="000000"/>
          <w:szCs w:val="20"/>
          <w:lang w:eastAsia="en-GB"/>
        </w:rPr>
        <w:t>jest pilna poprawa</w:t>
      </w:r>
      <w:r w:rsidR="0079257C" w:rsidRPr="0035160C">
        <w:rPr>
          <w:rFonts w:eastAsia="Times New Roman" w:cstheme="minorHAnsi"/>
          <w:color w:val="000000"/>
          <w:szCs w:val="20"/>
          <w:lang w:eastAsia="en-GB"/>
        </w:rPr>
        <w:t xml:space="preserve"> stanu powietrza w strefach, w których w wyniku oceny jakości powietrza, przeprowadzanej corocznie przez </w:t>
      </w:r>
      <w:r w:rsidR="0015104A">
        <w:rPr>
          <w:rFonts w:eastAsia="Times New Roman" w:cstheme="minorHAnsi"/>
          <w:color w:val="000000"/>
          <w:szCs w:val="20"/>
          <w:lang w:eastAsia="en-GB"/>
        </w:rPr>
        <w:t>GIOŚ</w:t>
      </w:r>
      <w:r w:rsidR="0079257C" w:rsidRPr="0035160C">
        <w:rPr>
          <w:rFonts w:eastAsia="Times New Roman" w:cstheme="minorHAnsi"/>
          <w:color w:val="000000"/>
          <w:szCs w:val="20"/>
          <w:lang w:eastAsia="en-GB"/>
        </w:rPr>
        <w:t xml:space="preserve">, stwierdzane są </w:t>
      </w:r>
      <w:r w:rsidR="0015104A">
        <w:rPr>
          <w:rFonts w:eastAsia="Times New Roman" w:cstheme="minorHAnsi"/>
          <w:color w:val="000000"/>
          <w:szCs w:val="20"/>
          <w:lang w:eastAsia="en-GB"/>
        </w:rPr>
        <w:t xml:space="preserve">w dalszym ciągu </w:t>
      </w:r>
      <w:r w:rsidR="0079257C" w:rsidRPr="0035160C">
        <w:rPr>
          <w:rFonts w:eastAsia="Times New Roman" w:cstheme="minorHAnsi"/>
          <w:color w:val="000000"/>
          <w:szCs w:val="20"/>
          <w:lang w:eastAsia="en-GB"/>
        </w:rPr>
        <w:t xml:space="preserve">przekroczenia poziomów dopuszczalnych i docelowych wybranych substancji </w:t>
      </w:r>
      <w:r w:rsidR="000A5F8E">
        <w:rPr>
          <w:rFonts w:eastAsia="Times New Roman" w:cstheme="minorHAnsi"/>
          <w:color w:val="000000"/>
          <w:szCs w:val="20"/>
          <w:lang w:eastAsia="en-GB"/>
        </w:rPr>
        <w:t xml:space="preserve">w </w:t>
      </w:r>
      <w:r w:rsidR="0079257C" w:rsidRPr="0035160C">
        <w:rPr>
          <w:rFonts w:eastAsia="Times New Roman" w:cstheme="minorHAnsi"/>
          <w:color w:val="000000"/>
          <w:szCs w:val="20"/>
          <w:lang w:eastAsia="en-GB"/>
        </w:rPr>
        <w:t>powietrz</w:t>
      </w:r>
      <w:r w:rsidR="000A5F8E">
        <w:rPr>
          <w:rFonts w:eastAsia="Times New Roman" w:cstheme="minorHAnsi"/>
          <w:color w:val="000000"/>
          <w:szCs w:val="20"/>
          <w:lang w:eastAsia="en-GB"/>
        </w:rPr>
        <w:t>u</w:t>
      </w:r>
      <w:r w:rsidR="0079257C" w:rsidRPr="0035160C">
        <w:rPr>
          <w:rFonts w:eastAsia="Times New Roman" w:cstheme="minorHAnsi"/>
          <w:color w:val="000000"/>
          <w:szCs w:val="20"/>
          <w:lang w:eastAsia="en-GB"/>
        </w:rPr>
        <w:t xml:space="preserve"> oraz ochrona </w:t>
      </w:r>
      <w:r w:rsidRPr="0035160C">
        <w:rPr>
          <w:rFonts w:eastAsia="Times New Roman" w:cstheme="minorHAnsi"/>
          <w:color w:val="000000"/>
          <w:szCs w:val="20"/>
          <w:lang w:eastAsia="en-GB"/>
        </w:rPr>
        <w:t xml:space="preserve">zdrowia i komfortu życia mieszkańców oraz środowiska naturalnego jako całość. </w:t>
      </w:r>
    </w:p>
    <w:p w14:paraId="616DDAF8" w14:textId="095DB20A" w:rsidR="00282106" w:rsidRPr="0035160C" w:rsidRDefault="0094415D" w:rsidP="00673CC6">
      <w:pPr>
        <w:tabs>
          <w:tab w:val="left" w:pos="3969"/>
        </w:tabs>
        <w:spacing w:before="120" w:after="0"/>
        <w:jc w:val="both"/>
        <w:rPr>
          <w:rFonts w:eastAsia="Times New Roman" w:cstheme="minorHAnsi"/>
          <w:color w:val="000000"/>
          <w:szCs w:val="20"/>
          <w:lang w:eastAsia="en-GB"/>
        </w:rPr>
      </w:pPr>
      <w:r w:rsidRPr="0035160C">
        <w:rPr>
          <w:rFonts w:eastAsia="Times New Roman" w:cstheme="minorHAnsi"/>
          <w:color w:val="000000"/>
          <w:szCs w:val="20"/>
          <w:lang w:eastAsia="en-GB"/>
        </w:rPr>
        <w:t xml:space="preserve">Cel ten realizowany będzie poprzez </w:t>
      </w:r>
      <w:r w:rsidR="00E539A5">
        <w:rPr>
          <w:rFonts w:eastAsia="Times New Roman" w:cstheme="minorHAnsi"/>
          <w:color w:val="000000"/>
          <w:szCs w:val="20"/>
          <w:lang w:eastAsia="en-GB"/>
        </w:rPr>
        <w:t>realizację</w:t>
      </w:r>
      <w:r w:rsidR="00E539A5" w:rsidRPr="0035160C">
        <w:rPr>
          <w:rFonts w:eastAsia="Times New Roman" w:cstheme="minorHAnsi"/>
          <w:color w:val="000000"/>
          <w:szCs w:val="20"/>
          <w:lang w:eastAsia="en-GB"/>
        </w:rPr>
        <w:t xml:space="preserve"> </w:t>
      </w:r>
      <w:r w:rsidRPr="0035160C">
        <w:rPr>
          <w:rFonts w:eastAsia="Times New Roman" w:cstheme="minorHAnsi"/>
          <w:color w:val="000000"/>
          <w:szCs w:val="20"/>
          <w:lang w:eastAsia="en-GB"/>
        </w:rPr>
        <w:t xml:space="preserve">celów szczegółowych oraz wskazanie kierunków interwencji. Przedstawione w </w:t>
      </w:r>
      <w:r w:rsidR="00673CC6" w:rsidRPr="0035160C">
        <w:rPr>
          <w:rFonts w:eastAsia="Times New Roman" w:cstheme="minorHAnsi"/>
          <w:color w:val="000000"/>
          <w:szCs w:val="20"/>
          <w:lang w:eastAsia="en-GB"/>
        </w:rPr>
        <w:t>przedmiotowej aKPOP</w:t>
      </w:r>
      <w:r w:rsidRPr="0035160C">
        <w:rPr>
          <w:rFonts w:eastAsia="Times New Roman" w:cstheme="minorHAnsi"/>
          <w:color w:val="000000"/>
          <w:szCs w:val="20"/>
          <w:lang w:eastAsia="en-GB"/>
        </w:rPr>
        <w:t xml:space="preserve"> działania</w:t>
      </w:r>
      <w:r w:rsidR="00E539A5">
        <w:rPr>
          <w:rFonts w:eastAsia="Times New Roman" w:cstheme="minorHAnsi"/>
          <w:color w:val="000000"/>
          <w:szCs w:val="20"/>
          <w:lang w:eastAsia="en-GB"/>
        </w:rPr>
        <w:t xml:space="preserve"> powinny być planowane</w:t>
      </w:r>
      <w:r w:rsidRPr="0035160C">
        <w:rPr>
          <w:rFonts w:eastAsia="Times New Roman" w:cstheme="minorHAnsi"/>
          <w:color w:val="000000"/>
          <w:szCs w:val="20"/>
          <w:lang w:eastAsia="en-GB"/>
        </w:rPr>
        <w:t xml:space="preserve"> w połączeniu z</w:t>
      </w:r>
      <w:r w:rsidR="007614C9">
        <w:rPr>
          <w:rFonts w:eastAsia="Times New Roman" w:cstheme="minorHAnsi"/>
          <w:color w:val="000000"/>
          <w:szCs w:val="20"/>
          <w:lang w:eastAsia="en-GB"/>
        </w:rPr>
        <w:t xml:space="preserve"> </w:t>
      </w:r>
      <w:r w:rsidRPr="0035160C">
        <w:rPr>
          <w:rFonts w:eastAsia="Times New Roman" w:cstheme="minorHAnsi"/>
          <w:color w:val="000000"/>
          <w:szCs w:val="20"/>
          <w:lang w:eastAsia="en-GB"/>
        </w:rPr>
        <w:t xml:space="preserve">kierunkami interwencji </w:t>
      </w:r>
      <w:r w:rsidR="00673CC6" w:rsidRPr="0035160C">
        <w:rPr>
          <w:rFonts w:eastAsia="Times New Roman" w:cstheme="minorHAnsi"/>
          <w:color w:val="000000"/>
          <w:szCs w:val="20"/>
          <w:lang w:eastAsia="en-GB"/>
        </w:rPr>
        <w:t xml:space="preserve">Polityki Ekologicznej Polski do 2030 r. </w:t>
      </w:r>
      <w:r w:rsidR="00E539A5">
        <w:rPr>
          <w:rFonts w:eastAsia="Times New Roman" w:cstheme="minorHAnsi"/>
          <w:color w:val="000000"/>
          <w:szCs w:val="20"/>
          <w:lang w:eastAsia="en-GB"/>
        </w:rPr>
        <w:t>oraz realizacją</w:t>
      </w:r>
      <w:r w:rsidR="00673CC6" w:rsidRPr="0035160C">
        <w:rPr>
          <w:rFonts w:eastAsia="Times New Roman" w:cstheme="minorHAnsi"/>
          <w:color w:val="000000"/>
          <w:szCs w:val="20"/>
          <w:lang w:eastAsia="en-GB"/>
        </w:rPr>
        <w:t xml:space="preserve"> cel</w:t>
      </w:r>
      <w:r w:rsidR="00E539A5">
        <w:rPr>
          <w:rFonts w:eastAsia="Times New Roman" w:cstheme="minorHAnsi"/>
          <w:color w:val="000000"/>
          <w:szCs w:val="20"/>
          <w:lang w:eastAsia="en-GB"/>
        </w:rPr>
        <w:t>ów</w:t>
      </w:r>
      <w:r w:rsidR="00673CC6" w:rsidRPr="0035160C">
        <w:rPr>
          <w:rFonts w:eastAsia="Times New Roman" w:cstheme="minorHAnsi"/>
          <w:color w:val="000000"/>
          <w:szCs w:val="20"/>
          <w:lang w:eastAsia="en-GB"/>
        </w:rPr>
        <w:t xml:space="preserve"> i projekt</w:t>
      </w:r>
      <w:r w:rsidR="00E539A5">
        <w:rPr>
          <w:rFonts w:eastAsia="Times New Roman" w:cstheme="minorHAnsi"/>
          <w:color w:val="000000"/>
          <w:szCs w:val="20"/>
          <w:lang w:eastAsia="en-GB"/>
        </w:rPr>
        <w:t>ów</w:t>
      </w:r>
      <w:r w:rsidR="00673CC6" w:rsidRPr="0035160C">
        <w:rPr>
          <w:rFonts w:eastAsia="Times New Roman" w:cstheme="minorHAnsi"/>
          <w:color w:val="000000"/>
          <w:szCs w:val="20"/>
          <w:lang w:eastAsia="en-GB"/>
        </w:rPr>
        <w:t xml:space="preserve"> strategiczn</w:t>
      </w:r>
      <w:r w:rsidR="00E539A5">
        <w:rPr>
          <w:rFonts w:eastAsia="Times New Roman" w:cstheme="minorHAnsi"/>
          <w:color w:val="000000"/>
          <w:szCs w:val="20"/>
          <w:lang w:eastAsia="en-GB"/>
        </w:rPr>
        <w:t>ych</w:t>
      </w:r>
      <w:r w:rsidR="00673CC6" w:rsidRPr="0035160C">
        <w:rPr>
          <w:rFonts w:eastAsia="Times New Roman" w:cstheme="minorHAnsi"/>
          <w:color w:val="000000"/>
          <w:szCs w:val="20"/>
          <w:lang w:eastAsia="en-GB"/>
        </w:rPr>
        <w:t xml:space="preserve"> </w:t>
      </w:r>
      <w:r w:rsidR="0015104A">
        <w:rPr>
          <w:rFonts w:eastAsia="Times New Roman" w:cstheme="minorHAnsi"/>
          <w:color w:val="000000"/>
          <w:szCs w:val="20"/>
          <w:lang w:eastAsia="en-GB"/>
        </w:rPr>
        <w:t>PEP</w:t>
      </w:r>
      <w:r w:rsidR="00673CC6" w:rsidRPr="0035160C">
        <w:rPr>
          <w:rFonts w:eastAsia="Times New Roman" w:cstheme="minorHAnsi"/>
          <w:color w:val="000000"/>
          <w:szCs w:val="20"/>
          <w:lang w:eastAsia="en-GB"/>
        </w:rPr>
        <w:t>2040.</w:t>
      </w:r>
      <w:bookmarkEnd w:id="14"/>
      <w:r w:rsidRPr="0035160C">
        <w:rPr>
          <w:rFonts w:eastAsia="Times New Roman" w:cstheme="minorHAnsi"/>
          <w:color w:val="000000"/>
          <w:szCs w:val="20"/>
          <w:lang w:eastAsia="en-GB"/>
        </w:rPr>
        <w:t xml:space="preserve"> </w:t>
      </w:r>
      <w:r w:rsidR="00E539A5">
        <w:rPr>
          <w:rFonts w:eastAsia="Times New Roman" w:cstheme="minorHAnsi"/>
          <w:color w:val="000000"/>
          <w:szCs w:val="20"/>
          <w:lang w:eastAsia="en-GB"/>
        </w:rPr>
        <w:t>U</w:t>
      </w:r>
      <w:r w:rsidR="00E539A5" w:rsidRPr="0035160C">
        <w:rPr>
          <w:rFonts w:eastAsia="Times New Roman" w:cstheme="minorHAnsi"/>
          <w:color w:val="000000"/>
          <w:szCs w:val="20"/>
          <w:lang w:eastAsia="en-GB"/>
        </w:rPr>
        <w:t>możliwi</w:t>
      </w:r>
      <w:r w:rsidR="00E539A5">
        <w:rPr>
          <w:rFonts w:eastAsia="Times New Roman" w:cstheme="minorHAnsi"/>
          <w:color w:val="000000"/>
          <w:szCs w:val="20"/>
          <w:lang w:eastAsia="en-GB"/>
        </w:rPr>
        <w:t xml:space="preserve"> to</w:t>
      </w:r>
      <w:r w:rsidR="00E539A5" w:rsidRPr="0035160C">
        <w:rPr>
          <w:rFonts w:eastAsia="Times New Roman" w:cstheme="minorHAnsi"/>
          <w:color w:val="000000"/>
          <w:szCs w:val="20"/>
          <w:lang w:eastAsia="en-GB"/>
        </w:rPr>
        <w:t xml:space="preserve"> </w:t>
      </w:r>
      <w:r w:rsidR="00673CC6" w:rsidRPr="0035160C">
        <w:rPr>
          <w:rFonts w:eastAsia="Times New Roman" w:cstheme="minorHAnsi"/>
          <w:color w:val="000000"/>
          <w:szCs w:val="20"/>
          <w:lang w:eastAsia="en-GB"/>
        </w:rPr>
        <w:t xml:space="preserve">eliminację pozostałych barier, określonych w KPOP do 2020 r., intensyfikację działań naprawczych określonych w </w:t>
      </w:r>
      <w:r w:rsidR="00D92BE4">
        <w:rPr>
          <w:rFonts w:eastAsia="Times New Roman" w:cstheme="minorHAnsi"/>
          <w:color w:val="000000"/>
          <w:szCs w:val="20"/>
          <w:lang w:eastAsia="en-GB"/>
        </w:rPr>
        <w:t>POP</w:t>
      </w:r>
      <w:r w:rsidR="00673CC6" w:rsidRPr="0035160C">
        <w:rPr>
          <w:rFonts w:eastAsia="Times New Roman" w:cstheme="minorHAnsi"/>
          <w:color w:val="000000"/>
          <w:szCs w:val="20"/>
          <w:lang w:eastAsia="en-GB"/>
        </w:rPr>
        <w:t xml:space="preserve"> do 2026 r. oraz osiągnięci</w:t>
      </w:r>
      <w:r w:rsidR="00E539A5">
        <w:rPr>
          <w:rFonts w:eastAsia="Times New Roman" w:cstheme="minorHAnsi"/>
          <w:color w:val="000000"/>
          <w:szCs w:val="20"/>
          <w:lang w:eastAsia="en-GB"/>
        </w:rPr>
        <w:t>e</w:t>
      </w:r>
      <w:r w:rsidR="00673CC6" w:rsidRPr="0035160C">
        <w:rPr>
          <w:rFonts w:eastAsia="Times New Roman" w:cstheme="minorHAnsi"/>
          <w:color w:val="000000"/>
          <w:szCs w:val="20"/>
          <w:lang w:eastAsia="en-GB"/>
        </w:rPr>
        <w:t xml:space="preserve"> celów założonych w realizowanych na poziomie województw uchwał antysmogowych. </w:t>
      </w:r>
    </w:p>
    <w:p w14:paraId="4E5DE2D5" w14:textId="6A83D3AA" w:rsidR="00380BAC" w:rsidRPr="0035160C" w:rsidRDefault="00380BAC" w:rsidP="00380BAC">
      <w:pPr>
        <w:tabs>
          <w:tab w:val="left" w:pos="3969"/>
        </w:tabs>
        <w:spacing w:before="120" w:after="0"/>
        <w:jc w:val="both"/>
        <w:rPr>
          <w:rFonts w:eastAsia="Times New Roman" w:cstheme="minorHAnsi"/>
          <w:color w:val="000000"/>
          <w:szCs w:val="20"/>
          <w:lang w:eastAsia="en-GB"/>
        </w:rPr>
      </w:pPr>
      <w:r w:rsidRPr="0035160C">
        <w:rPr>
          <w:rFonts w:eastAsia="Times New Roman" w:cstheme="minorHAnsi"/>
          <w:color w:val="000000"/>
          <w:szCs w:val="20"/>
          <w:lang w:eastAsia="en-GB"/>
        </w:rPr>
        <w:t xml:space="preserve">Ze względu na nieosiągnięcie celów </w:t>
      </w:r>
      <w:r w:rsidR="00D92BE4">
        <w:rPr>
          <w:rFonts w:eastAsia="Times New Roman" w:cstheme="minorHAnsi"/>
          <w:color w:val="000000"/>
          <w:szCs w:val="20"/>
          <w:lang w:eastAsia="en-GB"/>
        </w:rPr>
        <w:t>KPOP</w:t>
      </w:r>
      <w:r w:rsidRPr="0035160C">
        <w:rPr>
          <w:rFonts w:eastAsia="Times New Roman" w:cstheme="minorHAnsi"/>
          <w:color w:val="000000"/>
          <w:szCs w:val="20"/>
          <w:lang w:eastAsia="en-GB"/>
        </w:rPr>
        <w:t xml:space="preserve"> do 2020 r. na obszarze wszystkich stref w kraju, celami szczegółowymi aKPOP będzie ich kontynuacja:</w:t>
      </w:r>
    </w:p>
    <w:p w14:paraId="02D3E750" w14:textId="59868405" w:rsidR="00380BAC" w:rsidRPr="0035160C" w:rsidRDefault="00380BAC" w:rsidP="00380BAC">
      <w:pPr>
        <w:tabs>
          <w:tab w:val="left" w:pos="3969"/>
        </w:tabs>
        <w:spacing w:before="120" w:after="0"/>
        <w:ind w:left="284" w:hanging="142"/>
        <w:jc w:val="both"/>
        <w:rPr>
          <w:rFonts w:eastAsia="Times New Roman" w:cstheme="minorHAnsi"/>
          <w:color w:val="000000"/>
          <w:szCs w:val="20"/>
          <w:lang w:eastAsia="en-GB"/>
        </w:rPr>
      </w:pPr>
      <w:r w:rsidRPr="0035160C">
        <w:rPr>
          <w:rFonts w:eastAsia="Times New Roman" w:cstheme="minorHAnsi"/>
          <w:color w:val="000000"/>
          <w:szCs w:val="20"/>
          <w:lang w:eastAsia="en-GB"/>
        </w:rPr>
        <w:t xml:space="preserve">- </w:t>
      </w:r>
      <w:r w:rsidRPr="0035160C">
        <w:rPr>
          <w:rFonts w:eastAsia="Times New Roman" w:cstheme="minorHAnsi"/>
          <w:b/>
          <w:bCs/>
          <w:color w:val="2F5496" w:themeColor="accent1" w:themeShade="BF"/>
          <w:szCs w:val="20"/>
          <w:lang w:eastAsia="en-GB"/>
        </w:rPr>
        <w:t>osiągnięcie w możliw</w:t>
      </w:r>
      <w:r w:rsidR="00BE6C81">
        <w:rPr>
          <w:rFonts w:eastAsia="Times New Roman" w:cstheme="minorHAnsi"/>
          <w:b/>
          <w:bCs/>
          <w:color w:val="2F5496" w:themeColor="accent1" w:themeShade="BF"/>
          <w:szCs w:val="20"/>
          <w:lang w:eastAsia="en-GB"/>
        </w:rPr>
        <w:t>i</w:t>
      </w:r>
      <w:r w:rsidRPr="0035160C">
        <w:rPr>
          <w:rFonts w:eastAsia="Times New Roman" w:cstheme="minorHAnsi"/>
          <w:b/>
          <w:bCs/>
          <w:color w:val="2F5496" w:themeColor="accent1" w:themeShade="BF"/>
          <w:szCs w:val="20"/>
          <w:lang w:eastAsia="en-GB"/>
        </w:rPr>
        <w:t>e krótkim czasie poziomów dopuszczalnych i docelowych niektórych substancji, określonych w dyrektywie 2008/50/WE i 2004/107/WE oraz utrzymanie ich na tych obszarach, na których są dotrzymywane</w:t>
      </w:r>
      <w:r w:rsidRPr="0035160C">
        <w:rPr>
          <w:rFonts w:eastAsia="Times New Roman" w:cstheme="minorHAnsi"/>
          <w:color w:val="000000"/>
          <w:szCs w:val="20"/>
          <w:lang w:eastAsia="en-GB"/>
        </w:rPr>
        <w:t xml:space="preserve">, a w przypadku pyłu drobnego PM2,5 także pułapu stężenia ekspozycji oraz Krajowego Celu Redukcji Narażenia, </w:t>
      </w:r>
    </w:p>
    <w:p w14:paraId="39002392" w14:textId="165DAB0D" w:rsidR="00673CC6" w:rsidRPr="0035160C" w:rsidRDefault="00380BAC" w:rsidP="00380BAC">
      <w:pPr>
        <w:tabs>
          <w:tab w:val="left" w:pos="3969"/>
        </w:tabs>
        <w:spacing w:before="120" w:after="0"/>
        <w:ind w:left="284" w:hanging="142"/>
        <w:jc w:val="both"/>
        <w:rPr>
          <w:rFonts w:eastAsia="Times New Roman" w:cstheme="minorHAnsi"/>
          <w:color w:val="000000"/>
          <w:szCs w:val="20"/>
          <w:lang w:eastAsia="en-GB"/>
        </w:rPr>
      </w:pPr>
      <w:r w:rsidRPr="0035160C">
        <w:rPr>
          <w:rFonts w:eastAsia="Times New Roman" w:cstheme="minorHAnsi"/>
          <w:color w:val="000000"/>
          <w:szCs w:val="20"/>
          <w:lang w:eastAsia="en-GB"/>
        </w:rPr>
        <w:t xml:space="preserve">- </w:t>
      </w:r>
      <w:r w:rsidRPr="0035160C">
        <w:rPr>
          <w:rFonts w:eastAsia="Times New Roman" w:cstheme="minorHAnsi"/>
          <w:b/>
          <w:bCs/>
          <w:color w:val="2F5496" w:themeColor="accent1" w:themeShade="BF"/>
          <w:szCs w:val="20"/>
          <w:lang w:eastAsia="en-GB"/>
        </w:rPr>
        <w:t>osiągnięcie w perspektywie do roku 2030 stężeń niektórych substancji w powietrzu na poziomach wskazanych przez WHO</w:t>
      </w:r>
      <w:r w:rsidRPr="0035160C">
        <w:rPr>
          <w:rFonts w:eastAsia="Times New Roman" w:cstheme="minorHAnsi"/>
          <w:color w:val="2F5496" w:themeColor="accent1" w:themeShade="BF"/>
          <w:szCs w:val="20"/>
          <w:lang w:eastAsia="en-GB"/>
        </w:rPr>
        <w:t xml:space="preserve"> </w:t>
      </w:r>
      <w:r w:rsidRPr="0035160C">
        <w:rPr>
          <w:rFonts w:eastAsia="Times New Roman" w:cstheme="minorHAnsi"/>
          <w:color w:val="000000"/>
          <w:szCs w:val="20"/>
          <w:lang w:eastAsia="en-GB"/>
        </w:rPr>
        <w:t>oraz nowych wymagań wynikających z regulacji prawnych projektowanych przepisami prawa unijnego.</w:t>
      </w:r>
    </w:p>
    <w:p w14:paraId="0DBF48FA" w14:textId="32481611" w:rsidR="00B93CC2" w:rsidRPr="0035160C" w:rsidRDefault="00380BAC" w:rsidP="00964B08">
      <w:pPr>
        <w:spacing w:before="120" w:after="0"/>
        <w:jc w:val="both"/>
      </w:pPr>
      <w:r w:rsidRPr="0035160C">
        <w:t>Wyzwaniem dla Polski pozostaje zatem w pierwszej kolejności osiągnięcie poziomów dopuszczalnych dla pyłu PM10 i PM2,5 oraz pułapu stężenia ekspozycji na pył PM2,5</w:t>
      </w:r>
      <w:r w:rsidR="000A6181" w:rsidRPr="0035160C">
        <w:t xml:space="preserve"> oraz Krajowego Celu Redukcji Narażenia na pył PM2,5, a także </w:t>
      </w:r>
      <w:r w:rsidRPr="0035160C">
        <w:t>poziomów docelowych dla B(a)P</w:t>
      </w:r>
      <w:r w:rsidR="000A6181" w:rsidRPr="0035160C">
        <w:t xml:space="preserve">. </w:t>
      </w:r>
      <w:r w:rsidR="00752F18" w:rsidRPr="0035160C">
        <w:t xml:space="preserve">Ponadto problemem pozostaje dotrzymanie poziomów dopuszczalnych dla </w:t>
      </w:r>
      <w:r w:rsidR="00054AD2">
        <w:t>NO</w:t>
      </w:r>
      <w:r w:rsidR="00054AD2" w:rsidRPr="00054AD2">
        <w:rPr>
          <w:vertAlign w:val="subscript"/>
        </w:rPr>
        <w:t>2</w:t>
      </w:r>
      <w:r w:rsidR="00054AD2">
        <w:t xml:space="preserve"> </w:t>
      </w:r>
      <w:r w:rsidR="00B93CC2" w:rsidRPr="0035160C">
        <w:t>w dużych ośrodkach miejskich</w:t>
      </w:r>
      <w:r w:rsidR="00752F18" w:rsidRPr="0035160C">
        <w:t xml:space="preserve">, gdzie przy zwiększającej się liczbie stacji komunikacyjnych, </w:t>
      </w:r>
      <w:r w:rsidR="00B93CC2" w:rsidRPr="0035160C">
        <w:t xml:space="preserve">pracującej w ramach </w:t>
      </w:r>
      <w:r w:rsidR="00D92BE4">
        <w:t>PMŚ</w:t>
      </w:r>
      <w:r w:rsidR="00B93CC2" w:rsidRPr="0035160C">
        <w:t xml:space="preserve"> </w:t>
      </w:r>
      <w:r w:rsidR="00752F18" w:rsidRPr="0035160C">
        <w:t xml:space="preserve">oraz zwiększającym się natężeniu </w:t>
      </w:r>
      <w:r w:rsidR="00B93CC2" w:rsidRPr="0035160C">
        <w:t xml:space="preserve">ruchu </w:t>
      </w:r>
      <w:r w:rsidR="00752F18" w:rsidRPr="0035160C">
        <w:t xml:space="preserve">pojazdów </w:t>
      </w:r>
      <w:r w:rsidR="00B93CC2" w:rsidRPr="0035160C">
        <w:t xml:space="preserve">indywidualnych </w:t>
      </w:r>
      <w:r w:rsidR="00752F18" w:rsidRPr="0035160C">
        <w:t>w miastach</w:t>
      </w:r>
      <w:r w:rsidR="003E5617" w:rsidRPr="0035160C">
        <w:t xml:space="preserve">, problem ten będzie </w:t>
      </w:r>
      <w:r w:rsidR="00B93CC2" w:rsidRPr="0035160C">
        <w:t xml:space="preserve">się powiększał. </w:t>
      </w:r>
      <w:r w:rsidR="00054AD2">
        <w:t>Jednocześnie w związku z</w:t>
      </w:r>
      <w:r w:rsidR="00D92BE4">
        <w:t>e</w:t>
      </w:r>
      <w:r w:rsidR="00054AD2">
        <w:t xml:space="preserve"> zmieniającymi się warunkami meteorologicznymi, coraz większym problemem </w:t>
      </w:r>
      <w:r w:rsidR="00E539A5">
        <w:t>mogą stać się</w:t>
      </w:r>
      <w:r w:rsidR="00054AD2">
        <w:t xml:space="preserve"> przekroczeni</w:t>
      </w:r>
      <w:r w:rsidR="00E539A5">
        <w:t>a</w:t>
      </w:r>
      <w:r w:rsidR="00054AD2">
        <w:t xml:space="preserve"> poziomu docelowego dla O</w:t>
      </w:r>
      <w:r w:rsidR="00054AD2" w:rsidRPr="00054AD2">
        <w:rPr>
          <w:vertAlign w:val="subscript"/>
        </w:rPr>
        <w:t>3</w:t>
      </w:r>
      <w:r w:rsidR="003E153D">
        <w:rPr>
          <w:vertAlign w:val="subscript"/>
        </w:rPr>
        <w:t>.</w:t>
      </w:r>
    </w:p>
    <w:p w14:paraId="46A86952" w14:textId="128349B8" w:rsidR="003E5617" w:rsidRPr="0035160C" w:rsidRDefault="00964B08" w:rsidP="00964B08">
      <w:pPr>
        <w:spacing w:before="120" w:after="0"/>
        <w:jc w:val="both"/>
      </w:pPr>
      <w:r w:rsidRPr="0035160C">
        <w:t xml:space="preserve">Należy także mieć na uwadze </w:t>
      </w:r>
      <w:r w:rsidR="003E5617" w:rsidRPr="0035160C">
        <w:t xml:space="preserve">przedstawione </w:t>
      </w:r>
      <w:r w:rsidR="00F93B57" w:rsidRPr="0035160C">
        <w:t xml:space="preserve">w </w:t>
      </w:r>
      <w:r w:rsidR="00502693" w:rsidRPr="0035160C">
        <w:t xml:space="preserve">projekcie </w:t>
      </w:r>
      <w:r w:rsidR="00F93B57" w:rsidRPr="0035160C">
        <w:t>rapor</w:t>
      </w:r>
      <w:r w:rsidR="00502693" w:rsidRPr="0035160C">
        <w:t xml:space="preserve">tu Parlamentu Europejskiego </w:t>
      </w:r>
      <w:r w:rsidR="00F93B57" w:rsidRPr="0035160C">
        <w:t xml:space="preserve">z dnia </w:t>
      </w:r>
      <w:r w:rsidR="00502693" w:rsidRPr="0035160C">
        <w:t>19</w:t>
      </w:r>
      <w:r w:rsidR="003E153D">
        <w:t> </w:t>
      </w:r>
      <w:r w:rsidR="00502693" w:rsidRPr="0035160C">
        <w:t>stycznia 2021 r. w sprawie wdrażania dyrektyw w sprawie jakości powietrza: dyrektywa 2004/107/WE i</w:t>
      </w:r>
      <w:r w:rsidR="00EA7969" w:rsidRPr="0035160C">
        <w:t> </w:t>
      </w:r>
      <w:r w:rsidR="00502693" w:rsidRPr="0035160C">
        <w:t xml:space="preserve">dyrektywa 2008/50/WE, postulaty </w:t>
      </w:r>
      <w:r w:rsidRPr="0035160C">
        <w:t>Parlament</w:t>
      </w:r>
      <w:r w:rsidR="00502693" w:rsidRPr="0035160C">
        <w:t>u</w:t>
      </w:r>
      <w:r w:rsidRPr="0035160C">
        <w:t xml:space="preserve"> Europejski</w:t>
      </w:r>
      <w:r w:rsidR="00502693" w:rsidRPr="0035160C">
        <w:t>ego, w ramach których</w:t>
      </w:r>
      <w:r w:rsidR="003E5617" w:rsidRPr="0035160C">
        <w:t xml:space="preserve"> </w:t>
      </w:r>
      <w:r w:rsidR="00502693" w:rsidRPr="0035160C">
        <w:t>wzywa się K</w:t>
      </w:r>
      <w:r w:rsidR="003E5617" w:rsidRPr="0035160C">
        <w:t>omisj</w:t>
      </w:r>
      <w:r w:rsidR="00502693" w:rsidRPr="0035160C">
        <w:t>ę</w:t>
      </w:r>
      <w:r w:rsidR="003E5617" w:rsidRPr="0035160C">
        <w:t xml:space="preserve"> Europejsk</w:t>
      </w:r>
      <w:r w:rsidR="00502693" w:rsidRPr="0035160C">
        <w:t>ą d</w:t>
      </w:r>
      <w:r w:rsidR="003E5617" w:rsidRPr="0035160C">
        <w:t>o podjęci</w:t>
      </w:r>
      <w:r w:rsidR="00502693" w:rsidRPr="0035160C">
        <w:t>a</w:t>
      </w:r>
      <w:r w:rsidR="003E5617" w:rsidRPr="0035160C">
        <w:t xml:space="preserve"> działań w zakresie:</w:t>
      </w:r>
    </w:p>
    <w:p w14:paraId="1ED527EB" w14:textId="51AFCC85" w:rsidR="002F1A54" w:rsidRPr="0035160C" w:rsidRDefault="003E5617" w:rsidP="002F1A54">
      <w:pPr>
        <w:spacing w:before="120" w:after="0"/>
        <w:jc w:val="both"/>
      </w:pPr>
      <w:r w:rsidRPr="0035160C">
        <w:rPr>
          <w:color w:val="2F5496" w:themeColor="accent1" w:themeShade="BF"/>
        </w:rPr>
        <w:t xml:space="preserve">- </w:t>
      </w:r>
      <w:r w:rsidR="002F1A54" w:rsidRPr="0035160C">
        <w:rPr>
          <w:b/>
          <w:bCs/>
          <w:color w:val="2F5496" w:themeColor="accent1" w:themeShade="BF"/>
          <w:lang w:val="pl"/>
        </w:rPr>
        <w:t>zmiany norm jakości powietrza i dostosowania ich do norm WHO</w:t>
      </w:r>
      <w:r w:rsidR="002F1A54" w:rsidRPr="0035160C">
        <w:rPr>
          <w:lang w:val="pl"/>
        </w:rPr>
        <w:t>, przy czym konieczne jest przygotowanie ambitnego programu oraz zabezpieczenie środków finansowych na działania mające na celu zmniejszenie zanieczyszczenia powietrza, ustanawiając ambitne normy dla wszystkich zanieczyszczeń powietrza</w:t>
      </w:r>
      <w:r w:rsidR="00D92BE4">
        <w:rPr>
          <w:lang w:val="pl"/>
        </w:rPr>
        <w:t>;</w:t>
      </w:r>
    </w:p>
    <w:p w14:paraId="72780677" w14:textId="1D8A2437" w:rsidR="00964B08" w:rsidRPr="0035160C" w:rsidRDefault="002F1A54" w:rsidP="00964B08">
      <w:pPr>
        <w:spacing w:before="120" w:after="0"/>
        <w:jc w:val="both"/>
        <w:rPr>
          <w:b/>
          <w:bCs/>
          <w:color w:val="2F5496" w:themeColor="accent1" w:themeShade="BF"/>
          <w:lang w:val="pl"/>
        </w:rPr>
      </w:pPr>
      <w:r w:rsidRPr="0035160C">
        <w:rPr>
          <w:b/>
          <w:bCs/>
          <w:color w:val="2F5496" w:themeColor="accent1" w:themeShade="BF"/>
          <w:lang w:val="pl"/>
        </w:rPr>
        <w:t xml:space="preserve">- </w:t>
      </w:r>
      <w:r w:rsidR="00F93B57" w:rsidRPr="0035160C">
        <w:rPr>
          <w:b/>
          <w:bCs/>
          <w:color w:val="2F5496" w:themeColor="accent1" w:themeShade="BF"/>
          <w:lang w:val="pl"/>
        </w:rPr>
        <w:t>wzmocnienia wymagań określonych w dyrektywie 2008/50WE</w:t>
      </w:r>
      <w:r w:rsidR="00F93B57" w:rsidRPr="0035160C">
        <w:rPr>
          <w:rFonts w:eastAsia="Times New Roman" w:cstheme="minorHAnsi"/>
          <w:b/>
          <w:color w:val="2F5496" w:themeColor="accent1" w:themeShade="BF"/>
          <w:lang w:val="pl" w:eastAsia="en-GB"/>
        </w:rPr>
        <w:t xml:space="preserve"> </w:t>
      </w:r>
      <w:r w:rsidR="003F0D93" w:rsidRPr="0035160C">
        <w:rPr>
          <w:rFonts w:eastAsia="Times New Roman" w:cstheme="minorHAnsi"/>
          <w:b/>
          <w:color w:val="2F5496" w:themeColor="accent1" w:themeShade="BF"/>
          <w:lang w:val="pl" w:eastAsia="en-GB"/>
        </w:rPr>
        <w:t xml:space="preserve">w zakresie funkcjonowania </w:t>
      </w:r>
      <w:r w:rsidR="00502693" w:rsidRPr="0035160C">
        <w:rPr>
          <w:rFonts w:eastAsia="Times New Roman" w:cstheme="minorHAnsi"/>
          <w:b/>
          <w:color w:val="2F5496" w:themeColor="accent1" w:themeShade="BF"/>
          <w:lang w:val="pl" w:eastAsia="en-GB"/>
        </w:rPr>
        <w:t>sieci monitor</w:t>
      </w:r>
      <w:r w:rsidR="003F0D93" w:rsidRPr="0035160C">
        <w:rPr>
          <w:rFonts w:eastAsia="Times New Roman" w:cstheme="minorHAnsi"/>
          <w:b/>
          <w:color w:val="2F5496" w:themeColor="accent1" w:themeShade="BF"/>
          <w:lang w:val="pl" w:eastAsia="en-GB"/>
        </w:rPr>
        <w:t xml:space="preserve">ingowej </w:t>
      </w:r>
      <w:r w:rsidR="00502693" w:rsidRPr="0035160C">
        <w:rPr>
          <w:rFonts w:eastAsia="Times New Roman" w:cstheme="minorHAnsi"/>
          <w:b/>
          <w:color w:val="2F5496" w:themeColor="accent1" w:themeShade="BF"/>
          <w:lang w:val="pl" w:eastAsia="en-GB"/>
        </w:rPr>
        <w:t xml:space="preserve">jakości powietrza i </w:t>
      </w:r>
      <w:r w:rsidR="003F0D93" w:rsidRPr="0035160C">
        <w:rPr>
          <w:rFonts w:eastAsia="Times New Roman" w:cstheme="minorHAnsi"/>
          <w:b/>
          <w:color w:val="2F5496" w:themeColor="accent1" w:themeShade="BF"/>
          <w:lang w:val="pl" w:eastAsia="en-GB"/>
        </w:rPr>
        <w:t xml:space="preserve">udostępniania </w:t>
      </w:r>
      <w:r w:rsidR="00502693" w:rsidRPr="0035160C">
        <w:rPr>
          <w:rFonts w:eastAsia="Times New Roman" w:cstheme="minorHAnsi"/>
          <w:b/>
          <w:color w:val="2F5496" w:themeColor="accent1" w:themeShade="BF"/>
          <w:lang w:val="pl" w:eastAsia="en-GB"/>
        </w:rPr>
        <w:t>informacji</w:t>
      </w:r>
      <w:r w:rsidR="003F0D93" w:rsidRPr="0035160C">
        <w:rPr>
          <w:rFonts w:eastAsia="Times New Roman" w:cstheme="minorHAnsi"/>
          <w:b/>
          <w:color w:val="2F5496" w:themeColor="accent1" w:themeShade="BF"/>
          <w:lang w:val="pl" w:eastAsia="en-GB"/>
        </w:rPr>
        <w:t xml:space="preserve"> o stanie powietrza</w:t>
      </w:r>
      <w:r w:rsidR="00502693" w:rsidRPr="0035160C">
        <w:rPr>
          <w:color w:val="2F5496" w:themeColor="accent1" w:themeShade="BF"/>
          <w:lang w:val="pl"/>
        </w:rPr>
        <w:t xml:space="preserve"> </w:t>
      </w:r>
      <w:r w:rsidR="00F93B57" w:rsidRPr="0035160C">
        <w:rPr>
          <w:lang w:val="pl"/>
        </w:rPr>
        <w:t xml:space="preserve">w celu zapewnienia, aby jakość powietrza była mierzona przez państwa członkowskie w odpowiednich lokalizacjach i źródłach emisji oraz aby zebrane dane dostarczały informacji na temat miejsca wystąpienia najwyższych stężeń zanieczyszczeń powietrza. </w:t>
      </w:r>
      <w:r w:rsidR="003F0D93" w:rsidRPr="0035160C">
        <w:rPr>
          <w:lang w:val="pl"/>
        </w:rPr>
        <w:t xml:space="preserve">Niezbędnym jest również </w:t>
      </w:r>
      <w:r w:rsidR="00F93B57" w:rsidRPr="0035160C">
        <w:rPr>
          <w:b/>
          <w:bCs/>
          <w:color w:val="2F5496" w:themeColor="accent1" w:themeShade="BF"/>
          <w:lang w:val="pl"/>
        </w:rPr>
        <w:t>dokonani</w:t>
      </w:r>
      <w:r w:rsidR="003F0D93" w:rsidRPr="0035160C">
        <w:rPr>
          <w:b/>
          <w:bCs/>
          <w:color w:val="2F5496" w:themeColor="accent1" w:themeShade="BF"/>
          <w:lang w:val="pl"/>
        </w:rPr>
        <w:t>e</w:t>
      </w:r>
      <w:r w:rsidR="00F93B57" w:rsidRPr="0035160C">
        <w:rPr>
          <w:b/>
          <w:bCs/>
          <w:color w:val="2F5496" w:themeColor="accent1" w:themeShade="BF"/>
          <w:lang w:val="pl"/>
        </w:rPr>
        <w:t xml:space="preserve"> przeglądu i ustanowienia nowych </w:t>
      </w:r>
      <w:r w:rsidR="003F0D93" w:rsidRPr="0035160C">
        <w:rPr>
          <w:b/>
          <w:bCs/>
          <w:color w:val="2F5496" w:themeColor="accent1" w:themeShade="BF"/>
          <w:lang w:val="pl"/>
        </w:rPr>
        <w:t>przepisów dotyczących usytuowania punktów pomiarowych.</w:t>
      </w:r>
      <w:r w:rsidR="00D92BE4">
        <w:rPr>
          <w:b/>
          <w:bCs/>
          <w:color w:val="2F5496" w:themeColor="accent1" w:themeShade="BF"/>
          <w:lang w:val="pl"/>
        </w:rPr>
        <w:t>;</w:t>
      </w:r>
    </w:p>
    <w:p w14:paraId="3D3A1600" w14:textId="6045D864" w:rsidR="003F0D93" w:rsidRPr="0035160C" w:rsidRDefault="007309FE" w:rsidP="00964B08">
      <w:pPr>
        <w:spacing w:before="120" w:after="0"/>
        <w:jc w:val="both"/>
        <w:rPr>
          <w:lang w:val="pl"/>
        </w:rPr>
      </w:pPr>
      <w:r w:rsidRPr="0035160C">
        <w:lastRenderedPageBreak/>
        <w:t xml:space="preserve">- </w:t>
      </w:r>
      <w:r w:rsidRPr="0035160C">
        <w:rPr>
          <w:b/>
          <w:bCs/>
          <w:color w:val="2F5496" w:themeColor="accent1" w:themeShade="BF"/>
          <w:lang w:val="pl"/>
        </w:rPr>
        <w:t>uwzględnienia doświadczeń wyciągniętych z walki z pandemią COVID-19 w odniesieniu do zanieczyszczenia powietrza przy opracowywaniu nowych polityk</w:t>
      </w:r>
      <w:r w:rsidRPr="0035160C">
        <w:rPr>
          <w:color w:val="2F5496" w:themeColor="accent1" w:themeShade="BF"/>
          <w:lang w:val="pl"/>
        </w:rPr>
        <w:t xml:space="preserve"> </w:t>
      </w:r>
      <w:r w:rsidRPr="0035160C">
        <w:rPr>
          <w:lang w:val="pl"/>
        </w:rPr>
        <w:t xml:space="preserve">oraz umieszczenia walki </w:t>
      </w:r>
      <w:r w:rsidRPr="001B24B7">
        <w:t>z</w:t>
      </w:r>
      <w:r w:rsidR="001B24B7">
        <w:t> </w:t>
      </w:r>
      <w:r w:rsidRPr="001B24B7">
        <w:t>zanieczyszczeniem</w:t>
      </w:r>
      <w:r w:rsidRPr="0035160C">
        <w:rPr>
          <w:lang w:val="pl"/>
        </w:rPr>
        <w:t xml:space="preserve"> powietrza w centrum unijnego planu naprawy, zagwarantowania zdrowia obywateli i większej odporności na przyszłe zagrożenia</w:t>
      </w:r>
      <w:r w:rsidR="00D92BE4">
        <w:rPr>
          <w:lang w:val="pl"/>
        </w:rPr>
        <w:t>;</w:t>
      </w:r>
    </w:p>
    <w:p w14:paraId="1D2BCEA0" w14:textId="0A14D540" w:rsidR="00123E3F" w:rsidRPr="0035160C" w:rsidRDefault="007309FE" w:rsidP="00123E3F">
      <w:pPr>
        <w:spacing w:before="120" w:after="0"/>
        <w:jc w:val="both"/>
        <w:rPr>
          <w:bCs/>
        </w:rPr>
      </w:pPr>
      <w:r w:rsidRPr="0035160C">
        <w:rPr>
          <w:b/>
          <w:color w:val="2F5496" w:themeColor="accent1" w:themeShade="BF"/>
          <w:lang w:val="pl"/>
        </w:rPr>
        <w:t>- przygotowani</w:t>
      </w:r>
      <w:r w:rsidR="00BE6C81">
        <w:rPr>
          <w:b/>
          <w:color w:val="2F5496" w:themeColor="accent1" w:themeShade="BF"/>
          <w:lang w:val="pl"/>
        </w:rPr>
        <w:t>a</w:t>
      </w:r>
      <w:r w:rsidRPr="0035160C">
        <w:rPr>
          <w:b/>
          <w:color w:val="2F5496" w:themeColor="accent1" w:themeShade="BF"/>
          <w:lang w:val="pl"/>
        </w:rPr>
        <w:t xml:space="preserve"> rygorystycznych polityk dotyczących głównych źródeł zanieczyszczeń. </w:t>
      </w:r>
      <w:r w:rsidR="00123E3F" w:rsidRPr="0035160C">
        <w:rPr>
          <w:bCs/>
          <w:lang w:val="pl"/>
        </w:rPr>
        <w:t>Parlament Europejski wskazuje na potrzebę opracowania rygorystycznych środków dla głównych emitentów i źródeł zanieczyszczenia powietrza, zwłaszcza w odniesieniu do transportu (w szczególności transportu drogowego i morskiego oraz lotnictwa), instalacji przemysłowych, rolnictwa i produkcji energii oraz wzywa do przyspieszenia zielonej transformacji naszych obszarów miejskich, głębokiej transformacji naszego sektora przemysłowego oraz prac nad rozwojem obszarów wiejskich w kierunku bardziej zrównoważonego i odpornego modelu</w:t>
      </w:r>
      <w:r w:rsidR="00D92BE4">
        <w:rPr>
          <w:bCs/>
          <w:lang w:val="pl"/>
        </w:rPr>
        <w:t>;</w:t>
      </w:r>
    </w:p>
    <w:p w14:paraId="45DDB245" w14:textId="778C33BB" w:rsidR="00577D58" w:rsidRPr="0035160C" w:rsidRDefault="00123E3F" w:rsidP="00577D58">
      <w:pPr>
        <w:spacing w:before="120" w:after="0"/>
        <w:jc w:val="both"/>
        <w:rPr>
          <w:bCs/>
        </w:rPr>
      </w:pPr>
      <w:r w:rsidRPr="0035160C">
        <w:rPr>
          <w:b/>
          <w:color w:val="2F5496" w:themeColor="accent1" w:themeShade="BF"/>
          <w:lang w:val="pl"/>
        </w:rPr>
        <w:t>- popraw</w:t>
      </w:r>
      <w:r w:rsidR="00BE6C81">
        <w:rPr>
          <w:b/>
          <w:color w:val="2F5496" w:themeColor="accent1" w:themeShade="BF"/>
          <w:lang w:val="pl"/>
        </w:rPr>
        <w:t>y</w:t>
      </w:r>
      <w:r w:rsidRPr="0035160C">
        <w:rPr>
          <w:b/>
          <w:color w:val="2F5496" w:themeColor="accent1" w:themeShade="BF"/>
          <w:lang w:val="pl"/>
        </w:rPr>
        <w:t xml:space="preserve"> planów jakości powietrza i egzekwowanie wymagań określonych w dyrektywach w sprawie jakości powietrza. </w:t>
      </w:r>
      <w:r w:rsidRPr="0035160C">
        <w:rPr>
          <w:bCs/>
          <w:lang w:val="pl"/>
        </w:rPr>
        <w:t xml:space="preserve">Plany jakości powietrza – w polskiej nomenklaturze – </w:t>
      </w:r>
      <w:r w:rsidR="007B075B">
        <w:rPr>
          <w:bCs/>
          <w:lang w:val="pl"/>
        </w:rPr>
        <w:t>POP</w:t>
      </w:r>
      <w:r w:rsidRPr="0035160C">
        <w:rPr>
          <w:bCs/>
          <w:lang w:val="pl"/>
        </w:rPr>
        <w:t xml:space="preserve"> są kluczowym narzędziem poprawy jakości powietrza, określonym w dyrektywach w sprawie jakości powietrza. Parlament Europejski stwierdza jednak, że plany te okazały się nieskuteczne w osiąganiu oczekiwanych rezultatów w większości przypadków. W związku z tym wzywa się Komisję Europejską do podjęcia środków na rzecz poprawy przygotowania i wdrażania tych planów, poprzez ustanowienie zestawu minimalnych wymogów </w:t>
      </w:r>
      <w:r w:rsidR="00853AF5" w:rsidRPr="0035160C">
        <w:rPr>
          <w:bCs/>
          <w:lang w:val="pl"/>
        </w:rPr>
        <w:t>oraz</w:t>
      </w:r>
      <w:r w:rsidRPr="0035160C">
        <w:rPr>
          <w:bCs/>
          <w:lang w:val="pl"/>
        </w:rPr>
        <w:t xml:space="preserve"> </w:t>
      </w:r>
      <w:r w:rsidR="00853AF5" w:rsidRPr="0035160C">
        <w:rPr>
          <w:bCs/>
          <w:lang w:val="pl"/>
        </w:rPr>
        <w:t>przygotowanie katalogu n</w:t>
      </w:r>
      <w:r w:rsidRPr="0035160C">
        <w:rPr>
          <w:bCs/>
          <w:lang w:val="pl"/>
        </w:rPr>
        <w:t xml:space="preserve">ajlepszych praktyk. </w:t>
      </w:r>
      <w:r w:rsidR="00853AF5" w:rsidRPr="0035160C">
        <w:rPr>
          <w:bCs/>
          <w:lang w:val="pl"/>
        </w:rPr>
        <w:t>U</w:t>
      </w:r>
      <w:r w:rsidRPr="0035160C">
        <w:rPr>
          <w:bCs/>
          <w:lang w:val="pl"/>
        </w:rPr>
        <w:t xml:space="preserve">waża </w:t>
      </w:r>
      <w:r w:rsidR="00853AF5" w:rsidRPr="0035160C">
        <w:rPr>
          <w:bCs/>
          <w:lang w:val="pl"/>
        </w:rPr>
        <w:t xml:space="preserve">się </w:t>
      </w:r>
      <w:r w:rsidRPr="0035160C">
        <w:rPr>
          <w:bCs/>
          <w:lang w:val="pl"/>
        </w:rPr>
        <w:t xml:space="preserve">również za konieczne, aby dyrektywy w sprawie jakości </w:t>
      </w:r>
      <w:r w:rsidR="007C79BE">
        <w:rPr>
          <w:bCs/>
          <w:lang w:val="pl"/>
        </w:rPr>
        <w:t>powietrza</w:t>
      </w:r>
      <w:r w:rsidRPr="0035160C">
        <w:rPr>
          <w:bCs/>
          <w:lang w:val="pl"/>
        </w:rPr>
        <w:t xml:space="preserve"> wymagały od państw członkowskich składania Komisji sprawozdań z wdrażania planów sprawozdawczości, ustanawiając roczny obowiązek sprawozdawczy. </w:t>
      </w:r>
    </w:p>
    <w:p w14:paraId="37140B8D" w14:textId="5B2F2652" w:rsidR="00577D58" w:rsidRPr="0035160C" w:rsidRDefault="00577D58" w:rsidP="00577D58">
      <w:pPr>
        <w:spacing w:before="120" w:after="0"/>
        <w:jc w:val="both"/>
        <w:rPr>
          <w:bCs/>
        </w:rPr>
      </w:pPr>
      <w:r w:rsidRPr="0035160C">
        <w:rPr>
          <w:bCs/>
        </w:rPr>
        <w:t xml:space="preserve">Zgodnie z delegacją ustawową określoną w art. 91c POŚ, </w:t>
      </w:r>
      <w:r w:rsidR="00D92BE4">
        <w:rPr>
          <w:bCs/>
        </w:rPr>
        <w:t>KPOP</w:t>
      </w:r>
      <w:r w:rsidRPr="0035160C">
        <w:rPr>
          <w:bCs/>
        </w:rPr>
        <w:t xml:space="preserve"> określa cele i kierunki działań, jakie powinny zostać podjęte na szczeblu krajowym oraz w ramach POP na szczeblu wojewódzkim i gminnym, w celu poprawy stanu jakości powietrza w Polsce do stanu niepowodującego negatywnych skutków zdrowotnych oraz zapewnienia odpowiednich warunków do życia. </w:t>
      </w:r>
    </w:p>
    <w:p w14:paraId="3F856081" w14:textId="2D08B495" w:rsidR="00577D58" w:rsidRPr="0035160C" w:rsidRDefault="00577D58" w:rsidP="00EA7969">
      <w:pPr>
        <w:spacing w:before="120" w:after="120"/>
        <w:jc w:val="both"/>
        <w:rPr>
          <w:bCs/>
        </w:rPr>
      </w:pPr>
      <w:bookmarkStart w:id="15" w:name="_Hlk77663747"/>
      <w:r w:rsidRPr="0035160C">
        <w:rPr>
          <w:b/>
          <w:color w:val="2F5496" w:themeColor="accent1" w:themeShade="BF"/>
        </w:rPr>
        <w:t>Kierunkami interwencji prowadzącymi do osiągnięcia celów szczegółowych</w:t>
      </w:r>
      <w:r w:rsidRPr="0035160C">
        <w:rPr>
          <w:bCs/>
        </w:rPr>
        <w:t>, tj. osiągnięcia i</w:t>
      </w:r>
      <w:r w:rsidR="00782F4D" w:rsidRPr="0035160C">
        <w:rPr>
          <w:bCs/>
        </w:rPr>
        <w:t xml:space="preserve"> </w:t>
      </w:r>
      <w:r w:rsidRPr="0035160C">
        <w:rPr>
          <w:bCs/>
        </w:rPr>
        <w:t>dotrzymania co najmniej standardów jakości powietrza określonych w prawodawstwie unijnym oraz krajowym, są:</w:t>
      </w:r>
    </w:p>
    <w:p w14:paraId="68488942" w14:textId="3ADDF659" w:rsidR="00EA7969" w:rsidRPr="0035160C" w:rsidRDefault="00577D58" w:rsidP="00CA3BB7">
      <w:pPr>
        <w:numPr>
          <w:ilvl w:val="0"/>
          <w:numId w:val="8"/>
        </w:numPr>
        <w:spacing w:after="0"/>
        <w:jc w:val="both"/>
        <w:rPr>
          <w:b/>
          <w:color w:val="2F5496" w:themeColor="accent1" w:themeShade="BF"/>
        </w:rPr>
      </w:pPr>
      <w:r w:rsidRPr="0035160C">
        <w:rPr>
          <w:b/>
          <w:color w:val="2F5496" w:themeColor="accent1" w:themeShade="BF"/>
        </w:rPr>
        <w:t>utrzymanie priorytetu poprawy jakości powietrza</w:t>
      </w:r>
      <w:r w:rsidR="00EA7969" w:rsidRPr="0035160C">
        <w:rPr>
          <w:b/>
          <w:color w:val="2F5496" w:themeColor="accent1" w:themeShade="BF"/>
        </w:rPr>
        <w:t xml:space="preserve"> oraz rozwój systemu oceny jakości powietrza poprzez zwiększenie liczby stacji pomiarowych uwzględnionych w pomiarach jakości powietrza w ramach P</w:t>
      </w:r>
      <w:r w:rsidR="00D92BE4">
        <w:rPr>
          <w:b/>
          <w:color w:val="2F5496" w:themeColor="accent1" w:themeShade="BF"/>
        </w:rPr>
        <w:t>MŚ</w:t>
      </w:r>
    </w:p>
    <w:p w14:paraId="70E2263A" w14:textId="687D5B25" w:rsidR="00577D58" w:rsidRPr="0035160C" w:rsidRDefault="00577D58" w:rsidP="00577D58">
      <w:pPr>
        <w:spacing w:before="120" w:after="0"/>
        <w:jc w:val="both"/>
        <w:rPr>
          <w:bCs/>
        </w:rPr>
      </w:pPr>
      <w:r w:rsidRPr="0035160C">
        <w:rPr>
          <w:bCs/>
        </w:rPr>
        <w:t xml:space="preserve">Problematyka nieodpowiedniej jakości powietrza i działania naprawcze z nią związane są zadaniami dotyczącymi wielu organów administracji rządowej oraz samorządowej i powinna być ona uwzględniana przy kształtowaniu polityki gospodarczej i społecznej kraju. Podkreślić należy, że tylko wspólne zintegrowane działania pozwolą na osiągnięcie celu głównego aKPOP, jakim jest pilna poprawa jakości powietrza. </w:t>
      </w:r>
      <w:r w:rsidR="00EA7969" w:rsidRPr="0035160C">
        <w:rPr>
          <w:bCs/>
        </w:rPr>
        <w:t xml:space="preserve">Dodatkowo tylko prawidłowa diagnoza stanu powietrza, w tym wskazanie właściwych źródeł </w:t>
      </w:r>
      <w:r w:rsidR="00E539A5">
        <w:rPr>
          <w:bCs/>
        </w:rPr>
        <w:t xml:space="preserve">i przyczyn </w:t>
      </w:r>
      <w:r w:rsidR="00EA7969" w:rsidRPr="0035160C">
        <w:rPr>
          <w:bCs/>
        </w:rPr>
        <w:t xml:space="preserve">przekroczeń norm jakości powietrza pozwoli na określenie działań naprawczych ukierunkowanych bezpośrednio na poprawę stanu powietrza w Polsce. </w:t>
      </w:r>
    </w:p>
    <w:p w14:paraId="18FA6119" w14:textId="375FD1B8" w:rsidR="003C2804" w:rsidRPr="0035160C" w:rsidRDefault="003C2804" w:rsidP="00CA3BB7">
      <w:pPr>
        <w:numPr>
          <w:ilvl w:val="0"/>
          <w:numId w:val="8"/>
        </w:numPr>
        <w:spacing w:before="120" w:after="0"/>
        <w:jc w:val="both"/>
        <w:rPr>
          <w:b/>
          <w:color w:val="2F5496" w:themeColor="accent1" w:themeShade="BF"/>
        </w:rPr>
      </w:pPr>
      <w:r w:rsidRPr="0035160C">
        <w:rPr>
          <w:b/>
          <w:color w:val="2F5496" w:themeColor="accent1" w:themeShade="BF"/>
        </w:rPr>
        <w:t xml:space="preserve">ograniczenie </w:t>
      </w:r>
      <w:r w:rsidR="00872873" w:rsidRPr="0035160C">
        <w:rPr>
          <w:b/>
          <w:color w:val="2F5496" w:themeColor="accent1" w:themeShade="BF"/>
        </w:rPr>
        <w:t xml:space="preserve">wielkości </w:t>
      </w:r>
      <w:r w:rsidRPr="0035160C">
        <w:rPr>
          <w:b/>
          <w:color w:val="2F5496" w:themeColor="accent1" w:themeShade="BF"/>
        </w:rPr>
        <w:t>emisji zanieczyszczeń powietrza z sektora bytowo-komunalnego</w:t>
      </w:r>
    </w:p>
    <w:p w14:paraId="40723170" w14:textId="51287995" w:rsidR="003C2804" w:rsidRPr="0035160C" w:rsidRDefault="003C2804" w:rsidP="003C2804">
      <w:pPr>
        <w:spacing w:before="120" w:after="0"/>
        <w:jc w:val="both"/>
        <w:rPr>
          <w:bCs/>
        </w:rPr>
      </w:pPr>
      <w:r w:rsidRPr="0035160C">
        <w:rPr>
          <w:bCs/>
        </w:rPr>
        <w:t xml:space="preserve">Sektor bytowo-komunalny w dalszym ciągu pozostaje głównym źródłem przekroczeń norm jakości powietrza w Polsce. Dlatego tak ważna jest </w:t>
      </w:r>
      <w:bookmarkStart w:id="16" w:name="_Hlk66304751"/>
      <w:r w:rsidRPr="0035160C">
        <w:rPr>
          <w:bCs/>
        </w:rPr>
        <w:t xml:space="preserve">kontynuacja działań w tym sektorze, przede wszystkim utrzymanie presji na wymianę wysokoemisyjnych źródeł ciepła na paliwa stałe na czyste formy ogrzewania w budynkach mieszkalnych wraz z </w:t>
      </w:r>
      <w:r w:rsidR="00EA7969" w:rsidRPr="0035160C">
        <w:rPr>
          <w:bCs/>
        </w:rPr>
        <w:t xml:space="preserve">jednoczesnym </w:t>
      </w:r>
      <w:r w:rsidRPr="0035160C">
        <w:rPr>
          <w:bCs/>
        </w:rPr>
        <w:t>podnoszeniem efektywności energetycznej tych budynków</w:t>
      </w:r>
      <w:bookmarkEnd w:id="16"/>
      <w:r w:rsidRPr="0035160C">
        <w:rPr>
          <w:bCs/>
        </w:rPr>
        <w:t xml:space="preserve">. </w:t>
      </w:r>
      <w:r w:rsidR="007B075B">
        <w:rPr>
          <w:bCs/>
        </w:rPr>
        <w:t xml:space="preserve">Zasadnym jest także przeprowadzenie oceny, jaki poziom redukcji </w:t>
      </w:r>
      <w:r w:rsidR="007B075B">
        <w:rPr>
          <w:bCs/>
        </w:rPr>
        <w:lastRenderedPageBreak/>
        <w:t>wielkości emisji zanieczyszczeń powietrza z tego sektora zagwarantuje dotrzymanie norm jakości powietrza nawet w przypadku wystąp</w:t>
      </w:r>
      <w:r w:rsidR="00612777">
        <w:rPr>
          <w:bCs/>
        </w:rPr>
        <w:t xml:space="preserve">ienia niekorzystnych warunków meteorologicznych. </w:t>
      </w:r>
    </w:p>
    <w:p w14:paraId="586BAF2F" w14:textId="161E58C7" w:rsidR="003C2804" w:rsidRPr="0035160C" w:rsidRDefault="003C2804" w:rsidP="00CA3BB7">
      <w:pPr>
        <w:numPr>
          <w:ilvl w:val="0"/>
          <w:numId w:val="8"/>
        </w:numPr>
        <w:spacing w:before="120" w:after="0"/>
        <w:jc w:val="both"/>
        <w:rPr>
          <w:b/>
        </w:rPr>
      </w:pPr>
      <w:r w:rsidRPr="0035160C">
        <w:rPr>
          <w:b/>
          <w:color w:val="2F5496" w:themeColor="accent1" w:themeShade="BF"/>
        </w:rPr>
        <w:t xml:space="preserve">ograniczenie </w:t>
      </w:r>
      <w:r w:rsidR="00872873" w:rsidRPr="0035160C">
        <w:rPr>
          <w:b/>
          <w:color w:val="2F5496" w:themeColor="accent1" w:themeShade="BF"/>
        </w:rPr>
        <w:t xml:space="preserve">wielkości </w:t>
      </w:r>
      <w:r w:rsidRPr="0035160C">
        <w:rPr>
          <w:b/>
          <w:color w:val="2F5496" w:themeColor="accent1" w:themeShade="BF"/>
        </w:rPr>
        <w:t>emisji zanieczyszczeń powietrza z sektora transportu drogowego</w:t>
      </w:r>
    </w:p>
    <w:p w14:paraId="32FD8D14" w14:textId="38AEC6E9" w:rsidR="003C2804" w:rsidRPr="0035160C" w:rsidRDefault="00D03A97" w:rsidP="003C2804">
      <w:pPr>
        <w:spacing w:before="120" w:after="0"/>
        <w:jc w:val="both"/>
        <w:rPr>
          <w:bCs/>
        </w:rPr>
      </w:pPr>
      <w:r w:rsidRPr="0035160C">
        <w:rPr>
          <w:bCs/>
        </w:rPr>
        <w:t>T</w:t>
      </w:r>
      <w:r w:rsidR="003C2804" w:rsidRPr="0035160C">
        <w:rPr>
          <w:bCs/>
        </w:rPr>
        <w:t xml:space="preserve">ransport drogowy stanowi główne źródło negatywnej presji na środowisko naturalne w Unii Europejskiej oraz ma wpływ na zmiany klimatu </w:t>
      </w:r>
      <w:r w:rsidRPr="0035160C">
        <w:rPr>
          <w:bCs/>
        </w:rPr>
        <w:t>oraz</w:t>
      </w:r>
      <w:r w:rsidR="003C2804" w:rsidRPr="0035160C">
        <w:rPr>
          <w:bCs/>
        </w:rPr>
        <w:t xml:space="preserve"> hałas.</w:t>
      </w:r>
      <w:r w:rsidRPr="0035160C">
        <w:t xml:space="preserve"> </w:t>
      </w:r>
      <w:r w:rsidRPr="0035160C">
        <w:rPr>
          <w:bCs/>
        </w:rPr>
        <w:t xml:space="preserve">Ograniczenie negatywnych skutków transportu jest ważnym celem polityki UE. Głównymi aspektami działalności jest </w:t>
      </w:r>
      <w:bookmarkStart w:id="17" w:name="_Hlk66305110"/>
      <w:r w:rsidRPr="0035160C">
        <w:rPr>
          <w:bCs/>
        </w:rPr>
        <w:t>przeniesienie transportu na najmniej zanieczyszczające środki transportu, wykorzystanie bardziej zrównoważonych technologii transportowych, paliw i infrastruktury oraz zapewnienie, że ceny transportu w pełni odzwierciedlają niekorzystny wpływ na środowisko i zdrowie.</w:t>
      </w:r>
      <w:bookmarkEnd w:id="17"/>
    </w:p>
    <w:p w14:paraId="5316AE77" w14:textId="77777777" w:rsidR="00EA7969" w:rsidRPr="0035160C" w:rsidRDefault="00EA7969" w:rsidP="00CA3BB7">
      <w:pPr>
        <w:numPr>
          <w:ilvl w:val="0"/>
          <w:numId w:val="8"/>
        </w:numPr>
        <w:spacing w:before="120" w:after="0"/>
        <w:jc w:val="both"/>
        <w:rPr>
          <w:b/>
          <w:color w:val="2F5496" w:themeColor="accent1" w:themeShade="BF"/>
        </w:rPr>
      </w:pPr>
      <w:r w:rsidRPr="0035160C">
        <w:rPr>
          <w:b/>
          <w:color w:val="2F5496" w:themeColor="accent1" w:themeShade="BF"/>
        </w:rPr>
        <w:t xml:space="preserve">poprawa jakości środowiska i warunków życia w mieście poprzez udoskonalenie infrastruktury </w:t>
      </w:r>
    </w:p>
    <w:p w14:paraId="0E348550" w14:textId="70409703" w:rsidR="00EA7969" w:rsidRPr="0035160C" w:rsidRDefault="000D1C1C" w:rsidP="00EA7969">
      <w:pPr>
        <w:spacing w:before="120" w:after="0"/>
        <w:jc w:val="both"/>
        <w:rPr>
          <w:bCs/>
          <w:color w:val="2F5496" w:themeColor="accent1" w:themeShade="BF"/>
        </w:rPr>
      </w:pPr>
      <w:r w:rsidRPr="0035160C">
        <w:rPr>
          <w:bCs/>
        </w:rPr>
        <w:t>Miasta, a w szczególności aglomeracje jako duże skupiska ludzkie są obszarem o szczególnie zanieczyszczonym środowisku, w tym powietrz</w:t>
      </w:r>
      <w:r w:rsidR="00546FAC">
        <w:rPr>
          <w:bCs/>
        </w:rPr>
        <w:t>a</w:t>
      </w:r>
      <w:r w:rsidRPr="0035160C">
        <w:rPr>
          <w:bCs/>
        </w:rPr>
        <w:t xml:space="preserve">, ze względu na bardzo duże nagromadzenie różnych rodzajów działalności ludzkiej na ich obszarze, mających mniej lub bardziej negatywny wpływ na ich stan oraz zdrowie ludzkie i komfort życia. W związku z tym konieczne jest podejmowanie różnorodnych działań o charakterze naprawczym, we wszystkich dziedzinach działalności obecnych na obszarach miejskich, mających wpływ na zmniejszenie uciążliwości negatywnego oddziaływania działalności ludzkiej na stan środowiska na obszarach miejskich. </w:t>
      </w:r>
    </w:p>
    <w:p w14:paraId="362C7345" w14:textId="78EE3065" w:rsidR="003C2804" w:rsidRPr="0035160C" w:rsidRDefault="00131C71" w:rsidP="00CA3BB7">
      <w:pPr>
        <w:numPr>
          <w:ilvl w:val="0"/>
          <w:numId w:val="8"/>
        </w:numPr>
        <w:spacing w:before="120" w:after="0"/>
        <w:jc w:val="both"/>
        <w:rPr>
          <w:b/>
          <w:color w:val="2F5496" w:themeColor="accent1" w:themeShade="BF"/>
        </w:rPr>
      </w:pPr>
      <w:r>
        <w:rPr>
          <w:b/>
          <w:color w:val="2F5496" w:themeColor="accent1" w:themeShade="BF"/>
        </w:rPr>
        <w:t xml:space="preserve">zwiększenie </w:t>
      </w:r>
      <w:r w:rsidR="000837F6">
        <w:rPr>
          <w:b/>
          <w:color w:val="2F5496" w:themeColor="accent1" w:themeShade="BF"/>
        </w:rPr>
        <w:t xml:space="preserve">udziału czystej energii, ciepła, </w:t>
      </w:r>
      <w:r w:rsidR="003C2804" w:rsidRPr="0035160C">
        <w:rPr>
          <w:b/>
          <w:color w:val="2F5496" w:themeColor="accent1" w:themeShade="BF"/>
        </w:rPr>
        <w:t>rozwój odnawialnych źródeł energii</w:t>
      </w:r>
    </w:p>
    <w:p w14:paraId="6E85D45F" w14:textId="1290E182" w:rsidR="00396D6A" w:rsidRPr="0035160C" w:rsidRDefault="00CA30F3" w:rsidP="00396D6A">
      <w:pPr>
        <w:spacing w:before="120" w:after="0"/>
        <w:jc w:val="both"/>
        <w:rPr>
          <w:bCs/>
        </w:rPr>
      </w:pPr>
      <w:r w:rsidRPr="0035160C">
        <w:rPr>
          <w:bCs/>
        </w:rPr>
        <w:t xml:space="preserve">Zwiększenie udziału odnawialnych źródeł energii w wytwarzaniu energii </w:t>
      </w:r>
      <w:r w:rsidR="00396D6A" w:rsidRPr="0035160C">
        <w:rPr>
          <w:bCs/>
        </w:rPr>
        <w:t>przyczyni się do poprawy jakości powietrza i stanu środowiska, ograniczenia emisji zanieczyszczeń, zmniejszenia zapotrzebowania na energię wytwarzaną z tradycyjn</w:t>
      </w:r>
      <w:r w:rsidRPr="0035160C">
        <w:rPr>
          <w:bCs/>
        </w:rPr>
        <w:t>ych, konwencjonalnych</w:t>
      </w:r>
      <w:r w:rsidR="00396D6A" w:rsidRPr="0035160C">
        <w:rPr>
          <w:bCs/>
        </w:rPr>
        <w:t xml:space="preserve"> źród</w:t>
      </w:r>
      <w:r w:rsidRPr="0035160C">
        <w:rPr>
          <w:bCs/>
        </w:rPr>
        <w:t>e</w:t>
      </w:r>
      <w:r w:rsidR="00396D6A" w:rsidRPr="0035160C">
        <w:rPr>
          <w:bCs/>
        </w:rPr>
        <w:t xml:space="preserve">ł. </w:t>
      </w:r>
      <w:r w:rsidRPr="0035160C">
        <w:rPr>
          <w:bCs/>
        </w:rPr>
        <w:t xml:space="preserve">Interwencja ta </w:t>
      </w:r>
      <w:r w:rsidR="00396D6A" w:rsidRPr="0035160C">
        <w:rPr>
          <w:bCs/>
        </w:rPr>
        <w:t>wpłynie pozytywnie na rozwój społeczno-gospodarczy region</w:t>
      </w:r>
      <w:r w:rsidRPr="0035160C">
        <w:rPr>
          <w:bCs/>
        </w:rPr>
        <w:t>ów</w:t>
      </w:r>
      <w:r w:rsidR="00396D6A" w:rsidRPr="0035160C">
        <w:rPr>
          <w:bCs/>
        </w:rPr>
        <w:t>, podniesienie komfortu życia oraz zdrowia mieszkańców</w:t>
      </w:r>
      <w:r w:rsidRPr="0035160C">
        <w:rPr>
          <w:bCs/>
        </w:rPr>
        <w:t xml:space="preserve">, a także </w:t>
      </w:r>
      <w:r w:rsidR="00396D6A" w:rsidRPr="0035160C">
        <w:rPr>
          <w:bCs/>
        </w:rPr>
        <w:t xml:space="preserve">umożliwi promocję </w:t>
      </w:r>
      <w:r w:rsidRPr="0035160C">
        <w:rPr>
          <w:bCs/>
        </w:rPr>
        <w:t xml:space="preserve">poszczególnych </w:t>
      </w:r>
      <w:r w:rsidR="00396D6A" w:rsidRPr="0035160C">
        <w:rPr>
          <w:bCs/>
        </w:rPr>
        <w:t>region</w:t>
      </w:r>
      <w:r w:rsidRPr="0035160C">
        <w:rPr>
          <w:bCs/>
        </w:rPr>
        <w:t>ów ja</w:t>
      </w:r>
      <w:r w:rsidR="00396D6A" w:rsidRPr="0035160C">
        <w:rPr>
          <w:bCs/>
        </w:rPr>
        <w:t>ko miejsc przyjazn</w:t>
      </w:r>
      <w:r w:rsidRPr="0035160C">
        <w:rPr>
          <w:bCs/>
        </w:rPr>
        <w:t>ych</w:t>
      </w:r>
      <w:r w:rsidR="00396D6A" w:rsidRPr="0035160C">
        <w:rPr>
          <w:bCs/>
        </w:rPr>
        <w:t xml:space="preserve"> dla środowiska i inwestując</w:t>
      </w:r>
      <w:r w:rsidRPr="0035160C">
        <w:rPr>
          <w:bCs/>
        </w:rPr>
        <w:t>ych</w:t>
      </w:r>
      <w:r w:rsidR="00396D6A" w:rsidRPr="0035160C">
        <w:rPr>
          <w:bCs/>
        </w:rPr>
        <w:t xml:space="preserve"> w nowoczesne technologie ekologiczne, dbające przy tym o przyszłość energetyczną i ochronę środowiska.</w:t>
      </w:r>
    </w:p>
    <w:p w14:paraId="624EE5B2" w14:textId="0764AFF3" w:rsidR="003C2804" w:rsidRPr="0035160C" w:rsidRDefault="003C2804" w:rsidP="00CA3BB7">
      <w:pPr>
        <w:numPr>
          <w:ilvl w:val="0"/>
          <w:numId w:val="8"/>
        </w:numPr>
        <w:spacing w:before="120" w:after="0"/>
        <w:jc w:val="both"/>
        <w:rPr>
          <w:b/>
          <w:color w:val="2F5496" w:themeColor="accent1" w:themeShade="BF"/>
        </w:rPr>
      </w:pPr>
      <w:r w:rsidRPr="0035160C">
        <w:rPr>
          <w:b/>
          <w:color w:val="2F5496" w:themeColor="accent1" w:themeShade="BF"/>
        </w:rPr>
        <w:t xml:space="preserve">edukacja ekologiczna </w:t>
      </w:r>
    </w:p>
    <w:p w14:paraId="529E9094" w14:textId="64C37884" w:rsidR="00737102" w:rsidRDefault="00737102" w:rsidP="000D1C1C">
      <w:pPr>
        <w:spacing w:before="120" w:after="0"/>
        <w:jc w:val="both"/>
        <w:rPr>
          <w:bCs/>
        </w:rPr>
      </w:pPr>
      <w:r w:rsidRPr="00737102">
        <w:rPr>
          <w:bCs/>
        </w:rPr>
        <w:t xml:space="preserve">Kształtowanie i wzmacnianie świadomości ekologicznej mieszkańców Polski ma kluczowe znaczenie dla wdrażania standardów ochrony środowiska, w tym w zakresie </w:t>
      </w:r>
      <w:r>
        <w:rPr>
          <w:bCs/>
        </w:rPr>
        <w:t>jakości</w:t>
      </w:r>
      <w:r w:rsidRPr="00737102">
        <w:rPr>
          <w:bCs/>
        </w:rPr>
        <w:t xml:space="preserve"> powietrza. Osiągnięcie jakościowych celów środowiskowych jest ściśle związane z prezentowanym przez społeczeństwo poziomem kompetencji ekologicznych (tj. wiedzą o środowisku, praktycznymi umiejętnościami oraz proekologiczną motywacją do zmiany postaw i codziennych zachowań).</w:t>
      </w:r>
    </w:p>
    <w:p w14:paraId="26236E2B" w14:textId="77777777" w:rsidR="00DD0E4C" w:rsidRDefault="007C79BE" w:rsidP="00DD0E4C">
      <w:pPr>
        <w:spacing w:before="120" w:after="0"/>
        <w:jc w:val="both"/>
        <w:rPr>
          <w:bCs/>
        </w:rPr>
      </w:pPr>
      <w:r w:rsidRPr="004052F7">
        <w:rPr>
          <w:bCs/>
        </w:rPr>
        <w:t>Prowadzenie cyklicznych działań edukacyjno – informacyjnych, zarówno na szczeblu krajowym, regionalnym, jak i lokalnym jest bardzo</w:t>
      </w:r>
      <w:r w:rsidRPr="003141EB">
        <w:rPr>
          <w:bCs/>
        </w:rPr>
        <w:t xml:space="preserve"> istotnym czynnikiem świadomych postaw i zachowań społeczeństwa. Stałe kształtowanie potrzeby dbania o jakość powietrza jest podstawą do uzyskania rzeczywistych zmian w postrzeganiu wartości jaką jest czyste powietrze i aktywności służącej poprawie jego parametrów.</w:t>
      </w:r>
      <w:r>
        <w:rPr>
          <w:bCs/>
        </w:rPr>
        <w:t xml:space="preserve"> </w:t>
      </w:r>
    </w:p>
    <w:p w14:paraId="78CE38F9" w14:textId="76A80061" w:rsidR="000D1C1C" w:rsidRPr="00DD0E4C" w:rsidRDefault="000D1C1C" w:rsidP="00DD0E4C">
      <w:pPr>
        <w:pStyle w:val="Akapitzlist"/>
        <w:numPr>
          <w:ilvl w:val="0"/>
          <w:numId w:val="93"/>
        </w:numPr>
        <w:spacing w:before="120" w:after="0"/>
        <w:jc w:val="both"/>
        <w:rPr>
          <w:b/>
          <w:color w:val="2F5496" w:themeColor="accent1" w:themeShade="BF"/>
        </w:rPr>
      </w:pPr>
      <w:r w:rsidRPr="00DD0E4C">
        <w:rPr>
          <w:b/>
          <w:color w:val="2F5496" w:themeColor="accent1" w:themeShade="BF"/>
        </w:rPr>
        <w:t>zapewnienie finansowania przedsięwzięć ukierunkowanych na poprawę jakości powietrza</w:t>
      </w:r>
    </w:p>
    <w:bookmarkEnd w:id="15"/>
    <w:p w14:paraId="20B4516A" w14:textId="0A0D6C23" w:rsidR="00577D58" w:rsidRPr="0035160C" w:rsidRDefault="00577D58" w:rsidP="00577D58">
      <w:pPr>
        <w:spacing w:before="120" w:after="0"/>
        <w:jc w:val="both"/>
        <w:rPr>
          <w:bCs/>
        </w:rPr>
      </w:pPr>
      <w:r w:rsidRPr="0035160C">
        <w:rPr>
          <w:bCs/>
        </w:rPr>
        <w:t xml:space="preserve">W celu realizacji działań związanych ze zmniejszeniem emisji zanieczyszczeń </w:t>
      </w:r>
      <w:r w:rsidR="000D1C1C" w:rsidRPr="0035160C">
        <w:rPr>
          <w:bCs/>
        </w:rPr>
        <w:t xml:space="preserve">do powietrza </w:t>
      </w:r>
      <w:r w:rsidRPr="0035160C">
        <w:rPr>
          <w:bCs/>
        </w:rPr>
        <w:t xml:space="preserve">z sektora bytowo – komunalnego i transportu </w:t>
      </w:r>
      <w:r w:rsidR="000D1C1C" w:rsidRPr="0035160C">
        <w:rPr>
          <w:bCs/>
        </w:rPr>
        <w:t xml:space="preserve">drogowego </w:t>
      </w:r>
      <w:r w:rsidRPr="0035160C">
        <w:rPr>
          <w:bCs/>
        </w:rPr>
        <w:t xml:space="preserve">konieczne jest prowadzenie polityki finansowej Państwa zmierzającej do promowania bezemisyjnych odnawialnych źródeł energii poprzez obniżenie </w:t>
      </w:r>
      <w:r w:rsidRPr="0035160C">
        <w:rPr>
          <w:bCs/>
        </w:rPr>
        <w:lastRenderedPageBreak/>
        <w:t>ceny paliw niskoemisyjnych oraz szerszego ich wykorzystania, a także wspieranie finansowe działań mających na celu poprawę jakości powietrza.</w:t>
      </w:r>
    </w:p>
    <w:p w14:paraId="123BF3A9" w14:textId="77777777" w:rsidR="00282106" w:rsidRPr="0035160C" w:rsidRDefault="00282106" w:rsidP="00282106">
      <w:pPr>
        <w:jc w:val="both"/>
      </w:pPr>
    </w:p>
    <w:p w14:paraId="20FF62DA" w14:textId="77777777" w:rsidR="00282106" w:rsidRPr="0035160C" w:rsidRDefault="00282106">
      <w:r w:rsidRPr="0035160C">
        <w:br w:type="page"/>
      </w:r>
    </w:p>
    <w:p w14:paraId="4C2B2559" w14:textId="6D1F5C23" w:rsidR="00282106" w:rsidRPr="0035160C" w:rsidRDefault="00282106" w:rsidP="00282106">
      <w:pPr>
        <w:jc w:val="both"/>
        <w:rPr>
          <w:b/>
          <w:bCs/>
          <w:color w:val="2F5496" w:themeColor="accent1" w:themeShade="BF"/>
        </w:rPr>
      </w:pPr>
      <w:bookmarkStart w:id="18" w:name="_Toc78205879"/>
      <w:r w:rsidRPr="0035160C">
        <w:rPr>
          <w:rStyle w:val="Nagwek1Znak"/>
          <w:b/>
          <w:sz w:val="24"/>
          <w:szCs w:val="24"/>
        </w:rPr>
        <w:lastRenderedPageBreak/>
        <w:t>6.</w:t>
      </w:r>
      <w:r w:rsidRPr="0035160C">
        <w:rPr>
          <w:rStyle w:val="Nagwek1Znak"/>
          <w:b/>
          <w:sz w:val="24"/>
          <w:szCs w:val="24"/>
        </w:rPr>
        <w:tab/>
        <w:t>Diagnoza stanu powietrza w Polsce</w:t>
      </w:r>
      <w:bookmarkEnd w:id="18"/>
      <w:r w:rsidR="003260AB" w:rsidRPr="0035160C">
        <w:rPr>
          <w:rStyle w:val="Odwoanieprzypisudolnego"/>
          <w:b/>
          <w:bCs/>
          <w:color w:val="2F5496" w:themeColor="accent1" w:themeShade="BF"/>
        </w:rPr>
        <w:footnoteReference w:id="3"/>
      </w:r>
    </w:p>
    <w:p w14:paraId="60A7E76E" w14:textId="4F1884B9" w:rsidR="004942C1" w:rsidRPr="00D9785F" w:rsidRDefault="004942C1" w:rsidP="004942C1">
      <w:pPr>
        <w:spacing w:after="120" w:line="240" w:lineRule="auto"/>
        <w:jc w:val="both"/>
        <w:rPr>
          <w:rFonts w:ascii="Calibri" w:eastAsia="Calibri" w:hAnsi="Calibri" w:cs="Calibri"/>
        </w:rPr>
      </w:pPr>
      <w:r w:rsidRPr="00D9785F">
        <w:rPr>
          <w:rFonts w:ascii="Calibri" w:eastAsia="Calibri" w:hAnsi="Calibri" w:cs="Calibri"/>
        </w:rPr>
        <w:t xml:space="preserve">Przedstawione w niniejszym rozdziale informacje, w sposób syntetyczny opisują </w:t>
      </w:r>
      <w:r w:rsidR="005B2DED">
        <w:rPr>
          <w:rFonts w:ascii="Calibri" w:eastAsia="Calibri" w:hAnsi="Calibri" w:cs="Calibri"/>
        </w:rPr>
        <w:t xml:space="preserve">stan </w:t>
      </w:r>
      <w:r w:rsidRPr="00D9785F">
        <w:rPr>
          <w:rFonts w:ascii="Calibri" w:eastAsia="Calibri" w:hAnsi="Calibri" w:cs="Calibri"/>
        </w:rPr>
        <w:t>powietrza w</w:t>
      </w:r>
      <w:r>
        <w:rPr>
          <w:rFonts w:ascii="Calibri" w:eastAsia="Calibri" w:hAnsi="Calibri" w:cs="Calibri"/>
        </w:rPr>
        <w:t> </w:t>
      </w:r>
      <w:r w:rsidRPr="00D9785F">
        <w:rPr>
          <w:rFonts w:ascii="Calibri" w:eastAsia="Calibri" w:hAnsi="Calibri" w:cs="Calibri"/>
        </w:rPr>
        <w:t>Polsce, skupiając się na wybranych zanieczyszczeniach powietrza: pyle zawieszonym</w:t>
      </w:r>
      <w:r w:rsidR="000165D6">
        <w:rPr>
          <w:rFonts w:ascii="Calibri" w:eastAsia="Calibri" w:hAnsi="Calibri" w:cs="Calibri"/>
        </w:rPr>
        <w:t xml:space="preserve"> o frakcjach</w:t>
      </w:r>
      <w:r w:rsidRPr="00D9785F">
        <w:rPr>
          <w:rFonts w:ascii="Calibri" w:eastAsia="Calibri" w:hAnsi="Calibri" w:cs="Calibri"/>
        </w:rPr>
        <w:t xml:space="preserve"> PM10 i PM2,5, </w:t>
      </w:r>
      <w:r w:rsidR="005B2DED">
        <w:rPr>
          <w:rFonts w:ascii="Calibri" w:eastAsia="Calibri" w:hAnsi="Calibri" w:cs="Calibri"/>
        </w:rPr>
        <w:t>B(a)P</w:t>
      </w:r>
      <w:r w:rsidRPr="00D9785F">
        <w:rPr>
          <w:rFonts w:ascii="Calibri" w:eastAsia="Calibri" w:hAnsi="Calibri" w:cs="Calibri"/>
        </w:rPr>
        <w:t>, NO</w:t>
      </w:r>
      <w:r w:rsidRPr="00D9785F">
        <w:rPr>
          <w:rFonts w:ascii="Calibri" w:eastAsia="Calibri" w:hAnsi="Calibri" w:cs="Calibri"/>
          <w:vertAlign w:val="subscript"/>
        </w:rPr>
        <w:t>2</w:t>
      </w:r>
      <w:r w:rsidRPr="00D9785F">
        <w:rPr>
          <w:rFonts w:ascii="Calibri" w:eastAsia="Calibri" w:hAnsi="Calibri" w:cs="Calibri"/>
        </w:rPr>
        <w:t xml:space="preserve"> oraz O</w:t>
      </w:r>
      <w:r w:rsidRPr="00D9785F">
        <w:rPr>
          <w:rFonts w:ascii="Calibri" w:eastAsia="Calibri" w:hAnsi="Calibri" w:cs="Calibri"/>
          <w:vertAlign w:val="subscript"/>
        </w:rPr>
        <w:t>3</w:t>
      </w:r>
      <w:r w:rsidRPr="00D9785F">
        <w:rPr>
          <w:rFonts w:ascii="Calibri" w:eastAsia="Calibri" w:hAnsi="Calibri" w:cs="Calibri"/>
        </w:rPr>
        <w:t xml:space="preserve">. </w:t>
      </w:r>
      <w:r w:rsidR="0031609F">
        <w:rPr>
          <w:rFonts w:ascii="Calibri" w:eastAsia="Calibri" w:hAnsi="Calibri" w:cs="Calibri"/>
        </w:rPr>
        <w:t>W</w:t>
      </w:r>
      <w:r w:rsidR="0031609F" w:rsidRPr="00D9785F">
        <w:rPr>
          <w:rFonts w:ascii="Calibri" w:eastAsia="Calibri" w:hAnsi="Calibri" w:cs="Calibri"/>
        </w:rPr>
        <w:t xml:space="preserve">ymienione </w:t>
      </w:r>
      <w:r w:rsidR="0031609F">
        <w:rPr>
          <w:rFonts w:ascii="Calibri" w:eastAsia="Calibri" w:hAnsi="Calibri" w:cs="Calibri"/>
        </w:rPr>
        <w:t xml:space="preserve">wyżej </w:t>
      </w:r>
      <w:r w:rsidR="0031609F" w:rsidRPr="00D9785F">
        <w:rPr>
          <w:rFonts w:ascii="Calibri" w:eastAsia="Calibri" w:hAnsi="Calibri" w:cs="Calibri"/>
        </w:rPr>
        <w:t>substancje wciąż stanowią w Polsce problem i odnotowywane są ich ponadnormatywne stężenia</w:t>
      </w:r>
      <w:r w:rsidR="0031609F">
        <w:rPr>
          <w:rFonts w:ascii="Calibri" w:eastAsia="Calibri" w:hAnsi="Calibri" w:cs="Calibri"/>
        </w:rPr>
        <w:t>,</w:t>
      </w:r>
      <w:r w:rsidR="00D328E5">
        <w:rPr>
          <w:rFonts w:ascii="Calibri" w:eastAsia="Calibri" w:hAnsi="Calibri" w:cs="Calibri"/>
        </w:rPr>
        <w:t xml:space="preserve"> p</w:t>
      </w:r>
      <w:r w:rsidRPr="00D9785F">
        <w:rPr>
          <w:rFonts w:ascii="Calibri" w:eastAsia="Calibri" w:hAnsi="Calibri" w:cs="Calibri"/>
        </w:rPr>
        <w:t>omimo zaobserwowanych trendów spadkowych w</w:t>
      </w:r>
      <w:r w:rsidR="005B2DED">
        <w:rPr>
          <w:rFonts w:ascii="Calibri" w:eastAsia="Calibri" w:hAnsi="Calibri" w:cs="Calibri"/>
        </w:rPr>
        <w:t> </w:t>
      </w:r>
      <w:r w:rsidRPr="00D9785F">
        <w:rPr>
          <w:rFonts w:ascii="Calibri" w:eastAsia="Calibri" w:hAnsi="Calibri" w:cs="Calibri"/>
        </w:rPr>
        <w:t>stężeniach zanieczyszczeń powietrza</w:t>
      </w:r>
      <w:r w:rsidR="0031609F">
        <w:rPr>
          <w:rFonts w:ascii="Calibri" w:eastAsia="Calibri" w:hAnsi="Calibri" w:cs="Calibri"/>
        </w:rPr>
        <w:t>,</w:t>
      </w:r>
      <w:r w:rsidRPr="00D9785F">
        <w:rPr>
          <w:rFonts w:ascii="Calibri" w:eastAsia="Calibri" w:hAnsi="Calibri" w:cs="Calibri"/>
        </w:rPr>
        <w:t xml:space="preserve"> będących rezultatem </w:t>
      </w:r>
      <w:r w:rsidR="005B2DED">
        <w:rPr>
          <w:rFonts w:ascii="Calibri" w:eastAsia="Calibri" w:hAnsi="Calibri" w:cs="Calibri"/>
        </w:rPr>
        <w:t xml:space="preserve">podejmowania </w:t>
      </w:r>
      <w:r w:rsidRPr="00D9785F">
        <w:rPr>
          <w:rFonts w:ascii="Calibri" w:eastAsia="Calibri" w:hAnsi="Calibri" w:cs="Calibri"/>
        </w:rPr>
        <w:t xml:space="preserve">szeregu działań </w:t>
      </w:r>
      <w:r w:rsidR="005B2DED">
        <w:rPr>
          <w:rFonts w:ascii="Calibri" w:eastAsia="Calibri" w:hAnsi="Calibri" w:cs="Calibri"/>
        </w:rPr>
        <w:t>na poziomie krajowym, wojewódzkim i gminnym</w:t>
      </w:r>
      <w:r w:rsidR="0031609F">
        <w:rPr>
          <w:rFonts w:ascii="Calibri" w:eastAsia="Calibri" w:hAnsi="Calibri" w:cs="Calibri"/>
        </w:rPr>
        <w:t>. Działania te</w:t>
      </w:r>
      <w:r w:rsidR="005B2DED">
        <w:rPr>
          <w:rFonts w:ascii="Calibri" w:eastAsia="Calibri" w:hAnsi="Calibri" w:cs="Calibri"/>
        </w:rPr>
        <w:t xml:space="preserve"> </w:t>
      </w:r>
      <w:r w:rsidR="0031609F">
        <w:rPr>
          <w:rFonts w:ascii="Calibri" w:eastAsia="Calibri" w:hAnsi="Calibri" w:cs="Calibri"/>
        </w:rPr>
        <w:t xml:space="preserve"> </w:t>
      </w:r>
      <w:r w:rsidR="005B2DED">
        <w:rPr>
          <w:rFonts w:ascii="Calibri" w:eastAsia="Calibri" w:hAnsi="Calibri" w:cs="Calibri"/>
        </w:rPr>
        <w:t xml:space="preserve"> </w:t>
      </w:r>
      <w:r w:rsidR="00D328E5">
        <w:rPr>
          <w:rFonts w:ascii="Calibri" w:eastAsia="Calibri" w:hAnsi="Calibri" w:cs="Calibri"/>
        </w:rPr>
        <w:t>realizowan</w:t>
      </w:r>
      <w:r w:rsidR="0031609F">
        <w:rPr>
          <w:rFonts w:ascii="Calibri" w:eastAsia="Calibri" w:hAnsi="Calibri" w:cs="Calibri"/>
        </w:rPr>
        <w:t xml:space="preserve">e </w:t>
      </w:r>
      <w:r w:rsidR="00226D9D">
        <w:rPr>
          <w:rFonts w:ascii="Calibri" w:eastAsia="Calibri" w:hAnsi="Calibri" w:cs="Calibri"/>
        </w:rPr>
        <w:t xml:space="preserve">są przede wszystkim </w:t>
      </w:r>
      <w:r w:rsidR="00D328E5">
        <w:rPr>
          <w:rFonts w:ascii="Calibri" w:eastAsia="Calibri" w:hAnsi="Calibri" w:cs="Calibri"/>
        </w:rPr>
        <w:t xml:space="preserve">na podstawie uchwał sejmików województw w sprawie programów ochrony powietrza, a także planów działań krótkoterminowych, których obowiązek opracowania i wdrożenia wynika z art. 91 i 92 </w:t>
      </w:r>
      <w:r w:rsidR="00546FAC">
        <w:rPr>
          <w:rFonts w:ascii="Calibri" w:eastAsia="Calibri" w:hAnsi="Calibri" w:cs="Calibri"/>
        </w:rPr>
        <w:t>POŚ</w:t>
      </w:r>
      <w:r w:rsidR="00226D9D">
        <w:rPr>
          <w:rFonts w:ascii="Calibri" w:eastAsia="Calibri" w:hAnsi="Calibri" w:cs="Calibri"/>
        </w:rPr>
        <w:t xml:space="preserve">, a także uchwał antysmogowych, przyjętych do realizacji na podstawie art. 96 ww. ustawy. Działania określone w ww. uchwałach co do zasady, powinny być dofinansowywane </w:t>
      </w:r>
      <w:r w:rsidR="0031609F">
        <w:rPr>
          <w:rFonts w:cs="Times New Roman"/>
        </w:rPr>
        <w:t xml:space="preserve">w ramach </w:t>
      </w:r>
      <w:r w:rsidR="005B2DED">
        <w:rPr>
          <w:rFonts w:cs="Times New Roman"/>
        </w:rPr>
        <w:t>P</w:t>
      </w:r>
      <w:r w:rsidRPr="00D9785F">
        <w:rPr>
          <w:rFonts w:cs="Times New Roman"/>
        </w:rPr>
        <w:t xml:space="preserve">rogramu </w:t>
      </w:r>
      <w:r w:rsidR="005B2DED">
        <w:rPr>
          <w:rFonts w:cs="Times New Roman"/>
        </w:rPr>
        <w:t>P</w:t>
      </w:r>
      <w:r w:rsidRPr="00D9785F">
        <w:rPr>
          <w:rFonts w:cs="Times New Roman"/>
        </w:rPr>
        <w:t>riorytetowego „Czyste Powietrze”</w:t>
      </w:r>
      <w:r w:rsidR="00226D9D">
        <w:rPr>
          <w:rFonts w:cs="Times New Roman"/>
        </w:rPr>
        <w:t>.</w:t>
      </w:r>
    </w:p>
    <w:p w14:paraId="4FFD2DAA" w14:textId="4309A9EE" w:rsidR="004942C1" w:rsidRPr="00D9785F" w:rsidRDefault="0031609F" w:rsidP="004942C1">
      <w:pPr>
        <w:spacing w:after="120" w:line="240" w:lineRule="auto"/>
        <w:jc w:val="both"/>
        <w:rPr>
          <w:rFonts w:ascii="Calibri" w:eastAsia="Calibri" w:hAnsi="Calibri" w:cs="Calibri"/>
        </w:rPr>
      </w:pPr>
      <w:r>
        <w:t>Trendy spadkowe stęż</w:t>
      </w:r>
      <w:r w:rsidR="0087329A">
        <w:t>e</w:t>
      </w:r>
      <w:r>
        <w:t>ń p</w:t>
      </w:r>
      <w:r w:rsidR="004942C1" w:rsidRPr="00D9785F">
        <w:t xml:space="preserve">otwierdzają wyniki oceny jakości powietrza przeprowadzanej corocznie przez GIOŚ, który </w:t>
      </w:r>
      <w:r w:rsidR="004942C1" w:rsidRPr="00D9785F">
        <w:rPr>
          <w:rFonts w:ascii="Calibri" w:eastAsia="Calibri" w:hAnsi="Calibri" w:cs="Calibri"/>
        </w:rPr>
        <w:t>na mocy ustawy z dnia 20 lipca 1991 r. o Inspekcji Ochrony Środowiska</w:t>
      </w:r>
      <w:r w:rsidR="004942C1" w:rsidRPr="00D9785F">
        <w:rPr>
          <w:rFonts w:ascii="Calibri" w:eastAsia="Calibri" w:hAnsi="Calibri" w:cs="Calibri"/>
          <w:vertAlign w:val="superscript"/>
        </w:rPr>
        <w:footnoteReference w:id="4"/>
      </w:r>
      <w:r w:rsidR="004942C1" w:rsidRPr="00D9785F">
        <w:rPr>
          <w:rFonts w:ascii="Calibri" w:eastAsia="Calibri" w:hAnsi="Calibri" w:cs="Calibri"/>
        </w:rPr>
        <w:t xml:space="preserve"> jest organem odpowiedzialnym za monitoring jakości powietrza w Polsce, w</w:t>
      </w:r>
      <w:r w:rsidR="004942C1">
        <w:rPr>
          <w:rFonts w:ascii="Calibri" w:eastAsia="Calibri" w:hAnsi="Calibri" w:cs="Calibri"/>
        </w:rPr>
        <w:t xml:space="preserve"> </w:t>
      </w:r>
      <w:r w:rsidR="004942C1" w:rsidRPr="00D9785F">
        <w:rPr>
          <w:rFonts w:ascii="Calibri" w:eastAsia="Calibri" w:hAnsi="Calibri" w:cs="Calibri"/>
        </w:rPr>
        <w:t>tym</w:t>
      </w:r>
      <w:r w:rsidR="004942C1">
        <w:rPr>
          <w:rFonts w:ascii="Calibri" w:eastAsia="Calibri" w:hAnsi="Calibri" w:cs="Calibri"/>
        </w:rPr>
        <w:t xml:space="preserve"> </w:t>
      </w:r>
      <w:r w:rsidR="004942C1" w:rsidRPr="00D9785F">
        <w:rPr>
          <w:rFonts w:ascii="Calibri" w:eastAsia="Calibri" w:hAnsi="Calibri" w:cs="Calibri"/>
        </w:rPr>
        <w:t xml:space="preserve">za wykonywanie pomiarów i ocen stanu powietrza atmosferycznego oraz bieżące informowanie społeczeństwa, a także organów państwa o jego jakości. </w:t>
      </w:r>
    </w:p>
    <w:p w14:paraId="1765080B" w14:textId="77777777" w:rsidR="005B2DED" w:rsidRPr="003E156F" w:rsidRDefault="005B2DED" w:rsidP="003E156F">
      <w:pPr>
        <w:pStyle w:val="Nagwek2"/>
        <w:numPr>
          <w:ilvl w:val="0"/>
          <w:numId w:val="0"/>
        </w:numPr>
        <w:rPr>
          <w:b/>
          <w:sz w:val="22"/>
          <w:szCs w:val="22"/>
        </w:rPr>
      </w:pPr>
      <w:bookmarkStart w:id="19" w:name="_Toc78205880"/>
      <w:r w:rsidRPr="003E156F">
        <w:rPr>
          <w:b/>
          <w:sz w:val="22"/>
          <w:szCs w:val="22"/>
        </w:rPr>
        <w:t>6.1. System ocen jakości powietrza</w:t>
      </w:r>
      <w:bookmarkEnd w:id="19"/>
      <w:r w:rsidRPr="003E156F">
        <w:rPr>
          <w:b/>
          <w:sz w:val="22"/>
          <w:szCs w:val="22"/>
        </w:rPr>
        <w:t xml:space="preserve"> </w:t>
      </w:r>
    </w:p>
    <w:p w14:paraId="19F2461F" w14:textId="1BF3C9FB" w:rsidR="005B2DED" w:rsidRPr="00D9785F" w:rsidRDefault="005B2DED" w:rsidP="005B2DED">
      <w:pPr>
        <w:spacing w:after="120" w:line="240" w:lineRule="auto"/>
        <w:jc w:val="both"/>
        <w:rPr>
          <w:rFonts w:ascii="Calibri" w:eastAsia="Calibri" w:hAnsi="Calibri" w:cs="Times New Roman"/>
        </w:rPr>
      </w:pPr>
      <w:r w:rsidRPr="00D9785F">
        <w:rPr>
          <w:rFonts w:ascii="Calibri" w:eastAsia="Calibri" w:hAnsi="Calibri" w:cs="Times New Roman"/>
        </w:rPr>
        <w:t xml:space="preserve">Zgodnie z art. 89 ust. 1 </w:t>
      </w:r>
      <w:r w:rsidR="00546FAC">
        <w:rPr>
          <w:rFonts w:ascii="Calibri" w:eastAsia="Calibri" w:hAnsi="Calibri" w:cs="Times New Roman"/>
        </w:rPr>
        <w:t>POŚ</w:t>
      </w:r>
      <w:r w:rsidRPr="00D9785F">
        <w:rPr>
          <w:rFonts w:ascii="Calibri" w:eastAsia="Calibri" w:hAnsi="Calibri" w:cs="Times New Roman"/>
        </w:rPr>
        <w:t xml:space="preserve"> oraz </w:t>
      </w:r>
      <w:r w:rsidR="00FA2BB3">
        <w:rPr>
          <w:rFonts w:ascii="Calibri" w:eastAsia="Calibri" w:hAnsi="Calibri" w:cs="Times New Roman"/>
        </w:rPr>
        <w:t>odpowiednimi aktami wykonawczymi do ustawy,</w:t>
      </w:r>
      <w:r w:rsidRPr="00D9785F">
        <w:rPr>
          <w:rFonts w:ascii="Calibri" w:eastAsia="Calibri" w:hAnsi="Calibri" w:cs="Times New Roman"/>
        </w:rPr>
        <w:t xml:space="preserve"> GIOŚ corocznie dokonuje oceny jakości powietrza. Ocena wykonywana jest pod kątem spełnienia kryteriów określonych w celu ochrony zdrowia ludzi oraz w celu ochrony roślin. </w:t>
      </w:r>
    </w:p>
    <w:p w14:paraId="030B32A6" w14:textId="729865FE" w:rsidR="003E153D" w:rsidRDefault="005B2DED" w:rsidP="005B2DED">
      <w:pPr>
        <w:spacing w:after="120" w:line="240" w:lineRule="auto"/>
        <w:jc w:val="both"/>
      </w:pPr>
      <w:r w:rsidRPr="00D9785F">
        <w:t>W zakresie celu ochrony zdrowia ludzi, w ocenie jakości powietrza, uwzględnia się 12 zanieczyszczeń powietrza: dwutlenek siarki (SO</w:t>
      </w:r>
      <w:r w:rsidRPr="00D9785F">
        <w:rPr>
          <w:vertAlign w:val="subscript"/>
        </w:rPr>
        <w:t>2</w:t>
      </w:r>
      <w:r w:rsidRPr="00D9785F">
        <w:t>), NO</w:t>
      </w:r>
      <w:r w:rsidRPr="00D9785F">
        <w:rPr>
          <w:vertAlign w:val="subscript"/>
        </w:rPr>
        <w:t>2</w:t>
      </w:r>
      <w:r w:rsidRPr="00D9785F">
        <w:t>, tlenek węgla (CO), benzen (C</w:t>
      </w:r>
      <w:r w:rsidRPr="00D9785F">
        <w:rPr>
          <w:vertAlign w:val="subscript"/>
        </w:rPr>
        <w:t>6</w:t>
      </w:r>
      <w:r w:rsidRPr="00D9785F">
        <w:t>H</w:t>
      </w:r>
      <w:r w:rsidRPr="00D9785F">
        <w:rPr>
          <w:vertAlign w:val="subscript"/>
        </w:rPr>
        <w:t>6</w:t>
      </w:r>
      <w:r w:rsidRPr="00D9785F">
        <w:t>), O</w:t>
      </w:r>
      <w:r w:rsidRPr="00D9785F">
        <w:rPr>
          <w:vertAlign w:val="subscript"/>
        </w:rPr>
        <w:t>3</w:t>
      </w:r>
      <w:r w:rsidRPr="00D9785F">
        <w:t xml:space="preserve">, </w:t>
      </w:r>
      <w:r w:rsidR="000165D6">
        <w:t xml:space="preserve">frakcje </w:t>
      </w:r>
      <w:r w:rsidRPr="00D9785F">
        <w:t>pył</w:t>
      </w:r>
      <w:r w:rsidR="000165D6">
        <w:t>u</w:t>
      </w:r>
      <w:r w:rsidRPr="00D9785F">
        <w:t xml:space="preserve"> z</w:t>
      </w:r>
      <w:r w:rsidR="000165D6">
        <w:t>a</w:t>
      </w:r>
      <w:r w:rsidRPr="00D9785F">
        <w:t>wieszon</w:t>
      </w:r>
      <w:r w:rsidR="000165D6">
        <w:t>ego</w:t>
      </w:r>
      <w:r w:rsidRPr="00D9785F">
        <w:t xml:space="preserve"> PM10 oraz PM2,5 a także zanieczyszczenia zawarte w pyle zawieszonym PM10: ołów</w:t>
      </w:r>
      <w:r>
        <w:t xml:space="preserve"> </w:t>
      </w:r>
      <w:r w:rsidRPr="00D9785F">
        <w:t>(Pb), arsen (As), kadm (Cd), nikiel (Ni) oraz B(a)P. W celu ochrony roślin uwzględnia się 3 zanieczyszczenia: SO</w:t>
      </w:r>
      <w:r w:rsidRPr="00D9785F">
        <w:rPr>
          <w:vertAlign w:val="subscript"/>
        </w:rPr>
        <w:t>2</w:t>
      </w:r>
      <w:r w:rsidRPr="00D9785F">
        <w:t>, tlenki azotu (NO</w:t>
      </w:r>
      <w:r w:rsidRPr="00D9785F">
        <w:rPr>
          <w:vertAlign w:val="subscript"/>
        </w:rPr>
        <w:t>X</w:t>
      </w:r>
      <w:r w:rsidRPr="00D9785F">
        <w:t>) oraz O</w:t>
      </w:r>
      <w:r w:rsidRPr="00D9785F">
        <w:rPr>
          <w:vertAlign w:val="subscript"/>
        </w:rPr>
        <w:t>3</w:t>
      </w:r>
      <w:r w:rsidRPr="00D9785F">
        <w:t xml:space="preserve">. </w:t>
      </w:r>
    </w:p>
    <w:p w14:paraId="7E78C89B" w14:textId="64BABFBA" w:rsidR="005B2DED" w:rsidRPr="00D9785F" w:rsidRDefault="003E153D" w:rsidP="005B2DED">
      <w:pPr>
        <w:spacing w:after="120" w:line="240" w:lineRule="auto"/>
        <w:jc w:val="both"/>
        <w:rPr>
          <w:rFonts w:ascii="Calibri" w:eastAsia="Calibri" w:hAnsi="Calibri" w:cs="Times New Roman"/>
        </w:rPr>
      </w:pPr>
      <w:r>
        <w:t>Niniejszy r</w:t>
      </w:r>
      <w:r w:rsidR="005B2DED" w:rsidRPr="00D9785F">
        <w:rPr>
          <w:rFonts w:ascii="Calibri" w:eastAsia="Calibri" w:hAnsi="Calibri" w:cs="Times New Roman"/>
        </w:rPr>
        <w:t>ozdział poświęcony jest wynikom ocen jakości powietrza pod kątem ochrony zdrowia ludzi.</w:t>
      </w:r>
    </w:p>
    <w:p w14:paraId="7AB4EF18" w14:textId="7FC0A31C" w:rsidR="005B2DED" w:rsidRPr="00D9785F" w:rsidRDefault="005B2DED" w:rsidP="005B2DED">
      <w:pPr>
        <w:spacing w:after="120" w:line="240" w:lineRule="auto"/>
        <w:jc w:val="both"/>
        <w:rPr>
          <w:rFonts w:ascii="Calibri" w:eastAsia="Calibri" w:hAnsi="Calibri" w:cs="Times New Roman"/>
        </w:rPr>
      </w:pPr>
      <w:r w:rsidRPr="00D9785F">
        <w:rPr>
          <w:rFonts w:ascii="Calibri" w:eastAsia="Calibri" w:hAnsi="Calibri" w:cs="Times New Roman"/>
        </w:rPr>
        <w:t>Podstawę do oceny jakości powietrza stanowią kryteria określone w rozporządzeniu Ministra Środowiska z 24 sierpnia 2012 r. w sprawie poziomów niektórych substancji w powietrzu. Dla</w:t>
      </w:r>
      <w:r>
        <w:rPr>
          <w:rFonts w:ascii="Calibri" w:eastAsia="Calibri" w:hAnsi="Calibri" w:cs="Times New Roman"/>
        </w:rPr>
        <w:t> </w:t>
      </w:r>
      <w:r w:rsidRPr="00D9785F">
        <w:rPr>
          <w:rFonts w:ascii="Calibri" w:eastAsia="Calibri" w:hAnsi="Calibri" w:cs="Times New Roman"/>
        </w:rPr>
        <w:t>wszystkich zanieczyszczeń kryteria oceny są zgodne z kryteriami określonymi w prawodawstwie Unii Europejskiej w dyrektywach 2008/50/WE i 2004/107/WE</w:t>
      </w:r>
      <w:r w:rsidR="00406A2E">
        <w:rPr>
          <w:rFonts w:ascii="Calibri" w:eastAsia="Calibri" w:hAnsi="Calibri" w:cs="Times New Roman"/>
        </w:rPr>
        <w:t>,</w:t>
      </w:r>
      <w:r w:rsidRPr="00D9785F">
        <w:rPr>
          <w:rFonts w:ascii="Calibri" w:eastAsia="Calibri" w:hAnsi="Calibri" w:cs="Times New Roman"/>
        </w:rPr>
        <w:t xml:space="preserve"> Dyrektywie Komisji (UE) 2015/1480</w:t>
      </w:r>
      <w:r>
        <w:rPr>
          <w:rStyle w:val="Odwoanieprzypisudolnego"/>
          <w:rFonts w:ascii="Calibri" w:eastAsia="Calibri" w:hAnsi="Calibri" w:cs="Times New Roman"/>
        </w:rPr>
        <w:footnoteReference w:id="5"/>
      </w:r>
      <w:r w:rsidRPr="00D9785F">
        <w:rPr>
          <w:rFonts w:ascii="Calibri" w:eastAsia="Calibri" w:hAnsi="Calibri" w:cs="Times New Roman"/>
        </w:rPr>
        <w:t xml:space="preserve"> </w:t>
      </w:r>
      <w:r w:rsidR="00406A2E">
        <w:rPr>
          <w:rFonts w:ascii="Calibri" w:eastAsia="Calibri" w:hAnsi="Calibri" w:cs="Times New Roman"/>
        </w:rPr>
        <w:t xml:space="preserve">oraz decyzji wykonawczej Komisji </w:t>
      </w:r>
      <w:r w:rsidR="00406A2E" w:rsidRPr="00406A2E">
        <w:rPr>
          <w:rFonts w:ascii="Calibri" w:eastAsia="Calibri" w:hAnsi="Calibri" w:cs="Times New Roman"/>
        </w:rPr>
        <w:t>2011/850/WE</w:t>
      </w:r>
      <w:r w:rsidR="00406A2E">
        <w:rPr>
          <w:rStyle w:val="Odwoanieprzypisudolnego"/>
          <w:rFonts w:ascii="Calibri" w:eastAsia="Calibri" w:hAnsi="Calibri" w:cs="Times New Roman"/>
        </w:rPr>
        <w:footnoteReference w:id="6"/>
      </w:r>
      <w:r w:rsidR="00406A2E">
        <w:rPr>
          <w:rFonts w:ascii="Calibri" w:eastAsia="Calibri" w:hAnsi="Calibri" w:cs="Times New Roman"/>
        </w:rPr>
        <w:t>.</w:t>
      </w:r>
    </w:p>
    <w:p w14:paraId="0331DF37" w14:textId="1F341D54" w:rsidR="00406A2E" w:rsidRPr="00DD0E4C" w:rsidRDefault="005B2DED" w:rsidP="00DD0E4C">
      <w:pPr>
        <w:spacing w:after="0" w:line="240" w:lineRule="auto"/>
        <w:jc w:val="both"/>
        <w:rPr>
          <w:rFonts w:ascii="Calibri" w:eastAsia="Times New Roman" w:hAnsi="Calibri" w:cs="Calibri"/>
          <w:lang w:eastAsia="pl-PL"/>
        </w:rPr>
      </w:pPr>
      <w:r w:rsidRPr="00D9785F">
        <w:rPr>
          <w:rFonts w:ascii="Calibri" w:eastAsia="Calibri" w:hAnsi="Calibri" w:cs="Calibri"/>
        </w:rPr>
        <w:t xml:space="preserve">Zgodnie z art. 87 ust. 1 </w:t>
      </w:r>
      <w:r w:rsidR="00546FAC">
        <w:rPr>
          <w:rFonts w:ascii="Calibri" w:eastAsia="Calibri" w:hAnsi="Calibri" w:cs="Calibri"/>
        </w:rPr>
        <w:t>POŚ</w:t>
      </w:r>
      <w:r w:rsidR="00DD0BA0">
        <w:rPr>
          <w:rFonts w:ascii="Calibri" w:eastAsia="Calibri" w:hAnsi="Calibri" w:cs="Calibri"/>
        </w:rPr>
        <w:t>,</w:t>
      </w:r>
      <w:r w:rsidRPr="00D9785F">
        <w:rPr>
          <w:rFonts w:ascii="Calibri" w:eastAsia="Calibri" w:hAnsi="Calibri" w:cs="Calibri"/>
        </w:rPr>
        <w:t xml:space="preserve"> oceny jakości powietrza dokonuje się w strefach</w:t>
      </w:r>
      <w:r w:rsidR="00226D9D">
        <w:rPr>
          <w:rFonts w:ascii="Calibri" w:eastAsia="Calibri" w:hAnsi="Calibri" w:cs="Calibri"/>
        </w:rPr>
        <w:t xml:space="preserve">. </w:t>
      </w:r>
      <w:r w:rsidR="00406A2E" w:rsidRPr="00D9785F">
        <w:rPr>
          <w:rFonts w:ascii="Calibri" w:eastAsia="Calibri" w:hAnsi="Calibri" w:cs="Times New Roman"/>
        </w:rPr>
        <w:t xml:space="preserve">Strefy, w których dokonuje się oceny jakości powietrza, zostały określone w </w:t>
      </w:r>
      <w:bookmarkStart w:id="22" w:name="_Hlk78400756"/>
      <w:r w:rsidR="00406A2E" w:rsidRPr="00D9785F">
        <w:rPr>
          <w:rFonts w:ascii="Calibri" w:eastAsia="Calibri" w:hAnsi="Calibri" w:cs="Times New Roman"/>
        </w:rPr>
        <w:t>rozporządzeniu Ministra Środowiska z dnia 2 sierpnia 2012 r.</w:t>
      </w:r>
      <w:bookmarkEnd w:id="22"/>
      <w:r w:rsidR="00406A2E" w:rsidRPr="00D9785F">
        <w:rPr>
          <w:rFonts w:ascii="Calibri" w:eastAsia="Calibri" w:hAnsi="Calibri" w:cs="Times New Roman"/>
          <w:vertAlign w:val="superscript"/>
        </w:rPr>
        <w:footnoteReference w:id="7"/>
      </w:r>
      <w:r w:rsidR="00406A2E" w:rsidRPr="00D9785F">
        <w:rPr>
          <w:rFonts w:ascii="Calibri" w:eastAsia="Calibri" w:hAnsi="Calibri" w:cs="Times New Roman"/>
        </w:rPr>
        <w:t xml:space="preserve">. Roczne oceny jakości powietrza </w:t>
      </w:r>
      <w:r w:rsidR="00406A2E">
        <w:rPr>
          <w:rFonts w:ascii="Calibri" w:eastAsia="Calibri" w:hAnsi="Calibri" w:cs="Times New Roman"/>
        </w:rPr>
        <w:t xml:space="preserve">od 2010 do 2019 r. </w:t>
      </w:r>
      <w:r w:rsidR="00406A2E" w:rsidRPr="00D9785F">
        <w:rPr>
          <w:rFonts w:ascii="Calibri" w:eastAsia="Calibri" w:hAnsi="Calibri" w:cs="Times New Roman"/>
        </w:rPr>
        <w:t>obejm</w:t>
      </w:r>
      <w:r w:rsidR="00406A2E">
        <w:rPr>
          <w:rFonts w:ascii="Calibri" w:eastAsia="Calibri" w:hAnsi="Calibri" w:cs="Times New Roman"/>
        </w:rPr>
        <w:t>owały</w:t>
      </w:r>
      <w:r w:rsidR="00406A2E" w:rsidRPr="00D9785F">
        <w:rPr>
          <w:rFonts w:ascii="Calibri" w:eastAsia="Calibri" w:hAnsi="Calibri" w:cs="Times New Roman"/>
        </w:rPr>
        <w:t xml:space="preserve"> terytorialnie obszar </w:t>
      </w:r>
      <w:r w:rsidR="00406A2E" w:rsidRPr="00D9785F">
        <w:rPr>
          <w:rFonts w:ascii="Calibri" w:eastAsia="Calibri" w:hAnsi="Calibri" w:cs="Times New Roman"/>
          <w:b/>
        </w:rPr>
        <w:t>46 stref</w:t>
      </w:r>
      <w:r w:rsidR="00406A2E" w:rsidRPr="002A7BC5">
        <w:rPr>
          <w:rFonts w:ascii="Calibri" w:eastAsia="Calibri" w:hAnsi="Calibri" w:cs="Times New Roman"/>
        </w:rPr>
        <w:t>,</w:t>
      </w:r>
      <w:r w:rsidR="00406A2E" w:rsidRPr="00D9785F">
        <w:rPr>
          <w:rFonts w:ascii="Calibri" w:eastAsia="Calibri" w:hAnsi="Calibri" w:cs="Times New Roman"/>
        </w:rPr>
        <w:t xml:space="preserve"> w tym: </w:t>
      </w:r>
      <w:r w:rsidR="00406A2E" w:rsidRPr="00D9785F">
        <w:rPr>
          <w:rFonts w:ascii="Calibri" w:eastAsia="Calibri" w:hAnsi="Calibri" w:cs="Times New Roman"/>
          <w:b/>
        </w:rPr>
        <w:t>12</w:t>
      </w:r>
      <w:r w:rsidR="00406A2E" w:rsidRPr="00D9785F">
        <w:rPr>
          <w:rFonts w:ascii="Calibri" w:eastAsia="Calibri" w:hAnsi="Calibri" w:cs="Times New Roman"/>
        </w:rPr>
        <w:t xml:space="preserve"> aglomeracji o liczbie mieszkańców większej niż 250 tys., </w:t>
      </w:r>
      <w:r w:rsidR="00406A2E" w:rsidRPr="00D9785F">
        <w:rPr>
          <w:rFonts w:ascii="Calibri" w:eastAsia="Calibri" w:hAnsi="Calibri" w:cs="Times New Roman"/>
          <w:b/>
        </w:rPr>
        <w:t>18</w:t>
      </w:r>
      <w:r w:rsidR="00406A2E" w:rsidRPr="00D9785F">
        <w:rPr>
          <w:rFonts w:ascii="Calibri" w:eastAsia="Calibri" w:hAnsi="Calibri" w:cs="Times New Roman"/>
        </w:rPr>
        <w:t xml:space="preserve"> miast o liczbie </w:t>
      </w:r>
      <w:r w:rsidR="00406A2E" w:rsidRPr="00D9785F">
        <w:rPr>
          <w:rFonts w:ascii="Calibri" w:eastAsia="Calibri" w:hAnsi="Calibri" w:cs="Times New Roman"/>
        </w:rPr>
        <w:lastRenderedPageBreak/>
        <w:t xml:space="preserve">mieszkańców większej niż 100 tys. oraz pozostałe obszary </w:t>
      </w:r>
      <w:r w:rsidR="00406A2E" w:rsidRPr="00D9785F">
        <w:rPr>
          <w:rFonts w:ascii="Calibri" w:eastAsia="Calibri" w:hAnsi="Calibri" w:cs="Times New Roman"/>
          <w:b/>
        </w:rPr>
        <w:t>16</w:t>
      </w:r>
      <w:r w:rsidR="00406A2E">
        <w:rPr>
          <w:rFonts w:ascii="Calibri" w:eastAsia="Calibri" w:hAnsi="Calibri" w:cs="Times New Roman"/>
          <w:b/>
        </w:rPr>
        <w:t xml:space="preserve"> </w:t>
      </w:r>
      <w:r w:rsidR="00406A2E" w:rsidRPr="00D9785F">
        <w:rPr>
          <w:rFonts w:ascii="Calibri" w:eastAsia="Calibri" w:hAnsi="Calibri" w:cs="Times New Roman"/>
        </w:rPr>
        <w:t>województw. Ze względu na to, że jedno z miast (Legnica) straciło status miasta o liczbie mieszkańców powyżej 100 tys., roczna ocena jakości powietrza za 2020 r. została wykonana w</w:t>
      </w:r>
      <w:r w:rsidR="00406A2E">
        <w:rPr>
          <w:rFonts w:ascii="Calibri" w:eastAsia="Calibri" w:hAnsi="Calibri" w:cs="Times New Roman"/>
        </w:rPr>
        <w:t xml:space="preserve"> </w:t>
      </w:r>
      <w:r w:rsidR="00406A2E" w:rsidRPr="00D9785F">
        <w:rPr>
          <w:rFonts w:ascii="Calibri" w:eastAsia="Calibri" w:hAnsi="Calibri" w:cs="Times New Roman"/>
        </w:rPr>
        <w:t>45</w:t>
      </w:r>
      <w:r w:rsidR="00406A2E">
        <w:rPr>
          <w:rFonts w:ascii="Calibri" w:eastAsia="Calibri" w:hAnsi="Calibri" w:cs="Times New Roman"/>
        </w:rPr>
        <w:t xml:space="preserve"> </w:t>
      </w:r>
      <w:r w:rsidR="00406A2E" w:rsidRPr="00D9785F">
        <w:rPr>
          <w:rFonts w:ascii="Calibri" w:eastAsia="Calibri" w:hAnsi="Calibri" w:cs="Times New Roman"/>
        </w:rPr>
        <w:t>strefach (Rys.</w:t>
      </w:r>
      <w:r w:rsidR="00FA2BB3">
        <w:rPr>
          <w:rFonts w:ascii="Calibri" w:eastAsia="Calibri" w:hAnsi="Calibri" w:cs="Times New Roman"/>
        </w:rPr>
        <w:t xml:space="preserve"> </w:t>
      </w:r>
      <w:r w:rsidR="00463B42">
        <w:rPr>
          <w:rFonts w:ascii="Calibri" w:eastAsia="Calibri" w:hAnsi="Calibri" w:cs="Times New Roman"/>
        </w:rPr>
        <w:t>2</w:t>
      </w:r>
      <w:r w:rsidR="00406A2E" w:rsidRPr="00D9785F">
        <w:rPr>
          <w:rFonts w:ascii="Calibri" w:eastAsia="Calibri" w:hAnsi="Calibri" w:cs="Times New Roman"/>
        </w:rPr>
        <w:t>).</w:t>
      </w:r>
    </w:p>
    <w:p w14:paraId="021A8E87" w14:textId="43F2557A" w:rsidR="004942C1" w:rsidRDefault="00406A2E" w:rsidP="00406A2E">
      <w:pPr>
        <w:jc w:val="center"/>
        <w:rPr>
          <w:color w:val="000000" w:themeColor="text1"/>
        </w:rPr>
      </w:pPr>
      <w:r w:rsidRPr="004E7CCE">
        <w:rPr>
          <w:rFonts w:ascii="Calibri" w:eastAsia="Calibri" w:hAnsi="Calibri" w:cs="Times New Roman"/>
          <w:noProof/>
          <w:color w:val="FF0000"/>
          <w:lang w:eastAsia="pl-PL"/>
        </w:rPr>
        <w:drawing>
          <wp:inline distT="0" distB="0" distL="0" distR="0" wp14:anchorId="2D581B4D" wp14:editId="3C3D23C6">
            <wp:extent cx="2644140" cy="2194560"/>
            <wp:effectExtent l="0" t="0" r="3810" b="0"/>
            <wp:docPr id="453" name="Obraz 453" descr="C:\Users\e.palma\AppData\Local\Microsoft\Windows\INetCache\Content.MSO\773BF9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palma\AppData\Local\Microsoft\Windows\INetCache\Content.MSO\773BF97C.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7015" cy="2205246"/>
                    </a:xfrm>
                    <a:prstGeom prst="rect">
                      <a:avLst/>
                    </a:prstGeom>
                    <a:noFill/>
                    <a:ln>
                      <a:noFill/>
                    </a:ln>
                  </pic:spPr>
                </pic:pic>
              </a:graphicData>
            </a:graphic>
          </wp:inline>
        </w:drawing>
      </w:r>
    </w:p>
    <w:p w14:paraId="4DCBF578" w14:textId="56B8215A" w:rsidR="00406A2E" w:rsidRPr="00406A2E" w:rsidRDefault="00406A2E" w:rsidP="00406A2E">
      <w:pPr>
        <w:jc w:val="center"/>
        <w:rPr>
          <w:color w:val="000000" w:themeColor="text1"/>
          <w:sz w:val="20"/>
          <w:szCs w:val="20"/>
        </w:rPr>
      </w:pPr>
      <w:r w:rsidRPr="00406A2E">
        <w:rPr>
          <w:color w:val="000000" w:themeColor="text1"/>
          <w:sz w:val="20"/>
          <w:szCs w:val="20"/>
        </w:rPr>
        <w:t xml:space="preserve">Rys. </w:t>
      </w:r>
      <w:r w:rsidR="00463B42">
        <w:rPr>
          <w:color w:val="000000" w:themeColor="text1"/>
          <w:sz w:val="20"/>
          <w:szCs w:val="20"/>
        </w:rPr>
        <w:t>2</w:t>
      </w:r>
      <w:r w:rsidRPr="00406A2E">
        <w:rPr>
          <w:color w:val="000000" w:themeColor="text1"/>
          <w:sz w:val="20"/>
          <w:szCs w:val="20"/>
        </w:rPr>
        <w:t>. Granice stref</w:t>
      </w:r>
      <w:r w:rsidR="00561822">
        <w:rPr>
          <w:color w:val="000000" w:themeColor="text1"/>
          <w:sz w:val="20"/>
          <w:szCs w:val="20"/>
        </w:rPr>
        <w:t>,</w:t>
      </w:r>
      <w:r w:rsidRPr="00406A2E">
        <w:rPr>
          <w:color w:val="000000" w:themeColor="text1"/>
          <w:sz w:val="20"/>
          <w:szCs w:val="20"/>
        </w:rPr>
        <w:t xml:space="preserve"> dla których wykon</w:t>
      </w:r>
      <w:r w:rsidR="00546FAC">
        <w:rPr>
          <w:color w:val="000000" w:themeColor="text1"/>
          <w:sz w:val="20"/>
          <w:szCs w:val="20"/>
        </w:rPr>
        <w:t>ano</w:t>
      </w:r>
      <w:r w:rsidRPr="00406A2E">
        <w:rPr>
          <w:color w:val="000000" w:themeColor="text1"/>
          <w:sz w:val="20"/>
          <w:szCs w:val="20"/>
        </w:rPr>
        <w:t xml:space="preserve"> ocenę jakości powietrza dla 2020</w:t>
      </w:r>
      <w:r w:rsidR="00FA2BB3">
        <w:rPr>
          <w:color w:val="000000" w:themeColor="text1"/>
          <w:sz w:val="20"/>
          <w:szCs w:val="20"/>
        </w:rPr>
        <w:t xml:space="preserve"> r.</w:t>
      </w:r>
    </w:p>
    <w:p w14:paraId="42D38FB4" w14:textId="77777777" w:rsidR="00FA2BB3" w:rsidRPr="00D9785F" w:rsidRDefault="00FA2BB3" w:rsidP="00FA2BB3">
      <w:pPr>
        <w:spacing w:after="0" w:line="240" w:lineRule="auto"/>
        <w:jc w:val="both"/>
        <w:rPr>
          <w:rFonts w:ascii="Calibri" w:eastAsia="Calibri" w:hAnsi="Calibri" w:cs="Calibri"/>
        </w:rPr>
      </w:pPr>
      <w:r w:rsidRPr="00D9785F">
        <w:rPr>
          <w:rFonts w:ascii="Calibri" w:eastAsia="Calibri" w:hAnsi="Calibri" w:cs="Calibri"/>
        </w:rPr>
        <w:t xml:space="preserve">Celem prowadzenia rocznych ocen jakości powietrza jest uzyskanie informacji o stężeniach zanieczyszczeń na obszarze poszczególnych stref, w zakresie umożliwiającym: </w:t>
      </w:r>
    </w:p>
    <w:p w14:paraId="493CD3F1" w14:textId="77777777" w:rsidR="00FA2BB3" w:rsidRPr="00D9785F" w:rsidRDefault="00FA2BB3" w:rsidP="00CA3BB7">
      <w:pPr>
        <w:numPr>
          <w:ilvl w:val="0"/>
          <w:numId w:val="73"/>
        </w:numPr>
        <w:spacing w:after="0" w:line="240" w:lineRule="auto"/>
        <w:ind w:left="426" w:hanging="426"/>
        <w:contextualSpacing/>
        <w:jc w:val="both"/>
        <w:rPr>
          <w:rFonts w:ascii="Calibri" w:eastAsia="Times New Roman" w:hAnsi="Calibri" w:cs="Calibri"/>
          <w:lang w:eastAsia="pl-PL"/>
        </w:rPr>
      </w:pPr>
      <w:r w:rsidRPr="00D9785F">
        <w:rPr>
          <w:rFonts w:ascii="Calibri" w:eastAsia="Times New Roman" w:hAnsi="Calibri" w:cs="Calibri"/>
          <w:lang w:eastAsia="pl-PL"/>
        </w:rPr>
        <w:t>dokonanie klasyfikacji stref według określonych kryteriów,</w:t>
      </w:r>
    </w:p>
    <w:p w14:paraId="3D9B9F70" w14:textId="77777777" w:rsidR="00FA2BB3" w:rsidRPr="00D9785F" w:rsidRDefault="00FA2BB3" w:rsidP="00CA3BB7">
      <w:pPr>
        <w:numPr>
          <w:ilvl w:val="0"/>
          <w:numId w:val="73"/>
        </w:numPr>
        <w:spacing w:after="0" w:line="240" w:lineRule="auto"/>
        <w:ind w:left="426" w:hanging="426"/>
        <w:contextualSpacing/>
        <w:jc w:val="both"/>
        <w:rPr>
          <w:rFonts w:ascii="Calibri" w:eastAsia="Times New Roman" w:hAnsi="Calibri" w:cs="Calibri"/>
          <w:lang w:eastAsia="pl-PL"/>
        </w:rPr>
      </w:pPr>
      <w:r w:rsidRPr="00D9785F">
        <w:rPr>
          <w:rFonts w:ascii="Calibri" w:eastAsia="Times New Roman" w:hAnsi="Calibri" w:cs="Calibri"/>
          <w:lang w:eastAsia="pl-PL"/>
        </w:rPr>
        <w:t>uzyskanie informacji o przestrzennych rozkładach stężeń zanieczyszczeń na obszarze strefy, w zakresie umożliwiającym wskazanie obszarów przekroczeń wartości kryterialnych oraz określenie poziomów stężeń występujących na tych obszarach,</w:t>
      </w:r>
    </w:p>
    <w:p w14:paraId="6358CCA5" w14:textId="48BE4340" w:rsidR="00FA2BB3" w:rsidRPr="00AA351D" w:rsidRDefault="00FA2BB3" w:rsidP="00CA3BB7">
      <w:pPr>
        <w:numPr>
          <w:ilvl w:val="0"/>
          <w:numId w:val="73"/>
        </w:numPr>
        <w:spacing w:after="120" w:line="240" w:lineRule="auto"/>
        <w:ind w:left="425" w:hanging="425"/>
        <w:contextualSpacing/>
        <w:jc w:val="both"/>
        <w:rPr>
          <w:rFonts w:ascii="Calibri" w:eastAsia="Times New Roman" w:hAnsi="Calibri" w:cs="Calibri"/>
          <w:lang w:eastAsia="pl-PL"/>
        </w:rPr>
      </w:pPr>
      <w:r w:rsidRPr="00D9785F">
        <w:rPr>
          <w:rFonts w:ascii="Calibri" w:eastAsia="Times New Roman" w:hAnsi="Calibri" w:cs="Calibri"/>
          <w:lang w:eastAsia="pl-PL"/>
        </w:rPr>
        <w:t>wskazanie prawdopodobnych przyczyn występowania ponadnormatywnych stężeń zanieczyszczeń w określonych rejonach (w zakresie możliwym do uzyskania na podstawie posiadanych informacji).</w:t>
      </w:r>
    </w:p>
    <w:p w14:paraId="4466A181" w14:textId="7EE99DD4" w:rsidR="00FA2BB3" w:rsidRPr="003E156F" w:rsidRDefault="00FA2BB3" w:rsidP="003E156F">
      <w:pPr>
        <w:pStyle w:val="Nagwek2"/>
        <w:numPr>
          <w:ilvl w:val="0"/>
          <w:numId w:val="0"/>
        </w:numPr>
        <w:rPr>
          <w:b/>
          <w:sz w:val="22"/>
          <w:szCs w:val="22"/>
        </w:rPr>
      </w:pPr>
      <w:bookmarkStart w:id="23" w:name="_Toc78205881"/>
      <w:r w:rsidRPr="003E156F">
        <w:rPr>
          <w:b/>
          <w:sz w:val="22"/>
          <w:szCs w:val="22"/>
        </w:rPr>
        <w:t>6.2. System pomiarów jakości powietrza</w:t>
      </w:r>
      <w:bookmarkEnd w:id="23"/>
    </w:p>
    <w:p w14:paraId="304EB046" w14:textId="1B2FBFF0" w:rsidR="00FA2BB3" w:rsidRPr="00D9785F" w:rsidRDefault="00FA2BB3" w:rsidP="00FA2BB3">
      <w:pPr>
        <w:spacing w:after="120" w:line="240" w:lineRule="auto"/>
        <w:jc w:val="both"/>
        <w:rPr>
          <w:rFonts w:cstheme="minorHAnsi"/>
        </w:rPr>
      </w:pPr>
      <w:r w:rsidRPr="00D9785F">
        <w:rPr>
          <w:rFonts w:cstheme="minorHAnsi"/>
        </w:rPr>
        <w:t>Podstawą do wykonania klasyfikacji stref, będącej wynikiem rocznej oceny jakości powietrza, są wyniki pomiarów stężeń zanieczyszczeń w powietrzu, wykonywane na stacjach monitoringu jakości powietrza wchodzących w skład P</w:t>
      </w:r>
      <w:r w:rsidR="00546FAC">
        <w:rPr>
          <w:rFonts w:cstheme="minorHAnsi"/>
        </w:rPr>
        <w:t>MŚ</w:t>
      </w:r>
      <w:r w:rsidRPr="00D9785F">
        <w:rPr>
          <w:rFonts w:cstheme="minorHAnsi"/>
        </w:rPr>
        <w:t>. Pomiary spełniają wymagania określone w rozporządzeniu Ministra Klimatu i Środowiska z dnia 1</w:t>
      </w:r>
      <w:r w:rsidR="00B92334">
        <w:rPr>
          <w:rFonts w:cstheme="minorHAnsi"/>
        </w:rPr>
        <w:t>1</w:t>
      </w:r>
      <w:r w:rsidRPr="00D9785F">
        <w:rPr>
          <w:rFonts w:cstheme="minorHAnsi"/>
        </w:rPr>
        <w:t xml:space="preserve"> grudnia 2020 r. w sprawie dokonywania oceny poziomów substancji w powietrzu (m.in. wymogi co do jakości, metod referencyjnych, częstotliwości i kompletności pomiarów w ciągu roku). </w:t>
      </w:r>
    </w:p>
    <w:p w14:paraId="55CD422C" w14:textId="29209A0F" w:rsidR="00FA2BB3" w:rsidRPr="00D9785F" w:rsidRDefault="00FA2BB3" w:rsidP="00FA2BB3">
      <w:pPr>
        <w:spacing w:after="120" w:line="240" w:lineRule="auto"/>
        <w:jc w:val="both"/>
        <w:rPr>
          <w:rFonts w:cstheme="minorHAnsi"/>
        </w:rPr>
      </w:pPr>
      <w:r w:rsidRPr="00D9785F">
        <w:rPr>
          <w:rFonts w:cstheme="minorHAnsi"/>
        </w:rPr>
        <w:t>System pomiarów dla potrzeb ocen jakości powietrza obejmuje sieć stacji monitoringu jakości powietrza zlokalizowanych na terenie całego kraju. Pomiary prowadzone są zarówno za pomocą metod manualnych, jak i automatycznych. Stężenia zanieczyszczeń gazowych, takich jak</w:t>
      </w:r>
      <w:r>
        <w:rPr>
          <w:rFonts w:cstheme="minorHAnsi"/>
        </w:rPr>
        <w:t>:</w:t>
      </w:r>
      <w:r w:rsidRPr="00D9785F">
        <w:rPr>
          <w:rFonts w:cstheme="minorHAnsi"/>
        </w:rPr>
        <w:t xml:space="preserve"> NO</w:t>
      </w:r>
      <w:r w:rsidRPr="00D9785F">
        <w:rPr>
          <w:rFonts w:cstheme="minorHAnsi"/>
          <w:vertAlign w:val="subscript"/>
        </w:rPr>
        <w:t>2</w:t>
      </w:r>
      <w:r w:rsidRPr="00D9785F">
        <w:rPr>
          <w:rFonts w:cstheme="minorHAnsi"/>
        </w:rPr>
        <w:t>, CO, C</w:t>
      </w:r>
      <w:r w:rsidRPr="00D9785F">
        <w:rPr>
          <w:rFonts w:cstheme="minorHAnsi"/>
          <w:vertAlign w:val="subscript"/>
        </w:rPr>
        <w:t>6</w:t>
      </w:r>
      <w:r w:rsidRPr="00D9785F">
        <w:rPr>
          <w:rFonts w:cstheme="minorHAnsi"/>
        </w:rPr>
        <w:t>H</w:t>
      </w:r>
      <w:r w:rsidRPr="00D9785F">
        <w:rPr>
          <w:rFonts w:cstheme="minorHAnsi"/>
          <w:vertAlign w:val="subscript"/>
        </w:rPr>
        <w:t>6</w:t>
      </w:r>
      <w:r w:rsidRPr="00D9785F">
        <w:rPr>
          <w:rFonts w:cstheme="minorHAnsi"/>
        </w:rPr>
        <w:t>, O</w:t>
      </w:r>
      <w:r w:rsidRPr="00D9785F">
        <w:rPr>
          <w:rFonts w:cstheme="minorHAnsi"/>
          <w:vertAlign w:val="subscript"/>
        </w:rPr>
        <w:t>3</w:t>
      </w:r>
      <w:r>
        <w:rPr>
          <w:rFonts w:cstheme="minorHAnsi"/>
        </w:rPr>
        <w:t>,</w:t>
      </w:r>
      <w:r w:rsidRPr="00D9785F">
        <w:rPr>
          <w:rFonts w:cstheme="minorHAnsi"/>
        </w:rPr>
        <w:t xml:space="preserve"> czy</w:t>
      </w:r>
      <w:r>
        <w:rPr>
          <w:rFonts w:cstheme="minorHAnsi"/>
        </w:rPr>
        <w:t xml:space="preserve"> </w:t>
      </w:r>
      <w:r w:rsidRPr="00D9785F">
        <w:rPr>
          <w:rFonts w:cstheme="minorHAnsi"/>
        </w:rPr>
        <w:t>SO</w:t>
      </w:r>
      <w:r w:rsidRPr="00D9785F">
        <w:rPr>
          <w:rFonts w:cstheme="minorHAnsi"/>
          <w:vertAlign w:val="subscript"/>
        </w:rPr>
        <w:t>2</w:t>
      </w:r>
      <w:r w:rsidRPr="00D9785F">
        <w:rPr>
          <w:rFonts w:cstheme="minorHAnsi"/>
        </w:rPr>
        <w:t>, mierzone są metodami automatycznymi. Pomiary stężenia pyłu zawieszonego</w:t>
      </w:r>
      <w:r w:rsidR="000165D6">
        <w:rPr>
          <w:rFonts w:cstheme="minorHAnsi"/>
        </w:rPr>
        <w:t xml:space="preserve"> we frakcjach</w:t>
      </w:r>
      <w:r w:rsidRPr="00D9785F">
        <w:rPr>
          <w:rFonts w:cstheme="minorHAnsi"/>
        </w:rPr>
        <w:t xml:space="preserve"> PM10 i PM2,5 prowadzone są zarówno metodami automatycznymi, jak i manualnymi. Do pomiarów pyłu zawieszonego stosuje się metodykę przywołaną w dyrektywie </w:t>
      </w:r>
      <w:r w:rsidR="000061FE" w:rsidRPr="000061FE">
        <w:rPr>
          <w:rFonts w:cstheme="minorHAnsi"/>
        </w:rPr>
        <w:t>Komisji (UE) 2015/1480 z dnia 28 sierpnia 2015 r. zmieniając</w:t>
      </w:r>
      <w:r w:rsidR="000061FE">
        <w:rPr>
          <w:rFonts w:cstheme="minorHAnsi"/>
        </w:rPr>
        <w:t>ej</w:t>
      </w:r>
      <w:r w:rsidR="000061FE" w:rsidRPr="000061FE">
        <w:rPr>
          <w:rFonts w:cstheme="minorHAnsi"/>
        </w:rPr>
        <w:t xml:space="preserve"> niektóre załączniki do dyrektyw Parlamentu Europejskiego i Rady 2004/107/WE i 2008/50/WE ustanawiając</w:t>
      </w:r>
      <w:r w:rsidR="000061FE">
        <w:rPr>
          <w:rFonts w:cstheme="minorHAnsi"/>
        </w:rPr>
        <w:t>ych</w:t>
      </w:r>
      <w:r w:rsidR="000061FE" w:rsidRPr="000061FE">
        <w:rPr>
          <w:rFonts w:cstheme="minorHAnsi"/>
        </w:rPr>
        <w:t xml:space="preserve"> przepisy dotyczące metod referencyjnych, zatwierdzania danych i lokalizacji punktów pomiarowych do oceny jakości powietrza</w:t>
      </w:r>
      <w:r w:rsidR="000061FE">
        <w:rPr>
          <w:rFonts w:cstheme="minorHAnsi"/>
        </w:rPr>
        <w:t xml:space="preserve"> </w:t>
      </w:r>
      <w:r w:rsidRPr="00D9785F">
        <w:rPr>
          <w:rFonts w:cstheme="minorHAnsi"/>
        </w:rPr>
        <w:t>oraz w</w:t>
      </w:r>
      <w:r>
        <w:rPr>
          <w:rFonts w:cstheme="minorHAnsi"/>
        </w:rPr>
        <w:t xml:space="preserve"> </w:t>
      </w:r>
      <w:r w:rsidRPr="00D9785F">
        <w:rPr>
          <w:rFonts w:cstheme="minorHAnsi"/>
        </w:rPr>
        <w:t>rozporządzeniu Ministra Klimatu i Środowiska z dnia 1</w:t>
      </w:r>
      <w:r w:rsidR="00B92334">
        <w:rPr>
          <w:rFonts w:cstheme="minorHAnsi"/>
        </w:rPr>
        <w:t>1</w:t>
      </w:r>
      <w:r w:rsidRPr="00D9785F">
        <w:rPr>
          <w:rFonts w:cstheme="minorHAnsi"/>
        </w:rPr>
        <w:t xml:space="preserve"> grudnia 2020 r. w sprawie dokonywania oceny poziomów substancji w powietrzu, określoną w normie PN-EN 12341:2014. Zgodnie z przy</w:t>
      </w:r>
      <w:r w:rsidR="00561822">
        <w:rPr>
          <w:rFonts w:cstheme="minorHAnsi"/>
        </w:rPr>
        <w:t>wołaną</w:t>
      </w:r>
      <w:r w:rsidRPr="00D9785F">
        <w:rPr>
          <w:rFonts w:cstheme="minorHAnsi"/>
        </w:rPr>
        <w:t xml:space="preserve"> normą pomiary manualne pyłu zawieszonego są prowadzone metodą grawimetryczną, która w odniesieniu do tego zanieczyszczenia jest metodą referencyjną. W ramach PMŚ wykonuje się również pomiary pyłu zawieszonego przy zastosowaniu metody automatycznej (zgodnej z normą PN-EN 16450:2017), która posiada wykazaną równoważność do metody referencyjnej. </w:t>
      </w:r>
    </w:p>
    <w:p w14:paraId="63D35065" w14:textId="017F8ACB" w:rsidR="0046576F" w:rsidRDefault="00FA2BB3" w:rsidP="00304514">
      <w:pPr>
        <w:spacing w:after="0" w:line="240" w:lineRule="auto"/>
        <w:jc w:val="both"/>
        <w:rPr>
          <w:rFonts w:cstheme="minorHAnsi"/>
        </w:rPr>
      </w:pPr>
      <w:r w:rsidRPr="00D9785F">
        <w:rPr>
          <w:rFonts w:cstheme="minorHAnsi"/>
        </w:rPr>
        <w:lastRenderedPageBreak/>
        <w:t>Kryteria lokalizacji stacji pomiarowych określa rozporządzenie Ministra Klimatu i Środowiska z</w:t>
      </w:r>
      <w:r>
        <w:rPr>
          <w:rFonts w:cstheme="minorHAnsi"/>
        </w:rPr>
        <w:t xml:space="preserve"> </w:t>
      </w:r>
      <w:r w:rsidRPr="00D9785F">
        <w:rPr>
          <w:rFonts w:cstheme="minorHAnsi"/>
        </w:rPr>
        <w:t>dnia</w:t>
      </w:r>
      <w:r>
        <w:rPr>
          <w:rFonts w:cstheme="minorHAnsi"/>
        </w:rPr>
        <w:t xml:space="preserve"> </w:t>
      </w:r>
      <w:r w:rsidRPr="00D9785F">
        <w:rPr>
          <w:rFonts w:cstheme="minorHAnsi"/>
        </w:rPr>
        <w:t>17</w:t>
      </w:r>
      <w:r w:rsidR="00561822">
        <w:rPr>
          <w:rFonts w:cstheme="minorHAnsi"/>
        </w:rPr>
        <w:t> </w:t>
      </w:r>
      <w:r w:rsidRPr="00D9785F">
        <w:rPr>
          <w:rFonts w:cstheme="minorHAnsi"/>
        </w:rPr>
        <w:t>grudnia 2020 r. w sprawie dokonywania oceny poziomów substancji w powietrzu. W</w:t>
      </w:r>
      <w:r>
        <w:rPr>
          <w:rFonts w:cstheme="minorHAnsi"/>
        </w:rPr>
        <w:t xml:space="preserve"> </w:t>
      </w:r>
      <w:r w:rsidRPr="00D9785F">
        <w:rPr>
          <w:rFonts w:cstheme="minorHAnsi"/>
        </w:rPr>
        <w:t>ramach</w:t>
      </w:r>
      <w:r>
        <w:rPr>
          <w:rFonts w:cstheme="minorHAnsi"/>
        </w:rPr>
        <w:t xml:space="preserve"> </w:t>
      </w:r>
      <w:r w:rsidR="00561822">
        <w:rPr>
          <w:rFonts w:cstheme="minorHAnsi"/>
        </w:rPr>
        <w:t>PMŚ</w:t>
      </w:r>
      <w:r w:rsidRPr="00D9785F">
        <w:rPr>
          <w:rFonts w:cstheme="minorHAnsi"/>
        </w:rPr>
        <w:t xml:space="preserve"> wszystkie punkty pomiarowe spełniają określone wymogi dotyczące ich umiejscowienia tak, by uzyskiwane w danej lokalizacji wyniki pomiarów były reprezentatywne dla danego obszaru i umożliwiały klasyfikację stref. Przykładowe lokalizacje stacji pomiarowych przedstawiono na rys. </w:t>
      </w:r>
      <w:r w:rsidR="00463B42">
        <w:rPr>
          <w:rFonts w:cstheme="minorHAnsi"/>
        </w:rPr>
        <w:t>3</w:t>
      </w:r>
      <w:r>
        <w:rPr>
          <w:rFonts w:cstheme="minorHAnsi"/>
        </w:rPr>
        <w:t xml:space="preserve"> – </w:t>
      </w:r>
      <w:r w:rsidR="00463B42">
        <w:rPr>
          <w:rFonts w:cstheme="minorHAnsi"/>
        </w:rPr>
        <w:t>5</w:t>
      </w:r>
      <w:r w:rsidRPr="00D9785F">
        <w:rPr>
          <w:rFonts w:cstheme="minorHAnsi"/>
        </w:rPr>
        <w:t xml:space="preserve">. Dodatkowo, co pięć lat, </w:t>
      </w:r>
      <w:r w:rsidR="00D362BA">
        <w:rPr>
          <w:rFonts w:cstheme="minorHAnsi"/>
        </w:rPr>
        <w:t>GIOŚ</w:t>
      </w:r>
      <w:r w:rsidRPr="00D9785F">
        <w:rPr>
          <w:rFonts w:cstheme="minorHAnsi"/>
        </w:rPr>
        <w:t xml:space="preserve"> wykonuje tzw. pięcioletnią ocenę jakości powietrza, której celem jest zweryfikowanie potrzeb w zakresie monitoringu (m.in. </w:t>
      </w:r>
      <w:r w:rsidR="0031609F" w:rsidRPr="00D9785F">
        <w:rPr>
          <w:rFonts w:cstheme="minorHAnsi"/>
        </w:rPr>
        <w:t>sprawdzenie</w:t>
      </w:r>
      <w:r w:rsidRPr="00D9785F">
        <w:rPr>
          <w:rFonts w:cstheme="minorHAnsi"/>
        </w:rPr>
        <w:t xml:space="preserve"> czy liczba stacji pomiarowych i ich lokalizacja jest odpowiednia dla potrzeb prawidłowego wykonywania rocznych ocen jakości powietrza) i</w:t>
      </w:r>
      <w:r>
        <w:rPr>
          <w:rFonts w:cstheme="minorHAnsi"/>
        </w:rPr>
        <w:t> </w:t>
      </w:r>
      <w:r w:rsidRPr="00D9785F">
        <w:rPr>
          <w:rFonts w:cstheme="minorHAnsi"/>
        </w:rPr>
        <w:t>zaprojektowanie systemu oceny jakości powietrza na kolejne lata. Na</w:t>
      </w:r>
      <w:r>
        <w:rPr>
          <w:rFonts w:cstheme="minorHAnsi"/>
        </w:rPr>
        <w:t xml:space="preserve"> </w:t>
      </w:r>
      <w:r w:rsidRPr="00D9785F">
        <w:rPr>
          <w:rFonts w:cstheme="minorHAnsi"/>
        </w:rPr>
        <w:t xml:space="preserve">podstawie wyników oceny pięcioletniej dokonuje się zmian w sieci pomiarowej w kolejnych latach. Szczegółowy zakres monitoringu jakości powietrza określony jest w wykonawczym programie </w:t>
      </w:r>
      <w:r w:rsidR="00D362BA">
        <w:rPr>
          <w:rFonts w:cstheme="minorHAnsi"/>
        </w:rPr>
        <w:t>PMŚ</w:t>
      </w:r>
      <w:r w:rsidRPr="00D9785F">
        <w:rPr>
          <w:rFonts w:cstheme="minorHAnsi"/>
        </w:rPr>
        <w:t xml:space="preserve">. Wykonawcze programy PMŚ dostępne są na portalu „Jakość powietrza” pod adresem: </w:t>
      </w:r>
    </w:p>
    <w:p w14:paraId="3E707C88" w14:textId="5624CD39" w:rsidR="00FA2BB3" w:rsidRDefault="00E26E07" w:rsidP="00304514">
      <w:pPr>
        <w:spacing w:before="120" w:after="120" w:line="240" w:lineRule="auto"/>
        <w:jc w:val="both"/>
        <w:rPr>
          <w:rFonts w:cs="Times New Roman"/>
        </w:rPr>
      </w:pPr>
      <w:hyperlink r:id="rId22" w:history="1">
        <w:r w:rsidR="0046576F" w:rsidRPr="00892743">
          <w:rPr>
            <w:rStyle w:val="Hipercze"/>
            <w:rFonts w:cstheme="minorHAnsi"/>
          </w:rPr>
          <w:t>http://powietrze.gios.gov.pl/pjp/content/monitoring</w:t>
        </w:r>
      </w:hyperlink>
      <w:r w:rsidR="00FA2BB3" w:rsidRPr="00D9785F">
        <w:rPr>
          <w:rFonts w:cs="Times New Roman"/>
        </w:rPr>
        <w:t xml:space="preserve">. </w:t>
      </w:r>
    </w:p>
    <w:p w14:paraId="37D03DB2" w14:textId="137A155A" w:rsidR="00463B42" w:rsidRDefault="00463B42" w:rsidP="00463B42">
      <w:pPr>
        <w:spacing w:after="120" w:line="240" w:lineRule="auto"/>
        <w:jc w:val="center"/>
        <w:rPr>
          <w:rFonts w:cs="Times New Roman"/>
        </w:rPr>
      </w:pPr>
      <w:r>
        <w:rPr>
          <w:rFonts w:cs="Times New Roman"/>
          <w:i/>
          <w:noProof/>
          <w:color w:val="000000" w:themeColor="text1"/>
          <w:lang w:eastAsia="pl-PL"/>
        </w:rPr>
        <w:drawing>
          <wp:inline distT="0" distB="0" distL="0" distR="0" wp14:anchorId="65342436" wp14:editId="661C9E5A">
            <wp:extent cx="3029585" cy="1927860"/>
            <wp:effectExtent l="0" t="0" r="0" b="0"/>
            <wp:docPr id="16" name="Obraz 16" descr="aleja krasińskiego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eja krasińskiego a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52853" cy="1942666"/>
                    </a:xfrm>
                    <a:prstGeom prst="rect">
                      <a:avLst/>
                    </a:prstGeom>
                    <a:noFill/>
                    <a:ln>
                      <a:noFill/>
                    </a:ln>
                  </pic:spPr>
                </pic:pic>
              </a:graphicData>
            </a:graphic>
          </wp:inline>
        </w:drawing>
      </w:r>
    </w:p>
    <w:p w14:paraId="0C0CA4FF" w14:textId="69227FBA" w:rsidR="00463B42" w:rsidRPr="00D9785F" w:rsidRDefault="00463B42" w:rsidP="00DD0E4C">
      <w:pPr>
        <w:spacing w:after="120" w:line="240" w:lineRule="auto"/>
        <w:jc w:val="center"/>
        <w:rPr>
          <w:rFonts w:cs="Times New Roman"/>
          <w:color w:val="000000" w:themeColor="text1"/>
          <w:sz w:val="20"/>
          <w:szCs w:val="20"/>
        </w:rPr>
      </w:pPr>
      <w:r w:rsidRPr="00D9785F">
        <w:rPr>
          <w:rFonts w:cs="Times New Roman"/>
          <w:color w:val="000000" w:themeColor="text1"/>
          <w:sz w:val="20"/>
          <w:szCs w:val="20"/>
        </w:rPr>
        <w:t xml:space="preserve">Rys. </w:t>
      </w:r>
      <w:r>
        <w:rPr>
          <w:rFonts w:cs="Times New Roman"/>
          <w:color w:val="000000" w:themeColor="text1"/>
          <w:sz w:val="20"/>
          <w:szCs w:val="20"/>
        </w:rPr>
        <w:t>3</w:t>
      </w:r>
      <w:r w:rsidRPr="00D9785F">
        <w:rPr>
          <w:rFonts w:cs="Times New Roman"/>
          <w:color w:val="000000" w:themeColor="text1"/>
          <w:sz w:val="20"/>
          <w:szCs w:val="20"/>
        </w:rPr>
        <w:t>. Stacja automatyczno-manualna monitoringu jakości powietrza w Krakowie przy al. Krasińskiego</w:t>
      </w:r>
    </w:p>
    <w:p w14:paraId="4D91DFB5" w14:textId="77777777" w:rsidR="00463B42" w:rsidRDefault="00463B42" w:rsidP="00463B42">
      <w:pPr>
        <w:spacing w:after="120" w:line="240" w:lineRule="auto"/>
        <w:jc w:val="center"/>
        <w:rPr>
          <w:rFonts w:cs="Times New Roman"/>
        </w:rPr>
      </w:pPr>
    </w:p>
    <w:p w14:paraId="42C603C2" w14:textId="6C27B458" w:rsidR="00406A2E" w:rsidRDefault="00D362BA" w:rsidP="00D362BA">
      <w:pPr>
        <w:jc w:val="center"/>
        <w:rPr>
          <w:color w:val="000000" w:themeColor="text1"/>
          <w:sz w:val="20"/>
          <w:szCs w:val="20"/>
        </w:rPr>
      </w:pPr>
      <w:r>
        <w:rPr>
          <w:noProof/>
          <w:sz w:val="20"/>
          <w:szCs w:val="20"/>
          <w:lang w:eastAsia="pl-PL"/>
        </w:rPr>
        <w:drawing>
          <wp:inline distT="0" distB="0" distL="0" distR="0" wp14:anchorId="2216F774" wp14:editId="661FDE7A">
            <wp:extent cx="3133260" cy="2083242"/>
            <wp:effectExtent l="0" t="0" r="0" b="0"/>
            <wp:docPr id="15" name="Obraz 15" descr="Poznań Chwiałkowskiego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znań Chwiałkowskiego 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4465" cy="2130585"/>
                    </a:xfrm>
                    <a:prstGeom prst="rect">
                      <a:avLst/>
                    </a:prstGeom>
                    <a:noFill/>
                    <a:ln>
                      <a:noFill/>
                    </a:ln>
                  </pic:spPr>
                </pic:pic>
              </a:graphicData>
            </a:graphic>
          </wp:inline>
        </w:drawing>
      </w:r>
    </w:p>
    <w:p w14:paraId="43A73281" w14:textId="4D9D471F" w:rsidR="00463B42" w:rsidRPr="00D9785F" w:rsidRDefault="00463B42" w:rsidP="00304514">
      <w:pPr>
        <w:spacing w:after="120" w:line="240" w:lineRule="auto"/>
        <w:jc w:val="center"/>
        <w:rPr>
          <w:rFonts w:cs="Times New Roman"/>
          <w:color w:val="000000" w:themeColor="text1"/>
          <w:sz w:val="20"/>
          <w:szCs w:val="20"/>
        </w:rPr>
      </w:pPr>
      <w:r w:rsidRPr="00D9785F">
        <w:rPr>
          <w:rFonts w:cs="Times New Roman"/>
          <w:color w:val="000000" w:themeColor="text1"/>
          <w:sz w:val="20"/>
          <w:szCs w:val="20"/>
        </w:rPr>
        <w:t xml:space="preserve">Rys. </w:t>
      </w:r>
      <w:r>
        <w:rPr>
          <w:rFonts w:cs="Times New Roman"/>
          <w:color w:val="000000" w:themeColor="text1"/>
          <w:sz w:val="20"/>
          <w:szCs w:val="20"/>
        </w:rPr>
        <w:t>4</w:t>
      </w:r>
      <w:r w:rsidRPr="00D9785F">
        <w:rPr>
          <w:rFonts w:cs="Times New Roman"/>
          <w:color w:val="000000" w:themeColor="text1"/>
          <w:sz w:val="20"/>
          <w:szCs w:val="20"/>
        </w:rPr>
        <w:t>. Stacja manualna, pobornik pyłu zawieszonego w Poznaniu przy ul. Chwiałkowskiego</w:t>
      </w:r>
    </w:p>
    <w:p w14:paraId="4A3E94C5" w14:textId="643FBE6B" w:rsidR="00D362BA" w:rsidRDefault="00463B42" w:rsidP="00D362BA">
      <w:pPr>
        <w:jc w:val="center"/>
        <w:rPr>
          <w:color w:val="000000" w:themeColor="text1"/>
          <w:sz w:val="20"/>
          <w:szCs w:val="20"/>
        </w:rPr>
      </w:pPr>
      <w:r>
        <w:rPr>
          <w:rFonts w:cs="Times New Roman"/>
          <w:i/>
          <w:noProof/>
          <w:color w:val="000000" w:themeColor="text1"/>
          <w:lang w:eastAsia="pl-PL"/>
        </w:rPr>
        <w:lastRenderedPageBreak/>
        <w:drawing>
          <wp:inline distT="0" distB="0" distL="0" distR="0" wp14:anchorId="1964F29F" wp14:editId="7C78F25F">
            <wp:extent cx="3104036" cy="2049780"/>
            <wp:effectExtent l="0" t="0" r="1270" b="7620"/>
            <wp:docPr id="4" name="Obraz 4" descr="goczałkowice mobilna automaty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czałkowice mobilna automatyczn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55125" cy="2083517"/>
                    </a:xfrm>
                    <a:prstGeom prst="rect">
                      <a:avLst/>
                    </a:prstGeom>
                    <a:noFill/>
                    <a:ln>
                      <a:noFill/>
                    </a:ln>
                  </pic:spPr>
                </pic:pic>
              </a:graphicData>
            </a:graphic>
          </wp:inline>
        </w:drawing>
      </w:r>
    </w:p>
    <w:p w14:paraId="4D44CC1A" w14:textId="0F8120E1" w:rsidR="00463B42" w:rsidRPr="00463B42" w:rsidRDefault="00463B42" w:rsidP="00463B42">
      <w:pPr>
        <w:jc w:val="center"/>
        <w:rPr>
          <w:color w:val="000000" w:themeColor="text1"/>
          <w:sz w:val="20"/>
          <w:szCs w:val="20"/>
        </w:rPr>
      </w:pPr>
      <w:r w:rsidRPr="00463B42">
        <w:rPr>
          <w:color w:val="000000" w:themeColor="text1"/>
          <w:sz w:val="20"/>
          <w:szCs w:val="20"/>
        </w:rPr>
        <w:t xml:space="preserve">Rys. </w:t>
      </w:r>
      <w:r>
        <w:rPr>
          <w:color w:val="000000" w:themeColor="text1"/>
          <w:sz w:val="20"/>
          <w:szCs w:val="20"/>
        </w:rPr>
        <w:t>5</w:t>
      </w:r>
      <w:r w:rsidRPr="00463B42">
        <w:rPr>
          <w:color w:val="000000" w:themeColor="text1"/>
          <w:sz w:val="20"/>
          <w:szCs w:val="20"/>
        </w:rPr>
        <w:t>. Mobilna stacja automatyczno-manualna monitoringu jakości powietrza w Goczałkowicach-Zdroju</w:t>
      </w:r>
    </w:p>
    <w:p w14:paraId="5D6D8148" w14:textId="23071F35" w:rsidR="00463B42" w:rsidRPr="00463B42" w:rsidRDefault="00463B42" w:rsidP="00463B42">
      <w:pPr>
        <w:spacing w:after="120" w:line="240" w:lineRule="auto"/>
        <w:jc w:val="both"/>
        <w:rPr>
          <w:rFonts w:ascii="Calibri" w:hAnsi="Calibri" w:cs="Calibri"/>
          <w:lang w:eastAsia="pl-PL"/>
        </w:rPr>
      </w:pPr>
      <w:r w:rsidRPr="00463B42">
        <w:rPr>
          <w:rFonts w:ascii="Calibri" w:hAnsi="Calibri" w:cs="Calibri"/>
          <w:lang w:eastAsia="pl-PL"/>
        </w:rPr>
        <w:t xml:space="preserve">W latach 2016-2020 GIOŚ, w ramach Programu Operacyjnego Infrastruktura i Środowisko (POIŚ) 2014-2020, realizował projekt pn. „Unowocześnienie i rozbudowa infrastruktury kalibracyjnej i wzorcującej Krajowego Laboratorium Referencyjnego do spraw jakości powietrza atmosferycznego oraz doposażenie sieci pomiarów monitoringu jakości powietrza w Polsce”. W ramach projektu zakupiona została aparatura pomiarowa na potrzeby sieci monitoringu powietrza GIOŚ. Koszty projektu zamknęły się w kwocie </w:t>
      </w:r>
      <w:r w:rsidRPr="00463B42">
        <w:rPr>
          <w:rFonts w:ascii="Calibri" w:hAnsi="Calibri" w:cs="Calibri"/>
          <w:b/>
          <w:lang w:eastAsia="pl-PL"/>
        </w:rPr>
        <w:t>51,415 mln zł</w:t>
      </w:r>
      <w:r w:rsidRPr="00463B42">
        <w:rPr>
          <w:rFonts w:ascii="Calibri" w:hAnsi="Calibri" w:cs="Calibri"/>
          <w:lang w:eastAsia="pl-PL"/>
        </w:rPr>
        <w:t>, za którą to zakupiono 477 sztuk urządzeń. Zrealizowane zakupy pozwoliły wzmocnić i doposażyć istniejące stacje, a także rozszerzyć sieć pomiarową o kolejne stacje pomiarowe.</w:t>
      </w:r>
    </w:p>
    <w:p w14:paraId="4D0587D0" w14:textId="14FC3157" w:rsidR="00463B42" w:rsidRPr="00463B42" w:rsidRDefault="00131C71" w:rsidP="00463B42">
      <w:pPr>
        <w:spacing w:after="120" w:line="240" w:lineRule="auto"/>
        <w:jc w:val="both"/>
        <w:rPr>
          <w:rFonts w:cs="Times New Roman"/>
          <w:color w:val="4472C4" w:themeColor="accent1"/>
        </w:rPr>
      </w:pPr>
      <w:r>
        <w:rPr>
          <w:rFonts w:cs="Times New Roman"/>
          <w:b/>
          <w:color w:val="4472C4" w:themeColor="accent1"/>
        </w:rPr>
        <w:t xml:space="preserve">W 2021 r. </w:t>
      </w:r>
      <w:r w:rsidR="00463B42" w:rsidRPr="00463B42">
        <w:rPr>
          <w:rFonts w:cs="Times New Roman"/>
          <w:b/>
          <w:color w:val="4472C4" w:themeColor="accent1"/>
        </w:rPr>
        <w:t>w sieci monitoringu jakości powietrza funkcjonuje 286 stacji, na których znajduje się 2049 stanowisk pomiarowych (Rys. 6).</w:t>
      </w:r>
    </w:p>
    <w:p w14:paraId="6356EE50" w14:textId="51005B95" w:rsidR="00463B42" w:rsidRPr="00463B42" w:rsidRDefault="00DD0E4C" w:rsidP="00463B42">
      <w:pPr>
        <w:jc w:val="center"/>
        <w:rPr>
          <w:iCs/>
          <w:color w:val="000000" w:themeColor="text1"/>
          <w:sz w:val="20"/>
          <w:szCs w:val="20"/>
        </w:rPr>
      </w:pPr>
      <w:r w:rsidRPr="00463B42">
        <w:rPr>
          <w:rFonts w:cs="Times New Roman"/>
          <w:noProof/>
          <w:color w:val="4472C4" w:themeColor="accent1"/>
          <w:lang w:eastAsia="pl-PL"/>
        </w:rPr>
        <w:drawing>
          <wp:anchor distT="0" distB="0" distL="114300" distR="114300" simplePos="0" relativeHeight="251687936" behindDoc="1" locked="0" layoutInCell="1" allowOverlap="1" wp14:anchorId="13D6FDBF" wp14:editId="37672E52">
            <wp:simplePos x="0" y="0"/>
            <wp:positionH relativeFrom="margin">
              <wp:posOffset>1324610</wp:posOffset>
            </wp:positionH>
            <wp:positionV relativeFrom="page">
              <wp:posOffset>5105400</wp:posOffset>
            </wp:positionV>
            <wp:extent cx="2362200" cy="1805940"/>
            <wp:effectExtent l="0" t="0" r="0" b="3810"/>
            <wp:wrapTight wrapText="right">
              <wp:wrapPolygon edited="0">
                <wp:start x="0" y="0"/>
                <wp:lineTo x="0" y="21418"/>
                <wp:lineTo x="21426" y="21418"/>
                <wp:lineTo x="21426" y="0"/>
                <wp:lineTo x="0" y="0"/>
              </wp:wrapPolygon>
            </wp:wrapTight>
            <wp:docPr id="448" name="Obraz 448" descr="nowa mapa stacji 2021_+czerwi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wa mapa stacji 2021_+czerwie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2200" cy="1805940"/>
                    </a:xfrm>
                    <a:prstGeom prst="rect">
                      <a:avLst/>
                    </a:prstGeom>
                    <a:noFill/>
                  </pic:spPr>
                </pic:pic>
              </a:graphicData>
            </a:graphic>
            <wp14:sizeRelH relativeFrom="page">
              <wp14:pctWidth>0</wp14:pctWidth>
            </wp14:sizeRelH>
            <wp14:sizeRelV relativeFrom="page">
              <wp14:pctHeight>0</wp14:pctHeight>
            </wp14:sizeRelV>
          </wp:anchor>
        </w:drawing>
      </w:r>
    </w:p>
    <w:p w14:paraId="485CFA93" w14:textId="0A7F4ED8" w:rsidR="00463B42" w:rsidRDefault="00463B42" w:rsidP="00D362BA">
      <w:pPr>
        <w:jc w:val="center"/>
        <w:rPr>
          <w:color w:val="000000" w:themeColor="text1"/>
          <w:sz w:val="20"/>
          <w:szCs w:val="20"/>
        </w:rPr>
      </w:pPr>
    </w:p>
    <w:p w14:paraId="159BDA23" w14:textId="170C2B89" w:rsidR="00463B42" w:rsidRDefault="00463B42" w:rsidP="00DD0E4C">
      <w:pPr>
        <w:rPr>
          <w:color w:val="000000" w:themeColor="text1"/>
          <w:sz w:val="20"/>
          <w:szCs w:val="20"/>
        </w:rPr>
      </w:pPr>
    </w:p>
    <w:p w14:paraId="358C5987" w14:textId="64537040" w:rsidR="00463B42" w:rsidRDefault="00463B42" w:rsidP="00EA5E79">
      <w:pPr>
        <w:rPr>
          <w:color w:val="000000" w:themeColor="text1"/>
          <w:sz w:val="20"/>
          <w:szCs w:val="20"/>
        </w:rPr>
      </w:pPr>
    </w:p>
    <w:p w14:paraId="7BF7D452" w14:textId="77777777" w:rsidR="00DD0E4C" w:rsidRDefault="00DD0E4C" w:rsidP="00463B42">
      <w:pPr>
        <w:spacing w:after="120" w:line="240" w:lineRule="auto"/>
        <w:jc w:val="center"/>
        <w:rPr>
          <w:rFonts w:cstheme="minorHAnsi"/>
          <w:sz w:val="20"/>
          <w:szCs w:val="20"/>
        </w:rPr>
      </w:pPr>
    </w:p>
    <w:p w14:paraId="2A77BBDF" w14:textId="77777777" w:rsidR="00DD0E4C" w:rsidRDefault="00DD0E4C" w:rsidP="00463B42">
      <w:pPr>
        <w:spacing w:after="120" w:line="240" w:lineRule="auto"/>
        <w:jc w:val="center"/>
        <w:rPr>
          <w:rFonts w:cstheme="minorHAnsi"/>
          <w:sz w:val="20"/>
          <w:szCs w:val="20"/>
        </w:rPr>
      </w:pPr>
    </w:p>
    <w:p w14:paraId="1805E7D3" w14:textId="77777777" w:rsidR="00DD0E4C" w:rsidRDefault="00DD0E4C" w:rsidP="00463B42">
      <w:pPr>
        <w:spacing w:after="120" w:line="240" w:lineRule="auto"/>
        <w:jc w:val="center"/>
        <w:rPr>
          <w:rFonts w:cstheme="minorHAnsi"/>
          <w:sz w:val="20"/>
          <w:szCs w:val="20"/>
        </w:rPr>
      </w:pPr>
    </w:p>
    <w:p w14:paraId="1EAA767E" w14:textId="77777777" w:rsidR="00DD0E4C" w:rsidRDefault="00DD0E4C" w:rsidP="00463B42">
      <w:pPr>
        <w:spacing w:after="120" w:line="240" w:lineRule="auto"/>
        <w:jc w:val="center"/>
        <w:rPr>
          <w:rFonts w:cstheme="minorHAnsi"/>
          <w:sz w:val="20"/>
          <w:szCs w:val="20"/>
        </w:rPr>
      </w:pPr>
    </w:p>
    <w:p w14:paraId="6E09EBAA" w14:textId="77777777" w:rsidR="00DD0E4C" w:rsidRDefault="00DD0E4C" w:rsidP="00A84E16">
      <w:pPr>
        <w:spacing w:after="120" w:line="240" w:lineRule="auto"/>
        <w:rPr>
          <w:rFonts w:cstheme="minorHAnsi"/>
          <w:sz w:val="20"/>
          <w:szCs w:val="20"/>
        </w:rPr>
      </w:pPr>
    </w:p>
    <w:p w14:paraId="4073FE36" w14:textId="2E898D99" w:rsidR="00463B42" w:rsidRDefault="00463B42" w:rsidP="00463B42">
      <w:pPr>
        <w:spacing w:after="120" w:line="240" w:lineRule="auto"/>
        <w:jc w:val="center"/>
        <w:rPr>
          <w:rFonts w:cstheme="minorHAnsi"/>
          <w:sz w:val="20"/>
          <w:szCs w:val="20"/>
        </w:rPr>
      </w:pPr>
      <w:r w:rsidRPr="00D9785F">
        <w:rPr>
          <w:rFonts w:cstheme="minorHAnsi"/>
          <w:sz w:val="20"/>
          <w:szCs w:val="20"/>
        </w:rPr>
        <w:t xml:space="preserve">Rys. 6. Mapa stacji z podziałem na rodzaj stanowisk </w:t>
      </w:r>
      <w:r>
        <w:rPr>
          <w:rFonts w:cstheme="minorHAnsi"/>
          <w:sz w:val="20"/>
          <w:szCs w:val="20"/>
        </w:rPr>
        <w:t xml:space="preserve">funkcjonujących </w:t>
      </w:r>
      <w:r w:rsidRPr="00D9785F">
        <w:rPr>
          <w:rFonts w:cstheme="minorHAnsi"/>
          <w:sz w:val="20"/>
          <w:szCs w:val="20"/>
        </w:rPr>
        <w:t>w 2021 r.</w:t>
      </w:r>
    </w:p>
    <w:p w14:paraId="33733452" w14:textId="0A7A168D" w:rsidR="00463B42" w:rsidRPr="00D9785F" w:rsidRDefault="00463B42" w:rsidP="00463B42">
      <w:pPr>
        <w:spacing w:after="120" w:line="240" w:lineRule="auto"/>
        <w:jc w:val="both"/>
        <w:rPr>
          <w:rFonts w:cstheme="minorHAnsi"/>
        </w:rPr>
      </w:pPr>
      <w:r w:rsidRPr="00D9785F">
        <w:rPr>
          <w:rFonts w:cstheme="minorHAnsi"/>
        </w:rPr>
        <w:t>Z</w:t>
      </w:r>
      <w:r>
        <w:rPr>
          <w:rFonts w:cstheme="minorHAnsi"/>
        </w:rPr>
        <w:t xml:space="preserve">e względu </w:t>
      </w:r>
      <w:r w:rsidRPr="00D9785F">
        <w:rPr>
          <w:rFonts w:cstheme="minorHAnsi"/>
        </w:rPr>
        <w:t xml:space="preserve">na problem z zanieczyszczeniem powietrza pyłem zawieszonym, sieć pomiarów stężeń tego zanieczyszczenia jest sukcesywnie rozwijana (Rys. 7). W 2021 </w:t>
      </w:r>
      <w:r>
        <w:rPr>
          <w:rFonts w:cstheme="minorHAnsi"/>
        </w:rPr>
        <w:t xml:space="preserve">r. </w:t>
      </w:r>
      <w:r w:rsidRPr="00D9785F">
        <w:rPr>
          <w:rFonts w:cstheme="minorHAnsi"/>
        </w:rPr>
        <w:t xml:space="preserve">uruchomiono </w:t>
      </w:r>
      <w:r>
        <w:rPr>
          <w:rFonts w:cstheme="minorHAnsi"/>
        </w:rPr>
        <w:t xml:space="preserve">zostało </w:t>
      </w:r>
      <w:r w:rsidRPr="00D9785F">
        <w:rPr>
          <w:rFonts w:cstheme="minorHAnsi"/>
        </w:rPr>
        <w:t>kolejnych 2</w:t>
      </w:r>
      <w:r>
        <w:rPr>
          <w:rFonts w:cstheme="minorHAnsi"/>
        </w:rPr>
        <w:t xml:space="preserve">8 stałych </w:t>
      </w:r>
      <w:r w:rsidRPr="00D9785F">
        <w:rPr>
          <w:rFonts w:cstheme="minorHAnsi"/>
        </w:rPr>
        <w:t xml:space="preserve">stanowisk pomiarowych </w:t>
      </w:r>
      <w:r w:rsidR="000165D6">
        <w:rPr>
          <w:rFonts w:cstheme="minorHAnsi"/>
        </w:rPr>
        <w:t xml:space="preserve">frakcji PM10 </w:t>
      </w:r>
      <w:r w:rsidRPr="00D9785F">
        <w:rPr>
          <w:rFonts w:cstheme="minorHAnsi"/>
        </w:rPr>
        <w:t xml:space="preserve">pyłu zawieszonego </w:t>
      </w:r>
      <w:r>
        <w:rPr>
          <w:rFonts w:cstheme="minorHAnsi"/>
        </w:rPr>
        <w:t>i</w:t>
      </w:r>
      <w:r w:rsidRPr="00D9785F">
        <w:rPr>
          <w:rFonts w:cstheme="minorHAnsi"/>
        </w:rPr>
        <w:t xml:space="preserve"> </w:t>
      </w:r>
      <w:r>
        <w:rPr>
          <w:rFonts w:cstheme="minorHAnsi"/>
        </w:rPr>
        <w:t>11</w:t>
      </w:r>
      <w:r w:rsidR="000165D6">
        <w:rPr>
          <w:rFonts w:cstheme="minorHAnsi"/>
        </w:rPr>
        <w:t xml:space="preserve"> – frakcji PM2,5</w:t>
      </w:r>
      <w:r w:rsidRPr="004E35F1">
        <w:rPr>
          <w:rFonts w:cstheme="minorHAnsi"/>
          <w:color w:val="FF0000"/>
        </w:rPr>
        <w:t xml:space="preserve"> </w:t>
      </w:r>
      <w:r w:rsidRPr="00D9785F">
        <w:rPr>
          <w:rFonts w:cstheme="minorHAnsi"/>
        </w:rPr>
        <w:t>pyłu zawieszonego. Ponadto</w:t>
      </w:r>
      <w:r>
        <w:rPr>
          <w:rFonts w:cstheme="minorHAnsi"/>
        </w:rPr>
        <w:t xml:space="preserve"> </w:t>
      </w:r>
      <w:r w:rsidRPr="00D9785F">
        <w:rPr>
          <w:rFonts w:cstheme="minorHAnsi"/>
        </w:rPr>
        <w:t>w</w:t>
      </w:r>
      <w:r>
        <w:rPr>
          <w:rFonts w:cstheme="minorHAnsi"/>
        </w:rPr>
        <w:t xml:space="preserve"> </w:t>
      </w:r>
      <w:r w:rsidRPr="00D9785F">
        <w:rPr>
          <w:rFonts w:cstheme="minorHAnsi"/>
        </w:rPr>
        <w:t>2021</w:t>
      </w:r>
      <w:r>
        <w:rPr>
          <w:rFonts w:cstheme="minorHAnsi"/>
        </w:rPr>
        <w:t> </w:t>
      </w:r>
      <w:r w:rsidRPr="00D9785F">
        <w:rPr>
          <w:rFonts w:cstheme="minorHAnsi"/>
        </w:rPr>
        <w:t>r.</w:t>
      </w:r>
      <w:r>
        <w:rPr>
          <w:rFonts w:cstheme="minorHAnsi"/>
        </w:rPr>
        <w:t xml:space="preserve"> </w:t>
      </w:r>
      <w:r w:rsidRPr="00D9785F">
        <w:rPr>
          <w:rFonts w:cstheme="minorHAnsi"/>
        </w:rPr>
        <w:t xml:space="preserve">uruchomiono nowe stanowiska pomiarowe dla </w:t>
      </w:r>
      <w:r w:rsidR="00FF4023">
        <w:rPr>
          <w:rFonts w:cstheme="minorHAnsi"/>
        </w:rPr>
        <w:t>B(a)P</w:t>
      </w:r>
      <w:r w:rsidRPr="00D9785F">
        <w:rPr>
          <w:rFonts w:cstheme="minorHAnsi"/>
        </w:rPr>
        <w:t xml:space="preserve"> - 14 i </w:t>
      </w:r>
      <w:r w:rsidR="00FF4023">
        <w:rPr>
          <w:rFonts w:cstheme="minorHAnsi"/>
        </w:rPr>
        <w:t>O</w:t>
      </w:r>
      <w:r w:rsidR="00FF4023" w:rsidRPr="00DD0E4C">
        <w:rPr>
          <w:rFonts w:cstheme="minorHAnsi"/>
          <w:vertAlign w:val="subscript"/>
        </w:rPr>
        <w:t>3</w:t>
      </w:r>
      <w:r w:rsidRPr="00D9785F">
        <w:rPr>
          <w:rFonts w:cstheme="minorHAnsi"/>
        </w:rPr>
        <w:t xml:space="preserve"> -</w:t>
      </w:r>
      <w:r>
        <w:rPr>
          <w:rFonts w:cstheme="minorHAnsi"/>
        </w:rPr>
        <w:t xml:space="preserve"> </w:t>
      </w:r>
      <w:r w:rsidRPr="00D9785F">
        <w:rPr>
          <w:rFonts w:cstheme="minorHAnsi"/>
        </w:rPr>
        <w:t xml:space="preserve">1. </w:t>
      </w:r>
    </w:p>
    <w:p w14:paraId="65AB0FDE" w14:textId="0695A2DD" w:rsidR="00463B42" w:rsidRPr="00D9785F" w:rsidRDefault="00463B42" w:rsidP="00463B42">
      <w:pPr>
        <w:spacing w:after="120" w:line="240" w:lineRule="auto"/>
        <w:jc w:val="both"/>
        <w:rPr>
          <w:rFonts w:cstheme="minorHAnsi"/>
        </w:rPr>
      </w:pPr>
      <w:r w:rsidRPr="00D9785F">
        <w:rPr>
          <w:rFonts w:cstheme="minorHAnsi"/>
        </w:rPr>
        <w:t>Poniżej przedstawione zostały</w:t>
      </w:r>
      <w:r>
        <w:rPr>
          <w:rFonts w:cstheme="minorHAnsi"/>
        </w:rPr>
        <w:t>,</w:t>
      </w:r>
      <w:r w:rsidRPr="00D9785F">
        <w:rPr>
          <w:rFonts w:cstheme="minorHAnsi"/>
        </w:rPr>
        <w:t xml:space="preserve"> w postaci wykresów</w:t>
      </w:r>
      <w:r>
        <w:rPr>
          <w:rFonts w:cstheme="minorHAnsi"/>
        </w:rPr>
        <w:t>,</w:t>
      </w:r>
      <w:r w:rsidRPr="00D9785F">
        <w:rPr>
          <w:rFonts w:cstheme="minorHAnsi"/>
        </w:rPr>
        <w:t xml:space="preserve"> najważniejsze informacje dotyczące sieci pomiarów jakości powietrza stanowiącej podstawę do ocen jakości powietrza.</w:t>
      </w:r>
    </w:p>
    <w:p w14:paraId="65534B7B" w14:textId="39B1A8FA" w:rsidR="00463B42" w:rsidRPr="00D9785F" w:rsidRDefault="00463B42" w:rsidP="00463B42">
      <w:pPr>
        <w:spacing w:after="120" w:line="240" w:lineRule="auto"/>
        <w:jc w:val="center"/>
        <w:rPr>
          <w:rFonts w:cstheme="minorHAnsi"/>
          <w:sz w:val="20"/>
          <w:szCs w:val="20"/>
        </w:rPr>
      </w:pPr>
      <w:r>
        <w:rPr>
          <w:noProof/>
          <w:lang w:eastAsia="pl-PL"/>
        </w:rPr>
        <w:lastRenderedPageBreak/>
        <w:drawing>
          <wp:inline distT="0" distB="0" distL="0" distR="0" wp14:anchorId="6FAC4147" wp14:editId="5D914F0C">
            <wp:extent cx="4175760" cy="2072640"/>
            <wp:effectExtent l="0" t="0" r="0" b="3810"/>
            <wp:docPr id="449" name="Wykres 4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2EF8E19" w14:textId="1222333A" w:rsidR="00463B42" w:rsidRPr="00D9785F" w:rsidRDefault="00463B42" w:rsidP="00463B42">
      <w:pPr>
        <w:jc w:val="center"/>
        <w:rPr>
          <w:sz w:val="20"/>
          <w:szCs w:val="20"/>
        </w:rPr>
      </w:pPr>
      <w:r w:rsidRPr="00D9785F">
        <w:rPr>
          <w:sz w:val="20"/>
          <w:szCs w:val="20"/>
        </w:rPr>
        <w:t xml:space="preserve">Rys. 7. Liczba stacji monitoringu jakości powietrza funkcjonujących w ramach </w:t>
      </w:r>
      <w:r>
        <w:rPr>
          <w:sz w:val="20"/>
          <w:szCs w:val="20"/>
        </w:rPr>
        <w:t>PMŚ</w:t>
      </w:r>
      <w:r w:rsidRPr="00D9785F">
        <w:rPr>
          <w:sz w:val="20"/>
          <w:szCs w:val="20"/>
        </w:rPr>
        <w:t xml:space="preserve"> w</w:t>
      </w:r>
      <w:r>
        <w:rPr>
          <w:sz w:val="20"/>
          <w:szCs w:val="20"/>
        </w:rPr>
        <w:t> </w:t>
      </w:r>
      <w:r w:rsidRPr="00D9785F">
        <w:rPr>
          <w:sz w:val="20"/>
          <w:szCs w:val="20"/>
        </w:rPr>
        <w:t>latach 2017-2020</w:t>
      </w:r>
    </w:p>
    <w:p w14:paraId="700629C7" w14:textId="7A4B3769" w:rsidR="00463B42" w:rsidRDefault="00463B42" w:rsidP="00D362BA">
      <w:pPr>
        <w:jc w:val="center"/>
        <w:rPr>
          <w:color w:val="000000" w:themeColor="text1"/>
          <w:sz w:val="20"/>
          <w:szCs w:val="20"/>
        </w:rPr>
      </w:pPr>
      <w:r>
        <w:rPr>
          <w:noProof/>
          <w:lang w:eastAsia="pl-PL"/>
        </w:rPr>
        <w:drawing>
          <wp:inline distT="0" distB="0" distL="0" distR="0" wp14:anchorId="565F8BFC" wp14:editId="5C52F447">
            <wp:extent cx="4218051" cy="2103120"/>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AFE3F5C" w14:textId="59D1D5E8" w:rsidR="00463B42" w:rsidRPr="00D9785F" w:rsidRDefault="00463B42" w:rsidP="00463B42">
      <w:pPr>
        <w:spacing w:after="120" w:line="240" w:lineRule="auto"/>
        <w:jc w:val="center"/>
        <w:rPr>
          <w:sz w:val="20"/>
          <w:szCs w:val="20"/>
        </w:rPr>
      </w:pPr>
      <w:r w:rsidRPr="00D9785F">
        <w:rPr>
          <w:sz w:val="20"/>
          <w:szCs w:val="20"/>
        </w:rPr>
        <w:t>Rys. 8. Liczba stanowisk automatycznych i manualnych pyłu zawieszonego</w:t>
      </w:r>
      <w:r w:rsidR="00125482">
        <w:rPr>
          <w:sz w:val="20"/>
          <w:szCs w:val="20"/>
        </w:rPr>
        <w:t xml:space="preserve"> we frakcjach </w:t>
      </w:r>
      <w:r w:rsidRPr="00D9785F">
        <w:rPr>
          <w:sz w:val="20"/>
          <w:szCs w:val="20"/>
        </w:rPr>
        <w:t xml:space="preserve"> PM10 i PM2,5 funkcjonujących w ramach </w:t>
      </w:r>
      <w:r>
        <w:rPr>
          <w:sz w:val="20"/>
          <w:szCs w:val="20"/>
        </w:rPr>
        <w:t>PMŚ</w:t>
      </w:r>
      <w:r w:rsidRPr="00D9785F">
        <w:rPr>
          <w:sz w:val="20"/>
          <w:szCs w:val="20"/>
        </w:rPr>
        <w:t xml:space="preserve"> w latach 2017-2021</w:t>
      </w:r>
    </w:p>
    <w:p w14:paraId="3299B639" w14:textId="2E401101" w:rsidR="00463B42" w:rsidRDefault="00463B42" w:rsidP="00D362BA">
      <w:pPr>
        <w:jc w:val="center"/>
        <w:rPr>
          <w:color w:val="000000" w:themeColor="text1"/>
          <w:sz w:val="20"/>
          <w:szCs w:val="20"/>
        </w:rPr>
      </w:pPr>
      <w:r>
        <w:rPr>
          <w:noProof/>
          <w:lang w:eastAsia="pl-PL"/>
        </w:rPr>
        <w:drawing>
          <wp:inline distT="0" distB="0" distL="0" distR="0" wp14:anchorId="6AD92CC0" wp14:editId="247F6406">
            <wp:extent cx="3998976" cy="1986915"/>
            <wp:effectExtent l="0" t="0" r="1905" b="0"/>
            <wp:docPr id="54" name="Wykres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94A3166" w14:textId="7DC9B623" w:rsidR="00463B42" w:rsidRPr="00D9785F" w:rsidRDefault="00463B42" w:rsidP="00463B42">
      <w:pPr>
        <w:jc w:val="center"/>
        <w:rPr>
          <w:sz w:val="20"/>
          <w:szCs w:val="20"/>
        </w:rPr>
      </w:pPr>
      <w:r w:rsidRPr="00D9785F">
        <w:rPr>
          <w:sz w:val="20"/>
          <w:szCs w:val="20"/>
        </w:rPr>
        <w:t xml:space="preserve">Rys. 9. Liczba stanowisk manualnych benzo(a)pirenu funkcjonujących w ramach </w:t>
      </w:r>
      <w:r w:rsidR="0036301F">
        <w:rPr>
          <w:sz w:val="20"/>
          <w:szCs w:val="20"/>
        </w:rPr>
        <w:t>PMŚ</w:t>
      </w:r>
      <w:r w:rsidRPr="00D9785F">
        <w:rPr>
          <w:sz w:val="20"/>
          <w:szCs w:val="20"/>
        </w:rPr>
        <w:t xml:space="preserve"> w latach 2017-2021</w:t>
      </w:r>
    </w:p>
    <w:p w14:paraId="11D022CF" w14:textId="1A294BEB" w:rsidR="00463B42" w:rsidRDefault="0036301F" w:rsidP="00D362BA">
      <w:pPr>
        <w:jc w:val="center"/>
        <w:rPr>
          <w:color w:val="000000" w:themeColor="text1"/>
          <w:sz w:val="20"/>
          <w:szCs w:val="20"/>
        </w:rPr>
      </w:pPr>
      <w:r>
        <w:rPr>
          <w:noProof/>
          <w:lang w:eastAsia="pl-PL"/>
        </w:rPr>
        <w:lastRenderedPageBreak/>
        <w:drawing>
          <wp:inline distT="0" distB="0" distL="0" distR="0" wp14:anchorId="3D5225BA" wp14:editId="0C1AEEEA">
            <wp:extent cx="4016375" cy="1828800"/>
            <wp:effectExtent l="0" t="0" r="3175" b="0"/>
            <wp:docPr id="55" name="Wykres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32125F2" w14:textId="35761B88" w:rsidR="0036301F" w:rsidRPr="00D9785F" w:rsidRDefault="0036301F" w:rsidP="0036301F">
      <w:pPr>
        <w:jc w:val="center"/>
        <w:rPr>
          <w:sz w:val="20"/>
          <w:szCs w:val="20"/>
        </w:rPr>
      </w:pPr>
      <w:r w:rsidRPr="00D9785F">
        <w:rPr>
          <w:sz w:val="20"/>
          <w:szCs w:val="20"/>
        </w:rPr>
        <w:t>Rys. 10. Liczba stanowisk automatycznych NO</w:t>
      </w:r>
      <w:r w:rsidRPr="00D9785F">
        <w:rPr>
          <w:sz w:val="20"/>
          <w:szCs w:val="20"/>
          <w:vertAlign w:val="subscript"/>
        </w:rPr>
        <w:t>2</w:t>
      </w:r>
      <w:r w:rsidRPr="00D9785F">
        <w:rPr>
          <w:sz w:val="20"/>
          <w:szCs w:val="20"/>
        </w:rPr>
        <w:t xml:space="preserve"> funkcjonujących w ramach </w:t>
      </w:r>
      <w:r>
        <w:rPr>
          <w:sz w:val="20"/>
          <w:szCs w:val="20"/>
        </w:rPr>
        <w:t>PMŚ</w:t>
      </w:r>
      <w:r w:rsidR="00C407A0">
        <w:rPr>
          <w:sz w:val="20"/>
          <w:szCs w:val="20"/>
        </w:rPr>
        <w:t xml:space="preserve"> </w:t>
      </w:r>
      <w:r w:rsidRPr="00D9785F">
        <w:rPr>
          <w:sz w:val="20"/>
          <w:szCs w:val="20"/>
        </w:rPr>
        <w:t>w</w:t>
      </w:r>
      <w:r>
        <w:rPr>
          <w:sz w:val="20"/>
          <w:szCs w:val="20"/>
        </w:rPr>
        <w:t> </w:t>
      </w:r>
      <w:r w:rsidRPr="00D9785F">
        <w:rPr>
          <w:sz w:val="20"/>
          <w:szCs w:val="20"/>
        </w:rPr>
        <w:t>latach 2017-2021</w:t>
      </w:r>
    </w:p>
    <w:p w14:paraId="7B280527" w14:textId="76052C73" w:rsidR="00463B42" w:rsidRDefault="00C407A0" w:rsidP="00D362BA">
      <w:pPr>
        <w:jc w:val="center"/>
        <w:rPr>
          <w:color w:val="000000" w:themeColor="text1"/>
          <w:sz w:val="20"/>
          <w:szCs w:val="20"/>
        </w:rPr>
      </w:pPr>
      <w:r>
        <w:rPr>
          <w:noProof/>
          <w:lang w:eastAsia="pl-PL"/>
        </w:rPr>
        <w:drawing>
          <wp:inline distT="0" distB="0" distL="0" distR="0" wp14:anchorId="3F873103" wp14:editId="70D1CF92">
            <wp:extent cx="4199890" cy="1920240"/>
            <wp:effectExtent l="0" t="0" r="0" b="3810"/>
            <wp:docPr id="56" name="Wykres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15BFE68" w14:textId="58A5BD2B" w:rsidR="00C407A0" w:rsidRPr="00D9785F" w:rsidRDefault="00C407A0" w:rsidP="00C407A0">
      <w:pPr>
        <w:jc w:val="center"/>
        <w:rPr>
          <w:sz w:val="20"/>
          <w:szCs w:val="20"/>
        </w:rPr>
      </w:pPr>
      <w:r w:rsidRPr="00D9785F">
        <w:rPr>
          <w:sz w:val="20"/>
          <w:szCs w:val="20"/>
        </w:rPr>
        <w:t>Rys. 11. Liczba stanowisk automatycznych O</w:t>
      </w:r>
      <w:r w:rsidRPr="00D9785F">
        <w:rPr>
          <w:sz w:val="20"/>
          <w:szCs w:val="20"/>
          <w:vertAlign w:val="subscript"/>
        </w:rPr>
        <w:t>3</w:t>
      </w:r>
      <w:r w:rsidRPr="00D9785F">
        <w:rPr>
          <w:sz w:val="20"/>
          <w:szCs w:val="20"/>
        </w:rPr>
        <w:t xml:space="preserve"> funkcjonujących w ramach </w:t>
      </w:r>
      <w:r>
        <w:rPr>
          <w:sz w:val="20"/>
          <w:szCs w:val="20"/>
        </w:rPr>
        <w:t>PMŚ</w:t>
      </w:r>
      <w:r w:rsidRPr="00D9785F">
        <w:rPr>
          <w:sz w:val="20"/>
          <w:szCs w:val="20"/>
        </w:rPr>
        <w:t xml:space="preserve"> w</w:t>
      </w:r>
      <w:r>
        <w:rPr>
          <w:sz w:val="20"/>
          <w:szCs w:val="20"/>
        </w:rPr>
        <w:t> </w:t>
      </w:r>
      <w:r w:rsidRPr="00D9785F">
        <w:rPr>
          <w:sz w:val="20"/>
          <w:szCs w:val="20"/>
        </w:rPr>
        <w:t>latach 2017-2021</w:t>
      </w:r>
    </w:p>
    <w:p w14:paraId="7AB98BD6" w14:textId="1B9D90A6" w:rsidR="00C407A0" w:rsidRPr="00D9785F" w:rsidRDefault="00C407A0" w:rsidP="00C407A0">
      <w:pPr>
        <w:spacing w:after="120" w:line="240" w:lineRule="auto"/>
        <w:jc w:val="both"/>
        <w:rPr>
          <w:rFonts w:cstheme="minorHAnsi"/>
        </w:rPr>
      </w:pPr>
      <w:r>
        <w:rPr>
          <w:rFonts w:cstheme="minorHAnsi"/>
        </w:rPr>
        <w:t>Jednocześnie należy podkreślić, że j</w:t>
      </w:r>
      <w:r w:rsidRPr="00D9785F">
        <w:rPr>
          <w:rFonts w:cstheme="minorHAnsi"/>
        </w:rPr>
        <w:t>akoś</w:t>
      </w:r>
      <w:r>
        <w:rPr>
          <w:rFonts w:cstheme="minorHAnsi"/>
        </w:rPr>
        <w:t>ć</w:t>
      </w:r>
      <w:r w:rsidRPr="00D9785F">
        <w:rPr>
          <w:rFonts w:cstheme="minorHAnsi"/>
        </w:rPr>
        <w:t xml:space="preserve"> pomiarów prowadzonych w ramach PMŚ </w:t>
      </w:r>
      <w:r>
        <w:rPr>
          <w:rFonts w:cstheme="minorHAnsi"/>
        </w:rPr>
        <w:t>nadzoruje</w:t>
      </w:r>
      <w:r w:rsidRPr="00D9785F">
        <w:rPr>
          <w:rFonts w:cstheme="minorHAnsi"/>
        </w:rPr>
        <w:t xml:space="preserve"> Krajowe Laboratorium Referencyjne (KLR) do spraw jakości powietrza atmosferycznego, które bierze </w:t>
      </w:r>
      <w:r>
        <w:rPr>
          <w:rFonts w:cstheme="minorHAnsi"/>
        </w:rPr>
        <w:t xml:space="preserve">także </w:t>
      </w:r>
      <w:r w:rsidRPr="00D9785F">
        <w:rPr>
          <w:rFonts w:cstheme="minorHAnsi"/>
        </w:rPr>
        <w:t>udział w</w:t>
      </w:r>
      <w:r>
        <w:rPr>
          <w:rFonts w:cstheme="minorHAnsi"/>
        </w:rPr>
        <w:t xml:space="preserve"> </w:t>
      </w:r>
      <w:r w:rsidRPr="00D9785F">
        <w:rPr>
          <w:rFonts w:cstheme="minorHAnsi"/>
        </w:rPr>
        <w:t>międzynarodowych badaniach porównawczych organizowanych przez Wspólnotowe Centrum Badawcze Komisji Europejskiej.</w:t>
      </w:r>
    </w:p>
    <w:p w14:paraId="26257D67" w14:textId="77777777" w:rsidR="00C407A0" w:rsidRPr="008A4997" w:rsidRDefault="00C407A0" w:rsidP="008A4997">
      <w:pPr>
        <w:pStyle w:val="Nagwek2"/>
        <w:numPr>
          <w:ilvl w:val="0"/>
          <w:numId w:val="0"/>
        </w:numPr>
        <w:rPr>
          <w:b/>
          <w:sz w:val="22"/>
          <w:szCs w:val="22"/>
        </w:rPr>
      </w:pPr>
      <w:bookmarkStart w:id="24" w:name="_Toc78205882"/>
      <w:r w:rsidRPr="008A4997">
        <w:rPr>
          <w:b/>
          <w:sz w:val="22"/>
          <w:szCs w:val="22"/>
        </w:rPr>
        <w:t xml:space="preserve">6.3. </w:t>
      </w:r>
      <w:bookmarkStart w:id="25" w:name="_Toc68684608"/>
      <w:r w:rsidRPr="008A4997">
        <w:rPr>
          <w:b/>
          <w:sz w:val="22"/>
          <w:szCs w:val="22"/>
        </w:rPr>
        <w:t>Modelowanie na potrzeby wykonywania ocen jakości powietrza</w:t>
      </w:r>
      <w:bookmarkEnd w:id="24"/>
      <w:bookmarkEnd w:id="25"/>
    </w:p>
    <w:p w14:paraId="07489138" w14:textId="77777777" w:rsidR="00C407A0" w:rsidRPr="00D9785F" w:rsidRDefault="00C407A0" w:rsidP="00C407A0">
      <w:pPr>
        <w:spacing w:after="120" w:line="240" w:lineRule="auto"/>
        <w:jc w:val="both"/>
        <w:rPr>
          <w:rFonts w:cstheme="minorHAnsi"/>
        </w:rPr>
      </w:pPr>
      <w:r w:rsidRPr="00D9785F">
        <w:rPr>
          <w:rFonts w:cstheme="minorHAnsi"/>
        </w:rPr>
        <w:t>Metodą uzupełniającą pomiary, wykorzystywaną w ocenach jakości powietrza wykonywanych przez GIOŚ, jest metoda modelowania matematycznego i metoda obiektywnego szacowania, w której uwzględniane są informacje zarówno z pomiarów, jak i z metody modelowania matematycznego.</w:t>
      </w:r>
    </w:p>
    <w:p w14:paraId="18F4D162" w14:textId="77777777" w:rsidR="00304514" w:rsidRDefault="00C407A0" w:rsidP="00C407A0">
      <w:pPr>
        <w:spacing w:after="120" w:line="240" w:lineRule="auto"/>
        <w:jc w:val="both"/>
        <w:rPr>
          <w:rFonts w:cstheme="minorHAnsi"/>
        </w:rPr>
      </w:pPr>
      <w:r w:rsidRPr="004C361F">
        <w:rPr>
          <w:rFonts w:cstheme="minorHAnsi"/>
        </w:rPr>
        <w:t>W tym celu, ustawą z dnia 14 grudnia 2017 r. o zmianie ustawy o Inspekcji Ochrony Środowiska oraz ustawy – Prawo ochrony środowiska (Dz. U. z 2018 r. poz. 88) system oceny jakości powietrza został wzmocniony poprzez zapewnienie wykonywania przez Instytut Ochrony Środowiska – Państwowy</w:t>
      </w:r>
      <w:r w:rsidRPr="00D9785F">
        <w:rPr>
          <w:rFonts w:cstheme="minorHAnsi"/>
        </w:rPr>
        <w:t xml:space="preserve"> Instytut Badawczy (zwany dalej „IOŚ-PIB”) modelowania matematycznego transportu i przemian substancji w powietrzu na</w:t>
      </w:r>
      <w:r>
        <w:rPr>
          <w:rFonts w:cstheme="minorHAnsi"/>
        </w:rPr>
        <w:t> </w:t>
      </w:r>
      <w:r w:rsidRPr="00D9785F">
        <w:rPr>
          <w:rFonts w:cstheme="minorHAnsi"/>
        </w:rPr>
        <w:t>poziomie krajowym.</w:t>
      </w:r>
    </w:p>
    <w:p w14:paraId="33E96F5F" w14:textId="5AFFA4F3" w:rsidR="00AE6D9A" w:rsidRDefault="00C407A0" w:rsidP="00C407A0">
      <w:pPr>
        <w:spacing w:after="120" w:line="240" w:lineRule="auto"/>
        <w:jc w:val="both"/>
        <w:rPr>
          <w:rFonts w:cstheme="minorHAnsi"/>
        </w:rPr>
      </w:pPr>
      <w:r>
        <w:rPr>
          <w:rFonts w:cstheme="minorHAnsi"/>
        </w:rPr>
        <w:t>Z</w:t>
      </w:r>
      <w:r w:rsidRPr="004C361F">
        <w:rPr>
          <w:rFonts w:cstheme="minorHAnsi"/>
        </w:rPr>
        <w:t xml:space="preserve">godnie z rozporządzeniem Ministra Środowiska </w:t>
      </w:r>
      <w:bookmarkStart w:id="26" w:name="_Hlk78395434"/>
      <w:r w:rsidRPr="004C361F">
        <w:rPr>
          <w:rFonts w:cstheme="minorHAnsi"/>
        </w:rPr>
        <w:t xml:space="preserve">z dnia 13 listopada 2020 r. </w:t>
      </w:r>
      <w:r w:rsidRPr="004C361F">
        <w:rPr>
          <w:rFonts w:cstheme="minorHAnsi"/>
          <w:iCs/>
        </w:rPr>
        <w:t>w sprawie zakresu i</w:t>
      </w:r>
      <w:r w:rsidR="00304514">
        <w:rPr>
          <w:rFonts w:cstheme="minorHAnsi"/>
          <w:iCs/>
        </w:rPr>
        <w:t> </w:t>
      </w:r>
      <w:r w:rsidRPr="004C361F">
        <w:rPr>
          <w:rFonts w:cstheme="minorHAnsi"/>
          <w:iCs/>
        </w:rPr>
        <w:t>sposobu przekazywania informacji dotyczących zanieczyszczenia powietrza</w:t>
      </w:r>
      <w:r w:rsidRPr="004C361F">
        <w:rPr>
          <w:rFonts w:cstheme="minorHAnsi"/>
        </w:rPr>
        <w:t xml:space="preserve"> </w:t>
      </w:r>
      <w:bookmarkEnd w:id="26"/>
      <w:r w:rsidRPr="004C361F">
        <w:rPr>
          <w:rFonts w:cstheme="minorHAnsi"/>
        </w:rPr>
        <w:t>(Dz. U. poz. 2221) przygotowywane przez IOŚ-PIB</w:t>
      </w:r>
      <w:r w:rsidRPr="00D9785F">
        <w:rPr>
          <w:rFonts w:cstheme="minorHAnsi"/>
        </w:rPr>
        <w:t xml:space="preserve"> wyniki modelowania są przekazywane do GIOŚ</w:t>
      </w:r>
      <w:r w:rsidR="00AE6D9A">
        <w:rPr>
          <w:rFonts w:cstheme="minorHAnsi"/>
        </w:rPr>
        <w:t xml:space="preserve"> </w:t>
      </w:r>
      <w:r w:rsidR="00F40FB7">
        <w:rPr>
          <w:rFonts w:cstheme="minorHAnsi"/>
        </w:rPr>
        <w:t xml:space="preserve">co roku </w:t>
      </w:r>
      <w:r w:rsidR="00AE6D9A">
        <w:rPr>
          <w:rFonts w:cstheme="minorHAnsi"/>
        </w:rPr>
        <w:t>na potrzeby:</w:t>
      </w:r>
    </w:p>
    <w:p w14:paraId="4FF3A989" w14:textId="5B151F49" w:rsidR="00DD25EF" w:rsidRDefault="00DD25EF" w:rsidP="00DD25EF">
      <w:pPr>
        <w:pStyle w:val="Akapitzlist"/>
        <w:numPr>
          <w:ilvl w:val="0"/>
          <w:numId w:val="22"/>
        </w:numPr>
        <w:spacing w:after="120"/>
        <w:jc w:val="both"/>
        <w:rPr>
          <w:rFonts w:cstheme="minorHAnsi"/>
        </w:rPr>
      </w:pPr>
      <w:r w:rsidRPr="00DD25EF">
        <w:rPr>
          <w:rFonts w:cstheme="minorHAnsi"/>
        </w:rPr>
        <w:t>ustalenia odpowiedniego sposobu oceny jakości powietrza</w:t>
      </w:r>
      <w:r>
        <w:rPr>
          <w:rFonts w:cstheme="minorHAnsi"/>
        </w:rPr>
        <w:t xml:space="preserve"> </w:t>
      </w:r>
      <w:r w:rsidRPr="00DD25EF">
        <w:rPr>
          <w:rFonts w:cstheme="minorHAnsi"/>
        </w:rPr>
        <w:t>w poszczególnych strefach,</w:t>
      </w:r>
    </w:p>
    <w:p w14:paraId="380BBAD9" w14:textId="42303F28" w:rsidR="00F40FB7" w:rsidRPr="00DD25EF" w:rsidRDefault="00F40FB7" w:rsidP="00DD0E4C">
      <w:pPr>
        <w:pStyle w:val="Akapitzlist"/>
        <w:numPr>
          <w:ilvl w:val="0"/>
          <w:numId w:val="22"/>
        </w:numPr>
        <w:spacing w:after="120"/>
        <w:jc w:val="both"/>
        <w:rPr>
          <w:rFonts w:cstheme="minorHAnsi"/>
        </w:rPr>
      </w:pPr>
      <w:r w:rsidRPr="00DD25EF">
        <w:rPr>
          <w:rFonts w:cstheme="minorHAnsi"/>
        </w:rPr>
        <w:t>oceny jakości powietrza rocznej (co roku) i 5-letniej</w:t>
      </w:r>
      <w:r w:rsidR="00AE6D9A" w:rsidRPr="00DD25EF">
        <w:rPr>
          <w:rFonts w:cstheme="minorHAnsi"/>
        </w:rPr>
        <w:t xml:space="preserve"> </w:t>
      </w:r>
      <w:r w:rsidRPr="00DD25EF">
        <w:rPr>
          <w:rFonts w:cstheme="minorHAnsi"/>
        </w:rPr>
        <w:t>(co 5 lat)</w:t>
      </w:r>
      <w:r w:rsidR="00AE6D9A" w:rsidRPr="00DD25EF">
        <w:rPr>
          <w:rFonts w:cstheme="minorHAnsi"/>
        </w:rPr>
        <w:t xml:space="preserve">, </w:t>
      </w:r>
    </w:p>
    <w:p w14:paraId="2495D9BF" w14:textId="5EEA290D" w:rsidR="00F40FB7" w:rsidRPr="006171F2" w:rsidRDefault="00AE6D9A" w:rsidP="00DD0BA0">
      <w:pPr>
        <w:pStyle w:val="Akapitzlist"/>
        <w:numPr>
          <w:ilvl w:val="0"/>
          <w:numId w:val="22"/>
        </w:numPr>
        <w:spacing w:after="120" w:line="240" w:lineRule="auto"/>
        <w:jc w:val="both"/>
        <w:rPr>
          <w:rFonts w:cstheme="minorHAnsi"/>
        </w:rPr>
      </w:pPr>
      <w:r w:rsidRPr="006171F2">
        <w:rPr>
          <w:rFonts w:cstheme="minorHAnsi"/>
        </w:rPr>
        <w:t>prognoz krótkoterminowych (trzydniowych)</w:t>
      </w:r>
      <w:r w:rsidR="00DD0BA0">
        <w:rPr>
          <w:rFonts w:cstheme="minorHAnsi"/>
        </w:rPr>
        <w:t>,</w:t>
      </w:r>
    </w:p>
    <w:p w14:paraId="3245A1C9" w14:textId="505E492D" w:rsidR="00F40FB7" w:rsidRDefault="005F08B5" w:rsidP="005F08B5">
      <w:pPr>
        <w:pStyle w:val="Akapitzlist"/>
        <w:numPr>
          <w:ilvl w:val="0"/>
          <w:numId w:val="22"/>
        </w:numPr>
        <w:spacing w:after="120" w:line="240" w:lineRule="auto"/>
        <w:jc w:val="both"/>
        <w:rPr>
          <w:rFonts w:cstheme="minorHAnsi"/>
        </w:rPr>
      </w:pPr>
      <w:r w:rsidRPr="00CA7C5A">
        <w:rPr>
          <w:rFonts w:cstheme="minorHAnsi"/>
        </w:rPr>
        <w:t>określania ryzyka przekroczeń poziomów dopuszczalnych</w:t>
      </w:r>
      <w:r>
        <w:rPr>
          <w:rFonts w:cstheme="minorHAnsi"/>
        </w:rPr>
        <w:t xml:space="preserve"> </w:t>
      </w:r>
      <w:r w:rsidRPr="005F08B5">
        <w:rPr>
          <w:rFonts w:cstheme="minorHAnsi"/>
        </w:rPr>
        <w:t>albo przekroczeń poziomów docelowych lub dopuszczalnych,</w:t>
      </w:r>
      <w:r>
        <w:rPr>
          <w:rFonts w:cstheme="minorHAnsi"/>
        </w:rPr>
        <w:t xml:space="preserve"> </w:t>
      </w:r>
      <w:r w:rsidRPr="005F08B5">
        <w:rPr>
          <w:rFonts w:cstheme="minorHAnsi"/>
        </w:rPr>
        <w:t xml:space="preserve">powiększonych o margines tolerancji, lub poziomów </w:t>
      </w:r>
      <w:r w:rsidRPr="005F08B5">
        <w:rPr>
          <w:rFonts w:cstheme="minorHAnsi"/>
        </w:rPr>
        <w:lastRenderedPageBreak/>
        <w:t>alarmowych oraz celów</w:t>
      </w:r>
      <w:r>
        <w:rPr>
          <w:rFonts w:cstheme="minorHAnsi"/>
        </w:rPr>
        <w:t xml:space="preserve"> </w:t>
      </w:r>
      <w:r w:rsidRPr="005F08B5">
        <w:rPr>
          <w:rFonts w:cstheme="minorHAnsi"/>
        </w:rPr>
        <w:t>długoterminowych, spowodowanych przenoszeniem zanieczyszczeń z terytorium</w:t>
      </w:r>
      <w:r>
        <w:rPr>
          <w:rFonts w:cstheme="minorHAnsi"/>
        </w:rPr>
        <w:t xml:space="preserve"> </w:t>
      </w:r>
      <w:r w:rsidRPr="005F08B5">
        <w:rPr>
          <w:rFonts w:cstheme="minorHAnsi"/>
        </w:rPr>
        <w:t xml:space="preserve">innego państwa, </w:t>
      </w:r>
    </w:p>
    <w:p w14:paraId="1F4FF3D9" w14:textId="7BD1350A" w:rsidR="00F40FB7" w:rsidRPr="00DD0E4C" w:rsidRDefault="005F08B5" w:rsidP="00DD0E4C">
      <w:pPr>
        <w:pStyle w:val="Akapitzlist"/>
        <w:numPr>
          <w:ilvl w:val="0"/>
          <w:numId w:val="22"/>
        </w:numPr>
        <w:spacing w:after="120" w:line="240" w:lineRule="auto"/>
        <w:jc w:val="both"/>
        <w:rPr>
          <w:rFonts w:cstheme="minorHAnsi"/>
        </w:rPr>
      </w:pPr>
      <w:r w:rsidRPr="005F08B5">
        <w:rPr>
          <w:rFonts w:cstheme="minorHAnsi"/>
        </w:rPr>
        <w:t>wyznaczania reprezentatywności stanowisk pomiarowych</w:t>
      </w:r>
      <w:r w:rsidR="00FF4023">
        <w:rPr>
          <w:rFonts w:cstheme="minorHAnsi"/>
        </w:rPr>
        <w:t>.</w:t>
      </w:r>
    </w:p>
    <w:p w14:paraId="05F7B8AF" w14:textId="7CD994D4" w:rsidR="00C407A0" w:rsidRPr="00D9785F" w:rsidRDefault="00C407A0" w:rsidP="00C407A0">
      <w:pPr>
        <w:spacing w:after="120" w:line="240" w:lineRule="auto"/>
        <w:jc w:val="both"/>
        <w:rPr>
          <w:rFonts w:cstheme="minorHAnsi"/>
        </w:rPr>
      </w:pPr>
      <w:r>
        <w:rPr>
          <w:rFonts w:cstheme="minorHAnsi"/>
        </w:rPr>
        <w:t>Dotychczas w</w:t>
      </w:r>
      <w:r w:rsidRPr="00D9785F">
        <w:rPr>
          <w:rFonts w:cstheme="minorHAnsi"/>
        </w:rPr>
        <w:t>ykonano trzy roczne oceny jakości powietrza (za 2018 r., 2019 r. i 2020 r.) z wykorzystaniem wyników modelowania matematycznego transportu i</w:t>
      </w:r>
      <w:r>
        <w:rPr>
          <w:rFonts w:cstheme="minorHAnsi"/>
        </w:rPr>
        <w:t xml:space="preserve"> </w:t>
      </w:r>
      <w:r w:rsidRPr="00D9785F">
        <w:rPr>
          <w:rFonts w:cstheme="minorHAnsi"/>
        </w:rPr>
        <w:t>przemian substancji w powietrzu na poziomie krajowym przygotowanym przez IOŚ-PIB. GIOŚ nie tylko weryfikuje i wykorzystuje wyniki modelowania na potrzeby ocen, ale też dostarcza dane pomiarowe do</w:t>
      </w:r>
      <w:r w:rsidR="00F40FB7">
        <w:rPr>
          <w:rFonts w:cstheme="minorHAnsi"/>
        </w:rPr>
        <w:t xml:space="preserve"> oceny sprawdzalności i</w:t>
      </w:r>
      <w:r w:rsidRPr="00D9785F">
        <w:rPr>
          <w:rFonts w:cstheme="minorHAnsi"/>
        </w:rPr>
        <w:t xml:space="preserve"> procesu asymilacji. </w:t>
      </w:r>
    </w:p>
    <w:p w14:paraId="0B74D2EA" w14:textId="58E8DF4A" w:rsidR="00C407A0" w:rsidRPr="00D9785F" w:rsidRDefault="00C407A0" w:rsidP="00C407A0">
      <w:pPr>
        <w:spacing w:after="120" w:line="240" w:lineRule="auto"/>
        <w:jc w:val="both"/>
      </w:pPr>
      <w:r>
        <w:t>Ponadto</w:t>
      </w:r>
      <w:r w:rsidR="00131C71">
        <w:t>,</w:t>
      </w:r>
      <w:r>
        <w:t xml:space="preserve"> w</w:t>
      </w:r>
      <w:r w:rsidRPr="00D9785F">
        <w:t xml:space="preserve"> związku z reformą Inspekcji Ochrony Środowiska </w:t>
      </w:r>
      <w:r w:rsidRPr="004C361F">
        <w:t>wprowadzoną ustawą z dnia 20 lipca 2018</w:t>
      </w:r>
      <w:r w:rsidR="00131C71">
        <w:t> </w:t>
      </w:r>
      <w:r w:rsidRPr="004C361F">
        <w:t xml:space="preserve">r. </w:t>
      </w:r>
      <w:r w:rsidRPr="004C361F">
        <w:rPr>
          <w:iCs/>
        </w:rPr>
        <w:t>o zmianie ustawy o Inspekcji Ochrony Środowiska oraz niektórych innych ustaw</w:t>
      </w:r>
      <w:r w:rsidRPr="004C361F">
        <w:t xml:space="preserve"> (Dz</w:t>
      </w:r>
      <w:r w:rsidRPr="00D9785F">
        <w:t>.U. poz. 1479) dalszemu ujednoliceniu uległ również cały system ocen jakości powietrza w związku z przejęciem obowiązków W</w:t>
      </w:r>
      <w:r w:rsidR="00FF4023">
        <w:t>IOŚ</w:t>
      </w:r>
      <w:r w:rsidRPr="00D9785F">
        <w:t xml:space="preserve"> przez GIOŚ, co widoczne jest m.in. poprzez ujednolicenie zawartości raportów wojewódzkich z rocznych ocen jakości powietrza, które są przekazywane do zarządów województw. Mając na uwadze zmiany prawne i organizacyjne</w:t>
      </w:r>
      <w:r>
        <w:t>,</w:t>
      </w:r>
      <w:r w:rsidRPr="00D9785F">
        <w:t xml:space="preserve"> GIOŚ wdrożył zatem kompleksowo nowy system wykonywania rocznych ocen jakości powietrza z</w:t>
      </w:r>
      <w:r w:rsidR="0094296F">
        <w:t xml:space="preserve"> </w:t>
      </w:r>
      <w:r w:rsidRPr="00D9785F">
        <w:t>wykorzystaniem wyników modelowania przygotowywanych przez IOŚ-PIB.</w:t>
      </w:r>
    </w:p>
    <w:p w14:paraId="1BCC1D79" w14:textId="7B9789EC" w:rsidR="00C407A0" w:rsidRPr="00CC73C2" w:rsidRDefault="00F40FB7" w:rsidP="00C407A0">
      <w:pPr>
        <w:spacing w:after="120" w:line="240" w:lineRule="auto"/>
        <w:jc w:val="both"/>
        <w:rPr>
          <w:color w:val="70AD47" w:themeColor="accent6"/>
        </w:rPr>
      </w:pPr>
      <w:r>
        <w:t xml:space="preserve">Na potrzeby oceny rocznej </w:t>
      </w:r>
      <w:r w:rsidR="00C407A0" w:rsidRPr="00D9785F">
        <w:t xml:space="preserve">IOŚ-PIB wykonuje modelowanie rozkładów stężeń dla: </w:t>
      </w:r>
      <w:r w:rsidR="00C407A0">
        <w:t>O</w:t>
      </w:r>
      <w:r w:rsidR="00C407A0" w:rsidRPr="00C407A0">
        <w:rPr>
          <w:vertAlign w:val="subscript"/>
        </w:rPr>
        <w:t>3</w:t>
      </w:r>
      <w:r w:rsidR="00C407A0" w:rsidRPr="00D9785F">
        <w:t xml:space="preserve">, </w:t>
      </w:r>
      <w:r w:rsidR="00C407A0">
        <w:t>SO</w:t>
      </w:r>
      <w:r w:rsidR="00C407A0" w:rsidRPr="00C407A0">
        <w:rPr>
          <w:vertAlign w:val="subscript"/>
        </w:rPr>
        <w:t>2</w:t>
      </w:r>
      <w:r w:rsidR="00C407A0" w:rsidRPr="00D9785F">
        <w:t xml:space="preserve">, </w:t>
      </w:r>
      <w:r w:rsidR="00C407A0">
        <w:t>NO</w:t>
      </w:r>
      <w:r w:rsidR="00C407A0" w:rsidRPr="00C407A0">
        <w:rPr>
          <w:vertAlign w:val="subscript"/>
        </w:rPr>
        <w:t>2</w:t>
      </w:r>
      <w:r w:rsidR="00C407A0" w:rsidRPr="00D9785F">
        <w:t xml:space="preserve">, </w:t>
      </w:r>
      <w:r w:rsidR="00C407A0">
        <w:t>NO</w:t>
      </w:r>
      <w:r w:rsidR="00C407A0" w:rsidRPr="00C407A0">
        <w:rPr>
          <w:vertAlign w:val="subscript"/>
        </w:rPr>
        <w:t>x</w:t>
      </w:r>
      <w:r w:rsidR="00C407A0" w:rsidRPr="00D9785F">
        <w:t xml:space="preserve">, </w:t>
      </w:r>
      <w:r w:rsidR="00125482">
        <w:t xml:space="preserve">frakcji PM10 i PM 2,5 </w:t>
      </w:r>
      <w:r w:rsidR="00C407A0" w:rsidRPr="00D9785F">
        <w:t xml:space="preserve">pyłu zawieszonego, a także </w:t>
      </w:r>
      <w:r w:rsidR="00C407A0">
        <w:t>B(a)P</w:t>
      </w:r>
      <w:r w:rsidR="00C407A0" w:rsidRPr="00D9785F">
        <w:t xml:space="preserve"> w pyle zawieszonym PM10</w:t>
      </w:r>
      <w:r>
        <w:t xml:space="preserve"> i przekazuje wyniki modelowania oraz analizę tych wyników w formie raportu, zgodnie </w:t>
      </w:r>
      <w:r w:rsidR="0094296F">
        <w:t xml:space="preserve">z </w:t>
      </w:r>
      <w:r w:rsidR="0094296F" w:rsidRPr="0094296F">
        <w:t>rozporządzeniem Ministra Środowiska w sprawie zakresu i sposobu przekazywania informacji dotyczących zanieczyszczenia powietrza</w:t>
      </w:r>
      <w:r>
        <w:t>.</w:t>
      </w:r>
      <w:r w:rsidR="00C407A0" w:rsidRPr="007B14D5">
        <w:t xml:space="preserve"> </w:t>
      </w:r>
    </w:p>
    <w:p w14:paraId="009362DC" w14:textId="77777777" w:rsidR="00C407A0" w:rsidRPr="00CC73C2" w:rsidRDefault="00C407A0" w:rsidP="00C407A0">
      <w:pPr>
        <w:spacing w:after="120" w:line="240" w:lineRule="auto"/>
        <w:jc w:val="both"/>
        <w:rPr>
          <w:rFonts w:ascii="Calibri" w:eastAsia="Calibri" w:hAnsi="Calibri" w:cs="Times New Roman"/>
          <w:b/>
          <w:color w:val="000000"/>
        </w:rPr>
      </w:pPr>
    </w:p>
    <w:p w14:paraId="3144325E" w14:textId="77777777" w:rsidR="00C407A0" w:rsidRPr="00710110" w:rsidRDefault="00C407A0" w:rsidP="00710110">
      <w:pPr>
        <w:pStyle w:val="Nagwek2"/>
        <w:numPr>
          <w:ilvl w:val="0"/>
          <w:numId w:val="0"/>
        </w:numPr>
        <w:rPr>
          <w:rFonts w:eastAsia="Calibri"/>
          <w:b/>
          <w:sz w:val="22"/>
          <w:szCs w:val="22"/>
        </w:rPr>
      </w:pPr>
      <w:bookmarkStart w:id="27" w:name="_Toc78205883"/>
      <w:r w:rsidRPr="00710110">
        <w:rPr>
          <w:rFonts w:eastAsia="Calibri"/>
          <w:b/>
          <w:sz w:val="22"/>
          <w:szCs w:val="22"/>
        </w:rPr>
        <w:t>6.4. Klasyfikacja stref</w:t>
      </w:r>
      <w:bookmarkEnd w:id="27"/>
    </w:p>
    <w:p w14:paraId="204D0C94" w14:textId="77777777" w:rsidR="00C407A0" w:rsidRPr="00D9785F" w:rsidRDefault="00C407A0" w:rsidP="00C407A0">
      <w:pPr>
        <w:spacing w:after="120" w:line="240" w:lineRule="auto"/>
        <w:jc w:val="both"/>
        <w:rPr>
          <w:rFonts w:ascii="Calibri" w:eastAsia="Calibri" w:hAnsi="Calibri" w:cs="Times New Roman"/>
        </w:rPr>
      </w:pPr>
      <w:r w:rsidRPr="00D9785F">
        <w:rPr>
          <w:rFonts w:ascii="Calibri" w:eastAsia="Calibri" w:hAnsi="Calibri" w:cs="Times New Roman"/>
        </w:rPr>
        <w:t>Wynikiem rocznej oceny jakości powietrza jest klasyfikacja stref, którą dokonuje się odrębnie dla każdego ocenianego zanieczyszczenia i dla każdego kryterium.</w:t>
      </w:r>
    </w:p>
    <w:p w14:paraId="46E8533C" w14:textId="77777777" w:rsidR="00C407A0" w:rsidRPr="00D9785F" w:rsidRDefault="00C407A0" w:rsidP="00C407A0">
      <w:pPr>
        <w:spacing w:after="120" w:line="240" w:lineRule="auto"/>
        <w:jc w:val="both"/>
        <w:rPr>
          <w:rFonts w:ascii="Calibri" w:eastAsia="Calibri" w:hAnsi="Calibri" w:cs="Times New Roman"/>
        </w:rPr>
      </w:pPr>
      <w:r w:rsidRPr="00D9785F">
        <w:rPr>
          <w:rFonts w:ascii="Calibri" w:eastAsia="Calibri" w:hAnsi="Calibri" w:cs="Times New Roman"/>
        </w:rPr>
        <w:t>Klasyfikacji stref, dokonuje się poprzez sprawdzenie, czy w danej strefie dla danego zanieczyszczenia wystąpiło przekroczenie określonego dla tego zanieczyszczenia poziomu dopuszczalnego lub docelowego lub</w:t>
      </w:r>
      <w:r>
        <w:rPr>
          <w:rFonts w:ascii="Calibri" w:eastAsia="Calibri" w:hAnsi="Calibri" w:cs="Times New Roman"/>
        </w:rPr>
        <w:t xml:space="preserve"> poziomu </w:t>
      </w:r>
      <w:r w:rsidRPr="00D9785F">
        <w:rPr>
          <w:rFonts w:ascii="Calibri" w:eastAsia="Calibri" w:hAnsi="Calibri" w:cs="Times New Roman"/>
        </w:rPr>
        <w:t>celu długoterminowego.</w:t>
      </w:r>
    </w:p>
    <w:p w14:paraId="59CDEF3D" w14:textId="6E35CB99" w:rsidR="00C407A0" w:rsidRPr="00D9785F" w:rsidRDefault="00C407A0" w:rsidP="00C407A0">
      <w:pPr>
        <w:spacing w:after="120" w:line="240" w:lineRule="auto"/>
        <w:jc w:val="both"/>
      </w:pPr>
      <w:r w:rsidRPr="00D9785F">
        <w:t xml:space="preserve">Klasyfikacji stref dokonuje się dla każdego zanieczyszczenia oddzielnie, na podstawie jego stężeń występujących w rejonach, gdzie stężenia te są najwyższe na obszarze strefy. </w:t>
      </w:r>
      <w:r w:rsidRPr="00054AD2">
        <w:rPr>
          <w:b/>
          <w:bCs/>
          <w:color w:val="2E74B5" w:themeColor="accent5" w:themeShade="BF"/>
        </w:rPr>
        <w:t xml:space="preserve">Zaliczenie strefy do klasy C nie oznacza zatem, że jakość powietrza nie spełnia określonych kryteriów na obszarze całej strefy. Nie oznacza to także konieczności prowadzenia intensywnych działań naprawczych na obszarze całej strefy. Wymagane jest jednak, zgodnie z art. 91 </w:t>
      </w:r>
      <w:r w:rsidR="00FF4023">
        <w:rPr>
          <w:b/>
          <w:bCs/>
          <w:color w:val="2E74B5" w:themeColor="accent5" w:themeShade="BF"/>
        </w:rPr>
        <w:t>POŚ</w:t>
      </w:r>
      <w:r w:rsidRPr="00054AD2">
        <w:rPr>
          <w:b/>
          <w:bCs/>
          <w:color w:val="2E74B5" w:themeColor="accent5" w:themeShade="BF"/>
        </w:rPr>
        <w:t xml:space="preserve">, przygotowanie i przyjęcie w drodze uchwały sejmiku województwa </w:t>
      </w:r>
      <w:r w:rsidR="00FF4023">
        <w:rPr>
          <w:b/>
          <w:bCs/>
          <w:color w:val="2E74B5" w:themeColor="accent5" w:themeShade="BF"/>
        </w:rPr>
        <w:t>POP</w:t>
      </w:r>
      <w:r w:rsidRPr="00054AD2">
        <w:rPr>
          <w:b/>
          <w:bCs/>
          <w:color w:val="2E74B5" w:themeColor="accent5" w:themeShade="BF"/>
        </w:rPr>
        <w:t xml:space="preserve"> dla strefy, a</w:t>
      </w:r>
      <w:r w:rsidR="00054AD2">
        <w:rPr>
          <w:b/>
          <w:bCs/>
          <w:color w:val="2E74B5" w:themeColor="accent5" w:themeShade="BF"/>
        </w:rPr>
        <w:t> </w:t>
      </w:r>
      <w:r w:rsidRPr="00054AD2">
        <w:rPr>
          <w:b/>
          <w:bCs/>
          <w:color w:val="2E74B5" w:themeColor="accent5" w:themeShade="BF"/>
        </w:rPr>
        <w:t xml:space="preserve">następnie podjęcie działań naprawczych określonych w </w:t>
      </w:r>
      <w:r w:rsidR="00054AD2">
        <w:rPr>
          <w:b/>
          <w:bCs/>
          <w:color w:val="2E74B5" w:themeColor="accent5" w:themeShade="BF"/>
        </w:rPr>
        <w:t xml:space="preserve">harmonogramie rzeczowo-finansowym do </w:t>
      </w:r>
      <w:r w:rsidRPr="00054AD2">
        <w:rPr>
          <w:b/>
          <w:bCs/>
          <w:color w:val="2E74B5" w:themeColor="accent5" w:themeShade="BF"/>
        </w:rPr>
        <w:t>program</w:t>
      </w:r>
      <w:r w:rsidR="00054AD2">
        <w:rPr>
          <w:b/>
          <w:bCs/>
          <w:color w:val="2E74B5" w:themeColor="accent5" w:themeShade="BF"/>
        </w:rPr>
        <w:t>u</w:t>
      </w:r>
      <w:r w:rsidR="00131C71">
        <w:rPr>
          <w:b/>
          <w:bCs/>
          <w:color w:val="2E74B5" w:themeColor="accent5" w:themeShade="BF"/>
        </w:rPr>
        <w:t>,</w:t>
      </w:r>
      <w:r w:rsidRPr="00054AD2">
        <w:rPr>
          <w:b/>
          <w:bCs/>
          <w:color w:val="2E74B5" w:themeColor="accent5" w:themeShade="BF"/>
        </w:rPr>
        <w:t xml:space="preserve"> na wybranych obszarach przekroczeń norm jakości powietrza w strefie</w:t>
      </w:r>
      <w:r w:rsidRPr="00D9785F">
        <w:t xml:space="preserve">. Celem opracowania i wdrożenia </w:t>
      </w:r>
      <w:r w:rsidR="00FF4023">
        <w:t>POP</w:t>
      </w:r>
      <w:r w:rsidRPr="00D9785F">
        <w:t xml:space="preserve"> jest bowiem </w:t>
      </w:r>
      <w:r w:rsidR="00054AD2">
        <w:t>obniżenie</w:t>
      </w:r>
      <w:r w:rsidRPr="00D9785F">
        <w:t xml:space="preserve"> stężeń zanieczyszczeń na obszarach, na których wystąpiły przekroczenia poziomów dopuszczalnych lub docelowych stężeń tych zanieczyszczeń, </w:t>
      </w:r>
      <w:r w:rsidR="00054AD2">
        <w:t xml:space="preserve">tak aby te </w:t>
      </w:r>
      <w:r w:rsidRPr="00D9785F">
        <w:t>stęże</w:t>
      </w:r>
      <w:r w:rsidR="00054AD2">
        <w:t>nia</w:t>
      </w:r>
      <w:r w:rsidRPr="00D9785F">
        <w:t xml:space="preserve"> nie przekracza</w:t>
      </w:r>
      <w:r w:rsidR="00FF4023">
        <w:t>ły</w:t>
      </w:r>
      <w:r w:rsidRPr="00D9785F">
        <w:t xml:space="preserve"> tych poziomów. </w:t>
      </w:r>
    </w:p>
    <w:p w14:paraId="12A56164" w14:textId="23ECACC2" w:rsidR="00C407A0" w:rsidRDefault="00C407A0" w:rsidP="00C407A0">
      <w:pPr>
        <w:spacing w:after="120" w:line="240" w:lineRule="auto"/>
        <w:jc w:val="both"/>
      </w:pPr>
      <w:r w:rsidRPr="00D9785F">
        <w:t>W tabeli 1 przedstawiono sumaryczne zestawienie liczby stref zakwalifikowanych do stref z</w:t>
      </w:r>
      <w:r w:rsidR="00304514">
        <w:t> </w:t>
      </w:r>
      <w:r w:rsidRPr="00D9785F">
        <w:t>przekroczeniami (klasa C) dla poszczególnych ocenianych zanieczyszczeń w ocenach wykonanych w</w:t>
      </w:r>
      <w:r w:rsidR="00304514">
        <w:t> </w:t>
      </w:r>
      <w:r w:rsidRPr="00D9785F">
        <w:t>latach 2018-2020. Zestawienie to wskazuje na systematyczne obniżanie się liczby stref z</w:t>
      </w:r>
      <w:r w:rsidR="00304514">
        <w:t> </w:t>
      </w:r>
      <w:r w:rsidRPr="00D9785F">
        <w:t xml:space="preserve">przekroczeniami poziomu dopuszczalnego dla </w:t>
      </w:r>
      <w:r w:rsidR="001A02E3">
        <w:t xml:space="preserve">frakcji </w:t>
      </w:r>
      <w:r w:rsidR="001A02E3" w:rsidRPr="00D9785F">
        <w:t>PM10 i PM2,5</w:t>
      </w:r>
      <w:r w:rsidR="001A02E3">
        <w:t xml:space="preserve"> </w:t>
      </w:r>
      <w:r w:rsidRPr="00D9785F">
        <w:t>pyłu zawieszonego.</w:t>
      </w:r>
    </w:p>
    <w:p w14:paraId="49AC4626" w14:textId="77777777" w:rsidR="00DD0E4C" w:rsidRPr="00D9785F" w:rsidRDefault="00DD0E4C" w:rsidP="00C407A0">
      <w:pPr>
        <w:spacing w:after="120" w:line="240" w:lineRule="auto"/>
        <w:jc w:val="both"/>
      </w:pPr>
    </w:p>
    <w:p w14:paraId="6D95F62B" w14:textId="7C0375A5" w:rsidR="00C407A0" w:rsidRPr="00D9785F" w:rsidRDefault="00C407A0" w:rsidP="00304514">
      <w:pPr>
        <w:spacing w:after="120" w:line="240" w:lineRule="auto"/>
        <w:jc w:val="center"/>
        <w:rPr>
          <w:sz w:val="20"/>
          <w:szCs w:val="20"/>
        </w:rPr>
      </w:pPr>
      <w:r w:rsidRPr="00D9785F">
        <w:rPr>
          <w:sz w:val="20"/>
          <w:szCs w:val="20"/>
        </w:rPr>
        <w:t xml:space="preserve">Tabela. 1. Liczba stref spośród wszystkich stref w kraju, które zostały zakwalifikowane do klasy C w latach </w:t>
      </w:r>
      <w:r w:rsidR="00304514">
        <w:rPr>
          <w:sz w:val="20"/>
          <w:szCs w:val="20"/>
        </w:rPr>
        <w:br/>
      </w:r>
      <w:r w:rsidRPr="00D9785F">
        <w:rPr>
          <w:sz w:val="20"/>
          <w:szCs w:val="20"/>
        </w:rPr>
        <w:t>2018-2020 ze</w:t>
      </w:r>
      <w:r>
        <w:rPr>
          <w:sz w:val="20"/>
          <w:szCs w:val="20"/>
        </w:rPr>
        <w:t> </w:t>
      </w:r>
      <w:r w:rsidRPr="00D9785F">
        <w:rPr>
          <w:sz w:val="20"/>
          <w:szCs w:val="20"/>
        </w:rPr>
        <w:t>względu na ochronę zdrowia</w:t>
      </w:r>
      <w:r w:rsidRPr="00D9785F">
        <w:rPr>
          <w:sz w:val="20"/>
          <w:szCs w:val="20"/>
          <w:vertAlign w:val="superscript"/>
        </w:rPr>
        <w:t>1</w:t>
      </w:r>
    </w:p>
    <w:tbl>
      <w:tblPr>
        <w:tblStyle w:val="Tabela-Siatka"/>
        <w:tblW w:w="0" w:type="auto"/>
        <w:jc w:val="center"/>
        <w:tblLook w:val="04A0" w:firstRow="1" w:lastRow="0" w:firstColumn="1" w:lastColumn="0" w:noHBand="0" w:noVBand="1"/>
      </w:tblPr>
      <w:tblGrid>
        <w:gridCol w:w="1589"/>
        <w:gridCol w:w="1631"/>
        <w:gridCol w:w="1631"/>
        <w:gridCol w:w="1540"/>
      </w:tblGrid>
      <w:tr w:rsidR="00C407A0" w14:paraId="0A4E733A" w14:textId="77777777" w:rsidTr="00F04B84">
        <w:trPr>
          <w:jc w:val="center"/>
        </w:trPr>
        <w:tc>
          <w:tcPr>
            <w:tcW w:w="1589"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D11BC58" w14:textId="77777777" w:rsidR="00C407A0" w:rsidRDefault="00C407A0" w:rsidP="00F04B84">
            <w:pPr>
              <w:jc w:val="both"/>
              <w:rPr>
                <w:rFonts w:cstheme="minorHAnsi"/>
                <w:sz w:val="20"/>
                <w:szCs w:val="20"/>
              </w:rPr>
            </w:pPr>
          </w:p>
        </w:tc>
        <w:tc>
          <w:tcPr>
            <w:tcW w:w="1631"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C734507" w14:textId="77777777" w:rsidR="00C407A0" w:rsidRDefault="00C407A0" w:rsidP="00F04B84">
            <w:pPr>
              <w:jc w:val="both"/>
              <w:rPr>
                <w:rFonts w:cstheme="minorHAnsi"/>
                <w:sz w:val="20"/>
                <w:szCs w:val="20"/>
              </w:rPr>
            </w:pPr>
            <w:r>
              <w:rPr>
                <w:rFonts w:cstheme="minorHAnsi"/>
                <w:sz w:val="20"/>
                <w:szCs w:val="20"/>
              </w:rPr>
              <w:t xml:space="preserve">2018 r. </w:t>
            </w:r>
          </w:p>
        </w:tc>
        <w:tc>
          <w:tcPr>
            <w:tcW w:w="1631"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D2BD4D8" w14:textId="77777777" w:rsidR="00C407A0" w:rsidRDefault="00C407A0" w:rsidP="00F04B84">
            <w:pPr>
              <w:jc w:val="both"/>
              <w:rPr>
                <w:rFonts w:cstheme="minorHAnsi"/>
                <w:sz w:val="20"/>
                <w:szCs w:val="20"/>
              </w:rPr>
            </w:pPr>
            <w:r>
              <w:rPr>
                <w:rFonts w:cstheme="minorHAnsi"/>
                <w:sz w:val="20"/>
                <w:szCs w:val="20"/>
              </w:rPr>
              <w:t>2019 r.</w:t>
            </w:r>
          </w:p>
        </w:tc>
        <w:tc>
          <w:tcPr>
            <w:tcW w:w="154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59117E4" w14:textId="77777777" w:rsidR="00C407A0" w:rsidRDefault="00C407A0" w:rsidP="00F04B84">
            <w:pPr>
              <w:jc w:val="both"/>
              <w:rPr>
                <w:rFonts w:cstheme="minorHAnsi"/>
                <w:sz w:val="20"/>
                <w:szCs w:val="20"/>
              </w:rPr>
            </w:pPr>
            <w:r>
              <w:rPr>
                <w:rFonts w:cstheme="minorHAnsi"/>
                <w:sz w:val="20"/>
                <w:szCs w:val="20"/>
              </w:rPr>
              <w:t>2020 r.</w:t>
            </w:r>
          </w:p>
        </w:tc>
      </w:tr>
      <w:tr w:rsidR="00C407A0" w14:paraId="143804A0" w14:textId="77777777" w:rsidTr="00F04B84">
        <w:trPr>
          <w:jc w:val="center"/>
        </w:trPr>
        <w:tc>
          <w:tcPr>
            <w:tcW w:w="1589"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EA73309" w14:textId="77777777" w:rsidR="00C407A0" w:rsidRDefault="00C407A0" w:rsidP="00F04B84">
            <w:pPr>
              <w:jc w:val="both"/>
              <w:rPr>
                <w:rFonts w:cstheme="minorHAnsi"/>
                <w:sz w:val="20"/>
                <w:szCs w:val="20"/>
              </w:rPr>
            </w:pPr>
            <w:r>
              <w:rPr>
                <w:rFonts w:cstheme="minorHAnsi"/>
                <w:sz w:val="20"/>
                <w:szCs w:val="20"/>
              </w:rPr>
              <w:t>SO</w:t>
            </w:r>
            <w:r>
              <w:rPr>
                <w:rFonts w:cstheme="minorHAnsi"/>
                <w:sz w:val="20"/>
                <w:szCs w:val="20"/>
                <w:vertAlign w:val="subscript"/>
              </w:rPr>
              <w:t>2</w:t>
            </w:r>
            <w:r>
              <w:rPr>
                <w:rFonts w:cstheme="minorHAnsi"/>
                <w:sz w:val="20"/>
                <w:szCs w:val="20"/>
              </w:rPr>
              <w:t xml:space="preserve"> (24h)</w:t>
            </w:r>
          </w:p>
        </w:tc>
        <w:tc>
          <w:tcPr>
            <w:tcW w:w="1631" w:type="dxa"/>
            <w:tcBorders>
              <w:top w:val="single" w:sz="4" w:space="0" w:color="auto"/>
              <w:left w:val="single" w:sz="4" w:space="0" w:color="auto"/>
              <w:bottom w:val="single" w:sz="4" w:space="0" w:color="auto"/>
              <w:right w:val="single" w:sz="4" w:space="0" w:color="auto"/>
            </w:tcBorders>
            <w:hideMark/>
          </w:tcPr>
          <w:p w14:paraId="6F5DDE99" w14:textId="77777777" w:rsidR="00C407A0" w:rsidRDefault="00C407A0" w:rsidP="00F04B84">
            <w:pPr>
              <w:jc w:val="both"/>
              <w:rPr>
                <w:rFonts w:cstheme="minorHAnsi"/>
                <w:sz w:val="20"/>
                <w:szCs w:val="20"/>
              </w:rPr>
            </w:pPr>
            <w:r>
              <w:rPr>
                <w:rFonts w:cstheme="minorHAnsi"/>
                <w:sz w:val="20"/>
                <w:szCs w:val="20"/>
              </w:rPr>
              <w:t>0</w:t>
            </w:r>
          </w:p>
        </w:tc>
        <w:tc>
          <w:tcPr>
            <w:tcW w:w="1631" w:type="dxa"/>
            <w:tcBorders>
              <w:top w:val="single" w:sz="4" w:space="0" w:color="auto"/>
              <w:left w:val="single" w:sz="4" w:space="0" w:color="auto"/>
              <w:bottom w:val="single" w:sz="4" w:space="0" w:color="auto"/>
              <w:right w:val="single" w:sz="4" w:space="0" w:color="auto"/>
            </w:tcBorders>
            <w:hideMark/>
          </w:tcPr>
          <w:p w14:paraId="7F317702" w14:textId="77777777" w:rsidR="00C407A0" w:rsidRDefault="00C407A0" w:rsidP="00F04B84">
            <w:pPr>
              <w:jc w:val="both"/>
              <w:rPr>
                <w:rFonts w:cstheme="minorHAnsi"/>
                <w:sz w:val="20"/>
                <w:szCs w:val="20"/>
              </w:rPr>
            </w:pPr>
            <w:r>
              <w:rPr>
                <w:rFonts w:cstheme="minorHAnsi"/>
                <w:sz w:val="20"/>
                <w:szCs w:val="20"/>
              </w:rPr>
              <w:t>0</w:t>
            </w:r>
          </w:p>
        </w:tc>
        <w:tc>
          <w:tcPr>
            <w:tcW w:w="1540" w:type="dxa"/>
            <w:tcBorders>
              <w:top w:val="single" w:sz="4" w:space="0" w:color="auto"/>
              <w:left w:val="single" w:sz="4" w:space="0" w:color="auto"/>
              <w:bottom w:val="single" w:sz="4" w:space="0" w:color="auto"/>
              <w:right w:val="single" w:sz="4" w:space="0" w:color="auto"/>
            </w:tcBorders>
            <w:hideMark/>
          </w:tcPr>
          <w:p w14:paraId="27AF896E" w14:textId="77777777" w:rsidR="00C407A0" w:rsidRDefault="00C407A0" w:rsidP="00F04B84">
            <w:pPr>
              <w:jc w:val="both"/>
              <w:rPr>
                <w:rFonts w:cstheme="minorHAnsi"/>
                <w:sz w:val="20"/>
                <w:szCs w:val="20"/>
              </w:rPr>
            </w:pPr>
            <w:r>
              <w:rPr>
                <w:rFonts w:cstheme="minorHAnsi"/>
                <w:sz w:val="20"/>
                <w:szCs w:val="20"/>
              </w:rPr>
              <w:t>0</w:t>
            </w:r>
          </w:p>
        </w:tc>
      </w:tr>
      <w:tr w:rsidR="00C407A0" w14:paraId="5713F48F" w14:textId="77777777" w:rsidTr="00F04B84">
        <w:trPr>
          <w:jc w:val="center"/>
        </w:trPr>
        <w:tc>
          <w:tcPr>
            <w:tcW w:w="1589"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4416226D" w14:textId="77777777" w:rsidR="00C407A0" w:rsidRDefault="00C407A0" w:rsidP="00F04B84">
            <w:pPr>
              <w:jc w:val="both"/>
              <w:rPr>
                <w:rFonts w:cstheme="minorHAnsi"/>
                <w:sz w:val="20"/>
                <w:szCs w:val="20"/>
              </w:rPr>
            </w:pPr>
            <w:r>
              <w:rPr>
                <w:rFonts w:cstheme="minorHAnsi"/>
                <w:sz w:val="20"/>
                <w:szCs w:val="20"/>
              </w:rPr>
              <w:t>NO</w:t>
            </w:r>
            <w:r>
              <w:rPr>
                <w:rFonts w:cstheme="minorHAnsi"/>
                <w:sz w:val="20"/>
                <w:szCs w:val="20"/>
                <w:vertAlign w:val="subscript"/>
              </w:rPr>
              <w:t xml:space="preserve">2 </w:t>
            </w:r>
            <w:r>
              <w:rPr>
                <w:rFonts w:cstheme="minorHAnsi"/>
                <w:sz w:val="20"/>
                <w:szCs w:val="20"/>
              </w:rPr>
              <w:t>(rok)</w:t>
            </w:r>
          </w:p>
        </w:tc>
        <w:tc>
          <w:tcPr>
            <w:tcW w:w="1631"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20338132" w14:textId="77777777" w:rsidR="00C407A0" w:rsidRDefault="00C407A0" w:rsidP="00F04B84">
            <w:pPr>
              <w:jc w:val="both"/>
              <w:rPr>
                <w:rFonts w:cstheme="minorHAnsi"/>
                <w:sz w:val="20"/>
                <w:szCs w:val="20"/>
              </w:rPr>
            </w:pPr>
            <w:r>
              <w:rPr>
                <w:rFonts w:cstheme="minorHAnsi"/>
                <w:sz w:val="20"/>
                <w:szCs w:val="20"/>
              </w:rPr>
              <w:t>4</w:t>
            </w:r>
          </w:p>
        </w:tc>
        <w:tc>
          <w:tcPr>
            <w:tcW w:w="1631"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2F02D95" w14:textId="77777777" w:rsidR="00C407A0" w:rsidRDefault="00C407A0" w:rsidP="00F04B84">
            <w:pPr>
              <w:jc w:val="both"/>
              <w:rPr>
                <w:rFonts w:cstheme="minorHAnsi"/>
                <w:sz w:val="20"/>
                <w:szCs w:val="20"/>
              </w:rPr>
            </w:pPr>
            <w:r>
              <w:rPr>
                <w:rFonts w:cstheme="minorHAnsi"/>
                <w:sz w:val="20"/>
                <w:szCs w:val="20"/>
              </w:rPr>
              <w:t>4</w:t>
            </w:r>
          </w:p>
        </w:tc>
        <w:tc>
          <w:tcPr>
            <w:tcW w:w="1540"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0311A5D8" w14:textId="77777777" w:rsidR="00C407A0" w:rsidRDefault="00C407A0" w:rsidP="00F04B84">
            <w:pPr>
              <w:jc w:val="both"/>
              <w:rPr>
                <w:rFonts w:cstheme="minorHAnsi"/>
                <w:sz w:val="20"/>
                <w:szCs w:val="20"/>
              </w:rPr>
            </w:pPr>
            <w:r>
              <w:rPr>
                <w:rFonts w:cstheme="minorHAnsi"/>
                <w:sz w:val="20"/>
                <w:szCs w:val="20"/>
              </w:rPr>
              <w:t>2</w:t>
            </w:r>
          </w:p>
        </w:tc>
      </w:tr>
      <w:tr w:rsidR="00C407A0" w14:paraId="475A6768" w14:textId="77777777" w:rsidTr="00F04B84">
        <w:trPr>
          <w:jc w:val="center"/>
        </w:trPr>
        <w:tc>
          <w:tcPr>
            <w:tcW w:w="1589"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399E86B" w14:textId="77777777" w:rsidR="00C407A0" w:rsidRDefault="00C407A0" w:rsidP="00F04B84">
            <w:pPr>
              <w:jc w:val="both"/>
              <w:rPr>
                <w:rFonts w:cstheme="minorHAnsi"/>
                <w:sz w:val="20"/>
                <w:szCs w:val="20"/>
              </w:rPr>
            </w:pPr>
            <w:r>
              <w:rPr>
                <w:rFonts w:cstheme="minorHAnsi"/>
                <w:sz w:val="20"/>
                <w:szCs w:val="20"/>
              </w:rPr>
              <w:t>CO</w:t>
            </w:r>
          </w:p>
        </w:tc>
        <w:tc>
          <w:tcPr>
            <w:tcW w:w="1631" w:type="dxa"/>
            <w:tcBorders>
              <w:top w:val="single" w:sz="4" w:space="0" w:color="auto"/>
              <w:left w:val="single" w:sz="4" w:space="0" w:color="auto"/>
              <w:bottom w:val="single" w:sz="4" w:space="0" w:color="auto"/>
              <w:right w:val="single" w:sz="4" w:space="0" w:color="auto"/>
            </w:tcBorders>
            <w:hideMark/>
          </w:tcPr>
          <w:p w14:paraId="327632E1" w14:textId="77777777" w:rsidR="00C407A0" w:rsidRDefault="00C407A0" w:rsidP="00F04B84">
            <w:pPr>
              <w:jc w:val="both"/>
              <w:rPr>
                <w:rFonts w:cstheme="minorHAnsi"/>
                <w:sz w:val="20"/>
                <w:szCs w:val="20"/>
              </w:rPr>
            </w:pPr>
            <w:r>
              <w:rPr>
                <w:rFonts w:cstheme="minorHAnsi"/>
                <w:sz w:val="20"/>
                <w:szCs w:val="20"/>
              </w:rPr>
              <w:t>0</w:t>
            </w:r>
          </w:p>
        </w:tc>
        <w:tc>
          <w:tcPr>
            <w:tcW w:w="1631" w:type="dxa"/>
            <w:tcBorders>
              <w:top w:val="single" w:sz="4" w:space="0" w:color="auto"/>
              <w:left w:val="single" w:sz="4" w:space="0" w:color="auto"/>
              <w:bottom w:val="single" w:sz="4" w:space="0" w:color="auto"/>
              <w:right w:val="single" w:sz="4" w:space="0" w:color="auto"/>
            </w:tcBorders>
            <w:hideMark/>
          </w:tcPr>
          <w:p w14:paraId="7B8AABB0" w14:textId="77777777" w:rsidR="00C407A0" w:rsidRDefault="00C407A0" w:rsidP="00F04B84">
            <w:pPr>
              <w:jc w:val="both"/>
              <w:rPr>
                <w:rFonts w:cstheme="minorHAnsi"/>
                <w:sz w:val="20"/>
                <w:szCs w:val="20"/>
              </w:rPr>
            </w:pPr>
            <w:r>
              <w:rPr>
                <w:rFonts w:cstheme="minorHAnsi"/>
                <w:sz w:val="20"/>
                <w:szCs w:val="20"/>
              </w:rPr>
              <w:t>0</w:t>
            </w:r>
          </w:p>
        </w:tc>
        <w:tc>
          <w:tcPr>
            <w:tcW w:w="1540" w:type="dxa"/>
            <w:tcBorders>
              <w:top w:val="single" w:sz="4" w:space="0" w:color="auto"/>
              <w:left w:val="single" w:sz="4" w:space="0" w:color="auto"/>
              <w:bottom w:val="single" w:sz="4" w:space="0" w:color="auto"/>
              <w:right w:val="single" w:sz="4" w:space="0" w:color="auto"/>
            </w:tcBorders>
            <w:hideMark/>
          </w:tcPr>
          <w:p w14:paraId="11E989DC" w14:textId="77777777" w:rsidR="00C407A0" w:rsidRDefault="00C407A0" w:rsidP="00F04B84">
            <w:pPr>
              <w:jc w:val="both"/>
              <w:rPr>
                <w:rFonts w:cstheme="minorHAnsi"/>
                <w:sz w:val="20"/>
                <w:szCs w:val="20"/>
              </w:rPr>
            </w:pPr>
            <w:r>
              <w:rPr>
                <w:rFonts w:cstheme="minorHAnsi"/>
                <w:sz w:val="20"/>
                <w:szCs w:val="20"/>
              </w:rPr>
              <w:t>0</w:t>
            </w:r>
          </w:p>
        </w:tc>
      </w:tr>
      <w:tr w:rsidR="00C407A0" w14:paraId="204BF88E" w14:textId="77777777" w:rsidTr="00F04B84">
        <w:trPr>
          <w:jc w:val="center"/>
        </w:trPr>
        <w:tc>
          <w:tcPr>
            <w:tcW w:w="1589"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23DDA3E" w14:textId="77777777" w:rsidR="00C407A0" w:rsidRDefault="00C407A0" w:rsidP="00F04B84">
            <w:pPr>
              <w:jc w:val="both"/>
              <w:rPr>
                <w:rFonts w:cstheme="minorHAnsi"/>
                <w:sz w:val="20"/>
                <w:szCs w:val="20"/>
              </w:rPr>
            </w:pPr>
            <w:r>
              <w:rPr>
                <w:rFonts w:cstheme="minorHAnsi"/>
                <w:sz w:val="20"/>
                <w:szCs w:val="20"/>
              </w:rPr>
              <w:t>C</w:t>
            </w:r>
            <w:r>
              <w:rPr>
                <w:rFonts w:cstheme="minorHAnsi"/>
                <w:sz w:val="20"/>
                <w:szCs w:val="20"/>
                <w:vertAlign w:val="subscript"/>
              </w:rPr>
              <w:t>6</w:t>
            </w:r>
            <w:r>
              <w:rPr>
                <w:rFonts w:cstheme="minorHAnsi"/>
                <w:sz w:val="20"/>
                <w:szCs w:val="20"/>
              </w:rPr>
              <w:t>H</w:t>
            </w:r>
            <w:r>
              <w:rPr>
                <w:rFonts w:cstheme="minorHAnsi"/>
                <w:sz w:val="20"/>
                <w:szCs w:val="20"/>
                <w:vertAlign w:val="subscript"/>
              </w:rPr>
              <w:t>6</w:t>
            </w:r>
          </w:p>
        </w:tc>
        <w:tc>
          <w:tcPr>
            <w:tcW w:w="1631" w:type="dxa"/>
            <w:tcBorders>
              <w:top w:val="single" w:sz="4" w:space="0" w:color="auto"/>
              <w:left w:val="single" w:sz="4" w:space="0" w:color="auto"/>
              <w:bottom w:val="single" w:sz="4" w:space="0" w:color="auto"/>
              <w:right w:val="single" w:sz="4" w:space="0" w:color="auto"/>
            </w:tcBorders>
            <w:hideMark/>
          </w:tcPr>
          <w:p w14:paraId="49EA7814" w14:textId="77777777" w:rsidR="00C407A0" w:rsidRDefault="00C407A0" w:rsidP="00F04B84">
            <w:pPr>
              <w:jc w:val="both"/>
              <w:rPr>
                <w:rFonts w:cstheme="minorHAnsi"/>
                <w:sz w:val="20"/>
                <w:szCs w:val="20"/>
              </w:rPr>
            </w:pPr>
            <w:r>
              <w:rPr>
                <w:rFonts w:cstheme="minorHAnsi"/>
                <w:sz w:val="20"/>
                <w:szCs w:val="20"/>
              </w:rPr>
              <w:t>0</w:t>
            </w:r>
          </w:p>
        </w:tc>
        <w:tc>
          <w:tcPr>
            <w:tcW w:w="1631" w:type="dxa"/>
            <w:tcBorders>
              <w:top w:val="single" w:sz="4" w:space="0" w:color="auto"/>
              <w:left w:val="single" w:sz="4" w:space="0" w:color="auto"/>
              <w:bottom w:val="single" w:sz="4" w:space="0" w:color="auto"/>
              <w:right w:val="single" w:sz="4" w:space="0" w:color="auto"/>
            </w:tcBorders>
            <w:hideMark/>
          </w:tcPr>
          <w:p w14:paraId="430D8556" w14:textId="77777777" w:rsidR="00C407A0" w:rsidRDefault="00C407A0" w:rsidP="00F04B84">
            <w:pPr>
              <w:jc w:val="both"/>
              <w:rPr>
                <w:rFonts w:cstheme="minorHAnsi"/>
                <w:sz w:val="20"/>
                <w:szCs w:val="20"/>
              </w:rPr>
            </w:pPr>
            <w:r>
              <w:rPr>
                <w:rFonts w:cstheme="minorHAnsi"/>
                <w:sz w:val="20"/>
                <w:szCs w:val="20"/>
              </w:rPr>
              <w:t>0</w:t>
            </w:r>
          </w:p>
        </w:tc>
        <w:tc>
          <w:tcPr>
            <w:tcW w:w="1540" w:type="dxa"/>
            <w:tcBorders>
              <w:top w:val="single" w:sz="4" w:space="0" w:color="auto"/>
              <w:left w:val="single" w:sz="4" w:space="0" w:color="auto"/>
              <w:bottom w:val="single" w:sz="4" w:space="0" w:color="auto"/>
              <w:right w:val="single" w:sz="4" w:space="0" w:color="auto"/>
            </w:tcBorders>
            <w:hideMark/>
          </w:tcPr>
          <w:p w14:paraId="78C1078F" w14:textId="77777777" w:rsidR="00C407A0" w:rsidRDefault="00C407A0" w:rsidP="00F04B84">
            <w:pPr>
              <w:jc w:val="both"/>
              <w:rPr>
                <w:rFonts w:cstheme="minorHAnsi"/>
                <w:sz w:val="20"/>
                <w:szCs w:val="20"/>
              </w:rPr>
            </w:pPr>
            <w:r>
              <w:rPr>
                <w:rFonts w:cstheme="minorHAnsi"/>
                <w:sz w:val="20"/>
                <w:szCs w:val="20"/>
              </w:rPr>
              <w:t>0</w:t>
            </w:r>
          </w:p>
        </w:tc>
      </w:tr>
      <w:tr w:rsidR="00C407A0" w14:paraId="119DE21A" w14:textId="77777777" w:rsidTr="00F04B84">
        <w:trPr>
          <w:jc w:val="center"/>
        </w:trPr>
        <w:tc>
          <w:tcPr>
            <w:tcW w:w="1589"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D8B1FF4" w14:textId="77777777" w:rsidR="00C407A0" w:rsidRDefault="00C407A0" w:rsidP="00F04B84">
            <w:pPr>
              <w:jc w:val="both"/>
              <w:rPr>
                <w:rFonts w:cstheme="minorHAnsi"/>
                <w:sz w:val="20"/>
                <w:szCs w:val="20"/>
              </w:rPr>
            </w:pPr>
            <w:r>
              <w:rPr>
                <w:rFonts w:cstheme="minorHAnsi"/>
                <w:sz w:val="20"/>
                <w:szCs w:val="20"/>
              </w:rPr>
              <w:t>O</w:t>
            </w:r>
            <w:r>
              <w:rPr>
                <w:rFonts w:cstheme="minorHAnsi"/>
                <w:sz w:val="20"/>
                <w:szCs w:val="20"/>
                <w:vertAlign w:val="subscript"/>
              </w:rPr>
              <w:t>3</w:t>
            </w:r>
          </w:p>
        </w:tc>
        <w:tc>
          <w:tcPr>
            <w:tcW w:w="1631"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D55883D" w14:textId="77777777" w:rsidR="00C407A0" w:rsidRDefault="00C407A0" w:rsidP="00F04B84">
            <w:pPr>
              <w:jc w:val="both"/>
              <w:rPr>
                <w:rFonts w:cstheme="minorHAnsi"/>
                <w:sz w:val="20"/>
                <w:szCs w:val="20"/>
              </w:rPr>
            </w:pPr>
            <w:r>
              <w:rPr>
                <w:rFonts w:cstheme="minorHAnsi"/>
                <w:sz w:val="20"/>
                <w:szCs w:val="20"/>
              </w:rPr>
              <w:t>4</w:t>
            </w:r>
          </w:p>
        </w:tc>
        <w:tc>
          <w:tcPr>
            <w:tcW w:w="1631"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55879A1" w14:textId="77777777" w:rsidR="00C407A0" w:rsidRDefault="00C407A0" w:rsidP="00F04B84">
            <w:pPr>
              <w:jc w:val="both"/>
              <w:rPr>
                <w:rFonts w:cstheme="minorHAnsi"/>
                <w:sz w:val="20"/>
                <w:szCs w:val="20"/>
              </w:rPr>
            </w:pPr>
            <w:r>
              <w:rPr>
                <w:rFonts w:cstheme="minorHAnsi"/>
                <w:sz w:val="20"/>
                <w:szCs w:val="20"/>
              </w:rPr>
              <w:t>5</w:t>
            </w:r>
          </w:p>
        </w:tc>
        <w:tc>
          <w:tcPr>
            <w:tcW w:w="1540"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3E3EFDDD" w14:textId="77777777" w:rsidR="00C407A0" w:rsidRDefault="00C407A0" w:rsidP="00F04B84">
            <w:pPr>
              <w:jc w:val="both"/>
              <w:rPr>
                <w:rFonts w:cstheme="minorHAnsi"/>
                <w:sz w:val="20"/>
                <w:szCs w:val="20"/>
              </w:rPr>
            </w:pPr>
            <w:r>
              <w:rPr>
                <w:rFonts w:cstheme="minorHAnsi"/>
                <w:sz w:val="20"/>
                <w:szCs w:val="20"/>
              </w:rPr>
              <w:t>3</w:t>
            </w:r>
          </w:p>
        </w:tc>
      </w:tr>
      <w:tr w:rsidR="00C407A0" w14:paraId="4B571932" w14:textId="77777777" w:rsidTr="00F04B84">
        <w:trPr>
          <w:jc w:val="center"/>
        </w:trPr>
        <w:tc>
          <w:tcPr>
            <w:tcW w:w="1589"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0F7B89D" w14:textId="77777777" w:rsidR="00C407A0" w:rsidRDefault="00C407A0" w:rsidP="00F04B84">
            <w:pPr>
              <w:jc w:val="both"/>
              <w:rPr>
                <w:rFonts w:cstheme="minorHAnsi"/>
                <w:sz w:val="20"/>
                <w:szCs w:val="20"/>
              </w:rPr>
            </w:pPr>
            <w:r>
              <w:rPr>
                <w:rFonts w:cstheme="minorHAnsi"/>
                <w:sz w:val="20"/>
                <w:szCs w:val="20"/>
              </w:rPr>
              <w:t>pył PM10 (rok)</w:t>
            </w:r>
          </w:p>
        </w:tc>
        <w:tc>
          <w:tcPr>
            <w:tcW w:w="1631"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A724F93" w14:textId="77777777" w:rsidR="00C407A0" w:rsidRDefault="00C407A0" w:rsidP="00F04B84">
            <w:pPr>
              <w:jc w:val="both"/>
              <w:rPr>
                <w:rFonts w:cstheme="minorHAnsi"/>
                <w:sz w:val="20"/>
                <w:szCs w:val="20"/>
              </w:rPr>
            </w:pPr>
            <w:r>
              <w:rPr>
                <w:rFonts w:cstheme="minorHAnsi"/>
                <w:sz w:val="20"/>
                <w:szCs w:val="20"/>
              </w:rPr>
              <w:t>9</w:t>
            </w:r>
          </w:p>
        </w:tc>
        <w:tc>
          <w:tcPr>
            <w:tcW w:w="1631"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3E63B403" w14:textId="77777777" w:rsidR="00C407A0" w:rsidRDefault="00C407A0" w:rsidP="00F04B84">
            <w:pPr>
              <w:jc w:val="both"/>
              <w:rPr>
                <w:rFonts w:cstheme="minorHAnsi"/>
                <w:sz w:val="20"/>
                <w:szCs w:val="20"/>
              </w:rPr>
            </w:pPr>
            <w:r>
              <w:rPr>
                <w:rFonts w:cstheme="minorHAnsi"/>
                <w:sz w:val="20"/>
                <w:szCs w:val="20"/>
              </w:rPr>
              <w:t>5</w:t>
            </w:r>
          </w:p>
        </w:tc>
        <w:tc>
          <w:tcPr>
            <w:tcW w:w="1540"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1FDA95D" w14:textId="77777777" w:rsidR="00C407A0" w:rsidRDefault="00C407A0" w:rsidP="00F04B84">
            <w:pPr>
              <w:jc w:val="both"/>
              <w:rPr>
                <w:rFonts w:cstheme="minorHAnsi"/>
                <w:sz w:val="20"/>
                <w:szCs w:val="20"/>
              </w:rPr>
            </w:pPr>
            <w:r>
              <w:rPr>
                <w:rFonts w:cstheme="minorHAnsi"/>
                <w:sz w:val="20"/>
                <w:szCs w:val="20"/>
              </w:rPr>
              <w:t>1</w:t>
            </w:r>
          </w:p>
        </w:tc>
      </w:tr>
      <w:tr w:rsidR="00C407A0" w14:paraId="11D0DFE4" w14:textId="77777777" w:rsidTr="00F04B84">
        <w:trPr>
          <w:jc w:val="center"/>
        </w:trPr>
        <w:tc>
          <w:tcPr>
            <w:tcW w:w="1589"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76E66C8" w14:textId="77777777" w:rsidR="00C407A0" w:rsidRDefault="00C407A0" w:rsidP="00F04B84">
            <w:pPr>
              <w:jc w:val="both"/>
              <w:rPr>
                <w:rFonts w:cstheme="minorHAnsi"/>
                <w:sz w:val="20"/>
                <w:szCs w:val="20"/>
              </w:rPr>
            </w:pPr>
            <w:r>
              <w:rPr>
                <w:rFonts w:cstheme="minorHAnsi"/>
                <w:sz w:val="20"/>
                <w:szCs w:val="20"/>
              </w:rPr>
              <w:t>pył PM10 (24h)</w:t>
            </w:r>
          </w:p>
        </w:tc>
        <w:tc>
          <w:tcPr>
            <w:tcW w:w="1631"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169FBC6" w14:textId="77777777" w:rsidR="00C407A0" w:rsidRDefault="00C407A0" w:rsidP="00F04B84">
            <w:pPr>
              <w:jc w:val="both"/>
              <w:rPr>
                <w:rFonts w:cstheme="minorHAnsi"/>
                <w:sz w:val="20"/>
                <w:szCs w:val="20"/>
              </w:rPr>
            </w:pPr>
            <w:r>
              <w:rPr>
                <w:rFonts w:cstheme="minorHAnsi"/>
                <w:sz w:val="20"/>
                <w:szCs w:val="20"/>
              </w:rPr>
              <w:t>39</w:t>
            </w:r>
          </w:p>
        </w:tc>
        <w:tc>
          <w:tcPr>
            <w:tcW w:w="1631"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29EC8ABC" w14:textId="77777777" w:rsidR="00C407A0" w:rsidRDefault="00C407A0" w:rsidP="00F04B84">
            <w:pPr>
              <w:jc w:val="both"/>
              <w:rPr>
                <w:rFonts w:cstheme="minorHAnsi"/>
                <w:sz w:val="20"/>
                <w:szCs w:val="20"/>
              </w:rPr>
            </w:pPr>
            <w:r>
              <w:rPr>
                <w:rFonts w:cstheme="minorHAnsi"/>
                <w:sz w:val="20"/>
                <w:szCs w:val="20"/>
              </w:rPr>
              <w:t>22</w:t>
            </w:r>
          </w:p>
        </w:tc>
        <w:tc>
          <w:tcPr>
            <w:tcW w:w="1540"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29323CA" w14:textId="77777777" w:rsidR="00C407A0" w:rsidRDefault="00C407A0" w:rsidP="00F04B84">
            <w:pPr>
              <w:jc w:val="both"/>
              <w:rPr>
                <w:rFonts w:cstheme="minorHAnsi"/>
                <w:sz w:val="20"/>
                <w:szCs w:val="20"/>
              </w:rPr>
            </w:pPr>
            <w:r>
              <w:rPr>
                <w:rFonts w:cstheme="minorHAnsi"/>
                <w:sz w:val="20"/>
                <w:szCs w:val="20"/>
              </w:rPr>
              <w:t>16</w:t>
            </w:r>
          </w:p>
        </w:tc>
      </w:tr>
      <w:tr w:rsidR="00C407A0" w14:paraId="4849DAB4" w14:textId="77777777" w:rsidTr="00F04B84">
        <w:trPr>
          <w:jc w:val="center"/>
        </w:trPr>
        <w:tc>
          <w:tcPr>
            <w:tcW w:w="1589"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529E9B3" w14:textId="77777777" w:rsidR="00C407A0" w:rsidRDefault="00C407A0" w:rsidP="00F04B84">
            <w:pPr>
              <w:jc w:val="both"/>
              <w:rPr>
                <w:rFonts w:cstheme="minorHAnsi"/>
                <w:sz w:val="20"/>
                <w:szCs w:val="20"/>
              </w:rPr>
            </w:pPr>
            <w:r>
              <w:rPr>
                <w:rFonts w:cstheme="minorHAnsi"/>
                <w:sz w:val="20"/>
                <w:szCs w:val="20"/>
              </w:rPr>
              <w:t>Pb w PM10</w:t>
            </w:r>
          </w:p>
        </w:tc>
        <w:tc>
          <w:tcPr>
            <w:tcW w:w="1631" w:type="dxa"/>
            <w:tcBorders>
              <w:top w:val="single" w:sz="4" w:space="0" w:color="auto"/>
              <w:left w:val="single" w:sz="4" w:space="0" w:color="auto"/>
              <w:bottom w:val="single" w:sz="4" w:space="0" w:color="auto"/>
              <w:right w:val="single" w:sz="4" w:space="0" w:color="auto"/>
            </w:tcBorders>
            <w:hideMark/>
          </w:tcPr>
          <w:p w14:paraId="03F73087" w14:textId="77777777" w:rsidR="00C407A0" w:rsidRDefault="00C407A0" w:rsidP="00F04B84">
            <w:pPr>
              <w:jc w:val="both"/>
              <w:rPr>
                <w:rFonts w:cstheme="minorHAnsi"/>
                <w:sz w:val="20"/>
                <w:szCs w:val="20"/>
              </w:rPr>
            </w:pPr>
            <w:r>
              <w:rPr>
                <w:rFonts w:cstheme="minorHAnsi"/>
                <w:sz w:val="20"/>
                <w:szCs w:val="20"/>
              </w:rPr>
              <w:t>0</w:t>
            </w:r>
          </w:p>
        </w:tc>
        <w:tc>
          <w:tcPr>
            <w:tcW w:w="1631" w:type="dxa"/>
            <w:tcBorders>
              <w:top w:val="single" w:sz="4" w:space="0" w:color="auto"/>
              <w:left w:val="single" w:sz="4" w:space="0" w:color="auto"/>
              <w:bottom w:val="single" w:sz="4" w:space="0" w:color="auto"/>
              <w:right w:val="single" w:sz="4" w:space="0" w:color="auto"/>
            </w:tcBorders>
            <w:hideMark/>
          </w:tcPr>
          <w:p w14:paraId="3D0D5CDF" w14:textId="77777777" w:rsidR="00C407A0" w:rsidRDefault="00C407A0" w:rsidP="00F04B84">
            <w:pPr>
              <w:jc w:val="both"/>
              <w:rPr>
                <w:rFonts w:cstheme="minorHAnsi"/>
                <w:sz w:val="20"/>
                <w:szCs w:val="20"/>
              </w:rPr>
            </w:pPr>
            <w:r>
              <w:rPr>
                <w:rFonts w:cstheme="minorHAnsi"/>
                <w:sz w:val="20"/>
                <w:szCs w:val="20"/>
              </w:rPr>
              <w:t>0</w:t>
            </w:r>
          </w:p>
        </w:tc>
        <w:tc>
          <w:tcPr>
            <w:tcW w:w="1540" w:type="dxa"/>
            <w:tcBorders>
              <w:top w:val="single" w:sz="4" w:space="0" w:color="auto"/>
              <w:left w:val="single" w:sz="4" w:space="0" w:color="auto"/>
              <w:bottom w:val="single" w:sz="4" w:space="0" w:color="auto"/>
              <w:right w:val="single" w:sz="4" w:space="0" w:color="auto"/>
            </w:tcBorders>
            <w:hideMark/>
          </w:tcPr>
          <w:p w14:paraId="44B0A8D5" w14:textId="77777777" w:rsidR="00C407A0" w:rsidRDefault="00C407A0" w:rsidP="00F04B84">
            <w:pPr>
              <w:jc w:val="both"/>
              <w:rPr>
                <w:rFonts w:cstheme="minorHAnsi"/>
                <w:sz w:val="20"/>
                <w:szCs w:val="20"/>
              </w:rPr>
            </w:pPr>
            <w:r>
              <w:rPr>
                <w:rFonts w:cstheme="minorHAnsi"/>
                <w:sz w:val="20"/>
                <w:szCs w:val="20"/>
              </w:rPr>
              <w:t>0</w:t>
            </w:r>
          </w:p>
        </w:tc>
      </w:tr>
      <w:tr w:rsidR="00C407A0" w14:paraId="185B1D16" w14:textId="77777777" w:rsidTr="00F04B84">
        <w:trPr>
          <w:jc w:val="center"/>
        </w:trPr>
        <w:tc>
          <w:tcPr>
            <w:tcW w:w="1589"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45817BC" w14:textId="77777777" w:rsidR="00C407A0" w:rsidRDefault="00C407A0" w:rsidP="00F04B84">
            <w:pPr>
              <w:jc w:val="both"/>
              <w:rPr>
                <w:rFonts w:cstheme="minorHAnsi"/>
                <w:sz w:val="20"/>
                <w:szCs w:val="20"/>
              </w:rPr>
            </w:pPr>
            <w:r>
              <w:rPr>
                <w:rFonts w:cstheme="minorHAnsi"/>
                <w:sz w:val="20"/>
                <w:szCs w:val="20"/>
              </w:rPr>
              <w:t>As w PM10</w:t>
            </w:r>
          </w:p>
        </w:tc>
        <w:tc>
          <w:tcPr>
            <w:tcW w:w="1631"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2937A29" w14:textId="77777777" w:rsidR="00C407A0" w:rsidRDefault="00C407A0" w:rsidP="00F04B84">
            <w:pPr>
              <w:jc w:val="both"/>
              <w:rPr>
                <w:rFonts w:cstheme="minorHAnsi"/>
                <w:sz w:val="20"/>
                <w:szCs w:val="20"/>
              </w:rPr>
            </w:pPr>
            <w:r>
              <w:rPr>
                <w:rFonts w:cstheme="minorHAnsi"/>
                <w:sz w:val="20"/>
                <w:szCs w:val="20"/>
              </w:rPr>
              <w:t>2</w:t>
            </w:r>
          </w:p>
        </w:tc>
        <w:tc>
          <w:tcPr>
            <w:tcW w:w="1631"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EC26230" w14:textId="77777777" w:rsidR="00C407A0" w:rsidRDefault="00C407A0" w:rsidP="00F04B84">
            <w:pPr>
              <w:jc w:val="both"/>
              <w:rPr>
                <w:rFonts w:cstheme="minorHAnsi"/>
                <w:sz w:val="20"/>
                <w:szCs w:val="20"/>
              </w:rPr>
            </w:pPr>
            <w:r>
              <w:rPr>
                <w:rFonts w:cstheme="minorHAnsi"/>
                <w:sz w:val="20"/>
                <w:szCs w:val="20"/>
              </w:rPr>
              <w:t>1</w:t>
            </w:r>
          </w:p>
        </w:tc>
        <w:tc>
          <w:tcPr>
            <w:tcW w:w="1540"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023DCFD7" w14:textId="77777777" w:rsidR="00C407A0" w:rsidRDefault="00C407A0" w:rsidP="00F04B84">
            <w:pPr>
              <w:jc w:val="both"/>
              <w:rPr>
                <w:rFonts w:cstheme="minorHAnsi"/>
                <w:sz w:val="20"/>
                <w:szCs w:val="20"/>
              </w:rPr>
            </w:pPr>
            <w:r>
              <w:rPr>
                <w:rFonts w:cstheme="minorHAnsi"/>
                <w:sz w:val="20"/>
                <w:szCs w:val="20"/>
              </w:rPr>
              <w:t>1</w:t>
            </w:r>
          </w:p>
        </w:tc>
      </w:tr>
      <w:tr w:rsidR="00C407A0" w14:paraId="3EF9A537" w14:textId="77777777" w:rsidTr="00F04B84">
        <w:trPr>
          <w:jc w:val="center"/>
        </w:trPr>
        <w:tc>
          <w:tcPr>
            <w:tcW w:w="1589"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A778E63" w14:textId="77777777" w:rsidR="00C407A0" w:rsidRDefault="00C407A0" w:rsidP="00F04B84">
            <w:pPr>
              <w:jc w:val="both"/>
              <w:rPr>
                <w:rFonts w:cstheme="minorHAnsi"/>
                <w:sz w:val="20"/>
                <w:szCs w:val="20"/>
              </w:rPr>
            </w:pPr>
            <w:r>
              <w:rPr>
                <w:rFonts w:cstheme="minorHAnsi"/>
                <w:sz w:val="20"/>
                <w:szCs w:val="20"/>
              </w:rPr>
              <w:t>Cd w PM10</w:t>
            </w:r>
          </w:p>
        </w:tc>
        <w:tc>
          <w:tcPr>
            <w:tcW w:w="1631" w:type="dxa"/>
            <w:tcBorders>
              <w:top w:val="single" w:sz="4" w:space="0" w:color="auto"/>
              <w:left w:val="single" w:sz="4" w:space="0" w:color="auto"/>
              <w:bottom w:val="single" w:sz="4" w:space="0" w:color="auto"/>
              <w:right w:val="single" w:sz="4" w:space="0" w:color="auto"/>
            </w:tcBorders>
            <w:hideMark/>
          </w:tcPr>
          <w:p w14:paraId="579E620D" w14:textId="77777777" w:rsidR="00C407A0" w:rsidRDefault="00C407A0" w:rsidP="00F04B84">
            <w:pPr>
              <w:jc w:val="both"/>
              <w:rPr>
                <w:rFonts w:cstheme="minorHAnsi"/>
                <w:sz w:val="20"/>
                <w:szCs w:val="20"/>
              </w:rPr>
            </w:pPr>
            <w:r>
              <w:rPr>
                <w:rFonts w:cstheme="minorHAnsi"/>
                <w:sz w:val="20"/>
                <w:szCs w:val="20"/>
              </w:rPr>
              <w:t>0</w:t>
            </w:r>
          </w:p>
        </w:tc>
        <w:tc>
          <w:tcPr>
            <w:tcW w:w="1631" w:type="dxa"/>
            <w:tcBorders>
              <w:top w:val="single" w:sz="4" w:space="0" w:color="auto"/>
              <w:left w:val="single" w:sz="4" w:space="0" w:color="auto"/>
              <w:bottom w:val="single" w:sz="4" w:space="0" w:color="auto"/>
              <w:right w:val="single" w:sz="4" w:space="0" w:color="auto"/>
            </w:tcBorders>
            <w:hideMark/>
          </w:tcPr>
          <w:p w14:paraId="722470C0" w14:textId="77777777" w:rsidR="00C407A0" w:rsidRDefault="00C407A0" w:rsidP="00F04B84">
            <w:pPr>
              <w:jc w:val="both"/>
              <w:rPr>
                <w:rFonts w:cstheme="minorHAnsi"/>
                <w:sz w:val="20"/>
                <w:szCs w:val="20"/>
              </w:rPr>
            </w:pPr>
            <w:r>
              <w:rPr>
                <w:rFonts w:cstheme="minorHAnsi"/>
                <w:sz w:val="20"/>
                <w:szCs w:val="20"/>
              </w:rPr>
              <w:t>0</w:t>
            </w:r>
          </w:p>
        </w:tc>
        <w:tc>
          <w:tcPr>
            <w:tcW w:w="1540" w:type="dxa"/>
            <w:tcBorders>
              <w:top w:val="single" w:sz="4" w:space="0" w:color="auto"/>
              <w:left w:val="single" w:sz="4" w:space="0" w:color="auto"/>
              <w:bottom w:val="single" w:sz="4" w:space="0" w:color="auto"/>
              <w:right w:val="single" w:sz="4" w:space="0" w:color="auto"/>
            </w:tcBorders>
            <w:hideMark/>
          </w:tcPr>
          <w:p w14:paraId="7B066265" w14:textId="77777777" w:rsidR="00C407A0" w:rsidRDefault="00C407A0" w:rsidP="00F04B84">
            <w:pPr>
              <w:jc w:val="both"/>
              <w:rPr>
                <w:rFonts w:cstheme="minorHAnsi"/>
                <w:sz w:val="20"/>
                <w:szCs w:val="20"/>
              </w:rPr>
            </w:pPr>
            <w:r>
              <w:rPr>
                <w:rFonts w:cstheme="minorHAnsi"/>
                <w:sz w:val="20"/>
                <w:szCs w:val="20"/>
              </w:rPr>
              <w:t>0</w:t>
            </w:r>
          </w:p>
        </w:tc>
      </w:tr>
      <w:tr w:rsidR="00C407A0" w14:paraId="425721E3" w14:textId="77777777" w:rsidTr="00F04B84">
        <w:trPr>
          <w:jc w:val="center"/>
        </w:trPr>
        <w:tc>
          <w:tcPr>
            <w:tcW w:w="1589"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A4417CF" w14:textId="77777777" w:rsidR="00C407A0" w:rsidRDefault="00C407A0" w:rsidP="00F04B84">
            <w:pPr>
              <w:jc w:val="both"/>
              <w:rPr>
                <w:rFonts w:cstheme="minorHAnsi"/>
                <w:sz w:val="20"/>
                <w:szCs w:val="20"/>
              </w:rPr>
            </w:pPr>
            <w:r>
              <w:rPr>
                <w:rFonts w:cstheme="minorHAnsi"/>
                <w:sz w:val="20"/>
                <w:szCs w:val="20"/>
              </w:rPr>
              <w:t>Ni w PM10</w:t>
            </w:r>
          </w:p>
        </w:tc>
        <w:tc>
          <w:tcPr>
            <w:tcW w:w="1631" w:type="dxa"/>
            <w:tcBorders>
              <w:top w:val="single" w:sz="4" w:space="0" w:color="auto"/>
              <w:left w:val="single" w:sz="4" w:space="0" w:color="auto"/>
              <w:bottom w:val="single" w:sz="4" w:space="0" w:color="auto"/>
              <w:right w:val="single" w:sz="4" w:space="0" w:color="auto"/>
            </w:tcBorders>
            <w:hideMark/>
          </w:tcPr>
          <w:p w14:paraId="71521818" w14:textId="77777777" w:rsidR="00C407A0" w:rsidRDefault="00C407A0" w:rsidP="00F04B84">
            <w:pPr>
              <w:jc w:val="both"/>
              <w:rPr>
                <w:rFonts w:cstheme="minorHAnsi"/>
                <w:sz w:val="20"/>
                <w:szCs w:val="20"/>
              </w:rPr>
            </w:pPr>
            <w:r>
              <w:rPr>
                <w:rFonts w:cstheme="minorHAnsi"/>
                <w:sz w:val="20"/>
                <w:szCs w:val="20"/>
              </w:rPr>
              <w:t>0</w:t>
            </w:r>
          </w:p>
        </w:tc>
        <w:tc>
          <w:tcPr>
            <w:tcW w:w="1631" w:type="dxa"/>
            <w:tcBorders>
              <w:top w:val="single" w:sz="4" w:space="0" w:color="auto"/>
              <w:left w:val="single" w:sz="4" w:space="0" w:color="auto"/>
              <w:bottom w:val="single" w:sz="4" w:space="0" w:color="auto"/>
              <w:right w:val="single" w:sz="4" w:space="0" w:color="auto"/>
            </w:tcBorders>
            <w:hideMark/>
          </w:tcPr>
          <w:p w14:paraId="75733DE3" w14:textId="77777777" w:rsidR="00C407A0" w:rsidRDefault="00C407A0" w:rsidP="00F04B84">
            <w:pPr>
              <w:jc w:val="both"/>
              <w:rPr>
                <w:rFonts w:cstheme="minorHAnsi"/>
                <w:sz w:val="20"/>
                <w:szCs w:val="20"/>
              </w:rPr>
            </w:pPr>
            <w:r>
              <w:rPr>
                <w:rFonts w:cstheme="minorHAnsi"/>
                <w:sz w:val="20"/>
                <w:szCs w:val="20"/>
              </w:rPr>
              <w:t>0</w:t>
            </w:r>
          </w:p>
        </w:tc>
        <w:tc>
          <w:tcPr>
            <w:tcW w:w="1540" w:type="dxa"/>
            <w:tcBorders>
              <w:top w:val="single" w:sz="4" w:space="0" w:color="auto"/>
              <w:left w:val="single" w:sz="4" w:space="0" w:color="auto"/>
              <w:bottom w:val="single" w:sz="4" w:space="0" w:color="auto"/>
              <w:right w:val="single" w:sz="4" w:space="0" w:color="auto"/>
            </w:tcBorders>
            <w:hideMark/>
          </w:tcPr>
          <w:p w14:paraId="611A2054" w14:textId="77777777" w:rsidR="00C407A0" w:rsidRDefault="00C407A0" w:rsidP="00F04B84">
            <w:pPr>
              <w:jc w:val="both"/>
              <w:rPr>
                <w:rFonts w:cstheme="minorHAnsi"/>
                <w:sz w:val="20"/>
                <w:szCs w:val="20"/>
              </w:rPr>
            </w:pPr>
            <w:r>
              <w:rPr>
                <w:rFonts w:cstheme="minorHAnsi"/>
                <w:sz w:val="20"/>
                <w:szCs w:val="20"/>
              </w:rPr>
              <w:t>0</w:t>
            </w:r>
          </w:p>
        </w:tc>
      </w:tr>
      <w:tr w:rsidR="00C407A0" w14:paraId="1E51D51A" w14:textId="77777777" w:rsidTr="00F04B84">
        <w:trPr>
          <w:jc w:val="center"/>
        </w:trPr>
        <w:tc>
          <w:tcPr>
            <w:tcW w:w="1589"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3BBE678" w14:textId="77777777" w:rsidR="00C407A0" w:rsidRDefault="00C407A0" w:rsidP="00F04B84">
            <w:pPr>
              <w:jc w:val="both"/>
              <w:rPr>
                <w:rFonts w:cstheme="minorHAnsi"/>
                <w:sz w:val="20"/>
                <w:szCs w:val="20"/>
              </w:rPr>
            </w:pPr>
            <w:r>
              <w:rPr>
                <w:rFonts w:cstheme="minorHAnsi"/>
                <w:sz w:val="20"/>
                <w:szCs w:val="20"/>
              </w:rPr>
              <w:t>B(a)P w PM10</w:t>
            </w:r>
          </w:p>
        </w:tc>
        <w:tc>
          <w:tcPr>
            <w:tcW w:w="1631"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A855DBC" w14:textId="77777777" w:rsidR="00C407A0" w:rsidRDefault="00C407A0" w:rsidP="00F04B84">
            <w:pPr>
              <w:jc w:val="both"/>
              <w:rPr>
                <w:rFonts w:cstheme="minorHAnsi"/>
                <w:sz w:val="20"/>
                <w:szCs w:val="20"/>
              </w:rPr>
            </w:pPr>
            <w:r>
              <w:rPr>
                <w:rFonts w:cstheme="minorHAnsi"/>
                <w:sz w:val="20"/>
                <w:szCs w:val="20"/>
              </w:rPr>
              <w:t>44</w:t>
            </w:r>
          </w:p>
        </w:tc>
        <w:tc>
          <w:tcPr>
            <w:tcW w:w="1631"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969F4D3" w14:textId="77777777" w:rsidR="00C407A0" w:rsidRDefault="00C407A0" w:rsidP="00F04B84">
            <w:pPr>
              <w:jc w:val="both"/>
              <w:rPr>
                <w:rFonts w:cstheme="minorHAnsi"/>
                <w:sz w:val="20"/>
                <w:szCs w:val="20"/>
              </w:rPr>
            </w:pPr>
            <w:r>
              <w:rPr>
                <w:rFonts w:cstheme="minorHAnsi"/>
                <w:sz w:val="20"/>
                <w:szCs w:val="20"/>
              </w:rPr>
              <w:t>36</w:t>
            </w:r>
          </w:p>
        </w:tc>
        <w:tc>
          <w:tcPr>
            <w:tcW w:w="1540"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20E2227D" w14:textId="77777777" w:rsidR="00C407A0" w:rsidRDefault="00C407A0" w:rsidP="00F04B84">
            <w:pPr>
              <w:jc w:val="both"/>
              <w:rPr>
                <w:rFonts w:cstheme="minorHAnsi"/>
                <w:sz w:val="20"/>
                <w:szCs w:val="20"/>
              </w:rPr>
            </w:pPr>
            <w:r>
              <w:rPr>
                <w:rFonts w:cstheme="minorHAnsi"/>
                <w:sz w:val="20"/>
                <w:szCs w:val="20"/>
              </w:rPr>
              <w:t>39</w:t>
            </w:r>
          </w:p>
        </w:tc>
      </w:tr>
      <w:tr w:rsidR="00C407A0" w14:paraId="45003CE8" w14:textId="77777777" w:rsidTr="00F04B84">
        <w:trPr>
          <w:jc w:val="center"/>
        </w:trPr>
        <w:tc>
          <w:tcPr>
            <w:tcW w:w="1589"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4469090E" w14:textId="77777777" w:rsidR="00C407A0" w:rsidRDefault="00C407A0" w:rsidP="00F04B84">
            <w:pPr>
              <w:jc w:val="both"/>
              <w:rPr>
                <w:rFonts w:cstheme="minorHAnsi"/>
                <w:sz w:val="20"/>
                <w:szCs w:val="20"/>
              </w:rPr>
            </w:pPr>
            <w:r>
              <w:rPr>
                <w:rFonts w:cstheme="minorHAnsi"/>
                <w:sz w:val="20"/>
                <w:szCs w:val="20"/>
              </w:rPr>
              <w:t>pył PM2,5</w:t>
            </w:r>
          </w:p>
        </w:tc>
        <w:tc>
          <w:tcPr>
            <w:tcW w:w="1631"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0C8D4A49" w14:textId="77777777" w:rsidR="00C407A0" w:rsidRDefault="00C407A0" w:rsidP="00F04B84">
            <w:pPr>
              <w:jc w:val="both"/>
              <w:rPr>
                <w:rFonts w:cstheme="minorHAnsi"/>
                <w:sz w:val="20"/>
                <w:szCs w:val="20"/>
              </w:rPr>
            </w:pPr>
            <w:r>
              <w:rPr>
                <w:rFonts w:cstheme="minorHAnsi"/>
                <w:sz w:val="20"/>
                <w:szCs w:val="20"/>
              </w:rPr>
              <w:t>14</w:t>
            </w:r>
          </w:p>
        </w:tc>
        <w:tc>
          <w:tcPr>
            <w:tcW w:w="1631"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23679116" w14:textId="77777777" w:rsidR="00C407A0" w:rsidRDefault="00C407A0" w:rsidP="00F04B84">
            <w:pPr>
              <w:jc w:val="both"/>
              <w:rPr>
                <w:rFonts w:cstheme="minorHAnsi"/>
                <w:sz w:val="20"/>
                <w:szCs w:val="20"/>
              </w:rPr>
            </w:pPr>
            <w:r>
              <w:rPr>
                <w:rFonts w:cstheme="minorHAnsi"/>
                <w:sz w:val="20"/>
                <w:szCs w:val="20"/>
              </w:rPr>
              <w:t>8</w:t>
            </w:r>
          </w:p>
        </w:tc>
        <w:tc>
          <w:tcPr>
            <w:tcW w:w="1540"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735C62B" w14:textId="77777777" w:rsidR="00C407A0" w:rsidRDefault="00C407A0" w:rsidP="00F04B84">
            <w:pPr>
              <w:jc w:val="both"/>
              <w:rPr>
                <w:rFonts w:cstheme="minorHAnsi"/>
                <w:sz w:val="20"/>
                <w:szCs w:val="20"/>
              </w:rPr>
            </w:pPr>
            <w:r>
              <w:rPr>
                <w:rFonts w:cstheme="minorHAnsi"/>
                <w:sz w:val="20"/>
                <w:szCs w:val="20"/>
              </w:rPr>
              <w:t>14 (2)</w:t>
            </w:r>
            <w:r>
              <w:rPr>
                <w:rFonts w:cstheme="minorHAnsi"/>
                <w:sz w:val="20"/>
                <w:szCs w:val="20"/>
                <w:vertAlign w:val="superscript"/>
              </w:rPr>
              <w:t>2</w:t>
            </w:r>
          </w:p>
        </w:tc>
      </w:tr>
    </w:tbl>
    <w:p w14:paraId="352D6F97" w14:textId="7D05F324" w:rsidR="00C407A0" w:rsidRPr="00D9785F" w:rsidRDefault="00C407A0" w:rsidP="00304514">
      <w:pPr>
        <w:spacing w:before="120" w:after="120" w:line="240" w:lineRule="auto"/>
        <w:jc w:val="both"/>
        <w:rPr>
          <w:sz w:val="18"/>
          <w:szCs w:val="18"/>
        </w:rPr>
      </w:pPr>
      <w:r w:rsidRPr="00D9785F">
        <w:rPr>
          <w:sz w:val="18"/>
          <w:szCs w:val="18"/>
          <w:vertAlign w:val="superscript"/>
        </w:rPr>
        <w:t>1</w:t>
      </w:r>
      <w:r w:rsidRPr="00D9785F">
        <w:rPr>
          <w:sz w:val="18"/>
          <w:szCs w:val="18"/>
        </w:rPr>
        <w:t xml:space="preserve"> Oceny za 2018 r. i 2019 r. zostały wykonane w 46 strefach, </w:t>
      </w:r>
      <w:r w:rsidR="00304514">
        <w:rPr>
          <w:sz w:val="18"/>
          <w:szCs w:val="18"/>
        </w:rPr>
        <w:t xml:space="preserve">natomiast </w:t>
      </w:r>
      <w:r w:rsidRPr="00D9785F">
        <w:rPr>
          <w:sz w:val="18"/>
          <w:szCs w:val="18"/>
        </w:rPr>
        <w:t xml:space="preserve">ocena za 2020 </w:t>
      </w:r>
      <w:r>
        <w:rPr>
          <w:sz w:val="18"/>
          <w:szCs w:val="18"/>
        </w:rPr>
        <w:t xml:space="preserve">r. </w:t>
      </w:r>
      <w:r w:rsidRPr="00D9785F">
        <w:rPr>
          <w:sz w:val="18"/>
          <w:szCs w:val="18"/>
        </w:rPr>
        <w:t>została wykonana w 45 strefach.</w:t>
      </w:r>
    </w:p>
    <w:p w14:paraId="580AF43B" w14:textId="684DB4AC" w:rsidR="00C407A0" w:rsidRPr="00304514" w:rsidRDefault="00C407A0" w:rsidP="00C407A0">
      <w:pPr>
        <w:spacing w:after="120" w:line="240" w:lineRule="auto"/>
        <w:jc w:val="both"/>
        <w:rPr>
          <w:sz w:val="18"/>
          <w:szCs w:val="18"/>
        </w:rPr>
      </w:pPr>
      <w:r w:rsidRPr="00D9785F">
        <w:rPr>
          <w:sz w:val="18"/>
          <w:szCs w:val="18"/>
          <w:vertAlign w:val="superscript"/>
        </w:rPr>
        <w:t>2</w:t>
      </w:r>
      <w:r w:rsidRPr="00D9785F">
        <w:rPr>
          <w:sz w:val="18"/>
          <w:szCs w:val="18"/>
        </w:rPr>
        <w:t xml:space="preserve"> Począwszy od 2020 r. obowiązuje ostrzejszy poziom dopuszczalny dla pyłu PM2,5 (tzw. II faza: 20 </w:t>
      </w:r>
      <w:r w:rsidRPr="00D9785F">
        <w:rPr>
          <w:rFonts w:cstheme="minorHAnsi"/>
          <w:sz w:val="18"/>
          <w:szCs w:val="18"/>
        </w:rPr>
        <w:t>µ</w:t>
      </w:r>
      <w:r w:rsidRPr="00D9785F">
        <w:rPr>
          <w:sz w:val="18"/>
          <w:szCs w:val="18"/>
        </w:rPr>
        <w:t>g/m</w:t>
      </w:r>
      <w:r w:rsidRPr="00D9785F">
        <w:rPr>
          <w:sz w:val="18"/>
          <w:szCs w:val="18"/>
          <w:vertAlign w:val="superscript"/>
        </w:rPr>
        <w:t>3</w:t>
      </w:r>
      <w:r w:rsidRPr="00D9785F">
        <w:rPr>
          <w:sz w:val="18"/>
          <w:szCs w:val="18"/>
        </w:rPr>
        <w:t xml:space="preserve">). Za 2020 r. podano liczbę stref przekraczających poziom dopuszczalny 20 </w:t>
      </w:r>
      <w:r w:rsidRPr="00D9785F">
        <w:rPr>
          <w:rFonts w:cstheme="minorHAnsi"/>
          <w:sz w:val="18"/>
          <w:szCs w:val="18"/>
        </w:rPr>
        <w:t>µ</w:t>
      </w:r>
      <w:r w:rsidRPr="00D9785F">
        <w:rPr>
          <w:sz w:val="18"/>
          <w:szCs w:val="18"/>
        </w:rPr>
        <w:t>g/m</w:t>
      </w:r>
      <w:r w:rsidRPr="00D9785F">
        <w:rPr>
          <w:sz w:val="18"/>
          <w:szCs w:val="18"/>
          <w:vertAlign w:val="superscript"/>
        </w:rPr>
        <w:t>3</w:t>
      </w:r>
      <w:r w:rsidRPr="00D9785F">
        <w:rPr>
          <w:sz w:val="18"/>
          <w:szCs w:val="18"/>
        </w:rPr>
        <w:t xml:space="preserve">, a w nawiasie liczbę stref przekraczającą dotychczas obowiązujący poziom dopuszczalny dla pyłu PM2,5: 25 </w:t>
      </w:r>
      <w:r w:rsidRPr="00D9785F">
        <w:rPr>
          <w:rFonts w:cstheme="minorHAnsi"/>
          <w:sz w:val="18"/>
          <w:szCs w:val="18"/>
        </w:rPr>
        <w:t>µ</w:t>
      </w:r>
      <w:r w:rsidRPr="00D9785F">
        <w:rPr>
          <w:sz w:val="18"/>
          <w:szCs w:val="18"/>
        </w:rPr>
        <w:t>g/m</w:t>
      </w:r>
      <w:r w:rsidRPr="00D9785F">
        <w:rPr>
          <w:sz w:val="18"/>
          <w:szCs w:val="18"/>
          <w:vertAlign w:val="superscript"/>
        </w:rPr>
        <w:t>3</w:t>
      </w:r>
      <w:r w:rsidRPr="00D9785F">
        <w:rPr>
          <w:sz w:val="18"/>
          <w:szCs w:val="18"/>
        </w:rPr>
        <w:t xml:space="preserve"> (tzw. I faza).</w:t>
      </w:r>
    </w:p>
    <w:p w14:paraId="37486502" w14:textId="5EB97702" w:rsidR="00C407A0" w:rsidRPr="00D9785F" w:rsidRDefault="00C407A0" w:rsidP="00C407A0">
      <w:pPr>
        <w:spacing w:after="120" w:line="240" w:lineRule="auto"/>
        <w:jc w:val="both"/>
      </w:pPr>
      <w:r w:rsidRPr="00D9785F">
        <w:t>W zdecydowanej większości stref w latach 2018-2020, spośród wszystkich 46 stref w kraju (45 w</w:t>
      </w:r>
      <w:r w:rsidR="00304514">
        <w:t> </w:t>
      </w:r>
      <w:r w:rsidRPr="00D9785F">
        <w:t>2020</w:t>
      </w:r>
      <w:r w:rsidR="00304514">
        <w:t> </w:t>
      </w:r>
      <w:r w:rsidRPr="00D9785F">
        <w:t>r.), odnotowano przekroczenia poziomów dopuszczalnych/docelowych przynajmniej dla jednego zanieczyszczenia.</w:t>
      </w:r>
    </w:p>
    <w:p w14:paraId="6F57D4F1" w14:textId="77777777" w:rsidR="00C407A0" w:rsidRPr="00BB3FB9" w:rsidRDefault="00C407A0" w:rsidP="00C407A0">
      <w:pPr>
        <w:spacing w:after="120" w:line="240" w:lineRule="auto"/>
        <w:jc w:val="both"/>
        <w:rPr>
          <w:b/>
          <w:bCs/>
          <w:color w:val="2F5496" w:themeColor="accent1" w:themeShade="BF"/>
        </w:rPr>
      </w:pPr>
      <w:r w:rsidRPr="00BB3FB9">
        <w:rPr>
          <w:b/>
          <w:bCs/>
          <w:color w:val="2F5496" w:themeColor="accent1" w:themeShade="BF"/>
        </w:rPr>
        <w:t xml:space="preserve">W ocenie za 2020 r. w porównaniu do lat wcześniejszych odnotowano istotne zmniejszenie liczby stref z przekroczeniami pyłu zawieszonego PM10 (24h)- z 39 stref w 2018 r. do 16 w 2020 r. </w:t>
      </w:r>
    </w:p>
    <w:p w14:paraId="17910BE0" w14:textId="47490D8F" w:rsidR="00C407A0" w:rsidRPr="00D9785F" w:rsidRDefault="00C407A0" w:rsidP="00C407A0">
      <w:pPr>
        <w:spacing w:after="120" w:line="240" w:lineRule="auto"/>
        <w:jc w:val="both"/>
      </w:pPr>
      <w:r w:rsidRPr="00D9785F">
        <w:t xml:space="preserve">Natomiast zanieczyszczenie powietrza </w:t>
      </w:r>
      <w:r w:rsidR="00304514">
        <w:t>B(a)P</w:t>
      </w:r>
      <w:r w:rsidRPr="00D9785F">
        <w:t xml:space="preserve"> stanowi jeden z największych problemów w Polsce, co było wykazywane we wszystkich latach, dla których wykonywano roczne oceny jakości powietrza. W ocenie za 2020 r.</w:t>
      </w:r>
      <w:r>
        <w:t xml:space="preserve"> </w:t>
      </w:r>
      <w:r w:rsidRPr="00D9785F">
        <w:t xml:space="preserve">przekroczenia </w:t>
      </w:r>
      <w:r>
        <w:t xml:space="preserve">poziomu docelowego </w:t>
      </w:r>
      <w:r w:rsidR="00304514">
        <w:t>B(a)P</w:t>
      </w:r>
      <w:r>
        <w:t xml:space="preserve"> </w:t>
      </w:r>
      <w:r w:rsidRPr="00D9785F">
        <w:t xml:space="preserve">stwierdzone zostały w 39 strefach. </w:t>
      </w:r>
    </w:p>
    <w:p w14:paraId="328160A0" w14:textId="77777777" w:rsidR="00C407A0" w:rsidRDefault="00C407A0" w:rsidP="00C407A0">
      <w:pPr>
        <w:spacing w:after="120" w:line="240" w:lineRule="auto"/>
        <w:jc w:val="both"/>
      </w:pPr>
      <w:r w:rsidRPr="00D9785F">
        <w:t>W przypadku NO</w:t>
      </w:r>
      <w:r w:rsidRPr="00D9785F">
        <w:rPr>
          <w:vertAlign w:val="subscript"/>
        </w:rPr>
        <w:t>2</w:t>
      </w:r>
      <w:r w:rsidRPr="00D9785F">
        <w:t>, w latach 2018-2020 występowały przekroczenia poziomów dopuszczalnych (wartości</w:t>
      </w:r>
      <w:r>
        <w:t xml:space="preserve"> </w:t>
      </w:r>
      <w:r w:rsidRPr="00D9785F">
        <w:t xml:space="preserve">średnioroczne) na stacjach komunikacyjnych w największych aglomeracjach: górnośląskiej, krakowskiej, warszawskiej i wrocławskiej (w 2020 r. </w:t>
      </w:r>
      <w:r>
        <w:t xml:space="preserve">jedynie </w:t>
      </w:r>
      <w:r w:rsidRPr="00D9785F">
        <w:t>w aglomeracji górnośląskiej i krakowskiej).</w:t>
      </w:r>
    </w:p>
    <w:p w14:paraId="373FE654" w14:textId="25150496" w:rsidR="00463B42" w:rsidRDefault="00304514" w:rsidP="00DD0E4C">
      <w:pPr>
        <w:jc w:val="center"/>
      </w:pPr>
      <w:r>
        <w:t>Na rys. 12-17 przedstawiono wyniki klasyfikacji stref za lata 2018-2020.</w:t>
      </w:r>
    </w:p>
    <w:p w14:paraId="325DC6AF" w14:textId="115273D3" w:rsidR="00304514" w:rsidRDefault="00304514" w:rsidP="00304514">
      <w:pPr>
        <w:jc w:val="center"/>
        <w:rPr>
          <w:color w:val="000000" w:themeColor="text1"/>
          <w:sz w:val="20"/>
          <w:szCs w:val="20"/>
        </w:rPr>
      </w:pPr>
      <w:r w:rsidRPr="00CF7A95">
        <w:rPr>
          <w:noProof/>
          <w:lang w:eastAsia="pl-PL"/>
        </w:rPr>
        <w:drawing>
          <wp:inline distT="0" distB="0" distL="0" distR="0" wp14:anchorId="06212527" wp14:editId="3ADB4575">
            <wp:extent cx="1749425" cy="1724911"/>
            <wp:effectExtent l="0" t="0" r="3175" b="889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57593" cy="1732964"/>
                    </a:xfrm>
                    <a:prstGeom prst="rect">
                      <a:avLst/>
                    </a:prstGeom>
                    <a:noFill/>
                    <a:ln>
                      <a:noFill/>
                    </a:ln>
                  </pic:spPr>
                </pic:pic>
              </a:graphicData>
            </a:graphic>
          </wp:inline>
        </w:drawing>
      </w:r>
      <w:r w:rsidRPr="00CF7A95">
        <w:rPr>
          <w:noProof/>
          <w:lang w:eastAsia="pl-PL"/>
        </w:rPr>
        <w:drawing>
          <wp:inline distT="0" distB="0" distL="0" distR="0" wp14:anchorId="079B307C" wp14:editId="2F5FCFCF">
            <wp:extent cx="1901952" cy="1767840"/>
            <wp:effectExtent l="0" t="0" r="3175" b="381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5996" cy="1780894"/>
                    </a:xfrm>
                    <a:prstGeom prst="rect">
                      <a:avLst/>
                    </a:prstGeom>
                    <a:noFill/>
                    <a:ln>
                      <a:noFill/>
                    </a:ln>
                  </pic:spPr>
                </pic:pic>
              </a:graphicData>
            </a:graphic>
          </wp:inline>
        </w:drawing>
      </w:r>
      <w:r>
        <w:rPr>
          <w:noProof/>
          <w:lang w:eastAsia="pl-PL"/>
        </w:rPr>
        <w:drawing>
          <wp:inline distT="0" distB="0" distL="0" distR="0" wp14:anchorId="23322F4F" wp14:editId="07D633AF">
            <wp:extent cx="1925955" cy="1762709"/>
            <wp:effectExtent l="0" t="0" r="0" b="9525"/>
            <wp:docPr id="2" name="Obraz 2"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az 56" descr="Obraz zawierający mapa&#10;&#10;Opis wygenerowany automatyczni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36298" cy="1772175"/>
                    </a:xfrm>
                    <a:prstGeom prst="rect">
                      <a:avLst/>
                    </a:prstGeom>
                  </pic:spPr>
                </pic:pic>
              </a:graphicData>
            </a:graphic>
          </wp:inline>
        </w:drawing>
      </w:r>
    </w:p>
    <w:p w14:paraId="728784B6" w14:textId="309B1F0D" w:rsidR="00304514" w:rsidRDefault="00304514" w:rsidP="00DD0E4C">
      <w:pPr>
        <w:spacing w:after="120" w:line="240" w:lineRule="auto"/>
        <w:jc w:val="center"/>
        <w:rPr>
          <w:sz w:val="20"/>
          <w:szCs w:val="20"/>
        </w:rPr>
      </w:pPr>
      <w:r w:rsidRPr="00D9785F">
        <w:rPr>
          <w:sz w:val="20"/>
          <w:szCs w:val="20"/>
        </w:rPr>
        <w:t>Rys. 12. Klasy stref określone na podstawie średnich rocznych stężeń pyłu zawieszonego PM10 w Polsce w wyniku oceny jakości powietrza w latach 2018-2020</w:t>
      </w:r>
    </w:p>
    <w:p w14:paraId="7C05B598" w14:textId="5067750C" w:rsidR="00304514" w:rsidRPr="00D9785F" w:rsidRDefault="00304514" w:rsidP="00304514">
      <w:pPr>
        <w:spacing w:after="120" w:line="240" w:lineRule="auto"/>
        <w:jc w:val="center"/>
      </w:pPr>
      <w:r w:rsidRPr="00612614">
        <w:rPr>
          <w:noProof/>
          <w:lang w:eastAsia="pl-PL"/>
        </w:rPr>
        <w:lastRenderedPageBreak/>
        <w:drawing>
          <wp:inline distT="0" distB="0" distL="0" distR="0" wp14:anchorId="27EA088D" wp14:editId="08398027">
            <wp:extent cx="1724536" cy="1694180"/>
            <wp:effectExtent l="0" t="0" r="9525" b="127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33982" cy="1703460"/>
                    </a:xfrm>
                    <a:prstGeom prst="rect">
                      <a:avLst/>
                    </a:prstGeom>
                    <a:noFill/>
                    <a:ln>
                      <a:noFill/>
                    </a:ln>
                  </pic:spPr>
                </pic:pic>
              </a:graphicData>
            </a:graphic>
          </wp:inline>
        </w:drawing>
      </w:r>
      <w:r w:rsidRPr="00612614">
        <w:rPr>
          <w:noProof/>
          <w:lang w:eastAsia="pl-PL"/>
        </w:rPr>
        <w:drawing>
          <wp:inline distT="0" distB="0" distL="0" distR="0" wp14:anchorId="34892D7B" wp14:editId="07FF07DA">
            <wp:extent cx="1767840" cy="1694815"/>
            <wp:effectExtent l="0" t="0" r="3810" b="63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3798" cy="1710114"/>
                    </a:xfrm>
                    <a:prstGeom prst="rect">
                      <a:avLst/>
                    </a:prstGeom>
                    <a:noFill/>
                    <a:ln>
                      <a:noFill/>
                    </a:ln>
                  </pic:spPr>
                </pic:pic>
              </a:graphicData>
            </a:graphic>
          </wp:inline>
        </w:drawing>
      </w:r>
      <w:r w:rsidRPr="00612614">
        <w:rPr>
          <w:noProof/>
          <w:lang w:eastAsia="pl-PL"/>
        </w:rPr>
        <w:drawing>
          <wp:inline distT="0" distB="0" distL="0" distR="0" wp14:anchorId="2C0224A7" wp14:editId="43D10700">
            <wp:extent cx="1847088" cy="1697355"/>
            <wp:effectExtent l="0" t="0" r="1270" b="0"/>
            <wp:docPr id="45" name="Obraz 45"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braz 55" descr="Obraz zawierający mapa&#10;&#10;Opis wygenerowany automatyczni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77565" cy="1725362"/>
                    </a:xfrm>
                    <a:prstGeom prst="rect">
                      <a:avLst/>
                    </a:prstGeom>
                  </pic:spPr>
                </pic:pic>
              </a:graphicData>
            </a:graphic>
          </wp:inline>
        </w:drawing>
      </w:r>
    </w:p>
    <w:p w14:paraId="00BF71E7" w14:textId="77777777" w:rsidR="006C1E42" w:rsidRDefault="006C1E42" w:rsidP="006C1E42">
      <w:pPr>
        <w:spacing w:after="120" w:line="240" w:lineRule="auto"/>
        <w:jc w:val="center"/>
        <w:rPr>
          <w:sz w:val="20"/>
          <w:szCs w:val="20"/>
        </w:rPr>
      </w:pPr>
      <w:r w:rsidRPr="00D9785F">
        <w:rPr>
          <w:sz w:val="20"/>
          <w:szCs w:val="20"/>
        </w:rPr>
        <w:t>Rys. 13. Klasy stref określone na podstawie 24-godzinnych stężeń pyłu zawieszonego PM10 w Polsce w wyniku oceny jakości powietrza w latach 2018-2020</w:t>
      </w:r>
    </w:p>
    <w:p w14:paraId="6FBB788A" w14:textId="77777777" w:rsidR="006C1E42" w:rsidRPr="00612614" w:rsidRDefault="006C1E42" w:rsidP="006C1E42">
      <w:pPr>
        <w:jc w:val="both"/>
        <w:rPr>
          <w:b/>
          <w:i/>
          <w:sz w:val="20"/>
          <w:szCs w:val="20"/>
        </w:rPr>
      </w:pPr>
      <w:r w:rsidRPr="00612614">
        <w:rPr>
          <w:b/>
          <w:i/>
          <w:sz w:val="20"/>
          <w:szCs w:val="20"/>
        </w:rPr>
        <w:t xml:space="preserve">Poziom dopuszczalny PM2,5 – faza I: 25 </w:t>
      </w:r>
      <w:r w:rsidRPr="00612614">
        <w:rPr>
          <w:rFonts w:cstheme="minorHAnsi"/>
          <w:b/>
          <w:i/>
          <w:sz w:val="20"/>
          <w:szCs w:val="20"/>
        </w:rPr>
        <w:t>µ</w:t>
      </w:r>
      <w:r w:rsidRPr="00612614">
        <w:rPr>
          <w:b/>
          <w:i/>
          <w:sz w:val="20"/>
          <w:szCs w:val="20"/>
        </w:rPr>
        <w:t>g/m</w:t>
      </w:r>
      <w:r w:rsidRPr="00612614">
        <w:rPr>
          <w:b/>
          <w:i/>
          <w:sz w:val="20"/>
          <w:szCs w:val="20"/>
          <w:vertAlign w:val="superscript"/>
        </w:rPr>
        <w:t>3</w:t>
      </w:r>
    </w:p>
    <w:p w14:paraId="653EC052" w14:textId="710BF811" w:rsidR="006C1E42" w:rsidRDefault="006C1E42" w:rsidP="00DD0E4C">
      <w:pPr>
        <w:jc w:val="center"/>
        <w:rPr>
          <w:color w:val="000000" w:themeColor="text1"/>
          <w:sz w:val="20"/>
          <w:szCs w:val="20"/>
        </w:rPr>
      </w:pPr>
      <w:r w:rsidRPr="00612614">
        <w:rPr>
          <w:noProof/>
          <w:lang w:eastAsia="pl-PL"/>
        </w:rPr>
        <w:drawing>
          <wp:inline distT="0" distB="0" distL="0" distR="0" wp14:anchorId="78044A4B" wp14:editId="22A4F10B">
            <wp:extent cx="1743075" cy="1562100"/>
            <wp:effectExtent l="0" t="0" r="952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50106" cy="1568401"/>
                    </a:xfrm>
                    <a:prstGeom prst="rect">
                      <a:avLst/>
                    </a:prstGeom>
                    <a:noFill/>
                    <a:ln>
                      <a:noFill/>
                    </a:ln>
                  </pic:spPr>
                </pic:pic>
              </a:graphicData>
            </a:graphic>
          </wp:inline>
        </w:drawing>
      </w:r>
      <w:r w:rsidRPr="00612614">
        <w:rPr>
          <w:noProof/>
          <w:lang w:eastAsia="pl-PL"/>
        </w:rPr>
        <w:drawing>
          <wp:inline distT="0" distB="0" distL="0" distR="0" wp14:anchorId="3219B896" wp14:editId="5F62F2BE">
            <wp:extent cx="1840856" cy="1668780"/>
            <wp:effectExtent l="0" t="0" r="7620" b="762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74360" cy="1699153"/>
                    </a:xfrm>
                    <a:prstGeom prst="rect">
                      <a:avLst/>
                    </a:prstGeom>
                    <a:noFill/>
                    <a:ln>
                      <a:noFill/>
                    </a:ln>
                  </pic:spPr>
                </pic:pic>
              </a:graphicData>
            </a:graphic>
          </wp:inline>
        </w:drawing>
      </w:r>
      <w:r w:rsidRPr="00612614">
        <w:rPr>
          <w:noProof/>
          <w:lang w:eastAsia="pl-PL"/>
        </w:rPr>
        <w:drawing>
          <wp:inline distT="0" distB="0" distL="0" distR="0" wp14:anchorId="07C5B2F3" wp14:editId="6C3B2942">
            <wp:extent cx="1811655" cy="1623060"/>
            <wp:effectExtent l="0" t="0" r="0" b="0"/>
            <wp:docPr id="58" name="Obraz 58"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58" descr="Obraz zawierający mapa&#10;&#10;Opis wygenerowany automatyczni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20985" cy="1631419"/>
                    </a:xfrm>
                    <a:prstGeom prst="rect">
                      <a:avLst/>
                    </a:prstGeom>
                  </pic:spPr>
                </pic:pic>
              </a:graphicData>
            </a:graphic>
          </wp:inline>
        </w:drawing>
      </w:r>
    </w:p>
    <w:p w14:paraId="6E8856BF" w14:textId="77777777" w:rsidR="006C1E42" w:rsidRPr="00612614" w:rsidRDefault="006C1E42" w:rsidP="006C1E42">
      <w:pPr>
        <w:jc w:val="both"/>
        <w:rPr>
          <w:b/>
          <w:i/>
          <w:sz w:val="20"/>
          <w:szCs w:val="20"/>
        </w:rPr>
      </w:pPr>
      <w:r w:rsidRPr="00612614">
        <w:rPr>
          <w:b/>
          <w:i/>
          <w:sz w:val="20"/>
          <w:szCs w:val="20"/>
        </w:rPr>
        <w:t xml:space="preserve">Poziom dopuszczalny PM2,5 – faza II: 20 </w:t>
      </w:r>
      <w:r w:rsidRPr="00612614">
        <w:rPr>
          <w:rFonts w:cstheme="minorHAnsi"/>
          <w:b/>
          <w:i/>
          <w:sz w:val="20"/>
          <w:szCs w:val="20"/>
        </w:rPr>
        <w:t>µ</w:t>
      </w:r>
      <w:r w:rsidRPr="00612614">
        <w:rPr>
          <w:b/>
          <w:i/>
          <w:sz w:val="20"/>
          <w:szCs w:val="20"/>
        </w:rPr>
        <w:t>g/m</w:t>
      </w:r>
      <w:r w:rsidRPr="00612614">
        <w:rPr>
          <w:b/>
          <w:i/>
          <w:sz w:val="20"/>
          <w:szCs w:val="20"/>
          <w:vertAlign w:val="superscript"/>
        </w:rPr>
        <w:t>3</w:t>
      </w:r>
    </w:p>
    <w:p w14:paraId="570F06F6" w14:textId="77777777" w:rsidR="006C1E42" w:rsidRDefault="006C1E42" w:rsidP="006C1E42">
      <w:pPr>
        <w:spacing w:after="120" w:line="240" w:lineRule="auto"/>
        <w:jc w:val="both"/>
        <w:rPr>
          <w:sz w:val="20"/>
          <w:szCs w:val="20"/>
        </w:rPr>
      </w:pPr>
      <w:r w:rsidRPr="00612614">
        <w:rPr>
          <w:noProof/>
          <w:lang w:eastAsia="pl-PL"/>
        </w:rPr>
        <w:drawing>
          <wp:inline distT="0" distB="0" distL="0" distR="0" wp14:anchorId="3C6BC080" wp14:editId="04CCA040">
            <wp:extent cx="1805940" cy="1539240"/>
            <wp:effectExtent l="0" t="0" r="3810" b="3810"/>
            <wp:docPr id="50" name="Obraz 50"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 59" descr="Obraz zawierający mapa&#10;&#10;Opis wygenerowany automatyczni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21695" cy="1552668"/>
                    </a:xfrm>
                    <a:prstGeom prst="rect">
                      <a:avLst/>
                    </a:prstGeom>
                  </pic:spPr>
                </pic:pic>
              </a:graphicData>
            </a:graphic>
          </wp:inline>
        </w:drawing>
      </w:r>
    </w:p>
    <w:p w14:paraId="5195C370" w14:textId="22847F06" w:rsidR="006C1E42" w:rsidRDefault="006C1E42" w:rsidP="00DD0E4C">
      <w:pPr>
        <w:spacing w:after="120" w:line="240" w:lineRule="auto"/>
        <w:jc w:val="center"/>
        <w:rPr>
          <w:sz w:val="20"/>
          <w:szCs w:val="20"/>
        </w:rPr>
      </w:pPr>
      <w:r w:rsidRPr="00D9785F">
        <w:rPr>
          <w:sz w:val="20"/>
          <w:szCs w:val="20"/>
        </w:rPr>
        <w:t>Rys. 14. Klasy stref określone na podstawie średnich rocznych stężeń pyłu zawieszonego PM2,5 w Polsce w wyniku oceny jakości powietrza w latach 2018-2020</w:t>
      </w:r>
    </w:p>
    <w:p w14:paraId="70BDADE9" w14:textId="6B0D71FF" w:rsidR="00C407A0" w:rsidRDefault="006C1E42" w:rsidP="006C1E42">
      <w:pPr>
        <w:rPr>
          <w:color w:val="000000" w:themeColor="text1"/>
          <w:sz w:val="20"/>
          <w:szCs w:val="20"/>
        </w:rPr>
      </w:pPr>
      <w:r w:rsidRPr="00612614">
        <w:rPr>
          <w:noProof/>
          <w:lang w:eastAsia="pl-PL"/>
        </w:rPr>
        <w:drawing>
          <wp:inline distT="0" distB="0" distL="0" distR="0" wp14:anchorId="16A94A9D" wp14:editId="1BFFCA02">
            <wp:extent cx="1767840" cy="1546568"/>
            <wp:effectExtent l="0" t="0" r="381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81141" cy="1558205"/>
                    </a:xfrm>
                    <a:prstGeom prst="rect">
                      <a:avLst/>
                    </a:prstGeom>
                    <a:noFill/>
                    <a:ln>
                      <a:noFill/>
                    </a:ln>
                  </pic:spPr>
                </pic:pic>
              </a:graphicData>
            </a:graphic>
          </wp:inline>
        </w:drawing>
      </w:r>
      <w:r w:rsidRPr="00612614">
        <w:rPr>
          <w:noProof/>
          <w:lang w:eastAsia="pl-PL"/>
        </w:rPr>
        <w:drawing>
          <wp:inline distT="0" distB="0" distL="0" distR="0" wp14:anchorId="45F3CB86" wp14:editId="6E5F6749">
            <wp:extent cx="1676400" cy="1561769"/>
            <wp:effectExtent l="0" t="0" r="0" b="63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96639" cy="1580624"/>
                    </a:xfrm>
                    <a:prstGeom prst="rect">
                      <a:avLst/>
                    </a:prstGeom>
                    <a:noFill/>
                    <a:ln>
                      <a:noFill/>
                    </a:ln>
                  </pic:spPr>
                </pic:pic>
              </a:graphicData>
            </a:graphic>
          </wp:inline>
        </w:drawing>
      </w:r>
      <w:r w:rsidRPr="00612614">
        <w:rPr>
          <w:noProof/>
          <w:lang w:eastAsia="pl-PL"/>
        </w:rPr>
        <w:drawing>
          <wp:inline distT="0" distB="0" distL="0" distR="0" wp14:anchorId="4C9B29E1" wp14:editId="27D7CDAC">
            <wp:extent cx="1859280" cy="1554480"/>
            <wp:effectExtent l="0" t="0" r="7620" b="7620"/>
            <wp:docPr id="51" name="Obraz 51"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descr="Obraz zawierający mapa&#10;&#10;Opis wygenerowany automatyczni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05977" cy="1593522"/>
                    </a:xfrm>
                    <a:prstGeom prst="rect">
                      <a:avLst/>
                    </a:prstGeom>
                  </pic:spPr>
                </pic:pic>
              </a:graphicData>
            </a:graphic>
          </wp:inline>
        </w:drawing>
      </w:r>
    </w:p>
    <w:p w14:paraId="2258DBCE" w14:textId="77777777" w:rsidR="006C1E42" w:rsidRPr="00D9785F" w:rsidRDefault="006C1E42" w:rsidP="00DD0E4C">
      <w:pPr>
        <w:spacing w:after="120" w:line="240" w:lineRule="auto"/>
        <w:jc w:val="center"/>
        <w:rPr>
          <w:sz w:val="20"/>
          <w:szCs w:val="20"/>
        </w:rPr>
      </w:pPr>
      <w:r w:rsidRPr="00D9785F">
        <w:rPr>
          <w:sz w:val="20"/>
          <w:szCs w:val="20"/>
        </w:rPr>
        <w:t>Rys. 15. Klasy stref określone na podstawie średnich rocznych stężeń benzo(a)pirenu w Polsce w wyniku oceny jakości powietrza w latach 2018-2020</w:t>
      </w:r>
    </w:p>
    <w:p w14:paraId="7DDB2484" w14:textId="58152046" w:rsidR="006C1E42" w:rsidRDefault="006C1E42" w:rsidP="006C1E42">
      <w:pPr>
        <w:jc w:val="center"/>
        <w:rPr>
          <w:b/>
          <w:i/>
          <w:noProof/>
        </w:rPr>
      </w:pPr>
      <w:r w:rsidRPr="00612614">
        <w:rPr>
          <w:b/>
          <w:i/>
        </w:rPr>
        <w:lastRenderedPageBreak/>
        <w:t>2018 i 2019</w:t>
      </w:r>
      <w:r>
        <w:rPr>
          <w:b/>
          <w:i/>
        </w:rPr>
        <w:tab/>
      </w:r>
      <w:r>
        <w:rPr>
          <w:b/>
          <w:i/>
        </w:rPr>
        <w:tab/>
      </w:r>
      <w:r>
        <w:rPr>
          <w:b/>
          <w:i/>
        </w:rPr>
        <w:tab/>
      </w:r>
      <w:r>
        <w:rPr>
          <w:b/>
          <w:i/>
        </w:rPr>
        <w:tab/>
      </w:r>
      <w:r w:rsidRPr="00612614">
        <w:rPr>
          <w:b/>
          <w:i/>
          <w:noProof/>
        </w:rPr>
        <w:t>2020</w:t>
      </w:r>
    </w:p>
    <w:p w14:paraId="137B65AE" w14:textId="5BAC0F44" w:rsidR="006C1E42" w:rsidRDefault="006C1E42" w:rsidP="006C1E42">
      <w:pPr>
        <w:jc w:val="center"/>
        <w:rPr>
          <w:color w:val="000000" w:themeColor="text1"/>
          <w:sz w:val="20"/>
          <w:szCs w:val="20"/>
        </w:rPr>
      </w:pPr>
      <w:r w:rsidRPr="00612614">
        <w:rPr>
          <w:noProof/>
          <w:lang w:eastAsia="pl-PL"/>
        </w:rPr>
        <w:drawing>
          <wp:inline distT="0" distB="0" distL="0" distR="0" wp14:anchorId="052FFD7E" wp14:editId="5F409BC6">
            <wp:extent cx="2011045" cy="1600200"/>
            <wp:effectExtent l="0" t="0" r="8255"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_OZ_NO2_R.png"/>
                    <pic:cNvPicPr/>
                  </pic:nvPicPr>
                  <pic:blipFill rotWithShape="1">
                    <a:blip r:embed="rId45" cstate="print">
                      <a:extLst>
                        <a:ext uri="{28A0092B-C50C-407E-A947-70E740481C1C}">
                          <a14:useLocalDpi xmlns:a14="http://schemas.microsoft.com/office/drawing/2010/main" val="0"/>
                        </a:ext>
                      </a:extLst>
                    </a:blip>
                    <a:srcRect t="2401" b="8315"/>
                    <a:stretch/>
                  </pic:blipFill>
                  <pic:spPr bwMode="auto">
                    <a:xfrm>
                      <a:off x="0" y="0"/>
                      <a:ext cx="2036888" cy="1620763"/>
                    </a:xfrm>
                    <a:prstGeom prst="rect">
                      <a:avLst/>
                    </a:prstGeom>
                    <a:ln>
                      <a:noFill/>
                    </a:ln>
                    <a:extLst>
                      <a:ext uri="{53640926-AAD7-44D8-BBD7-CCE9431645EC}">
                        <a14:shadowObscured xmlns:a14="http://schemas.microsoft.com/office/drawing/2010/main"/>
                      </a:ext>
                    </a:extLst>
                  </pic:spPr>
                </pic:pic>
              </a:graphicData>
            </a:graphic>
          </wp:inline>
        </w:drawing>
      </w:r>
      <w:r w:rsidRPr="00612614">
        <w:rPr>
          <w:noProof/>
          <w:lang w:eastAsia="pl-PL"/>
        </w:rPr>
        <w:drawing>
          <wp:inline distT="0" distB="0" distL="0" distR="0" wp14:anchorId="0E0888E6" wp14:editId="703FB0C5">
            <wp:extent cx="2066290" cy="1531620"/>
            <wp:effectExtent l="0" t="0" r="0" b="0"/>
            <wp:docPr id="59" name="Obraz 59"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az 51" descr="Obraz zawierający mapa&#10;&#10;Opis wygenerowany automatyczni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06556" cy="1561467"/>
                    </a:xfrm>
                    <a:prstGeom prst="rect">
                      <a:avLst/>
                    </a:prstGeom>
                  </pic:spPr>
                </pic:pic>
              </a:graphicData>
            </a:graphic>
          </wp:inline>
        </w:drawing>
      </w:r>
    </w:p>
    <w:p w14:paraId="105DACB7" w14:textId="77777777" w:rsidR="00537CE1" w:rsidRDefault="00537CE1" w:rsidP="00537CE1">
      <w:pPr>
        <w:spacing w:after="120" w:line="240" w:lineRule="auto"/>
        <w:jc w:val="center"/>
        <w:rPr>
          <w:sz w:val="20"/>
          <w:szCs w:val="20"/>
        </w:rPr>
      </w:pPr>
      <w:r w:rsidRPr="00D9785F">
        <w:rPr>
          <w:sz w:val="20"/>
          <w:szCs w:val="20"/>
        </w:rPr>
        <w:t>Rys. 16. Klasy stref określone na podstawie średnich rocznych stężeń NO</w:t>
      </w:r>
      <w:r w:rsidRPr="00D9785F">
        <w:rPr>
          <w:sz w:val="20"/>
          <w:szCs w:val="20"/>
          <w:vertAlign w:val="subscript"/>
        </w:rPr>
        <w:t>2</w:t>
      </w:r>
      <w:r w:rsidRPr="00D9785F">
        <w:rPr>
          <w:sz w:val="20"/>
          <w:szCs w:val="20"/>
        </w:rPr>
        <w:t xml:space="preserve"> w Polsce w wyniku oceny jakości powietrza w latach 2018-2020</w:t>
      </w:r>
    </w:p>
    <w:p w14:paraId="72D27EF7" w14:textId="77777777" w:rsidR="00537CE1" w:rsidRDefault="00537CE1" w:rsidP="00537CE1">
      <w:pPr>
        <w:rPr>
          <w:color w:val="000000" w:themeColor="text1"/>
          <w:sz w:val="20"/>
          <w:szCs w:val="20"/>
        </w:rPr>
      </w:pPr>
    </w:p>
    <w:p w14:paraId="0C9A8DC2" w14:textId="3B22A61D" w:rsidR="006C1E42" w:rsidRDefault="006C1E42" w:rsidP="006C1E42">
      <w:pPr>
        <w:jc w:val="center"/>
        <w:rPr>
          <w:color w:val="000000" w:themeColor="text1"/>
          <w:sz w:val="20"/>
          <w:szCs w:val="20"/>
        </w:rPr>
      </w:pPr>
      <w:r w:rsidRPr="00612614">
        <w:rPr>
          <w:noProof/>
          <w:lang w:eastAsia="pl-PL"/>
        </w:rPr>
        <w:drawing>
          <wp:inline distT="0" distB="0" distL="0" distR="0" wp14:anchorId="078B502F" wp14:editId="52385769">
            <wp:extent cx="1651635" cy="1386840"/>
            <wp:effectExtent l="0" t="0" r="5715" b="381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4090" t="5281" r="6176" b="4501"/>
                    <a:stretch/>
                  </pic:blipFill>
                  <pic:spPr bwMode="auto">
                    <a:xfrm>
                      <a:off x="0" y="0"/>
                      <a:ext cx="1662248" cy="1395751"/>
                    </a:xfrm>
                    <a:prstGeom prst="rect">
                      <a:avLst/>
                    </a:prstGeom>
                    <a:ln>
                      <a:noFill/>
                    </a:ln>
                    <a:extLst>
                      <a:ext uri="{53640926-AAD7-44D8-BBD7-CCE9431645EC}">
                        <a14:shadowObscured xmlns:a14="http://schemas.microsoft.com/office/drawing/2010/main"/>
                      </a:ext>
                    </a:extLst>
                  </pic:spPr>
                </pic:pic>
              </a:graphicData>
            </a:graphic>
          </wp:inline>
        </w:drawing>
      </w:r>
      <w:r w:rsidRPr="00612614">
        <w:rPr>
          <w:noProof/>
          <w:lang w:eastAsia="pl-PL"/>
        </w:rPr>
        <w:drawing>
          <wp:inline distT="0" distB="0" distL="0" distR="0" wp14:anchorId="4B63CFF2" wp14:editId="53BB8440">
            <wp:extent cx="1864995" cy="1463040"/>
            <wp:effectExtent l="0" t="0" r="1905" b="381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_OZ_O3_DC.png"/>
                    <pic:cNvPicPr/>
                  </pic:nvPicPr>
                  <pic:blipFill rotWithShape="1">
                    <a:blip r:embed="rId48" cstate="print">
                      <a:extLst>
                        <a:ext uri="{28A0092B-C50C-407E-A947-70E740481C1C}">
                          <a14:useLocalDpi xmlns:a14="http://schemas.microsoft.com/office/drawing/2010/main" val="0"/>
                        </a:ext>
                      </a:extLst>
                    </a:blip>
                    <a:srcRect t="3006" b="6119"/>
                    <a:stretch/>
                  </pic:blipFill>
                  <pic:spPr bwMode="auto">
                    <a:xfrm>
                      <a:off x="0" y="0"/>
                      <a:ext cx="1888183" cy="1481230"/>
                    </a:xfrm>
                    <a:prstGeom prst="rect">
                      <a:avLst/>
                    </a:prstGeom>
                    <a:ln>
                      <a:noFill/>
                    </a:ln>
                    <a:extLst>
                      <a:ext uri="{53640926-AAD7-44D8-BBD7-CCE9431645EC}">
                        <a14:shadowObscured xmlns:a14="http://schemas.microsoft.com/office/drawing/2010/main"/>
                      </a:ext>
                    </a:extLst>
                  </pic:spPr>
                </pic:pic>
              </a:graphicData>
            </a:graphic>
          </wp:inline>
        </w:drawing>
      </w:r>
      <w:r w:rsidRPr="00612614">
        <w:rPr>
          <w:noProof/>
          <w:lang w:eastAsia="pl-PL"/>
        </w:rPr>
        <w:drawing>
          <wp:inline distT="0" distB="0" distL="0" distR="0" wp14:anchorId="46D2AB60" wp14:editId="4B99EF5F">
            <wp:extent cx="1861820" cy="1539240"/>
            <wp:effectExtent l="0" t="0" r="5080" b="3810"/>
            <wp:docPr id="62" name="Obraz 62"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52" descr="Obraz zawierający mapa&#10;&#10;Opis wygenerowany automatyczni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76828" cy="1551648"/>
                    </a:xfrm>
                    <a:prstGeom prst="rect">
                      <a:avLst/>
                    </a:prstGeom>
                  </pic:spPr>
                </pic:pic>
              </a:graphicData>
            </a:graphic>
          </wp:inline>
        </w:drawing>
      </w:r>
    </w:p>
    <w:p w14:paraId="46C2F1FE" w14:textId="77777777" w:rsidR="006C1E42" w:rsidRPr="00D9785F" w:rsidRDefault="006C1E42" w:rsidP="006C1E42">
      <w:pPr>
        <w:jc w:val="center"/>
        <w:rPr>
          <w:sz w:val="20"/>
          <w:szCs w:val="20"/>
        </w:rPr>
      </w:pPr>
      <w:r w:rsidRPr="00D9785F">
        <w:rPr>
          <w:sz w:val="20"/>
          <w:szCs w:val="20"/>
        </w:rPr>
        <w:t>Rys. 17. Klasy stref określone na podstawie stężeń O</w:t>
      </w:r>
      <w:r w:rsidRPr="00D9785F">
        <w:rPr>
          <w:sz w:val="20"/>
          <w:szCs w:val="20"/>
          <w:vertAlign w:val="subscript"/>
        </w:rPr>
        <w:t>3</w:t>
      </w:r>
      <w:r w:rsidRPr="00D9785F">
        <w:rPr>
          <w:sz w:val="20"/>
          <w:szCs w:val="20"/>
        </w:rPr>
        <w:t xml:space="preserve"> w Polsce w wyniku oceny jakości powietrza w latach 2018-2020</w:t>
      </w:r>
    </w:p>
    <w:p w14:paraId="06AEF45E" w14:textId="1E23E3DC" w:rsidR="00537CE1" w:rsidRDefault="00537CE1" w:rsidP="00537CE1">
      <w:pPr>
        <w:spacing w:after="120" w:line="240" w:lineRule="auto"/>
        <w:jc w:val="both"/>
      </w:pPr>
      <w:r w:rsidRPr="00D9785F">
        <w:t>Oprócz wyników klasyfikacji stref, rezultatem rocznej oceny jakości powietrza jest również informacja dotycząca wielkości obszaru przekroczeń wartości normatywnej, zgodnie z wymaganiami raportowania wyników ocen jakości powietrza, wynikającymi z decyzji wykonawczej Komisji Europejskiej 2011/850/UE</w:t>
      </w:r>
      <w:r w:rsidRPr="00D9785F">
        <w:rPr>
          <w:vertAlign w:val="superscript"/>
        </w:rPr>
        <w:footnoteReference w:id="8"/>
      </w:r>
      <w:r w:rsidRPr="00D9785F">
        <w:t xml:space="preserve"> oraz z wytycznych KE do tej decyzji</w:t>
      </w:r>
      <w:r w:rsidRPr="00D9785F">
        <w:rPr>
          <w:vertAlign w:val="superscript"/>
        </w:rPr>
        <w:footnoteReference w:id="9"/>
      </w:r>
      <w:r w:rsidRPr="00D9785F">
        <w:t>. Obszary przekroczeń normatywnych stężeń zanieczyszczenia mogą być wyznaczane na podstawie pomiarów, modelowania, obiektywnego szacowania lub w oparciu o metody łączone.</w:t>
      </w:r>
    </w:p>
    <w:p w14:paraId="61E93BA6" w14:textId="441820B1" w:rsidR="00537CE1" w:rsidRDefault="00537CE1" w:rsidP="00537CE1">
      <w:pPr>
        <w:spacing w:after="120" w:line="240" w:lineRule="auto"/>
        <w:jc w:val="center"/>
      </w:pPr>
      <w:r>
        <w:rPr>
          <w:noProof/>
          <w:lang w:eastAsia="pl-PL"/>
        </w:rPr>
        <w:drawing>
          <wp:inline distT="0" distB="0" distL="0" distR="0" wp14:anchorId="4D65C8E8" wp14:editId="7C42F4E3">
            <wp:extent cx="1628140" cy="1280160"/>
            <wp:effectExtent l="0" t="0" r="0" b="0"/>
            <wp:docPr id="456" name="Obraz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81499" cy="1322115"/>
                    </a:xfrm>
                    <a:prstGeom prst="rect">
                      <a:avLst/>
                    </a:prstGeom>
                    <a:noFill/>
                    <a:ln>
                      <a:noFill/>
                    </a:ln>
                  </pic:spPr>
                </pic:pic>
              </a:graphicData>
            </a:graphic>
          </wp:inline>
        </w:drawing>
      </w:r>
      <w:r>
        <w:rPr>
          <w:noProof/>
          <w:lang w:eastAsia="pl-PL"/>
        </w:rPr>
        <w:drawing>
          <wp:inline distT="0" distB="0" distL="0" distR="0" wp14:anchorId="6CAB0083" wp14:editId="404FD9BE">
            <wp:extent cx="1638300" cy="1310640"/>
            <wp:effectExtent l="0" t="0" r="0" b="3810"/>
            <wp:docPr id="457" name="Obraz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38300" cy="1310640"/>
                    </a:xfrm>
                    <a:prstGeom prst="rect">
                      <a:avLst/>
                    </a:prstGeom>
                    <a:noFill/>
                    <a:ln>
                      <a:noFill/>
                    </a:ln>
                  </pic:spPr>
                </pic:pic>
              </a:graphicData>
            </a:graphic>
          </wp:inline>
        </w:drawing>
      </w:r>
    </w:p>
    <w:p w14:paraId="65D11D2A" w14:textId="7892004D" w:rsidR="00537CE1" w:rsidRDefault="00537CE1" w:rsidP="00DD0E4C">
      <w:pPr>
        <w:spacing w:after="120" w:line="240" w:lineRule="auto"/>
        <w:jc w:val="center"/>
        <w:rPr>
          <w:i/>
          <w:sz w:val="20"/>
          <w:szCs w:val="20"/>
        </w:rPr>
      </w:pPr>
      <w:r w:rsidRPr="00D9785F">
        <w:rPr>
          <w:sz w:val="20"/>
          <w:szCs w:val="20"/>
        </w:rPr>
        <w:lastRenderedPageBreak/>
        <w:t>Rys. 18. Rozkład przestrzenny średniego rocznego stężenia pyłu zawieszonego PM10 na obszarze Polski w 2019</w:t>
      </w:r>
      <w:r>
        <w:rPr>
          <w:sz w:val="20"/>
          <w:szCs w:val="20"/>
        </w:rPr>
        <w:t> </w:t>
      </w:r>
      <w:r w:rsidRPr="00D9785F">
        <w:rPr>
          <w:sz w:val="20"/>
          <w:szCs w:val="20"/>
        </w:rPr>
        <w:t>r.</w:t>
      </w:r>
      <w:r>
        <w:rPr>
          <w:sz w:val="20"/>
          <w:szCs w:val="20"/>
        </w:rPr>
        <w:t xml:space="preserve"> (lewy)</w:t>
      </w:r>
      <w:r w:rsidRPr="00D9785F">
        <w:rPr>
          <w:sz w:val="20"/>
          <w:szCs w:val="20"/>
        </w:rPr>
        <w:t xml:space="preserve"> i</w:t>
      </w:r>
      <w:r>
        <w:rPr>
          <w:sz w:val="20"/>
          <w:szCs w:val="20"/>
        </w:rPr>
        <w:t> </w:t>
      </w:r>
      <w:r w:rsidRPr="00D9785F">
        <w:rPr>
          <w:sz w:val="20"/>
          <w:szCs w:val="20"/>
        </w:rPr>
        <w:t>2020</w:t>
      </w:r>
      <w:r>
        <w:rPr>
          <w:sz w:val="20"/>
          <w:szCs w:val="20"/>
        </w:rPr>
        <w:t> </w:t>
      </w:r>
      <w:r w:rsidRPr="00D9785F">
        <w:rPr>
          <w:sz w:val="20"/>
          <w:szCs w:val="20"/>
        </w:rPr>
        <w:t xml:space="preserve">r. </w:t>
      </w:r>
      <w:r>
        <w:rPr>
          <w:sz w:val="20"/>
          <w:szCs w:val="20"/>
        </w:rPr>
        <w:t xml:space="preserve">(prawy) </w:t>
      </w:r>
      <w:r w:rsidRPr="00D9785F">
        <w:rPr>
          <w:sz w:val="20"/>
          <w:szCs w:val="20"/>
        </w:rPr>
        <w:t>określony na podstawie modelowania matematycznego oraz obiektywnego szacowania</w:t>
      </w:r>
    </w:p>
    <w:tbl>
      <w:tblPr>
        <w:tblStyle w:val="Tabela-Siatka"/>
        <w:tblW w:w="10916"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1"/>
        <w:gridCol w:w="3596"/>
        <w:gridCol w:w="3969"/>
      </w:tblGrid>
      <w:tr w:rsidR="00537CE1" w:rsidRPr="00537CE1" w14:paraId="4AACC6F1" w14:textId="77777777" w:rsidTr="00F04B84">
        <w:tc>
          <w:tcPr>
            <w:tcW w:w="3351" w:type="dxa"/>
          </w:tcPr>
          <w:p w14:paraId="40D113DD" w14:textId="0AF91B56" w:rsidR="00537CE1" w:rsidRPr="00537CE1" w:rsidRDefault="00537CE1" w:rsidP="00537CE1">
            <w:pPr>
              <w:spacing w:after="160" w:line="259" w:lineRule="auto"/>
              <w:jc w:val="center"/>
              <w:rPr>
                <w:i/>
                <w:color w:val="000000" w:themeColor="text1"/>
                <w:sz w:val="20"/>
                <w:szCs w:val="20"/>
              </w:rPr>
            </w:pPr>
            <w:r w:rsidRPr="00537CE1">
              <w:rPr>
                <w:noProof/>
                <w:color w:val="000000" w:themeColor="text1"/>
                <w:sz w:val="20"/>
                <w:szCs w:val="20"/>
                <w:lang w:eastAsia="pl-PL"/>
              </w:rPr>
              <w:drawing>
                <wp:inline distT="0" distB="0" distL="0" distR="0" wp14:anchorId="7C5CECC7" wp14:editId="03DF2874">
                  <wp:extent cx="1524000" cy="141732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31648" cy="1424433"/>
                          </a:xfrm>
                          <a:prstGeom prst="rect">
                            <a:avLst/>
                          </a:prstGeom>
                          <a:noFill/>
                          <a:ln>
                            <a:noFill/>
                          </a:ln>
                        </pic:spPr>
                      </pic:pic>
                    </a:graphicData>
                  </a:graphic>
                </wp:inline>
              </w:drawing>
            </w:r>
          </w:p>
        </w:tc>
        <w:tc>
          <w:tcPr>
            <w:tcW w:w="3596" w:type="dxa"/>
          </w:tcPr>
          <w:p w14:paraId="2FF3CEB7" w14:textId="77777777" w:rsidR="00537CE1" w:rsidRPr="00537CE1" w:rsidRDefault="00537CE1" w:rsidP="00537CE1">
            <w:pPr>
              <w:spacing w:after="160" w:line="259" w:lineRule="auto"/>
              <w:jc w:val="center"/>
              <w:rPr>
                <w:i/>
                <w:color w:val="000000" w:themeColor="text1"/>
                <w:sz w:val="20"/>
                <w:szCs w:val="20"/>
              </w:rPr>
            </w:pPr>
            <w:r w:rsidRPr="00537CE1">
              <w:rPr>
                <w:noProof/>
                <w:color w:val="000000" w:themeColor="text1"/>
                <w:sz w:val="20"/>
                <w:szCs w:val="20"/>
                <w:lang w:eastAsia="pl-PL"/>
              </w:rPr>
              <w:drawing>
                <wp:inline distT="0" distB="0" distL="0" distR="0" wp14:anchorId="39B556EA" wp14:editId="3D0366CD">
                  <wp:extent cx="1615440" cy="1417320"/>
                  <wp:effectExtent l="0" t="0" r="381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pic:cNvPicPr/>
                        </pic:nvPicPr>
                        <pic:blipFill rotWithShape="1">
                          <a:blip r:embed="rId53"/>
                          <a:srcRect l="3706" t="3169" r="7358" b="6469"/>
                          <a:stretch/>
                        </pic:blipFill>
                        <pic:spPr bwMode="auto">
                          <a:xfrm>
                            <a:off x="0" y="0"/>
                            <a:ext cx="1640824" cy="1439591"/>
                          </a:xfrm>
                          <a:prstGeom prst="rect">
                            <a:avLst/>
                          </a:prstGeom>
                          <a:ln>
                            <a:noFill/>
                          </a:ln>
                          <a:extLst>
                            <a:ext uri="{53640926-AAD7-44D8-BBD7-CCE9431645EC}">
                              <a14:shadowObscured xmlns:a14="http://schemas.microsoft.com/office/drawing/2010/main"/>
                            </a:ext>
                          </a:extLst>
                        </pic:spPr>
                      </pic:pic>
                    </a:graphicData>
                  </a:graphic>
                </wp:inline>
              </w:drawing>
            </w:r>
          </w:p>
        </w:tc>
        <w:tc>
          <w:tcPr>
            <w:tcW w:w="3969" w:type="dxa"/>
          </w:tcPr>
          <w:p w14:paraId="374E1C9F" w14:textId="77777777" w:rsidR="00537CE1" w:rsidRPr="00537CE1" w:rsidRDefault="00537CE1" w:rsidP="00537CE1">
            <w:pPr>
              <w:spacing w:after="160" w:line="259" w:lineRule="auto"/>
              <w:jc w:val="center"/>
              <w:rPr>
                <w:i/>
                <w:color w:val="000000" w:themeColor="text1"/>
                <w:sz w:val="20"/>
                <w:szCs w:val="20"/>
              </w:rPr>
            </w:pPr>
            <w:r w:rsidRPr="00537CE1">
              <w:rPr>
                <w:noProof/>
                <w:color w:val="000000" w:themeColor="text1"/>
                <w:sz w:val="20"/>
                <w:szCs w:val="20"/>
                <w:lang w:eastAsia="pl-PL"/>
              </w:rPr>
              <w:drawing>
                <wp:inline distT="0" distB="0" distL="0" distR="0" wp14:anchorId="6E7E290D" wp14:editId="7E402F9F">
                  <wp:extent cx="1691640" cy="1417320"/>
                  <wp:effectExtent l="0" t="0" r="381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braz 67"/>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16172" cy="1437874"/>
                          </a:xfrm>
                          <a:prstGeom prst="rect">
                            <a:avLst/>
                          </a:prstGeom>
                        </pic:spPr>
                      </pic:pic>
                    </a:graphicData>
                  </a:graphic>
                </wp:inline>
              </w:drawing>
            </w:r>
          </w:p>
        </w:tc>
      </w:tr>
    </w:tbl>
    <w:p w14:paraId="6158FAD1" w14:textId="77777777" w:rsidR="00537CE1" w:rsidRPr="00537CE1" w:rsidRDefault="00537CE1" w:rsidP="00537CE1">
      <w:pPr>
        <w:jc w:val="center"/>
        <w:rPr>
          <w:i/>
          <w:color w:val="000000" w:themeColor="text1"/>
          <w:sz w:val="20"/>
          <w:szCs w:val="20"/>
        </w:rPr>
      </w:pPr>
      <w:r w:rsidRPr="00537CE1">
        <w:rPr>
          <w:color w:val="000000" w:themeColor="text1"/>
          <w:sz w:val="20"/>
          <w:szCs w:val="20"/>
        </w:rPr>
        <w:t xml:space="preserve">Rys. 19. Zasięg obszarów przekroczeń poziomu dopuszczalnego średniorocznego pyłu zawieszonego PM10 </w:t>
      </w:r>
      <w:r w:rsidRPr="00537CE1">
        <w:rPr>
          <w:color w:val="000000" w:themeColor="text1"/>
          <w:sz w:val="20"/>
          <w:szCs w:val="20"/>
        </w:rPr>
        <w:br/>
        <w:t>na obszarze Polski w latach 2018-2020</w:t>
      </w:r>
    </w:p>
    <w:tbl>
      <w:tblPr>
        <w:tblStyle w:val="Tabela-Siatka"/>
        <w:tblW w:w="10490"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3774"/>
        <w:gridCol w:w="3260"/>
      </w:tblGrid>
      <w:tr w:rsidR="00537CE1" w:rsidRPr="00537CE1" w14:paraId="04636CE0" w14:textId="77777777" w:rsidTr="00F04B84">
        <w:tc>
          <w:tcPr>
            <w:tcW w:w="3456" w:type="dxa"/>
          </w:tcPr>
          <w:p w14:paraId="2D9B1A04" w14:textId="5CFC5FE6" w:rsidR="00537CE1" w:rsidRPr="00537CE1" w:rsidRDefault="00537CE1" w:rsidP="00537CE1">
            <w:pPr>
              <w:spacing w:after="160" w:line="259" w:lineRule="auto"/>
              <w:jc w:val="center"/>
              <w:rPr>
                <w:color w:val="000000" w:themeColor="text1"/>
                <w:sz w:val="20"/>
                <w:szCs w:val="20"/>
              </w:rPr>
            </w:pPr>
            <w:r w:rsidRPr="00537CE1">
              <w:rPr>
                <w:noProof/>
                <w:color w:val="000000" w:themeColor="text1"/>
                <w:sz w:val="20"/>
                <w:szCs w:val="20"/>
                <w:lang w:eastAsia="pl-PL"/>
              </w:rPr>
              <w:drawing>
                <wp:inline distT="0" distB="0" distL="0" distR="0" wp14:anchorId="13F47E3D" wp14:editId="5C0D4956">
                  <wp:extent cx="1607820" cy="135636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11442" cy="1359416"/>
                          </a:xfrm>
                          <a:prstGeom prst="rect">
                            <a:avLst/>
                          </a:prstGeom>
                          <a:noFill/>
                          <a:ln>
                            <a:noFill/>
                          </a:ln>
                        </pic:spPr>
                      </pic:pic>
                    </a:graphicData>
                  </a:graphic>
                </wp:inline>
              </w:drawing>
            </w:r>
          </w:p>
        </w:tc>
        <w:tc>
          <w:tcPr>
            <w:tcW w:w="3774" w:type="dxa"/>
          </w:tcPr>
          <w:p w14:paraId="3241C91F" w14:textId="471BFC95" w:rsidR="00537CE1" w:rsidRPr="00537CE1" w:rsidRDefault="00537CE1" w:rsidP="00537CE1">
            <w:pPr>
              <w:spacing w:after="160" w:line="259" w:lineRule="auto"/>
              <w:jc w:val="center"/>
              <w:rPr>
                <w:color w:val="000000" w:themeColor="text1"/>
                <w:sz w:val="20"/>
                <w:szCs w:val="20"/>
              </w:rPr>
            </w:pPr>
            <w:r w:rsidRPr="00537CE1">
              <w:rPr>
                <w:noProof/>
                <w:color w:val="000000" w:themeColor="text1"/>
                <w:sz w:val="20"/>
                <w:szCs w:val="20"/>
                <w:lang w:eastAsia="pl-PL"/>
              </w:rPr>
              <w:drawing>
                <wp:inline distT="0" distB="0" distL="0" distR="0" wp14:anchorId="259BAC06" wp14:editId="6B39A366">
                  <wp:extent cx="1531620" cy="135636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34500" cy="1358910"/>
                          </a:xfrm>
                          <a:prstGeom prst="rect">
                            <a:avLst/>
                          </a:prstGeom>
                          <a:noFill/>
                          <a:ln>
                            <a:noFill/>
                          </a:ln>
                        </pic:spPr>
                      </pic:pic>
                    </a:graphicData>
                  </a:graphic>
                </wp:inline>
              </w:drawing>
            </w:r>
          </w:p>
        </w:tc>
        <w:tc>
          <w:tcPr>
            <w:tcW w:w="3260" w:type="dxa"/>
          </w:tcPr>
          <w:p w14:paraId="20CD708C" w14:textId="77777777" w:rsidR="00537CE1" w:rsidRPr="00537CE1" w:rsidRDefault="00537CE1" w:rsidP="00537CE1">
            <w:pPr>
              <w:spacing w:after="160" w:line="259" w:lineRule="auto"/>
              <w:jc w:val="center"/>
              <w:rPr>
                <w:color w:val="000000" w:themeColor="text1"/>
                <w:sz w:val="20"/>
                <w:szCs w:val="20"/>
              </w:rPr>
            </w:pPr>
            <w:r w:rsidRPr="00537CE1">
              <w:rPr>
                <w:noProof/>
                <w:color w:val="000000" w:themeColor="text1"/>
                <w:sz w:val="20"/>
                <w:szCs w:val="20"/>
                <w:lang w:eastAsia="pl-PL"/>
              </w:rPr>
              <w:drawing>
                <wp:inline distT="0" distB="0" distL="0" distR="0" wp14:anchorId="20065D13" wp14:editId="56B4687B">
                  <wp:extent cx="1645920" cy="1356360"/>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az 66"/>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80176" cy="1384589"/>
                          </a:xfrm>
                          <a:prstGeom prst="rect">
                            <a:avLst/>
                          </a:prstGeom>
                        </pic:spPr>
                      </pic:pic>
                    </a:graphicData>
                  </a:graphic>
                </wp:inline>
              </w:drawing>
            </w:r>
          </w:p>
        </w:tc>
      </w:tr>
    </w:tbl>
    <w:p w14:paraId="755481D2" w14:textId="77777777" w:rsidR="00537CE1" w:rsidRPr="00537CE1" w:rsidRDefault="00537CE1" w:rsidP="00537CE1">
      <w:pPr>
        <w:jc w:val="center"/>
        <w:rPr>
          <w:i/>
          <w:color w:val="000000" w:themeColor="text1"/>
          <w:sz w:val="20"/>
          <w:szCs w:val="20"/>
        </w:rPr>
      </w:pPr>
      <w:r w:rsidRPr="00537CE1">
        <w:rPr>
          <w:color w:val="000000" w:themeColor="text1"/>
          <w:sz w:val="20"/>
          <w:szCs w:val="20"/>
        </w:rPr>
        <w:t xml:space="preserve">Rys. 20. Zasięg obszarów przekroczeń 24-godzinnego poziomu dopuszczalnego pyłu zawieszonego PM10 </w:t>
      </w:r>
      <w:r w:rsidRPr="00537CE1">
        <w:rPr>
          <w:color w:val="000000" w:themeColor="text1"/>
          <w:sz w:val="20"/>
          <w:szCs w:val="20"/>
        </w:rPr>
        <w:br/>
        <w:t>na obszarze Polski w latach 2018-2020</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37CE1" w:rsidRPr="00537CE1" w14:paraId="3C0F025D" w14:textId="77777777" w:rsidTr="00F04B84">
        <w:tc>
          <w:tcPr>
            <w:tcW w:w="4531" w:type="dxa"/>
          </w:tcPr>
          <w:p w14:paraId="46055B30" w14:textId="300C92BC" w:rsidR="00537CE1" w:rsidRPr="00537CE1" w:rsidRDefault="00537CE1" w:rsidP="00537CE1">
            <w:pPr>
              <w:spacing w:after="160" w:line="259" w:lineRule="auto"/>
              <w:jc w:val="center"/>
              <w:rPr>
                <w:color w:val="000000" w:themeColor="text1"/>
                <w:sz w:val="20"/>
                <w:szCs w:val="20"/>
              </w:rPr>
            </w:pPr>
            <w:r w:rsidRPr="00537CE1">
              <w:rPr>
                <w:noProof/>
                <w:color w:val="000000" w:themeColor="text1"/>
                <w:sz w:val="20"/>
                <w:szCs w:val="20"/>
                <w:lang w:eastAsia="pl-PL"/>
              </w:rPr>
              <w:drawing>
                <wp:inline distT="0" distB="0" distL="0" distR="0" wp14:anchorId="60232F0E" wp14:editId="751A1F11">
                  <wp:extent cx="1600200" cy="1363980"/>
                  <wp:effectExtent l="0" t="0" r="0" b="762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30824" cy="1390083"/>
                          </a:xfrm>
                          <a:prstGeom prst="rect">
                            <a:avLst/>
                          </a:prstGeom>
                          <a:noFill/>
                          <a:ln>
                            <a:noFill/>
                          </a:ln>
                        </pic:spPr>
                      </pic:pic>
                    </a:graphicData>
                  </a:graphic>
                </wp:inline>
              </w:drawing>
            </w:r>
          </w:p>
        </w:tc>
        <w:tc>
          <w:tcPr>
            <w:tcW w:w="4531" w:type="dxa"/>
          </w:tcPr>
          <w:p w14:paraId="56880AB1" w14:textId="77777777" w:rsidR="00537CE1" w:rsidRPr="00537CE1" w:rsidRDefault="00537CE1" w:rsidP="00537CE1">
            <w:pPr>
              <w:spacing w:after="160" w:line="259" w:lineRule="auto"/>
              <w:jc w:val="center"/>
              <w:rPr>
                <w:color w:val="000000" w:themeColor="text1"/>
                <w:sz w:val="20"/>
                <w:szCs w:val="20"/>
              </w:rPr>
            </w:pPr>
            <w:r w:rsidRPr="00537CE1">
              <w:rPr>
                <w:noProof/>
                <w:color w:val="000000" w:themeColor="text1"/>
                <w:sz w:val="20"/>
                <w:szCs w:val="20"/>
                <w:lang w:eastAsia="pl-PL"/>
              </w:rPr>
              <w:drawing>
                <wp:inline distT="0" distB="0" distL="0" distR="0" wp14:anchorId="7E6CBFA4" wp14:editId="7F20127E">
                  <wp:extent cx="1577340" cy="1363980"/>
                  <wp:effectExtent l="0" t="0" r="3810" b="7620"/>
                  <wp:docPr id="459" name="Obraz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42702" cy="1420501"/>
                          </a:xfrm>
                          <a:prstGeom prst="rect">
                            <a:avLst/>
                          </a:prstGeom>
                          <a:noFill/>
                          <a:ln>
                            <a:noFill/>
                          </a:ln>
                        </pic:spPr>
                      </pic:pic>
                    </a:graphicData>
                  </a:graphic>
                </wp:inline>
              </w:drawing>
            </w:r>
          </w:p>
        </w:tc>
      </w:tr>
    </w:tbl>
    <w:p w14:paraId="65BFB70E" w14:textId="0C725859" w:rsidR="00BB3FB9" w:rsidRPr="00A84E16" w:rsidRDefault="00537CE1" w:rsidP="00A84E16">
      <w:pPr>
        <w:jc w:val="center"/>
        <w:rPr>
          <w:iCs/>
          <w:color w:val="000000" w:themeColor="text1"/>
          <w:sz w:val="20"/>
          <w:szCs w:val="20"/>
        </w:rPr>
      </w:pPr>
      <w:r w:rsidRPr="00537CE1">
        <w:rPr>
          <w:iCs/>
          <w:color w:val="000000" w:themeColor="text1"/>
          <w:sz w:val="20"/>
          <w:szCs w:val="20"/>
        </w:rPr>
        <w:t>Rys. 21. Rozkład przestrzenny średniego rocznego stężenia pyłu zawieszonego PM2,5 na obszarze Polski w 2019 r. (lewy) i 2020 r. (prawy), określony na podstawie modelowania matematycznego oraz obiektywnego szacowania</w:t>
      </w:r>
    </w:p>
    <w:p w14:paraId="009B72D9" w14:textId="06DE90FF" w:rsidR="00537CE1" w:rsidRPr="00732334" w:rsidRDefault="00537CE1" w:rsidP="00537CE1">
      <w:pPr>
        <w:jc w:val="both"/>
        <w:rPr>
          <w:b/>
          <w:i/>
          <w:sz w:val="20"/>
          <w:szCs w:val="20"/>
        </w:rPr>
      </w:pPr>
      <w:r w:rsidRPr="00612614">
        <w:rPr>
          <w:b/>
          <w:i/>
          <w:sz w:val="20"/>
          <w:szCs w:val="20"/>
        </w:rPr>
        <w:t xml:space="preserve">Poziom dopuszczalny PM2,5 – faza I: 25 </w:t>
      </w:r>
      <w:r w:rsidRPr="00612614">
        <w:rPr>
          <w:rFonts w:cstheme="minorHAnsi"/>
          <w:b/>
          <w:i/>
          <w:sz w:val="20"/>
          <w:szCs w:val="20"/>
        </w:rPr>
        <w:t>µ</w:t>
      </w:r>
      <w:r w:rsidRPr="00612614">
        <w:rPr>
          <w:b/>
          <w:i/>
          <w:sz w:val="20"/>
          <w:szCs w:val="20"/>
        </w:rPr>
        <w:t>g/m</w:t>
      </w:r>
      <w:r w:rsidRPr="00612614">
        <w:rPr>
          <w:b/>
          <w:i/>
          <w:sz w:val="20"/>
          <w:szCs w:val="20"/>
          <w:vertAlign w:val="superscript"/>
        </w:rPr>
        <w:t>3</w:t>
      </w:r>
    </w:p>
    <w:tbl>
      <w:tblPr>
        <w:tblStyle w:val="Tabela-Siatka"/>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gridCol w:w="3548"/>
        <w:gridCol w:w="3673"/>
      </w:tblGrid>
      <w:tr w:rsidR="00537CE1" w14:paraId="7C39C7D1" w14:textId="77777777" w:rsidTr="00F04B84">
        <w:tc>
          <w:tcPr>
            <w:tcW w:w="3411" w:type="dxa"/>
          </w:tcPr>
          <w:p w14:paraId="6691AA53" w14:textId="77777777" w:rsidR="00537CE1" w:rsidRPr="00F75A3C" w:rsidRDefault="00537CE1" w:rsidP="00F04B84">
            <w:pPr>
              <w:spacing w:after="120"/>
              <w:jc w:val="both"/>
              <w:rPr>
                <w:sz w:val="6"/>
                <w:szCs w:val="6"/>
              </w:rPr>
            </w:pPr>
          </w:p>
          <w:p w14:paraId="7D401488" w14:textId="715B6FBD" w:rsidR="00537CE1" w:rsidRDefault="00537CE1" w:rsidP="00F04B84">
            <w:pPr>
              <w:spacing w:after="120"/>
              <w:jc w:val="both"/>
              <w:rPr>
                <w:i/>
                <w:sz w:val="20"/>
                <w:szCs w:val="20"/>
              </w:rPr>
            </w:pPr>
            <w:r>
              <w:rPr>
                <w:noProof/>
                <w:lang w:eastAsia="pl-PL"/>
              </w:rPr>
              <w:drawing>
                <wp:inline distT="0" distB="0" distL="0" distR="0" wp14:anchorId="48B3998A" wp14:editId="42939C78">
                  <wp:extent cx="1554480" cy="1462943"/>
                  <wp:effectExtent l="0" t="0" r="7620" b="444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75231" cy="1482472"/>
                          </a:xfrm>
                          <a:prstGeom prst="rect">
                            <a:avLst/>
                          </a:prstGeom>
                          <a:noFill/>
                          <a:ln>
                            <a:noFill/>
                          </a:ln>
                        </pic:spPr>
                      </pic:pic>
                    </a:graphicData>
                  </a:graphic>
                </wp:inline>
              </w:drawing>
            </w:r>
          </w:p>
        </w:tc>
        <w:tc>
          <w:tcPr>
            <w:tcW w:w="3548" w:type="dxa"/>
          </w:tcPr>
          <w:p w14:paraId="1E609DAB" w14:textId="77777777" w:rsidR="00537CE1" w:rsidRDefault="00537CE1" w:rsidP="00F04B84">
            <w:pPr>
              <w:spacing w:after="120"/>
              <w:jc w:val="both"/>
              <w:rPr>
                <w:i/>
                <w:sz w:val="20"/>
                <w:szCs w:val="20"/>
              </w:rPr>
            </w:pPr>
            <w:r w:rsidRPr="00CF7A95">
              <w:rPr>
                <w:rFonts w:ascii="Calibri" w:eastAsia="Calibri" w:hAnsi="Calibri" w:cs="Times New Roman"/>
                <w:noProof/>
                <w:lang w:eastAsia="pl-PL"/>
              </w:rPr>
              <w:drawing>
                <wp:inline distT="0" distB="0" distL="0" distR="0" wp14:anchorId="53DBCEA3" wp14:editId="56D25C92">
                  <wp:extent cx="1638300" cy="1584862"/>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39"/>
                          <pic:cNvPicPr/>
                        </pic:nvPicPr>
                        <pic:blipFill rotWithShape="1">
                          <a:blip r:embed="rId61"/>
                          <a:srcRect l="3441" r="6053" b="6751"/>
                          <a:stretch/>
                        </pic:blipFill>
                        <pic:spPr bwMode="auto">
                          <a:xfrm>
                            <a:off x="0" y="0"/>
                            <a:ext cx="1669413" cy="1614960"/>
                          </a:xfrm>
                          <a:prstGeom prst="rect">
                            <a:avLst/>
                          </a:prstGeom>
                          <a:ln>
                            <a:noFill/>
                          </a:ln>
                          <a:extLst>
                            <a:ext uri="{53640926-AAD7-44D8-BBD7-CCE9431645EC}">
                              <a14:shadowObscured xmlns:a14="http://schemas.microsoft.com/office/drawing/2010/main"/>
                            </a:ext>
                          </a:extLst>
                        </pic:spPr>
                      </pic:pic>
                    </a:graphicData>
                  </a:graphic>
                </wp:inline>
              </w:drawing>
            </w:r>
          </w:p>
        </w:tc>
        <w:tc>
          <w:tcPr>
            <w:tcW w:w="3673" w:type="dxa"/>
          </w:tcPr>
          <w:p w14:paraId="1EB9E8A6" w14:textId="77777777" w:rsidR="00537CE1" w:rsidRDefault="00537CE1" w:rsidP="00F04B84">
            <w:pPr>
              <w:spacing w:after="120"/>
              <w:jc w:val="both"/>
              <w:rPr>
                <w:i/>
                <w:sz w:val="20"/>
                <w:szCs w:val="20"/>
              </w:rPr>
            </w:pPr>
            <w:r>
              <w:rPr>
                <w:noProof/>
                <w:lang w:eastAsia="pl-PL"/>
              </w:rPr>
              <w:drawing>
                <wp:inline distT="0" distB="0" distL="0" distR="0" wp14:anchorId="4F6723EC" wp14:editId="53404F31">
                  <wp:extent cx="1684020" cy="1584550"/>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az 64"/>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31789" cy="1629497"/>
                          </a:xfrm>
                          <a:prstGeom prst="rect">
                            <a:avLst/>
                          </a:prstGeom>
                        </pic:spPr>
                      </pic:pic>
                    </a:graphicData>
                  </a:graphic>
                </wp:inline>
              </w:drawing>
            </w:r>
          </w:p>
          <w:p w14:paraId="7B8D7120" w14:textId="02EED04E" w:rsidR="00BB3FB9" w:rsidRDefault="00BB3FB9" w:rsidP="00F04B84">
            <w:pPr>
              <w:spacing w:after="120"/>
              <w:jc w:val="both"/>
              <w:rPr>
                <w:i/>
                <w:sz w:val="20"/>
                <w:szCs w:val="20"/>
              </w:rPr>
            </w:pPr>
          </w:p>
        </w:tc>
      </w:tr>
    </w:tbl>
    <w:p w14:paraId="4FB38C0B" w14:textId="77777777" w:rsidR="00537CE1" w:rsidRPr="00732334" w:rsidRDefault="00537CE1" w:rsidP="00537CE1">
      <w:pPr>
        <w:jc w:val="both"/>
        <w:rPr>
          <w:b/>
          <w:i/>
          <w:sz w:val="20"/>
          <w:szCs w:val="20"/>
        </w:rPr>
      </w:pPr>
      <w:r w:rsidRPr="00612614">
        <w:rPr>
          <w:b/>
          <w:i/>
          <w:sz w:val="20"/>
          <w:szCs w:val="20"/>
        </w:rPr>
        <w:lastRenderedPageBreak/>
        <w:t xml:space="preserve">Poziom dopuszczalny PM2,5 – faza </w:t>
      </w:r>
      <w:r>
        <w:rPr>
          <w:b/>
          <w:i/>
          <w:sz w:val="20"/>
          <w:szCs w:val="20"/>
        </w:rPr>
        <w:t>I</w:t>
      </w:r>
      <w:r w:rsidRPr="00612614">
        <w:rPr>
          <w:b/>
          <w:i/>
          <w:sz w:val="20"/>
          <w:szCs w:val="20"/>
        </w:rPr>
        <w:t>I: 2</w:t>
      </w:r>
      <w:r>
        <w:rPr>
          <w:b/>
          <w:i/>
          <w:sz w:val="20"/>
          <w:szCs w:val="20"/>
        </w:rPr>
        <w:t>0</w:t>
      </w:r>
      <w:r w:rsidRPr="00612614">
        <w:rPr>
          <w:b/>
          <w:i/>
          <w:sz w:val="20"/>
          <w:szCs w:val="20"/>
        </w:rPr>
        <w:t xml:space="preserve"> </w:t>
      </w:r>
      <w:r w:rsidRPr="00612614">
        <w:rPr>
          <w:rFonts w:cstheme="minorHAnsi"/>
          <w:b/>
          <w:i/>
          <w:sz w:val="20"/>
          <w:szCs w:val="20"/>
        </w:rPr>
        <w:t>µ</w:t>
      </w:r>
      <w:r w:rsidRPr="00612614">
        <w:rPr>
          <w:b/>
          <w:i/>
          <w:sz w:val="20"/>
          <w:szCs w:val="20"/>
        </w:rPr>
        <w:t>g/m</w:t>
      </w:r>
      <w:r w:rsidRPr="00612614">
        <w:rPr>
          <w:b/>
          <w:i/>
          <w:sz w:val="20"/>
          <w:szCs w:val="20"/>
          <w:vertAlign w:val="superscript"/>
        </w:rPr>
        <w:t>3</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537CE1" w14:paraId="2EC7D996" w14:textId="77777777" w:rsidTr="00F04B84">
        <w:tc>
          <w:tcPr>
            <w:tcW w:w="9062" w:type="dxa"/>
          </w:tcPr>
          <w:p w14:paraId="1EF7152D" w14:textId="77777777" w:rsidR="00537CE1" w:rsidRDefault="00537CE1" w:rsidP="00F04B84">
            <w:pPr>
              <w:rPr>
                <w:lang w:eastAsia="pl-PL"/>
              </w:rPr>
            </w:pPr>
            <w:r>
              <w:rPr>
                <w:noProof/>
                <w:lang w:eastAsia="pl-PL"/>
              </w:rPr>
              <w:drawing>
                <wp:inline distT="0" distB="0" distL="0" distR="0" wp14:anchorId="40069387" wp14:editId="6E695FAE">
                  <wp:extent cx="1706433" cy="1630680"/>
                  <wp:effectExtent l="0" t="0" r="8255" b="762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az 63"/>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733669" cy="1656707"/>
                          </a:xfrm>
                          <a:prstGeom prst="rect">
                            <a:avLst/>
                          </a:prstGeom>
                        </pic:spPr>
                      </pic:pic>
                    </a:graphicData>
                  </a:graphic>
                </wp:inline>
              </w:drawing>
            </w:r>
          </w:p>
          <w:p w14:paraId="36106A39" w14:textId="5B88822E" w:rsidR="004B3F1A" w:rsidRDefault="004B3F1A" w:rsidP="00F04B84">
            <w:pPr>
              <w:rPr>
                <w:lang w:eastAsia="pl-PL"/>
              </w:rPr>
            </w:pPr>
          </w:p>
        </w:tc>
      </w:tr>
    </w:tbl>
    <w:p w14:paraId="43F310E8" w14:textId="77777777" w:rsidR="00537CE1" w:rsidRPr="00790176" w:rsidRDefault="00537CE1" w:rsidP="00DD0E4C">
      <w:pPr>
        <w:keepNext/>
        <w:keepLines/>
        <w:spacing w:after="0" w:line="240" w:lineRule="auto"/>
        <w:jc w:val="center"/>
        <w:rPr>
          <w:rFonts w:eastAsia="Times New Roman" w:cstheme="minorHAnsi"/>
          <w:i/>
          <w:sz w:val="20"/>
          <w:szCs w:val="24"/>
          <w:lang w:eastAsia="pl-PL"/>
        </w:rPr>
      </w:pPr>
      <w:r w:rsidRPr="00790176">
        <w:rPr>
          <w:rFonts w:eastAsia="Times New Roman" w:cstheme="minorHAnsi"/>
          <w:sz w:val="20"/>
          <w:szCs w:val="24"/>
          <w:lang w:eastAsia="pl-PL"/>
        </w:rPr>
        <w:t>Rys. 22. Zasięg obszar</w:t>
      </w:r>
      <w:r>
        <w:rPr>
          <w:rFonts w:eastAsia="Times New Roman" w:cstheme="minorHAnsi"/>
          <w:sz w:val="20"/>
          <w:szCs w:val="24"/>
          <w:lang w:eastAsia="pl-PL"/>
        </w:rPr>
        <w:t>ów</w:t>
      </w:r>
      <w:r w:rsidRPr="00790176">
        <w:rPr>
          <w:rFonts w:eastAsia="Times New Roman" w:cstheme="minorHAnsi"/>
          <w:sz w:val="20"/>
          <w:szCs w:val="24"/>
          <w:lang w:eastAsia="pl-PL"/>
        </w:rPr>
        <w:t xml:space="preserve"> przekrocze</w:t>
      </w:r>
      <w:r>
        <w:rPr>
          <w:rFonts w:eastAsia="Times New Roman" w:cstheme="minorHAnsi"/>
          <w:sz w:val="20"/>
          <w:szCs w:val="24"/>
          <w:lang w:eastAsia="pl-PL"/>
        </w:rPr>
        <w:t xml:space="preserve">ń średniorocznego poziomu dopuszczalnego </w:t>
      </w:r>
      <w:r w:rsidRPr="00790176">
        <w:rPr>
          <w:rFonts w:eastAsia="Times New Roman" w:cstheme="minorHAnsi"/>
          <w:sz w:val="20"/>
          <w:szCs w:val="24"/>
          <w:lang w:eastAsia="pl-PL"/>
        </w:rPr>
        <w:t xml:space="preserve">pyłu zawieszonego PM2,5 </w:t>
      </w:r>
      <w:r>
        <w:rPr>
          <w:rFonts w:eastAsia="Times New Roman" w:cstheme="minorHAnsi"/>
          <w:sz w:val="20"/>
          <w:szCs w:val="24"/>
          <w:lang w:eastAsia="pl-PL"/>
        </w:rPr>
        <w:br/>
      </w:r>
      <w:r w:rsidRPr="00790176">
        <w:rPr>
          <w:rFonts w:eastAsia="Times New Roman" w:cstheme="minorHAnsi"/>
          <w:sz w:val="20"/>
          <w:szCs w:val="24"/>
          <w:lang w:eastAsia="pl-PL"/>
        </w:rPr>
        <w:t xml:space="preserve">na obszarze Polski w </w:t>
      </w:r>
      <w:r>
        <w:rPr>
          <w:rFonts w:eastAsia="Times New Roman" w:cstheme="minorHAnsi"/>
          <w:sz w:val="20"/>
          <w:szCs w:val="24"/>
          <w:lang w:eastAsia="pl-PL"/>
        </w:rPr>
        <w:t xml:space="preserve">latach </w:t>
      </w:r>
      <w:r w:rsidRPr="00790176">
        <w:rPr>
          <w:rFonts w:eastAsia="Times New Roman" w:cstheme="minorHAnsi"/>
          <w:sz w:val="20"/>
          <w:szCs w:val="24"/>
          <w:lang w:eastAsia="pl-PL"/>
        </w:rPr>
        <w:t>2018</w:t>
      </w:r>
      <w:r>
        <w:rPr>
          <w:rFonts w:eastAsia="Times New Roman" w:cstheme="minorHAnsi"/>
          <w:sz w:val="20"/>
          <w:szCs w:val="24"/>
          <w:lang w:eastAsia="pl-PL"/>
        </w:rPr>
        <w:t>-2020</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37CE1" w14:paraId="7C185028" w14:textId="77777777" w:rsidTr="00F04B84">
        <w:tc>
          <w:tcPr>
            <w:tcW w:w="4531" w:type="dxa"/>
          </w:tcPr>
          <w:p w14:paraId="5EDC5DB6" w14:textId="77777777" w:rsidR="00537CE1" w:rsidRDefault="00537CE1" w:rsidP="00F04B84">
            <w:pPr>
              <w:jc w:val="center"/>
            </w:pPr>
            <w:r>
              <w:rPr>
                <w:noProof/>
                <w:lang w:eastAsia="pl-PL"/>
              </w:rPr>
              <w:drawing>
                <wp:inline distT="0" distB="0" distL="0" distR="0" wp14:anchorId="2C7977A9" wp14:editId="2F6BF445">
                  <wp:extent cx="1798320" cy="1722120"/>
                  <wp:effectExtent l="0" t="0" r="0" b="0"/>
                  <wp:docPr id="460" name="Obraz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68482" cy="1789309"/>
                          </a:xfrm>
                          <a:prstGeom prst="rect">
                            <a:avLst/>
                          </a:prstGeom>
                          <a:noFill/>
                          <a:ln>
                            <a:noFill/>
                          </a:ln>
                        </pic:spPr>
                      </pic:pic>
                    </a:graphicData>
                  </a:graphic>
                </wp:inline>
              </w:drawing>
            </w:r>
          </w:p>
        </w:tc>
        <w:tc>
          <w:tcPr>
            <w:tcW w:w="4531" w:type="dxa"/>
          </w:tcPr>
          <w:p w14:paraId="4703E941" w14:textId="77777777" w:rsidR="00537CE1" w:rsidRDefault="00537CE1" w:rsidP="00F04B84">
            <w:pPr>
              <w:jc w:val="center"/>
            </w:pPr>
            <w:r>
              <w:rPr>
                <w:noProof/>
                <w:lang w:eastAsia="pl-PL"/>
              </w:rPr>
              <w:drawing>
                <wp:inline distT="0" distB="0" distL="0" distR="0" wp14:anchorId="0451722C" wp14:editId="0053D015">
                  <wp:extent cx="1790700" cy="1668780"/>
                  <wp:effectExtent l="0" t="0" r="0" b="7620"/>
                  <wp:docPr id="461" name="Obraz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40930" cy="1715590"/>
                          </a:xfrm>
                          <a:prstGeom prst="rect">
                            <a:avLst/>
                          </a:prstGeom>
                          <a:noFill/>
                          <a:ln>
                            <a:noFill/>
                          </a:ln>
                        </pic:spPr>
                      </pic:pic>
                    </a:graphicData>
                  </a:graphic>
                </wp:inline>
              </w:drawing>
            </w:r>
          </w:p>
        </w:tc>
      </w:tr>
    </w:tbl>
    <w:p w14:paraId="4BC7FDCD" w14:textId="77777777" w:rsidR="00537CE1" w:rsidRDefault="00537CE1" w:rsidP="00DD0E4C">
      <w:pPr>
        <w:spacing w:after="120" w:line="240" w:lineRule="auto"/>
        <w:jc w:val="center"/>
        <w:rPr>
          <w:sz w:val="20"/>
          <w:szCs w:val="20"/>
        </w:rPr>
      </w:pPr>
      <w:r w:rsidRPr="00D9785F">
        <w:rPr>
          <w:sz w:val="20"/>
          <w:szCs w:val="20"/>
        </w:rPr>
        <w:t>Rys. 23. Rozkład przestrzenny średniego rocznego stężenia ben</w:t>
      </w:r>
      <w:r>
        <w:rPr>
          <w:sz w:val="20"/>
          <w:szCs w:val="20"/>
        </w:rPr>
        <w:t>z</w:t>
      </w:r>
      <w:r w:rsidRPr="00D9785F">
        <w:rPr>
          <w:sz w:val="20"/>
          <w:szCs w:val="20"/>
        </w:rPr>
        <w:t>o(a)pirenu na obszarze Polski w 2019</w:t>
      </w:r>
      <w:r>
        <w:rPr>
          <w:sz w:val="20"/>
          <w:szCs w:val="20"/>
        </w:rPr>
        <w:t xml:space="preserve"> r. (lewy) </w:t>
      </w:r>
      <w:r>
        <w:rPr>
          <w:sz w:val="20"/>
          <w:szCs w:val="20"/>
        </w:rPr>
        <w:br/>
      </w:r>
      <w:r w:rsidRPr="00E10BF0">
        <w:rPr>
          <w:sz w:val="20"/>
          <w:szCs w:val="20"/>
        </w:rPr>
        <w:t>i 2020</w:t>
      </w:r>
      <w:r>
        <w:rPr>
          <w:sz w:val="20"/>
          <w:szCs w:val="20"/>
        </w:rPr>
        <w:t> </w:t>
      </w:r>
      <w:r w:rsidRPr="00D9785F">
        <w:rPr>
          <w:sz w:val="20"/>
          <w:szCs w:val="20"/>
        </w:rPr>
        <w:t>r</w:t>
      </w:r>
      <w:r>
        <w:rPr>
          <w:sz w:val="20"/>
          <w:szCs w:val="20"/>
        </w:rPr>
        <w:t>. (prawy)</w:t>
      </w:r>
      <w:r w:rsidRPr="00D9785F">
        <w:rPr>
          <w:sz w:val="20"/>
          <w:szCs w:val="20"/>
        </w:rPr>
        <w:t>, określony na podstawie modelowania matematycznego oraz obiektywnego szacowania</w:t>
      </w:r>
    </w:p>
    <w:tbl>
      <w:tblPr>
        <w:tblStyle w:val="Tabela-Siatka"/>
        <w:tblW w:w="10788"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5"/>
        <w:gridCol w:w="3685"/>
        <w:gridCol w:w="3558"/>
      </w:tblGrid>
      <w:tr w:rsidR="00537CE1" w14:paraId="7B6428FD" w14:textId="77777777" w:rsidTr="00F04B84">
        <w:tc>
          <w:tcPr>
            <w:tcW w:w="3545" w:type="dxa"/>
          </w:tcPr>
          <w:p w14:paraId="52607145" w14:textId="6B82D25C" w:rsidR="00537CE1" w:rsidRDefault="00537CE1" w:rsidP="00F04B84">
            <w:pPr>
              <w:spacing w:after="120"/>
              <w:jc w:val="both"/>
              <w:rPr>
                <w:sz w:val="20"/>
                <w:szCs w:val="20"/>
              </w:rPr>
            </w:pPr>
            <w:r>
              <w:rPr>
                <w:noProof/>
                <w:lang w:eastAsia="pl-PL"/>
              </w:rPr>
              <w:drawing>
                <wp:inline distT="0" distB="0" distL="0" distR="0" wp14:anchorId="2D16193A" wp14:editId="12F32694">
                  <wp:extent cx="1767331" cy="1470549"/>
                  <wp:effectExtent l="0" t="0" r="4445"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74775" cy="1476743"/>
                          </a:xfrm>
                          <a:prstGeom prst="rect">
                            <a:avLst/>
                          </a:prstGeom>
                          <a:noFill/>
                          <a:ln>
                            <a:noFill/>
                          </a:ln>
                        </pic:spPr>
                      </pic:pic>
                    </a:graphicData>
                  </a:graphic>
                </wp:inline>
              </w:drawing>
            </w:r>
          </w:p>
        </w:tc>
        <w:tc>
          <w:tcPr>
            <w:tcW w:w="3685" w:type="dxa"/>
          </w:tcPr>
          <w:p w14:paraId="58E64F10" w14:textId="7C65EC2D" w:rsidR="00537CE1" w:rsidRDefault="00537CE1" w:rsidP="00F04B84">
            <w:pPr>
              <w:spacing w:after="120"/>
              <w:jc w:val="both"/>
              <w:rPr>
                <w:sz w:val="20"/>
                <w:szCs w:val="20"/>
              </w:rPr>
            </w:pPr>
            <w:r>
              <w:rPr>
                <w:noProof/>
                <w:lang w:eastAsia="pl-PL"/>
              </w:rPr>
              <w:drawing>
                <wp:inline distT="0" distB="0" distL="0" distR="0" wp14:anchorId="43D29498" wp14:editId="3B846E61">
                  <wp:extent cx="1741170" cy="1611645"/>
                  <wp:effectExtent l="0" t="0" r="0" b="762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54181" cy="1623688"/>
                          </a:xfrm>
                          <a:prstGeom prst="rect">
                            <a:avLst/>
                          </a:prstGeom>
                          <a:noFill/>
                          <a:ln>
                            <a:noFill/>
                          </a:ln>
                        </pic:spPr>
                      </pic:pic>
                    </a:graphicData>
                  </a:graphic>
                </wp:inline>
              </w:drawing>
            </w:r>
          </w:p>
        </w:tc>
        <w:tc>
          <w:tcPr>
            <w:tcW w:w="3558" w:type="dxa"/>
          </w:tcPr>
          <w:p w14:paraId="16740157" w14:textId="77777777" w:rsidR="00537CE1" w:rsidRDefault="00537CE1" w:rsidP="00F04B84">
            <w:pPr>
              <w:spacing w:after="120"/>
              <w:jc w:val="both"/>
              <w:rPr>
                <w:sz w:val="20"/>
                <w:szCs w:val="20"/>
              </w:rPr>
            </w:pPr>
            <w:r>
              <w:rPr>
                <w:noProof/>
                <w:lang w:eastAsia="pl-PL"/>
              </w:rPr>
              <w:drawing>
                <wp:inline distT="0" distB="0" distL="0" distR="0" wp14:anchorId="5EFAFD15" wp14:editId="493163D9">
                  <wp:extent cx="1811951" cy="1558456"/>
                  <wp:effectExtent l="0" t="0" r="0" b="3810"/>
                  <wp:docPr id="65" name="Obraz 65"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braz 65" descr="Obraz zawierający mapa&#10;&#10;Opis wygenerowany automatyczni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37239" cy="1580206"/>
                          </a:xfrm>
                          <a:prstGeom prst="rect">
                            <a:avLst/>
                          </a:prstGeom>
                        </pic:spPr>
                      </pic:pic>
                    </a:graphicData>
                  </a:graphic>
                </wp:inline>
              </w:drawing>
            </w:r>
          </w:p>
        </w:tc>
      </w:tr>
    </w:tbl>
    <w:p w14:paraId="4C856F91" w14:textId="77777777" w:rsidR="00537CE1" w:rsidRDefault="00537CE1" w:rsidP="00DD0E4C">
      <w:pPr>
        <w:jc w:val="center"/>
        <w:rPr>
          <w:i/>
          <w:sz w:val="20"/>
          <w:szCs w:val="20"/>
        </w:rPr>
      </w:pPr>
      <w:r w:rsidRPr="009E124D">
        <w:rPr>
          <w:sz w:val="20"/>
          <w:szCs w:val="20"/>
        </w:rPr>
        <w:t>Rys. 24. Zasięg obszar</w:t>
      </w:r>
      <w:r>
        <w:rPr>
          <w:sz w:val="20"/>
          <w:szCs w:val="20"/>
        </w:rPr>
        <w:t>ów</w:t>
      </w:r>
      <w:r w:rsidRPr="009E124D">
        <w:rPr>
          <w:sz w:val="20"/>
          <w:szCs w:val="20"/>
        </w:rPr>
        <w:t xml:space="preserve"> przekrocze</w:t>
      </w:r>
      <w:r>
        <w:rPr>
          <w:sz w:val="20"/>
          <w:szCs w:val="20"/>
        </w:rPr>
        <w:t xml:space="preserve">ń średniorocznego poziomu docelowego </w:t>
      </w:r>
      <w:r w:rsidRPr="009E124D">
        <w:rPr>
          <w:sz w:val="20"/>
          <w:szCs w:val="20"/>
        </w:rPr>
        <w:t xml:space="preserve">benzo(a)pirenu na obszarze Polski w </w:t>
      </w:r>
      <w:r>
        <w:rPr>
          <w:sz w:val="20"/>
          <w:szCs w:val="20"/>
        </w:rPr>
        <w:t xml:space="preserve">latach </w:t>
      </w:r>
      <w:r w:rsidRPr="009E124D">
        <w:rPr>
          <w:sz w:val="20"/>
          <w:szCs w:val="20"/>
        </w:rPr>
        <w:t>2018</w:t>
      </w:r>
      <w:r>
        <w:rPr>
          <w:sz w:val="20"/>
          <w:szCs w:val="20"/>
        </w:rPr>
        <w:t>-2020</w:t>
      </w:r>
    </w:p>
    <w:p w14:paraId="3615D8AE" w14:textId="77777777" w:rsidR="00537CE1" w:rsidRPr="00732334" w:rsidRDefault="00537CE1" w:rsidP="00537CE1">
      <w:pPr>
        <w:jc w:val="both"/>
        <w:rPr>
          <w:i/>
          <w:sz w:val="20"/>
          <w:szCs w:val="2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37CE1" w14:paraId="763FD91A" w14:textId="77777777" w:rsidTr="00F04B84">
        <w:tc>
          <w:tcPr>
            <w:tcW w:w="4531" w:type="dxa"/>
          </w:tcPr>
          <w:p w14:paraId="7F265E3A" w14:textId="77777777" w:rsidR="00537CE1" w:rsidRDefault="00537CE1" w:rsidP="00F04B84">
            <w:r>
              <w:rPr>
                <w:noProof/>
                <w:lang w:eastAsia="pl-PL"/>
              </w:rPr>
              <w:drawing>
                <wp:inline distT="0" distB="0" distL="0" distR="0" wp14:anchorId="77A13BB6" wp14:editId="1F11544E">
                  <wp:extent cx="1501775" cy="1249680"/>
                  <wp:effectExtent l="0" t="0" r="3175" b="7620"/>
                  <wp:docPr id="462" name="Obraz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53176" cy="1292453"/>
                          </a:xfrm>
                          <a:prstGeom prst="rect">
                            <a:avLst/>
                          </a:prstGeom>
                          <a:noFill/>
                          <a:ln>
                            <a:noFill/>
                          </a:ln>
                        </pic:spPr>
                      </pic:pic>
                    </a:graphicData>
                  </a:graphic>
                </wp:inline>
              </w:drawing>
            </w:r>
          </w:p>
        </w:tc>
        <w:tc>
          <w:tcPr>
            <w:tcW w:w="4531" w:type="dxa"/>
          </w:tcPr>
          <w:p w14:paraId="7DF9E129" w14:textId="77777777" w:rsidR="00537CE1" w:rsidRDefault="00537CE1" w:rsidP="00F04B84">
            <w:r>
              <w:rPr>
                <w:noProof/>
                <w:lang w:eastAsia="pl-PL"/>
              </w:rPr>
              <w:drawing>
                <wp:inline distT="0" distB="0" distL="0" distR="0" wp14:anchorId="6F55F052" wp14:editId="345B9C94">
                  <wp:extent cx="1554480" cy="1249680"/>
                  <wp:effectExtent l="0" t="0" r="7620" b="7620"/>
                  <wp:docPr id="463" name="Obraz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17997" cy="1300743"/>
                          </a:xfrm>
                          <a:prstGeom prst="rect">
                            <a:avLst/>
                          </a:prstGeom>
                          <a:noFill/>
                          <a:ln>
                            <a:noFill/>
                          </a:ln>
                        </pic:spPr>
                      </pic:pic>
                    </a:graphicData>
                  </a:graphic>
                </wp:inline>
              </w:drawing>
            </w:r>
          </w:p>
        </w:tc>
      </w:tr>
    </w:tbl>
    <w:p w14:paraId="5491C491" w14:textId="0CA9A952" w:rsidR="00537CE1" w:rsidRPr="00537CE1" w:rsidRDefault="00537CE1" w:rsidP="00DD0E4C">
      <w:pPr>
        <w:spacing w:after="120" w:line="240" w:lineRule="auto"/>
        <w:jc w:val="center"/>
        <w:rPr>
          <w:sz w:val="20"/>
          <w:szCs w:val="20"/>
        </w:rPr>
      </w:pPr>
      <w:r w:rsidRPr="00D9785F">
        <w:rPr>
          <w:sz w:val="20"/>
          <w:szCs w:val="20"/>
        </w:rPr>
        <w:t>Rys. 2</w:t>
      </w:r>
      <w:r>
        <w:rPr>
          <w:sz w:val="20"/>
          <w:szCs w:val="20"/>
        </w:rPr>
        <w:t>5</w:t>
      </w:r>
      <w:r w:rsidRPr="00D9785F">
        <w:rPr>
          <w:sz w:val="20"/>
          <w:szCs w:val="20"/>
        </w:rPr>
        <w:t>. Rozkład przestrzenny średniego rocznego stężenia NO</w:t>
      </w:r>
      <w:r w:rsidRPr="00D9785F">
        <w:rPr>
          <w:sz w:val="20"/>
          <w:szCs w:val="20"/>
          <w:vertAlign w:val="subscript"/>
        </w:rPr>
        <w:t>2</w:t>
      </w:r>
      <w:r w:rsidRPr="00D9785F">
        <w:rPr>
          <w:sz w:val="20"/>
          <w:szCs w:val="20"/>
        </w:rPr>
        <w:t xml:space="preserve"> na obszarze Polski w 2019 r</w:t>
      </w:r>
      <w:r w:rsidRPr="00E00796">
        <w:rPr>
          <w:sz w:val="20"/>
          <w:szCs w:val="20"/>
        </w:rPr>
        <w:t>.</w:t>
      </w:r>
      <w:r>
        <w:rPr>
          <w:sz w:val="20"/>
          <w:szCs w:val="20"/>
        </w:rPr>
        <w:t xml:space="preserve"> (lewy)</w:t>
      </w:r>
      <w:r w:rsidRPr="00E00796">
        <w:rPr>
          <w:sz w:val="20"/>
          <w:szCs w:val="20"/>
        </w:rPr>
        <w:t xml:space="preserve"> i 2020 r.</w:t>
      </w:r>
      <w:r>
        <w:rPr>
          <w:sz w:val="20"/>
          <w:szCs w:val="20"/>
        </w:rPr>
        <w:t xml:space="preserve"> (prawy)</w:t>
      </w:r>
      <w:r w:rsidRPr="00E00796">
        <w:rPr>
          <w:sz w:val="20"/>
          <w:szCs w:val="20"/>
        </w:rPr>
        <w:t>,</w:t>
      </w:r>
      <w:r w:rsidRPr="00D9785F">
        <w:rPr>
          <w:sz w:val="20"/>
          <w:szCs w:val="20"/>
        </w:rPr>
        <w:t xml:space="preserve"> określony na</w:t>
      </w:r>
      <w:r>
        <w:rPr>
          <w:sz w:val="20"/>
          <w:szCs w:val="20"/>
        </w:rPr>
        <w:t xml:space="preserve"> </w:t>
      </w:r>
      <w:r w:rsidRPr="00D9785F">
        <w:rPr>
          <w:sz w:val="20"/>
          <w:szCs w:val="20"/>
        </w:rPr>
        <w:t>podstawie modelowania matematycznego oraz obiektywnego szacowania</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37CE1" w14:paraId="60866D05" w14:textId="77777777" w:rsidTr="00F04B84">
        <w:tc>
          <w:tcPr>
            <w:tcW w:w="4531" w:type="dxa"/>
          </w:tcPr>
          <w:p w14:paraId="772EDF84" w14:textId="77777777" w:rsidR="00537CE1" w:rsidRDefault="00537CE1" w:rsidP="00F04B84">
            <w:pPr>
              <w:jc w:val="both"/>
              <w:rPr>
                <w:i/>
                <w:sz w:val="20"/>
                <w:szCs w:val="20"/>
              </w:rPr>
            </w:pPr>
            <w:r>
              <w:rPr>
                <w:noProof/>
                <w:lang w:eastAsia="pl-PL"/>
              </w:rPr>
              <w:lastRenderedPageBreak/>
              <w:drawing>
                <wp:inline distT="0" distB="0" distL="0" distR="0" wp14:anchorId="21BC4D32" wp14:editId="5DCC92CC">
                  <wp:extent cx="2206625" cy="1866900"/>
                  <wp:effectExtent l="0" t="0" r="3175"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04832" cy="1949987"/>
                          </a:xfrm>
                          <a:prstGeom prst="rect">
                            <a:avLst/>
                          </a:prstGeom>
                          <a:noFill/>
                          <a:ln>
                            <a:noFill/>
                          </a:ln>
                        </pic:spPr>
                      </pic:pic>
                    </a:graphicData>
                  </a:graphic>
                </wp:inline>
              </w:drawing>
            </w:r>
          </w:p>
        </w:tc>
        <w:tc>
          <w:tcPr>
            <w:tcW w:w="4531" w:type="dxa"/>
          </w:tcPr>
          <w:p w14:paraId="5C41B9EC" w14:textId="77777777" w:rsidR="00537CE1" w:rsidRDefault="00537CE1" w:rsidP="00F04B84">
            <w:pPr>
              <w:jc w:val="both"/>
              <w:rPr>
                <w:i/>
                <w:sz w:val="20"/>
                <w:szCs w:val="20"/>
              </w:rPr>
            </w:pPr>
            <w:r>
              <w:rPr>
                <w:noProof/>
                <w:lang w:eastAsia="pl-PL"/>
              </w:rPr>
              <w:drawing>
                <wp:inline distT="0" distB="0" distL="0" distR="0" wp14:anchorId="657B46DC" wp14:editId="68609F3B">
                  <wp:extent cx="1965960" cy="194310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49730" cy="2025896"/>
                          </a:xfrm>
                          <a:prstGeom prst="rect">
                            <a:avLst/>
                          </a:prstGeom>
                          <a:noFill/>
                          <a:ln>
                            <a:noFill/>
                          </a:ln>
                        </pic:spPr>
                      </pic:pic>
                    </a:graphicData>
                  </a:graphic>
                </wp:inline>
              </w:drawing>
            </w:r>
          </w:p>
        </w:tc>
      </w:tr>
    </w:tbl>
    <w:p w14:paraId="2011544D" w14:textId="77777777" w:rsidR="00537CE1" w:rsidRDefault="00537CE1" w:rsidP="00DD0E4C">
      <w:pPr>
        <w:spacing w:after="120" w:line="240" w:lineRule="auto"/>
        <w:jc w:val="center"/>
        <w:rPr>
          <w:i/>
          <w:sz w:val="20"/>
          <w:szCs w:val="20"/>
        </w:rPr>
      </w:pPr>
      <w:r w:rsidRPr="00732334">
        <w:rPr>
          <w:sz w:val="20"/>
          <w:szCs w:val="20"/>
        </w:rPr>
        <w:t>Rys. 2</w:t>
      </w:r>
      <w:r>
        <w:rPr>
          <w:sz w:val="20"/>
          <w:szCs w:val="20"/>
        </w:rPr>
        <w:t>6</w:t>
      </w:r>
      <w:r w:rsidRPr="00732334">
        <w:rPr>
          <w:sz w:val="20"/>
          <w:szCs w:val="20"/>
        </w:rPr>
        <w:t xml:space="preserve">. Zasięg obszarów przekroczeń </w:t>
      </w:r>
      <w:r>
        <w:rPr>
          <w:sz w:val="20"/>
          <w:szCs w:val="20"/>
        </w:rPr>
        <w:t xml:space="preserve">średniorocznego poziomu dopuszczalnego </w:t>
      </w:r>
      <w:r w:rsidRPr="00732334">
        <w:rPr>
          <w:sz w:val="20"/>
          <w:szCs w:val="20"/>
        </w:rPr>
        <w:t>NO</w:t>
      </w:r>
      <w:r w:rsidRPr="00732334">
        <w:rPr>
          <w:sz w:val="20"/>
          <w:szCs w:val="20"/>
          <w:vertAlign w:val="subscript"/>
        </w:rPr>
        <w:t>2</w:t>
      </w:r>
      <w:r w:rsidRPr="00732334">
        <w:rPr>
          <w:sz w:val="20"/>
          <w:szCs w:val="20"/>
        </w:rPr>
        <w:t xml:space="preserve"> na obszarze Polski w 2019</w:t>
      </w:r>
      <w:r>
        <w:rPr>
          <w:sz w:val="20"/>
          <w:szCs w:val="20"/>
        </w:rPr>
        <w:t> r.</w:t>
      </w:r>
      <w:r w:rsidRPr="00732334">
        <w:rPr>
          <w:sz w:val="20"/>
          <w:szCs w:val="20"/>
        </w:rPr>
        <w:t xml:space="preserve"> i 2020 r</w:t>
      </w:r>
      <w:r>
        <w:rPr>
          <w:sz w:val="20"/>
          <w:szCs w:val="20"/>
        </w:rPr>
        <w:t>.</w:t>
      </w:r>
    </w:p>
    <w:p w14:paraId="09F0AED3" w14:textId="7082E69F" w:rsidR="00537CE1" w:rsidRPr="00537CE1" w:rsidRDefault="00537CE1" w:rsidP="00537CE1">
      <w:pPr>
        <w:spacing w:after="120" w:line="240" w:lineRule="auto"/>
        <w:jc w:val="both"/>
      </w:pPr>
      <w:r w:rsidRPr="00537CE1">
        <w:t xml:space="preserve">Ozon jest zanieczyszczeniem wieloskalowym, </w:t>
      </w:r>
      <w:r w:rsidR="00E941E5">
        <w:t xml:space="preserve">którego produkcja fotochemiczna jest </w:t>
      </w:r>
      <w:r w:rsidRPr="00537CE1">
        <w:t>silnie uzależnion</w:t>
      </w:r>
      <w:r w:rsidR="00E941E5">
        <w:t>a</w:t>
      </w:r>
      <w:r w:rsidRPr="00537CE1">
        <w:t xml:space="preserve"> od warunków atmosferycznych (duże nasłonecznienie, wysoka temperatura). Największe problemy z wysokimi stężeniami ozonu występują w południowo-zachodniej i centralnej Polsce.</w:t>
      </w:r>
      <w:r w:rsidR="00E941E5">
        <w:t xml:space="preserve"> </w:t>
      </w:r>
    </w:p>
    <w:p w14:paraId="716F9C82" w14:textId="7F8B0E20" w:rsidR="00537CE1" w:rsidRPr="00DD0E4C" w:rsidRDefault="00537CE1" w:rsidP="00537CE1">
      <w:pPr>
        <w:spacing w:after="120" w:line="240" w:lineRule="auto"/>
        <w:jc w:val="both"/>
        <w:rPr>
          <w:color w:val="2E74B5" w:themeColor="accent5" w:themeShade="BF"/>
        </w:rPr>
      </w:pPr>
      <w:r w:rsidRPr="00537CE1">
        <w:rPr>
          <w:b/>
          <w:bCs/>
          <w:color w:val="2E74B5" w:themeColor="accent5" w:themeShade="BF"/>
        </w:rPr>
        <w:t>W okresie wiosenno-letnim</w:t>
      </w:r>
      <w:r w:rsidR="00D733F2">
        <w:rPr>
          <w:b/>
          <w:bCs/>
          <w:color w:val="2E74B5" w:themeColor="accent5" w:themeShade="BF"/>
        </w:rPr>
        <w:t>,</w:t>
      </w:r>
      <w:r w:rsidRPr="00537CE1">
        <w:rPr>
          <w:b/>
          <w:bCs/>
          <w:color w:val="2E74B5" w:themeColor="accent5" w:themeShade="BF"/>
        </w:rPr>
        <w:t xml:space="preserve"> w latach 2018-2020 występowały warunki meteorologiczne sprzyjające formowaniu się ozonu w powietrzu atmosferycznym. Stanowiło to, oprócz emisji prekursorów ozonu, zwłaszcza z sektora transportu samochodowego, główną przyczynę przekraczania poziomu docelowego ustanowionego dla stężenia ozonu w powietrzu atmosferycznym ze względu na ochronę zdrowia ludzi. Dodatkowe znaczenie miał również napływ zanieczyszczonego powietrza </w:t>
      </w:r>
      <w:r w:rsidR="00E941E5">
        <w:rPr>
          <w:b/>
          <w:bCs/>
          <w:color w:val="2E74B5" w:themeColor="accent5" w:themeShade="BF"/>
        </w:rPr>
        <w:t xml:space="preserve">ozonem i jego prekursorami </w:t>
      </w:r>
      <w:r w:rsidRPr="00537CE1">
        <w:rPr>
          <w:b/>
          <w:bCs/>
          <w:color w:val="2E74B5" w:themeColor="accent5" w:themeShade="BF"/>
        </w:rPr>
        <w:t>spoza granic kraju</w:t>
      </w:r>
      <w:r w:rsidR="00E941E5">
        <w:rPr>
          <w:b/>
          <w:bCs/>
          <w:color w:val="2E74B5" w:themeColor="accent5" w:themeShade="BF"/>
        </w:rPr>
        <w:t xml:space="preserve"> (zwłaszcza z kierunków zachodnich)</w:t>
      </w:r>
      <w:r w:rsidRPr="00537CE1">
        <w:rPr>
          <w:b/>
          <w:bCs/>
          <w:color w:val="2E74B5" w:themeColor="accent5" w:themeShade="BF"/>
        </w:rPr>
        <w:t>.</w:t>
      </w:r>
      <w:r w:rsidR="00D538C2" w:rsidRPr="00D538C2">
        <w:t xml:space="preserve"> </w:t>
      </w:r>
      <w:r w:rsidR="00D538C2">
        <w:t xml:space="preserve">Nie można także pomijać emisji naturalnej – jest ona </w:t>
      </w:r>
      <w:r w:rsidR="00D538C2" w:rsidRPr="00DD0E4C">
        <w:rPr>
          <w:color w:val="2E74B5" w:themeColor="accent5" w:themeShade="BF"/>
        </w:rPr>
        <w:t xml:space="preserve">kluczowa ze względu na reaktywność biogennych węglowodorów.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37CE1" w:rsidRPr="00537CE1" w14:paraId="7002A323" w14:textId="77777777" w:rsidTr="00F04B84">
        <w:tc>
          <w:tcPr>
            <w:tcW w:w="4531" w:type="dxa"/>
          </w:tcPr>
          <w:p w14:paraId="61D4087B" w14:textId="77777777" w:rsidR="00537CE1" w:rsidRPr="00537CE1" w:rsidRDefault="00537CE1" w:rsidP="00537CE1">
            <w:pPr>
              <w:jc w:val="center"/>
              <w:rPr>
                <w:i/>
                <w:sz w:val="20"/>
                <w:szCs w:val="20"/>
              </w:rPr>
            </w:pPr>
            <w:r w:rsidRPr="00537CE1">
              <w:rPr>
                <w:noProof/>
                <w:lang w:eastAsia="pl-PL"/>
              </w:rPr>
              <w:drawing>
                <wp:inline distT="0" distB="0" distL="0" distR="0" wp14:anchorId="7A326B43" wp14:editId="1428C0A7">
                  <wp:extent cx="1744980" cy="1402080"/>
                  <wp:effectExtent l="0" t="0" r="7620" b="7620"/>
                  <wp:docPr id="464" name="Obraz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84977" cy="1434217"/>
                          </a:xfrm>
                          <a:prstGeom prst="rect">
                            <a:avLst/>
                          </a:prstGeom>
                          <a:noFill/>
                          <a:ln>
                            <a:noFill/>
                          </a:ln>
                        </pic:spPr>
                      </pic:pic>
                    </a:graphicData>
                  </a:graphic>
                </wp:inline>
              </w:drawing>
            </w:r>
          </w:p>
        </w:tc>
        <w:tc>
          <w:tcPr>
            <w:tcW w:w="4531" w:type="dxa"/>
          </w:tcPr>
          <w:p w14:paraId="1E564E32" w14:textId="77777777" w:rsidR="00537CE1" w:rsidRPr="00537CE1" w:rsidRDefault="00537CE1" w:rsidP="00537CE1">
            <w:pPr>
              <w:jc w:val="center"/>
              <w:rPr>
                <w:i/>
                <w:sz w:val="20"/>
                <w:szCs w:val="20"/>
              </w:rPr>
            </w:pPr>
            <w:r w:rsidRPr="00537CE1">
              <w:rPr>
                <w:noProof/>
                <w:lang w:eastAsia="pl-PL"/>
              </w:rPr>
              <w:drawing>
                <wp:inline distT="0" distB="0" distL="0" distR="0" wp14:anchorId="5C9FD61B" wp14:editId="3E08F095">
                  <wp:extent cx="1790700" cy="1447800"/>
                  <wp:effectExtent l="0" t="0" r="0" b="0"/>
                  <wp:docPr id="465" name="Obraz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42143" cy="1489392"/>
                          </a:xfrm>
                          <a:prstGeom prst="rect">
                            <a:avLst/>
                          </a:prstGeom>
                          <a:noFill/>
                          <a:ln>
                            <a:noFill/>
                          </a:ln>
                        </pic:spPr>
                      </pic:pic>
                    </a:graphicData>
                  </a:graphic>
                </wp:inline>
              </w:drawing>
            </w:r>
          </w:p>
        </w:tc>
      </w:tr>
    </w:tbl>
    <w:p w14:paraId="2442EE97" w14:textId="4D0086B5" w:rsidR="00537CE1" w:rsidRPr="00537CE1" w:rsidRDefault="00537CE1" w:rsidP="00BB3FB9">
      <w:pPr>
        <w:spacing w:after="120" w:line="240" w:lineRule="auto"/>
        <w:jc w:val="center"/>
        <w:rPr>
          <w:sz w:val="20"/>
          <w:szCs w:val="20"/>
        </w:rPr>
      </w:pPr>
      <w:r w:rsidRPr="00537CE1">
        <w:rPr>
          <w:sz w:val="20"/>
          <w:szCs w:val="20"/>
        </w:rPr>
        <w:t>Rys. 27. Rozkład przestrzenny stężenia O</w:t>
      </w:r>
      <w:r w:rsidRPr="00537CE1">
        <w:rPr>
          <w:sz w:val="20"/>
          <w:szCs w:val="20"/>
          <w:vertAlign w:val="subscript"/>
        </w:rPr>
        <w:t>3</w:t>
      </w:r>
      <w:r w:rsidRPr="00537CE1">
        <w:rPr>
          <w:sz w:val="20"/>
          <w:szCs w:val="20"/>
        </w:rPr>
        <w:t xml:space="preserve"> na obszarze Polski wyrażony jako liczba dni w roku </w:t>
      </w:r>
      <w:r w:rsidRPr="00537CE1">
        <w:rPr>
          <w:sz w:val="20"/>
          <w:szCs w:val="20"/>
        </w:rPr>
        <w:br/>
        <w:t>z przekroczeniem poziomu 120 μg/m</w:t>
      </w:r>
      <w:r w:rsidRPr="00537CE1">
        <w:rPr>
          <w:sz w:val="20"/>
          <w:szCs w:val="20"/>
          <w:vertAlign w:val="superscript"/>
        </w:rPr>
        <w:t>3</w:t>
      </w:r>
      <w:r w:rsidRPr="00537CE1">
        <w:rPr>
          <w:sz w:val="20"/>
          <w:szCs w:val="20"/>
        </w:rPr>
        <w:t xml:space="preserve"> przez wartości średnie 8-godzinne kroczące, uśredniona dla 3 lat, </w:t>
      </w:r>
      <w:r w:rsidRPr="00537CE1">
        <w:rPr>
          <w:sz w:val="20"/>
          <w:szCs w:val="20"/>
        </w:rPr>
        <w:br/>
        <w:t>określony na podstawie modelowania matematycznego oraz obiektywnego szacowania na obszarze Polski</w:t>
      </w:r>
      <w:r w:rsidRPr="00537CE1">
        <w:rPr>
          <w:sz w:val="20"/>
          <w:szCs w:val="20"/>
        </w:rPr>
        <w:br/>
        <w:t xml:space="preserve"> w 2019 r. (lewy) i 2020 r. (prawy).</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6"/>
        <w:gridCol w:w="3907"/>
      </w:tblGrid>
      <w:tr w:rsidR="00537CE1" w:rsidRPr="00537CE1" w14:paraId="0EAE32B4" w14:textId="77777777" w:rsidTr="00F04B84">
        <w:tc>
          <w:tcPr>
            <w:tcW w:w="4026" w:type="dxa"/>
          </w:tcPr>
          <w:p w14:paraId="36C7DC17" w14:textId="77777777" w:rsidR="00537CE1" w:rsidRPr="00537CE1" w:rsidRDefault="00537CE1" w:rsidP="00B0347B">
            <w:pPr>
              <w:jc w:val="center"/>
              <w:rPr>
                <w:sz w:val="20"/>
                <w:szCs w:val="20"/>
              </w:rPr>
            </w:pPr>
            <w:r w:rsidRPr="00537CE1">
              <w:rPr>
                <w:noProof/>
                <w:lang w:eastAsia="pl-PL"/>
              </w:rPr>
              <w:drawing>
                <wp:inline distT="0" distB="0" distL="0" distR="0" wp14:anchorId="57E35C0B" wp14:editId="1D7124EC">
                  <wp:extent cx="1965274" cy="1470025"/>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pic:cNvPicPr/>
                        </pic:nvPicPr>
                        <pic:blipFill rotWithShape="1">
                          <a:blip r:embed="rId75"/>
                          <a:srcRect t="2646" b="6716"/>
                          <a:stretch/>
                        </pic:blipFill>
                        <pic:spPr bwMode="auto">
                          <a:xfrm>
                            <a:off x="0" y="0"/>
                            <a:ext cx="1975432" cy="1477623"/>
                          </a:xfrm>
                          <a:prstGeom prst="rect">
                            <a:avLst/>
                          </a:prstGeom>
                          <a:ln>
                            <a:noFill/>
                          </a:ln>
                          <a:extLst>
                            <a:ext uri="{53640926-AAD7-44D8-BBD7-CCE9431645EC}">
                              <a14:shadowObscured xmlns:a14="http://schemas.microsoft.com/office/drawing/2010/main"/>
                            </a:ext>
                          </a:extLst>
                        </pic:spPr>
                      </pic:pic>
                    </a:graphicData>
                  </a:graphic>
                </wp:inline>
              </w:drawing>
            </w:r>
          </w:p>
        </w:tc>
        <w:tc>
          <w:tcPr>
            <w:tcW w:w="3907" w:type="dxa"/>
          </w:tcPr>
          <w:p w14:paraId="2C5331E7" w14:textId="77777777" w:rsidR="00537CE1" w:rsidRPr="00537CE1" w:rsidRDefault="00537CE1" w:rsidP="00B0347B">
            <w:pPr>
              <w:jc w:val="center"/>
              <w:rPr>
                <w:sz w:val="20"/>
                <w:szCs w:val="20"/>
              </w:rPr>
            </w:pPr>
            <w:r w:rsidRPr="00537CE1">
              <w:rPr>
                <w:noProof/>
                <w:lang w:eastAsia="pl-PL"/>
              </w:rPr>
              <w:drawing>
                <wp:inline distT="0" distB="0" distL="0" distR="0" wp14:anchorId="182A31DD" wp14:editId="6F19D20D">
                  <wp:extent cx="1798320" cy="1516380"/>
                  <wp:effectExtent l="0" t="0" r="0" b="762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Obraz 7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820580" cy="1535150"/>
                          </a:xfrm>
                          <a:prstGeom prst="rect">
                            <a:avLst/>
                          </a:prstGeom>
                        </pic:spPr>
                      </pic:pic>
                    </a:graphicData>
                  </a:graphic>
                </wp:inline>
              </w:drawing>
            </w:r>
          </w:p>
        </w:tc>
      </w:tr>
    </w:tbl>
    <w:p w14:paraId="4BDBD751" w14:textId="3FC23161" w:rsidR="00537CE1" w:rsidRPr="00537CE1" w:rsidRDefault="00537CE1" w:rsidP="00DD0E4C">
      <w:pPr>
        <w:jc w:val="center"/>
        <w:rPr>
          <w:i/>
          <w:sz w:val="20"/>
          <w:szCs w:val="20"/>
        </w:rPr>
      </w:pPr>
      <w:r w:rsidRPr="00537CE1">
        <w:rPr>
          <w:sz w:val="20"/>
          <w:szCs w:val="20"/>
        </w:rPr>
        <w:t xml:space="preserve">Rys. 28. Zasięg obszarów przekroczeń poziomu docelowego </w:t>
      </w:r>
      <w:r w:rsidR="00B0347B">
        <w:rPr>
          <w:sz w:val="20"/>
          <w:szCs w:val="20"/>
        </w:rPr>
        <w:t>O</w:t>
      </w:r>
      <w:r w:rsidR="00B0347B" w:rsidRPr="00B0347B">
        <w:rPr>
          <w:sz w:val="20"/>
          <w:szCs w:val="20"/>
          <w:vertAlign w:val="subscript"/>
        </w:rPr>
        <w:t>3</w:t>
      </w:r>
      <w:r w:rsidRPr="00537CE1">
        <w:rPr>
          <w:sz w:val="20"/>
          <w:szCs w:val="20"/>
        </w:rPr>
        <w:t xml:space="preserve"> - liczba dni w roku z przekroczeniem stężenia 120</w:t>
      </w:r>
      <w:r w:rsidR="00B0347B">
        <w:rPr>
          <w:sz w:val="20"/>
          <w:szCs w:val="20"/>
        </w:rPr>
        <w:t> </w:t>
      </w:r>
      <w:r w:rsidRPr="00537CE1">
        <w:rPr>
          <w:sz w:val="20"/>
          <w:szCs w:val="20"/>
        </w:rPr>
        <w:t>μg/m</w:t>
      </w:r>
      <w:r w:rsidRPr="00537CE1">
        <w:rPr>
          <w:sz w:val="20"/>
          <w:szCs w:val="20"/>
          <w:vertAlign w:val="superscript"/>
        </w:rPr>
        <w:t>3</w:t>
      </w:r>
      <w:r w:rsidRPr="00537CE1">
        <w:rPr>
          <w:sz w:val="20"/>
          <w:szCs w:val="20"/>
        </w:rPr>
        <w:t xml:space="preserve"> przez wartości średnie 8-godzinne kroczące, uśredniona dla 3 lat na obszarze Polski w 2019 r. i 2020 r.</w:t>
      </w:r>
    </w:p>
    <w:p w14:paraId="4BE0138B" w14:textId="77777777" w:rsidR="00537CE1" w:rsidRPr="00537CE1" w:rsidRDefault="00537CE1" w:rsidP="00537CE1">
      <w:pPr>
        <w:jc w:val="center"/>
        <w:rPr>
          <w:i/>
          <w:sz w:val="20"/>
          <w:szCs w:val="20"/>
        </w:rPr>
      </w:pPr>
    </w:p>
    <w:p w14:paraId="6E5AA285" w14:textId="2C1AEFA3" w:rsidR="00537CE1" w:rsidRPr="00537CE1" w:rsidRDefault="00D733F2" w:rsidP="00537CE1">
      <w:pPr>
        <w:spacing w:after="120" w:line="240" w:lineRule="auto"/>
        <w:jc w:val="both"/>
        <w:rPr>
          <w:rFonts w:cs="Times New Roman"/>
          <w:b/>
          <w:bCs/>
          <w:color w:val="2E74B5" w:themeColor="accent5" w:themeShade="BF"/>
        </w:rPr>
      </w:pPr>
      <w:r>
        <w:rPr>
          <w:rFonts w:cs="Times New Roman"/>
          <w:b/>
          <w:bCs/>
          <w:color w:val="2E74B5" w:themeColor="accent5" w:themeShade="BF"/>
        </w:rPr>
        <w:lastRenderedPageBreak/>
        <w:t>L</w:t>
      </w:r>
      <w:r w:rsidR="00537CE1" w:rsidRPr="00537CE1">
        <w:rPr>
          <w:rFonts w:cs="Times New Roman"/>
          <w:b/>
          <w:bCs/>
          <w:color w:val="2E74B5" w:themeColor="accent5" w:themeShade="BF"/>
        </w:rPr>
        <w:t xml:space="preserve">ata </w:t>
      </w:r>
      <w:r>
        <w:rPr>
          <w:rFonts w:cs="Times New Roman"/>
          <w:b/>
          <w:bCs/>
          <w:color w:val="2E74B5" w:themeColor="accent5" w:themeShade="BF"/>
        </w:rPr>
        <w:t xml:space="preserve">2018-2020 </w:t>
      </w:r>
      <w:r w:rsidR="00537CE1" w:rsidRPr="00537CE1">
        <w:rPr>
          <w:rFonts w:cs="Times New Roman"/>
          <w:b/>
          <w:bCs/>
          <w:color w:val="2E74B5" w:themeColor="accent5" w:themeShade="BF"/>
        </w:rPr>
        <w:t xml:space="preserve">to okres </w:t>
      </w:r>
      <w:r w:rsidR="00537CE1" w:rsidRPr="00DD25EF">
        <w:rPr>
          <w:rFonts w:cs="Times New Roman"/>
          <w:b/>
          <w:bCs/>
          <w:color w:val="2E74B5" w:themeColor="accent5" w:themeShade="BF"/>
        </w:rPr>
        <w:t>bardzo wyraźnego obniżania</w:t>
      </w:r>
      <w:r w:rsidR="00537CE1" w:rsidRPr="001A5931">
        <w:rPr>
          <w:rFonts w:cs="Times New Roman"/>
          <w:b/>
          <w:bCs/>
          <w:color w:val="2E74B5" w:themeColor="accent5" w:themeShade="BF"/>
        </w:rPr>
        <w:t xml:space="preserve"> się stężeń zanieczyszczeń. Poprzedzony był on okresem powolnego, lecz </w:t>
      </w:r>
      <w:r w:rsidR="00DD25EF" w:rsidRPr="00DD25EF">
        <w:rPr>
          <w:rFonts w:cs="Times New Roman"/>
          <w:b/>
          <w:bCs/>
          <w:color w:val="2E74B5" w:themeColor="accent5" w:themeShade="BF"/>
        </w:rPr>
        <w:t xml:space="preserve">systematycznego </w:t>
      </w:r>
      <w:r w:rsidR="00537CE1" w:rsidRPr="00DD25EF">
        <w:rPr>
          <w:rFonts w:cs="Times New Roman"/>
          <w:b/>
          <w:bCs/>
          <w:color w:val="2E74B5" w:themeColor="accent5" w:themeShade="BF"/>
        </w:rPr>
        <w:t>obniżania się stężeń pyłu zawieszonego</w:t>
      </w:r>
      <w:r w:rsidR="001A02E3" w:rsidRPr="001A5931">
        <w:rPr>
          <w:rFonts w:cs="Times New Roman"/>
          <w:b/>
          <w:bCs/>
          <w:color w:val="2E74B5" w:themeColor="accent5" w:themeShade="BF"/>
        </w:rPr>
        <w:t xml:space="preserve"> we frakcjach</w:t>
      </w:r>
      <w:r w:rsidR="00537CE1" w:rsidRPr="001A0573">
        <w:rPr>
          <w:rFonts w:cs="Times New Roman"/>
          <w:b/>
          <w:bCs/>
          <w:color w:val="2E74B5" w:themeColor="accent5" w:themeShade="BF"/>
        </w:rPr>
        <w:t xml:space="preserve"> PM10 oraz PM2,5 w powietrzu. Trend ten </w:t>
      </w:r>
      <w:r w:rsidR="00DD25EF">
        <w:rPr>
          <w:rFonts w:cs="Times New Roman"/>
          <w:b/>
          <w:bCs/>
          <w:color w:val="2E74B5" w:themeColor="accent5" w:themeShade="BF"/>
        </w:rPr>
        <w:t xml:space="preserve">jedynie </w:t>
      </w:r>
      <w:r w:rsidR="00537CE1" w:rsidRPr="00DD25EF">
        <w:rPr>
          <w:rFonts w:cs="Times New Roman"/>
          <w:b/>
          <w:bCs/>
          <w:color w:val="2E74B5" w:themeColor="accent5" w:themeShade="BF"/>
        </w:rPr>
        <w:t>okresowo ulegał zaburzeniu ze</w:t>
      </w:r>
      <w:r w:rsidR="00537CE1" w:rsidRPr="00537CE1">
        <w:rPr>
          <w:rFonts w:cs="Times New Roman"/>
          <w:b/>
          <w:bCs/>
          <w:color w:val="2E74B5" w:themeColor="accent5" w:themeShade="BF"/>
        </w:rPr>
        <w:t xml:space="preserve"> względu na zmienne warunki atmosferyczne</w:t>
      </w:r>
      <w:r w:rsidR="00DD25EF">
        <w:rPr>
          <w:rFonts w:cs="Times New Roman"/>
          <w:b/>
          <w:bCs/>
          <w:color w:val="2E74B5" w:themeColor="accent5" w:themeShade="BF"/>
        </w:rPr>
        <w:t xml:space="preserve"> </w:t>
      </w:r>
      <w:r w:rsidR="00537CE1" w:rsidRPr="00537CE1">
        <w:rPr>
          <w:rFonts w:cs="Times New Roman"/>
          <w:b/>
          <w:bCs/>
          <w:color w:val="2E74B5" w:themeColor="accent5" w:themeShade="BF"/>
        </w:rPr>
        <w:t xml:space="preserve">w poszczególnych analizowanych latach. </w:t>
      </w:r>
    </w:p>
    <w:p w14:paraId="2619BF28" w14:textId="77777777" w:rsidR="00537CE1" w:rsidRPr="00537CE1" w:rsidRDefault="00537CE1" w:rsidP="00537CE1">
      <w:pPr>
        <w:spacing w:after="120" w:line="240" w:lineRule="auto"/>
        <w:jc w:val="both"/>
      </w:pPr>
      <w:r w:rsidRPr="00537CE1">
        <w:t>Wyniki pomiarów wskazują na istotne zmniejszenie narażenia zdrowia ludzi na długoterminowe wysokie stężenia pyłu zawieszonego, zmniejszenie ilości epizodów wysokich stężeń tego zanieczyszczenia, jak i maksymalnych stężeń pyłu zawieszonego podczas tych epizodów.</w:t>
      </w:r>
    </w:p>
    <w:p w14:paraId="44C7184E" w14:textId="7F34F9AE" w:rsidR="00537CE1" w:rsidRPr="00537CE1" w:rsidRDefault="00537CE1" w:rsidP="00537CE1">
      <w:pPr>
        <w:spacing w:after="120" w:line="240" w:lineRule="auto"/>
        <w:jc w:val="both"/>
        <w:rPr>
          <w:iCs/>
        </w:rPr>
      </w:pPr>
      <w:r w:rsidRPr="00537CE1">
        <w:rPr>
          <w:b/>
          <w:bCs/>
          <w:iCs/>
          <w:color w:val="2E74B5" w:themeColor="accent5" w:themeShade="BF"/>
        </w:rPr>
        <w:t>Zmniejszenie liczby stref z przekroczeniami oraz obszarów przekroczeń było rezultatem obniżenia stężeń zanieczyszczeń pyłowych w powietrzu</w:t>
      </w:r>
      <w:r w:rsidRPr="00537CE1">
        <w:rPr>
          <w:iCs/>
        </w:rPr>
        <w:t>. Poniżej przedstawione zostały średnie roczne stężenia NO</w:t>
      </w:r>
      <w:r w:rsidRPr="00537CE1">
        <w:rPr>
          <w:iCs/>
          <w:vertAlign w:val="subscript"/>
        </w:rPr>
        <w:t>2</w:t>
      </w:r>
      <w:r w:rsidRPr="00537CE1">
        <w:rPr>
          <w:iCs/>
        </w:rPr>
        <w:t xml:space="preserve">, </w:t>
      </w:r>
      <w:r w:rsidR="001A02E3">
        <w:rPr>
          <w:iCs/>
        </w:rPr>
        <w:t xml:space="preserve">frakcji </w:t>
      </w:r>
      <w:r w:rsidR="001A02E3" w:rsidRPr="00537CE1">
        <w:rPr>
          <w:iCs/>
        </w:rPr>
        <w:t>PM10 i PM2,5</w:t>
      </w:r>
      <w:r w:rsidR="001A02E3">
        <w:rPr>
          <w:iCs/>
        </w:rPr>
        <w:t xml:space="preserve"> </w:t>
      </w:r>
      <w:r w:rsidRPr="00537CE1">
        <w:rPr>
          <w:iCs/>
        </w:rPr>
        <w:t xml:space="preserve">pyłu zawieszonego oraz </w:t>
      </w:r>
      <w:r w:rsidR="00B0347B">
        <w:rPr>
          <w:iCs/>
        </w:rPr>
        <w:t>B(a)P</w:t>
      </w:r>
      <w:r w:rsidRPr="00537CE1">
        <w:rPr>
          <w:iCs/>
        </w:rPr>
        <w:t xml:space="preserve"> zawartego w pyle zawieszonym PM10,</w:t>
      </w:r>
      <w:r w:rsidR="00DD25EF">
        <w:rPr>
          <w:iCs/>
        </w:rPr>
        <w:t xml:space="preserve"> </w:t>
      </w:r>
      <w:r w:rsidRPr="00537CE1">
        <w:rPr>
          <w:iCs/>
        </w:rPr>
        <w:t xml:space="preserve">a także percentyl 99.8 ze stężeń 1-godz. dla </w:t>
      </w:r>
      <w:r w:rsidR="00B0347B">
        <w:rPr>
          <w:iCs/>
        </w:rPr>
        <w:t>NO</w:t>
      </w:r>
      <w:r w:rsidR="00B0347B" w:rsidRPr="00B0347B">
        <w:rPr>
          <w:iCs/>
          <w:vertAlign w:val="subscript"/>
        </w:rPr>
        <w:t>2</w:t>
      </w:r>
      <w:r w:rsidRPr="00537CE1">
        <w:rPr>
          <w:iCs/>
        </w:rPr>
        <w:t xml:space="preserve">, precentyl 90.4 ze stężeń 24 godz. pyłu zawieszonego PM10 i </w:t>
      </w:r>
      <w:r w:rsidRPr="00537CE1">
        <w:t xml:space="preserve">wartości percentyla S93.2 z rocznych serii maksimów dobowych stężeń 8-godz. kroczących </w:t>
      </w:r>
      <w:r w:rsidR="00B0347B">
        <w:t>O</w:t>
      </w:r>
      <w:r w:rsidR="00B0347B" w:rsidRPr="00B0347B">
        <w:rPr>
          <w:vertAlign w:val="subscript"/>
        </w:rPr>
        <w:t>3</w:t>
      </w:r>
      <w:r w:rsidRPr="00537CE1">
        <w:rPr>
          <w:iCs/>
        </w:rPr>
        <w:t xml:space="preserve"> w ujęciu od 2010 do 2020 dla stacji, które znajdują się na terenie aglomeracji i dużych miast.</w:t>
      </w:r>
    </w:p>
    <w:p w14:paraId="7B3EB8A1" w14:textId="3AC51F13" w:rsidR="00537CE1" w:rsidRPr="00537CE1" w:rsidRDefault="00537CE1" w:rsidP="00B0347B">
      <w:pPr>
        <w:spacing w:after="120" w:line="240" w:lineRule="auto"/>
        <w:jc w:val="both"/>
      </w:pPr>
      <w:r w:rsidRPr="00537CE1">
        <w:t xml:space="preserve">Przedstawione wykresy wskazują na systematycznie obniżające się stężenia pyłu zawieszonego i zawartego w nim </w:t>
      </w:r>
      <w:r w:rsidR="00B0347B">
        <w:t>B(a)P</w:t>
      </w:r>
      <w:r w:rsidRPr="00537CE1">
        <w:t xml:space="preserve"> oraz na odcinające się na tle pozostałych, najniższe, wartości średnie roczne NO</w:t>
      </w:r>
      <w:r w:rsidRPr="00537CE1">
        <w:rPr>
          <w:vertAlign w:val="subscript"/>
        </w:rPr>
        <w:t>2</w:t>
      </w:r>
      <w:r w:rsidRPr="00537CE1">
        <w:t xml:space="preserve"> dla 2020 r.</w:t>
      </w:r>
    </w:p>
    <w:p w14:paraId="303DFD90" w14:textId="48281979" w:rsidR="00537CE1" w:rsidRDefault="00537CE1" w:rsidP="00537CE1">
      <w:pPr>
        <w:spacing w:after="0" w:line="240" w:lineRule="auto"/>
        <w:jc w:val="center"/>
        <w:rPr>
          <w:rFonts w:ascii="Times New Roman" w:eastAsia="Times New Roman" w:hAnsi="Times New Roman" w:cs="Times New Roman"/>
          <w:strike/>
          <w:color w:val="0070C0"/>
          <w:sz w:val="24"/>
          <w:szCs w:val="24"/>
          <w:lang w:eastAsia="pl-PL"/>
        </w:rPr>
      </w:pPr>
      <w:r w:rsidRPr="00537CE1">
        <w:rPr>
          <w:rFonts w:ascii="Times New Roman" w:eastAsia="Times New Roman" w:hAnsi="Times New Roman" w:cs="Times New Roman"/>
          <w:noProof/>
          <w:sz w:val="24"/>
          <w:szCs w:val="24"/>
          <w:lang w:eastAsia="pl-PL"/>
        </w:rPr>
        <w:drawing>
          <wp:inline distT="0" distB="0" distL="0" distR="0" wp14:anchorId="778120BB" wp14:editId="067088D4">
            <wp:extent cx="4919345" cy="1645920"/>
            <wp:effectExtent l="0" t="0" r="0" b="0"/>
            <wp:docPr id="28" name="Wykres 28">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566154B" w14:textId="77777777" w:rsidR="00DD0E4C" w:rsidRPr="00537CE1" w:rsidRDefault="00DD0E4C" w:rsidP="00537CE1">
      <w:pPr>
        <w:spacing w:after="0" w:line="240" w:lineRule="auto"/>
        <w:jc w:val="center"/>
        <w:rPr>
          <w:rFonts w:ascii="Times New Roman" w:eastAsia="Times New Roman" w:hAnsi="Times New Roman" w:cs="Times New Roman"/>
          <w:strike/>
          <w:color w:val="0070C0"/>
          <w:sz w:val="24"/>
          <w:szCs w:val="24"/>
          <w:lang w:eastAsia="pl-PL"/>
        </w:rPr>
      </w:pPr>
    </w:p>
    <w:p w14:paraId="55354791" w14:textId="77777777" w:rsidR="00537CE1" w:rsidRPr="00537CE1" w:rsidRDefault="00537CE1" w:rsidP="00DD0E4C">
      <w:pPr>
        <w:spacing w:after="120" w:line="240" w:lineRule="auto"/>
        <w:jc w:val="center"/>
        <w:rPr>
          <w:bCs/>
          <w:sz w:val="20"/>
          <w:szCs w:val="20"/>
        </w:rPr>
      </w:pPr>
      <w:bookmarkStart w:id="28" w:name="_Ref526253046"/>
      <w:bookmarkStart w:id="29" w:name="_Toc527031960"/>
      <w:bookmarkStart w:id="30" w:name="_Ref15981552"/>
      <w:bookmarkStart w:id="31" w:name="_Toc56061489"/>
      <w:r w:rsidRPr="00537CE1">
        <w:rPr>
          <w:bCs/>
          <w:sz w:val="20"/>
          <w:szCs w:val="20"/>
        </w:rPr>
        <w:t xml:space="preserve">Rys. </w:t>
      </w:r>
      <w:bookmarkEnd w:id="28"/>
      <w:r w:rsidRPr="00537CE1">
        <w:rPr>
          <w:bCs/>
          <w:sz w:val="20"/>
          <w:szCs w:val="20"/>
        </w:rPr>
        <w:t>29. Zmiany stężeń średnich rocznych pyłu zawieszonego PM10 (wskaźnika WSa ) oraz stężeń 24-godz.pyłu zawieszonego PM10 (wskaźnika WSmax36) na stanowiskach tła miejskiego i podmiejskiego w Polsce w latach 2010-20</w:t>
      </w:r>
      <w:bookmarkEnd w:id="29"/>
      <w:bookmarkEnd w:id="30"/>
      <w:bookmarkEnd w:id="31"/>
      <w:r w:rsidRPr="00537CE1">
        <w:rPr>
          <w:bCs/>
          <w:sz w:val="20"/>
          <w:szCs w:val="20"/>
        </w:rPr>
        <w:t>20</w:t>
      </w:r>
    </w:p>
    <w:p w14:paraId="78075FBD" w14:textId="77777777" w:rsidR="00537CE1" w:rsidRPr="00537CE1" w:rsidRDefault="00537CE1" w:rsidP="00537CE1">
      <w:pPr>
        <w:jc w:val="center"/>
        <w:rPr>
          <w:color w:val="0070C0"/>
          <w:sz w:val="20"/>
        </w:rPr>
      </w:pPr>
      <w:r w:rsidRPr="00537CE1">
        <w:rPr>
          <w:noProof/>
          <w:lang w:eastAsia="pl-PL"/>
        </w:rPr>
        <w:drawing>
          <wp:inline distT="0" distB="0" distL="0" distR="0" wp14:anchorId="1832E639" wp14:editId="2CB03735">
            <wp:extent cx="4975860" cy="1699260"/>
            <wp:effectExtent l="0" t="0" r="0" b="0"/>
            <wp:docPr id="224" name="Wykres 224">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DF0BC3D" w14:textId="77777777" w:rsidR="00537CE1" w:rsidRPr="00537CE1" w:rsidRDefault="00537CE1" w:rsidP="00DD0E4C">
      <w:pPr>
        <w:spacing w:after="120" w:line="240" w:lineRule="auto"/>
        <w:jc w:val="center"/>
        <w:rPr>
          <w:bCs/>
          <w:sz w:val="20"/>
          <w:szCs w:val="20"/>
        </w:rPr>
      </w:pPr>
      <w:bookmarkStart w:id="32" w:name="_Ref527367400"/>
      <w:bookmarkStart w:id="33" w:name="_Toc56061511"/>
      <w:r w:rsidRPr="00537CE1">
        <w:rPr>
          <w:bCs/>
          <w:sz w:val="20"/>
          <w:szCs w:val="20"/>
        </w:rPr>
        <w:t>Rys</w:t>
      </w:r>
      <w:bookmarkEnd w:id="32"/>
      <w:r w:rsidRPr="00537CE1">
        <w:rPr>
          <w:bCs/>
          <w:sz w:val="20"/>
          <w:szCs w:val="20"/>
        </w:rPr>
        <w:t>. 30. Zmiany średnich rocznych stężeń PM2,5 (wyrażonych w postaci wskaźnika WSa) w latach 2009-20</w:t>
      </w:r>
      <w:bookmarkEnd w:id="33"/>
      <w:r w:rsidRPr="00537CE1">
        <w:rPr>
          <w:bCs/>
          <w:sz w:val="20"/>
          <w:szCs w:val="20"/>
        </w:rPr>
        <w:t>20 na stanowiskach tła miejskiego i podmiejskiego w Polsce w latach 2010-2020</w:t>
      </w:r>
    </w:p>
    <w:p w14:paraId="27723D43" w14:textId="77777777" w:rsidR="00537CE1" w:rsidRPr="00537CE1" w:rsidRDefault="00537CE1" w:rsidP="00537CE1">
      <w:pPr>
        <w:jc w:val="center"/>
        <w:rPr>
          <w:color w:val="0070C0"/>
        </w:rPr>
      </w:pPr>
      <w:r w:rsidRPr="00537CE1">
        <w:rPr>
          <w:noProof/>
          <w:lang w:eastAsia="pl-PL"/>
        </w:rPr>
        <w:lastRenderedPageBreak/>
        <w:drawing>
          <wp:inline distT="0" distB="0" distL="0" distR="0" wp14:anchorId="4A4D7002" wp14:editId="1B8D0D12">
            <wp:extent cx="5114290" cy="1676400"/>
            <wp:effectExtent l="0" t="0" r="0" b="0"/>
            <wp:docPr id="225" name="Wykres 225">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4A509A8" w14:textId="2E5B82DF" w:rsidR="00537CE1" w:rsidRPr="00537CE1" w:rsidRDefault="00537CE1" w:rsidP="00DD0E4C">
      <w:pPr>
        <w:spacing w:after="120" w:line="240" w:lineRule="auto"/>
        <w:jc w:val="center"/>
        <w:rPr>
          <w:bCs/>
          <w:sz w:val="20"/>
          <w:szCs w:val="20"/>
        </w:rPr>
      </w:pPr>
      <w:r w:rsidRPr="00537CE1">
        <w:rPr>
          <w:bCs/>
          <w:sz w:val="20"/>
          <w:szCs w:val="20"/>
        </w:rPr>
        <w:t xml:space="preserve">Rys. 31. Stężenie średnie roczne </w:t>
      </w:r>
      <w:r w:rsidR="00752622">
        <w:rPr>
          <w:bCs/>
          <w:sz w:val="20"/>
          <w:szCs w:val="20"/>
        </w:rPr>
        <w:t>B(a)P</w:t>
      </w:r>
      <w:r w:rsidRPr="00537CE1">
        <w:rPr>
          <w:bCs/>
          <w:sz w:val="20"/>
          <w:szCs w:val="20"/>
        </w:rPr>
        <w:t xml:space="preserve"> w latach 2010-2020, uśrednione dla wszystkich stanowisk uwzględnionych w analizach (zlokalizowanych na terenie aglomeracji i dużych miast)</w:t>
      </w:r>
    </w:p>
    <w:p w14:paraId="2A705576" w14:textId="77777777" w:rsidR="00537CE1" w:rsidRPr="00537CE1" w:rsidRDefault="00537CE1" w:rsidP="00537CE1">
      <w:pPr>
        <w:jc w:val="center"/>
        <w:rPr>
          <w:color w:val="0070C0"/>
          <w:sz w:val="20"/>
        </w:rPr>
      </w:pPr>
      <w:r w:rsidRPr="00537CE1">
        <w:rPr>
          <w:noProof/>
          <w:lang w:eastAsia="pl-PL"/>
        </w:rPr>
        <w:drawing>
          <wp:inline distT="0" distB="0" distL="0" distR="0" wp14:anchorId="75EA8042" wp14:editId="742164E1">
            <wp:extent cx="5334000" cy="2035810"/>
            <wp:effectExtent l="0" t="0" r="0" b="2540"/>
            <wp:docPr id="226" name="Wykres 226">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28B6B22" w14:textId="48272E10" w:rsidR="00537CE1" w:rsidRPr="00537CE1" w:rsidRDefault="00537CE1" w:rsidP="00DD0E4C">
      <w:pPr>
        <w:spacing w:after="120" w:line="240" w:lineRule="auto"/>
        <w:jc w:val="center"/>
        <w:rPr>
          <w:bCs/>
          <w:sz w:val="20"/>
          <w:szCs w:val="20"/>
        </w:rPr>
      </w:pPr>
      <w:r w:rsidRPr="00537CE1">
        <w:rPr>
          <w:bCs/>
          <w:sz w:val="20"/>
          <w:szCs w:val="20"/>
        </w:rPr>
        <w:t>Rys. 32. Uśrednione dla wszystkich stanowisk uwzględnionych w analizach (zlokalizowanych na terenie aglomeracji i dużych miast) stężenie średnie roczne Sa i percentyl S99.8 ze stężeń 1-godz. dla NO</w:t>
      </w:r>
      <w:r w:rsidRPr="00537CE1">
        <w:rPr>
          <w:bCs/>
          <w:sz w:val="20"/>
          <w:szCs w:val="20"/>
          <w:vertAlign w:val="subscript"/>
        </w:rPr>
        <w:t>2</w:t>
      </w:r>
      <w:r w:rsidRPr="00537CE1">
        <w:rPr>
          <w:bCs/>
          <w:sz w:val="20"/>
          <w:szCs w:val="20"/>
        </w:rPr>
        <w:t xml:space="preserve"> w latach 2010-2020</w:t>
      </w:r>
    </w:p>
    <w:p w14:paraId="2999B3F8" w14:textId="77777777" w:rsidR="00537CE1" w:rsidRPr="00537CE1" w:rsidRDefault="00537CE1" w:rsidP="00537CE1">
      <w:pPr>
        <w:jc w:val="center"/>
      </w:pPr>
      <w:r w:rsidRPr="00537CE1">
        <w:rPr>
          <w:noProof/>
          <w:lang w:eastAsia="pl-PL"/>
        </w:rPr>
        <w:drawing>
          <wp:inline distT="0" distB="0" distL="0" distR="0" wp14:anchorId="0B9C2454" wp14:editId="0413B48A">
            <wp:extent cx="5364480" cy="1767840"/>
            <wp:effectExtent l="0" t="0" r="7620" b="3810"/>
            <wp:docPr id="38" name="Wykres 38">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89A08EA" w14:textId="17FF6223" w:rsidR="00537CE1" w:rsidRPr="00537CE1" w:rsidRDefault="00537CE1" w:rsidP="00DD0E4C">
      <w:pPr>
        <w:spacing w:after="120" w:line="240" w:lineRule="auto"/>
        <w:jc w:val="center"/>
        <w:rPr>
          <w:bCs/>
          <w:sz w:val="20"/>
          <w:szCs w:val="20"/>
        </w:rPr>
      </w:pPr>
      <w:r w:rsidRPr="00537CE1">
        <w:rPr>
          <w:bCs/>
          <w:sz w:val="20"/>
          <w:szCs w:val="20"/>
        </w:rPr>
        <w:t>Rys.33. Uśredniona dla wszystkich stanowisk uwzględnionych w analizach (z kompletnymi seriami pomiarowymi) wartości percentyla S93.2 z rocznych serii maksimów dobowych stężeń 8-godz. kroczących O</w:t>
      </w:r>
      <w:r w:rsidRPr="00537CE1">
        <w:rPr>
          <w:bCs/>
          <w:sz w:val="20"/>
          <w:szCs w:val="20"/>
          <w:vertAlign w:val="subscript"/>
        </w:rPr>
        <w:t>3</w:t>
      </w:r>
      <w:r w:rsidRPr="00537CE1">
        <w:rPr>
          <w:bCs/>
          <w:sz w:val="20"/>
          <w:szCs w:val="20"/>
        </w:rPr>
        <w:t xml:space="preserve"> w latach 2010-2020</w:t>
      </w:r>
    </w:p>
    <w:p w14:paraId="1854A7FE" w14:textId="5E17D7F2" w:rsidR="00537CE1" w:rsidRPr="00537CE1" w:rsidRDefault="00537CE1" w:rsidP="00537CE1">
      <w:pPr>
        <w:spacing w:after="120" w:line="240" w:lineRule="auto"/>
        <w:jc w:val="both"/>
      </w:pPr>
      <w:r w:rsidRPr="00537CE1">
        <w:rPr>
          <w:b/>
          <w:bCs/>
          <w:color w:val="2E74B5" w:themeColor="accent5" w:themeShade="BF"/>
        </w:rPr>
        <w:t xml:space="preserve">Stężenie pyłu zawieszonego w powietrzu na danym obszarze zależy </w:t>
      </w:r>
      <w:r w:rsidR="00E941E5">
        <w:rPr>
          <w:b/>
          <w:bCs/>
          <w:color w:val="2E74B5" w:themeColor="accent5" w:themeShade="BF"/>
        </w:rPr>
        <w:t xml:space="preserve">zarówno </w:t>
      </w:r>
      <w:r w:rsidRPr="00537CE1">
        <w:rPr>
          <w:b/>
          <w:bCs/>
          <w:color w:val="2E74B5" w:themeColor="accent5" w:themeShade="BF"/>
        </w:rPr>
        <w:t>od emisji zanieczyszczeń pyłowych i gazowych na danym obszarze i obszarach sąsiadujących,</w:t>
      </w:r>
      <w:r w:rsidR="00E941E5">
        <w:rPr>
          <w:b/>
          <w:bCs/>
          <w:color w:val="2E74B5" w:themeColor="accent5" w:themeShade="BF"/>
        </w:rPr>
        <w:t xml:space="preserve"> jak też</w:t>
      </w:r>
      <w:r w:rsidRPr="00537CE1">
        <w:rPr>
          <w:b/>
          <w:bCs/>
          <w:color w:val="2E74B5" w:themeColor="accent5" w:themeShade="BF"/>
        </w:rPr>
        <w:t xml:space="preserve"> warunków meteorologicznych oraz napływów zanieczyszczeń z innych z obszarów Polski, i </w:t>
      </w:r>
      <w:r w:rsidR="00E941E5">
        <w:rPr>
          <w:b/>
          <w:bCs/>
          <w:color w:val="2E74B5" w:themeColor="accent5" w:themeShade="BF"/>
        </w:rPr>
        <w:t>spoza granic Polski</w:t>
      </w:r>
      <w:r w:rsidRPr="00537CE1">
        <w:t>.</w:t>
      </w:r>
    </w:p>
    <w:p w14:paraId="02BD6A7B" w14:textId="2AB0AB0D" w:rsidR="00537CE1" w:rsidRDefault="00537CE1" w:rsidP="00537CE1">
      <w:pPr>
        <w:spacing w:after="120" w:line="240" w:lineRule="auto"/>
        <w:jc w:val="both"/>
        <w:rPr>
          <w:rFonts w:cs="Times New Roman"/>
        </w:rPr>
      </w:pPr>
      <w:r w:rsidRPr="00537CE1">
        <w:rPr>
          <w:rFonts w:cs="Times New Roman"/>
          <w:b/>
          <w:bCs/>
          <w:color w:val="2E74B5" w:themeColor="accent5" w:themeShade="BF"/>
        </w:rPr>
        <w:t>Spadek stężeń pyłu zawieszonego</w:t>
      </w:r>
      <w:r w:rsidR="001A02E3">
        <w:rPr>
          <w:rFonts w:cs="Times New Roman"/>
          <w:b/>
          <w:bCs/>
          <w:color w:val="2E74B5" w:themeColor="accent5" w:themeShade="BF"/>
        </w:rPr>
        <w:t xml:space="preserve"> we frakcjach</w:t>
      </w:r>
      <w:r w:rsidRPr="00537CE1">
        <w:rPr>
          <w:rFonts w:cs="Times New Roman"/>
          <w:b/>
          <w:bCs/>
          <w:color w:val="2E74B5" w:themeColor="accent5" w:themeShade="BF"/>
        </w:rPr>
        <w:t xml:space="preserve"> PM10 i PM2,5 jest widoczny zarówno w dużych miastach,</w:t>
      </w:r>
      <w:r w:rsidR="00D538C2">
        <w:rPr>
          <w:rFonts w:cs="Times New Roman"/>
          <w:b/>
          <w:bCs/>
          <w:color w:val="2E74B5" w:themeColor="accent5" w:themeShade="BF"/>
        </w:rPr>
        <w:t xml:space="preserve"> </w:t>
      </w:r>
      <w:r w:rsidRPr="00537CE1">
        <w:rPr>
          <w:rFonts w:cs="Times New Roman"/>
          <w:b/>
          <w:bCs/>
          <w:color w:val="2E74B5" w:themeColor="accent5" w:themeShade="BF"/>
        </w:rPr>
        <w:t>jak i w mniejszych miejscowościach</w:t>
      </w:r>
      <w:r w:rsidRPr="00537CE1">
        <w:rPr>
          <w:rFonts w:cs="Times New Roman"/>
        </w:rPr>
        <w:t xml:space="preserve">. Poniżej przedstawiono wyniki pomiarów pyłu zawieszonego </w:t>
      </w:r>
      <w:r w:rsidR="001A02E3">
        <w:rPr>
          <w:rFonts w:cs="Times New Roman"/>
        </w:rPr>
        <w:t xml:space="preserve">we frakcjach </w:t>
      </w:r>
      <w:r w:rsidRPr="00537CE1">
        <w:rPr>
          <w:rFonts w:cs="Times New Roman"/>
        </w:rPr>
        <w:t xml:space="preserve">PM10 i PM2,5 z lat 2010-2020 z wybranych miast zróżnicowanych pod </w:t>
      </w:r>
      <w:r w:rsidRPr="00537CE1">
        <w:rPr>
          <w:rFonts w:cs="Times New Roman"/>
        </w:rPr>
        <w:lastRenderedPageBreak/>
        <w:t xml:space="preserve">kątem liczby mieszkańców. Wyniki pomiarów niezależnie od liczby mieszkańców miast wskazują na istotny spadek średnich rocznych stężeń pyłu zawieszonego w ostatnim dziesięcioleciu. </w:t>
      </w:r>
    </w:p>
    <w:p w14:paraId="5E84261E" w14:textId="653F19BC" w:rsidR="00B0347B" w:rsidRDefault="00B0347B" w:rsidP="00B0347B">
      <w:pPr>
        <w:spacing w:after="120" w:line="240" w:lineRule="auto"/>
        <w:jc w:val="center"/>
        <w:rPr>
          <w:rFonts w:cs="Times New Roman"/>
        </w:rPr>
      </w:pPr>
    </w:p>
    <w:p w14:paraId="55B8F7B5" w14:textId="77777777" w:rsidR="00B0347B" w:rsidRPr="00537CE1" w:rsidRDefault="00B0347B" w:rsidP="00B0347B">
      <w:pPr>
        <w:spacing w:after="120" w:line="240" w:lineRule="auto"/>
        <w:jc w:val="center"/>
        <w:rPr>
          <w:rFonts w:cs="Times New Roman"/>
        </w:rPr>
      </w:pPr>
    </w:p>
    <w:p w14:paraId="37AAB4CB" w14:textId="77777777" w:rsidR="00537CE1" w:rsidRPr="00537CE1" w:rsidRDefault="00537CE1" w:rsidP="00537CE1">
      <w:pPr>
        <w:spacing w:line="240" w:lineRule="auto"/>
        <w:jc w:val="both"/>
        <w:rPr>
          <w:rFonts w:cs="Times New Roman"/>
        </w:rPr>
      </w:pPr>
      <w:r w:rsidRPr="00537CE1">
        <w:rPr>
          <w:noProof/>
          <w:lang w:eastAsia="pl-PL"/>
        </w:rPr>
        <w:drawing>
          <wp:inline distT="0" distB="0" distL="0" distR="0" wp14:anchorId="7267E1D5" wp14:editId="0E53B6D7">
            <wp:extent cx="5796280" cy="2596896"/>
            <wp:effectExtent l="0" t="0" r="0" b="0"/>
            <wp:docPr id="63" name="Wykres 63">
              <a:extLst xmlns:a="http://schemas.openxmlformats.org/drawingml/2006/main">
                <a:ext uri="{FF2B5EF4-FFF2-40B4-BE49-F238E27FC236}">
                  <a16:creationId xmlns:a16="http://schemas.microsoft.com/office/drawing/2014/main" id="{7EE35AE9-D5E0-435D-842D-669E0B2E61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2AE6ADDC" w14:textId="77777777" w:rsidR="00537CE1" w:rsidRPr="00537CE1" w:rsidRDefault="00537CE1" w:rsidP="00DD0E4C">
      <w:pPr>
        <w:spacing w:after="120" w:line="240" w:lineRule="auto"/>
        <w:jc w:val="center"/>
        <w:rPr>
          <w:rFonts w:cs="Times New Roman"/>
          <w:sz w:val="20"/>
          <w:szCs w:val="20"/>
        </w:rPr>
      </w:pPr>
      <w:r w:rsidRPr="00537CE1">
        <w:rPr>
          <w:rFonts w:cs="Times New Roman"/>
          <w:sz w:val="20"/>
          <w:szCs w:val="20"/>
        </w:rPr>
        <w:t>Rys. 34.</w:t>
      </w:r>
      <w:r w:rsidRPr="00537CE1">
        <w:rPr>
          <w:rFonts w:cs="Times New Roman"/>
          <w:sz w:val="20"/>
          <w:szCs w:val="20"/>
        </w:rPr>
        <w:tab/>
        <w:t>Średnie stężenia roczne pyłu zawieszonego PM10 na wybranych stacjach w Polsce, w latach 2010-2020</w:t>
      </w:r>
      <w:bookmarkStart w:id="34" w:name="_Hlk63854882"/>
      <w:r w:rsidRPr="00537CE1">
        <w:rPr>
          <w:rFonts w:cs="Times New Roman"/>
          <w:sz w:val="20"/>
          <w:szCs w:val="20"/>
        </w:rPr>
        <w:t xml:space="preserve"> (kolorem czerwonym zaznaczono linię z średniorocznym poziomem </w:t>
      </w:r>
      <w:r w:rsidRPr="00537CE1">
        <w:rPr>
          <w:rFonts w:cs="Times New Roman"/>
          <w:sz w:val="20"/>
          <w:szCs w:val="20"/>
          <w:shd w:val="clear" w:color="auto" w:fill="FFFFFF"/>
        </w:rPr>
        <w:t>dopuszczalnym dla pyłu zawieszonego PM10)</w:t>
      </w:r>
      <w:bookmarkEnd w:id="34"/>
    </w:p>
    <w:p w14:paraId="6EA8A0CB" w14:textId="77777777" w:rsidR="00537CE1" w:rsidRPr="00537CE1" w:rsidRDefault="00537CE1" w:rsidP="00537CE1">
      <w:pPr>
        <w:spacing w:after="0" w:line="240" w:lineRule="auto"/>
        <w:jc w:val="both"/>
        <w:rPr>
          <w:rFonts w:ascii="Times New Roman" w:eastAsia="Times New Roman" w:hAnsi="Times New Roman" w:cs="Times New Roman"/>
          <w:i/>
          <w:sz w:val="18"/>
          <w:szCs w:val="18"/>
          <w:lang w:eastAsia="pl-PL"/>
        </w:rPr>
      </w:pPr>
      <w:r w:rsidRPr="00537CE1">
        <w:rPr>
          <w:rFonts w:ascii="Times New Roman" w:eastAsia="Times New Roman" w:hAnsi="Times New Roman" w:cs="Times New Roman"/>
          <w:i/>
          <w:noProof/>
          <w:sz w:val="18"/>
          <w:szCs w:val="18"/>
          <w:lang w:eastAsia="pl-PL"/>
        </w:rPr>
        <mc:AlternateContent>
          <mc:Choice Requires="wps">
            <w:drawing>
              <wp:anchor distT="0" distB="0" distL="114300" distR="114300" simplePos="0" relativeHeight="251676672" behindDoc="0" locked="0" layoutInCell="1" allowOverlap="1" wp14:anchorId="09061C10" wp14:editId="5CE7AE15">
                <wp:simplePos x="0" y="0"/>
                <wp:positionH relativeFrom="column">
                  <wp:posOffset>764413</wp:posOffset>
                </wp:positionH>
                <wp:positionV relativeFrom="paragraph">
                  <wp:posOffset>1135634</wp:posOffset>
                </wp:positionV>
                <wp:extent cx="3497580" cy="22860"/>
                <wp:effectExtent l="19050" t="19050" r="26670" b="34290"/>
                <wp:wrapNone/>
                <wp:docPr id="450" name="Łącznik prosty 1"/>
                <wp:cNvGraphicFramePr/>
                <a:graphic xmlns:a="http://schemas.openxmlformats.org/drawingml/2006/main">
                  <a:graphicData uri="http://schemas.microsoft.com/office/word/2010/wordprocessingShape">
                    <wps:wsp>
                      <wps:cNvCnPr/>
                      <wps:spPr>
                        <a:xfrm flipV="1">
                          <a:off x="0" y="0"/>
                          <a:ext cx="3497580" cy="22860"/>
                        </a:xfrm>
                        <a:prstGeom prst="line">
                          <a:avLst/>
                        </a:prstGeom>
                        <a:noFill/>
                        <a:ln w="34925" cap="flat" cmpd="sng" algn="ctr">
                          <a:solidFill>
                            <a:srgbClr val="FF66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B4AA98" id="Łącznik prosty 1"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2pt,89.4pt" to="335.6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" strokecolor="#f60" strokeweight="2.75pt">
                <v:stroke joinstyle="miter"/>
              </v:line>
            </w:pict>
          </mc:Fallback>
        </mc:AlternateContent>
      </w:r>
      <w:r w:rsidRPr="00537CE1">
        <w:rPr>
          <w:rFonts w:ascii="Times New Roman" w:eastAsia="Times New Roman" w:hAnsi="Times New Roman" w:cs="Times New Roman"/>
          <w:i/>
          <w:noProof/>
          <w:sz w:val="18"/>
          <w:szCs w:val="18"/>
          <w:lang w:eastAsia="pl-PL"/>
        </w:rPr>
        <w:drawing>
          <wp:inline distT="0" distB="0" distL="0" distR="0" wp14:anchorId="285AA9B9" wp14:editId="3F0E4846">
            <wp:extent cx="5772647" cy="2446020"/>
            <wp:effectExtent l="0" t="0" r="0" b="0"/>
            <wp:docPr id="227" name="Wykres 227">
              <a:extLst xmlns:a="http://schemas.openxmlformats.org/drawingml/2006/main">
                <a:ext uri="{FF2B5EF4-FFF2-40B4-BE49-F238E27FC236}">
                  <a16:creationId xmlns:a16="http://schemas.microsoft.com/office/drawing/2014/main" id="{B859FAAD-5060-4B9E-BA9C-EDD9733C7B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2A3C9399" w14:textId="569EEE55" w:rsidR="00537CE1" w:rsidRPr="00537CE1" w:rsidRDefault="00537CE1" w:rsidP="00DD0E4C">
      <w:pPr>
        <w:spacing w:after="120" w:line="240" w:lineRule="auto"/>
        <w:jc w:val="center"/>
        <w:rPr>
          <w:rFonts w:cs="Times New Roman"/>
          <w:sz w:val="20"/>
          <w:szCs w:val="20"/>
          <w:shd w:val="clear" w:color="auto" w:fill="FFFFFF"/>
        </w:rPr>
      </w:pPr>
      <w:r w:rsidRPr="00537CE1">
        <w:rPr>
          <w:rFonts w:cs="Times New Roman"/>
          <w:sz w:val="20"/>
          <w:szCs w:val="20"/>
        </w:rPr>
        <w:t xml:space="preserve">Rys. 35. Średnie stężenia roczne pyłu zawieszonego PM2,5 na wybranych stacjach w Polsce, w latach 2010-2020. (kolorem czerwonym zaznaczono linię z średniorocznym poziomem </w:t>
      </w:r>
      <w:r w:rsidRPr="00537CE1">
        <w:rPr>
          <w:rFonts w:cs="Times New Roman"/>
          <w:sz w:val="20"/>
          <w:szCs w:val="20"/>
          <w:shd w:val="clear" w:color="auto" w:fill="FFFFFF"/>
        </w:rPr>
        <w:t>dopuszczalnym dla pyłu zawieszonego PM2,5 obowiązującym w ocenach jakości powietrza do roku 2019, kolorem pomarańczowym zaznaczono linię</w:t>
      </w:r>
      <w:r w:rsidR="00D733F2">
        <w:rPr>
          <w:rFonts w:cs="Times New Roman"/>
          <w:sz w:val="20"/>
          <w:szCs w:val="20"/>
          <w:shd w:val="clear" w:color="auto" w:fill="FFFFFF"/>
        </w:rPr>
        <w:t xml:space="preserve"> </w:t>
      </w:r>
      <w:r w:rsidRPr="00537CE1">
        <w:rPr>
          <w:rFonts w:cs="Times New Roman"/>
          <w:sz w:val="20"/>
          <w:szCs w:val="20"/>
          <w:shd w:val="clear" w:color="auto" w:fill="FFFFFF"/>
        </w:rPr>
        <w:t>z</w:t>
      </w:r>
      <w:r w:rsidRPr="00537CE1">
        <w:rPr>
          <w:rFonts w:cs="Times New Roman"/>
          <w:sz w:val="20"/>
          <w:szCs w:val="20"/>
        </w:rPr>
        <w:t xml:space="preserve"> średniorocznym poziomem </w:t>
      </w:r>
      <w:r w:rsidRPr="00537CE1">
        <w:rPr>
          <w:rFonts w:cs="Times New Roman"/>
          <w:sz w:val="20"/>
          <w:szCs w:val="20"/>
          <w:shd w:val="clear" w:color="auto" w:fill="FFFFFF"/>
        </w:rPr>
        <w:t>dopuszczalnym dla pyłu PM2,5 obowiązującym w ocenach jakości powietrza od roku 2020)</w:t>
      </w:r>
    </w:p>
    <w:p w14:paraId="70F71E4F" w14:textId="74B194CD" w:rsidR="00537CE1" w:rsidRPr="00537CE1" w:rsidRDefault="00537CE1" w:rsidP="00537CE1">
      <w:pPr>
        <w:spacing w:after="120" w:line="240" w:lineRule="auto"/>
        <w:jc w:val="both"/>
        <w:rPr>
          <w:rFonts w:cs="Times New Roman"/>
        </w:rPr>
      </w:pPr>
      <w:r w:rsidRPr="00537CE1">
        <w:rPr>
          <w:rFonts w:cs="Times New Roman"/>
        </w:rPr>
        <w:t xml:space="preserve">Stężenia </w:t>
      </w:r>
      <w:r w:rsidR="00B0347B">
        <w:rPr>
          <w:rFonts w:cs="Times New Roman"/>
        </w:rPr>
        <w:t>B(a)P</w:t>
      </w:r>
      <w:r w:rsidRPr="00537CE1">
        <w:rPr>
          <w:rFonts w:cs="Times New Roman"/>
        </w:rPr>
        <w:t xml:space="preserve"> w pyle z</w:t>
      </w:r>
      <w:r w:rsidR="001A02E3">
        <w:rPr>
          <w:rFonts w:cs="Times New Roman"/>
        </w:rPr>
        <w:t>a</w:t>
      </w:r>
      <w:r w:rsidRPr="00537CE1">
        <w:rPr>
          <w:rFonts w:cs="Times New Roman"/>
        </w:rPr>
        <w:t xml:space="preserve">wieszonym PM10 są ściśle związane z tzw. </w:t>
      </w:r>
      <w:r w:rsidR="00B0347B">
        <w:rPr>
          <w:rFonts w:cs="Times New Roman"/>
        </w:rPr>
        <w:t xml:space="preserve">zjawiskiem </w:t>
      </w:r>
      <w:r w:rsidRPr="00537CE1">
        <w:rPr>
          <w:rFonts w:cs="Times New Roman"/>
        </w:rPr>
        <w:t>nisk</w:t>
      </w:r>
      <w:r w:rsidR="00B0347B">
        <w:rPr>
          <w:rFonts w:cs="Times New Roman"/>
        </w:rPr>
        <w:t>iej</w:t>
      </w:r>
      <w:r w:rsidRPr="00537CE1">
        <w:rPr>
          <w:rFonts w:cs="Times New Roman"/>
        </w:rPr>
        <w:t xml:space="preserve"> emisj</w:t>
      </w:r>
      <w:r w:rsidR="00B0347B">
        <w:rPr>
          <w:rFonts w:cs="Times New Roman"/>
        </w:rPr>
        <w:t>i</w:t>
      </w:r>
      <w:r w:rsidRPr="00537CE1">
        <w:rPr>
          <w:rFonts w:cs="Times New Roman"/>
        </w:rPr>
        <w:t xml:space="preserve">, czyli ze spalaniem paliw stałych (węgiel, drewno itp.) w </w:t>
      </w:r>
      <w:r w:rsidR="00B0347B">
        <w:rPr>
          <w:rFonts w:cs="Times New Roman"/>
        </w:rPr>
        <w:t>urządzeniach grzewczych</w:t>
      </w:r>
      <w:r w:rsidRPr="00537CE1">
        <w:rPr>
          <w:rFonts w:cs="Times New Roman"/>
        </w:rPr>
        <w:t xml:space="preserve"> służących głównie do indywidualnego ogrzewania budynków, dlatego stężenia tego zanieczyszczenia w poszczególnych częściach roku bardzo się różnią</w:t>
      </w:r>
      <w:r w:rsidRPr="00537CE1">
        <w:rPr>
          <w:rFonts w:cs="Times New Roman"/>
          <w:color w:val="2F5496" w:themeColor="accent1" w:themeShade="BF"/>
        </w:rPr>
        <w:t xml:space="preserve">. </w:t>
      </w:r>
      <w:r w:rsidRPr="00537CE1">
        <w:rPr>
          <w:rFonts w:cs="Times New Roman"/>
          <w:b/>
          <w:bCs/>
          <w:color w:val="2F5496" w:themeColor="accent1" w:themeShade="BF"/>
        </w:rPr>
        <w:t xml:space="preserve">Wysokie stężenia </w:t>
      </w:r>
      <w:r w:rsidR="007451D7" w:rsidRPr="00BB3FB9">
        <w:rPr>
          <w:rFonts w:cs="Times New Roman"/>
          <w:b/>
          <w:bCs/>
          <w:color w:val="2F5496" w:themeColor="accent1" w:themeShade="BF"/>
        </w:rPr>
        <w:t xml:space="preserve">B(a)P </w:t>
      </w:r>
      <w:r w:rsidRPr="00537CE1">
        <w:rPr>
          <w:rFonts w:cs="Times New Roman"/>
          <w:b/>
          <w:bCs/>
          <w:color w:val="2F5496" w:themeColor="accent1" w:themeShade="BF"/>
        </w:rPr>
        <w:t>występują w okresach jesienno-zimowych, czyli w czasie intensywnego spalania paliw stałych w gospodarstwach domowych</w:t>
      </w:r>
      <w:r w:rsidRPr="00537CE1">
        <w:rPr>
          <w:rFonts w:cs="Times New Roman"/>
          <w:color w:val="2F5496" w:themeColor="accent1" w:themeShade="BF"/>
        </w:rPr>
        <w:t xml:space="preserve">. </w:t>
      </w:r>
      <w:r w:rsidRPr="00537CE1">
        <w:rPr>
          <w:rFonts w:cs="Times New Roman"/>
        </w:rPr>
        <w:t xml:space="preserve">W ciepłej połowie roku stężenia </w:t>
      </w:r>
      <w:r w:rsidR="007451D7">
        <w:rPr>
          <w:rFonts w:cs="Times New Roman"/>
        </w:rPr>
        <w:t>B(a)P</w:t>
      </w:r>
      <w:r w:rsidRPr="00537CE1">
        <w:rPr>
          <w:rFonts w:cs="Times New Roman"/>
        </w:rPr>
        <w:t xml:space="preserve"> są bardzo niskie (Rys. 36). Jednocześnie </w:t>
      </w:r>
      <w:r w:rsidRPr="00537CE1">
        <w:rPr>
          <w:rFonts w:cs="Times New Roman"/>
          <w:b/>
          <w:bCs/>
          <w:color w:val="2F5496" w:themeColor="accent1" w:themeShade="BF"/>
        </w:rPr>
        <w:t>zanieczyszczenie to ma charakter lokalny i występuje tam, gdzie występują źródła jego emisji</w:t>
      </w:r>
      <w:r w:rsidRPr="00537CE1">
        <w:rPr>
          <w:rFonts w:cs="Times New Roman"/>
        </w:rPr>
        <w:t xml:space="preserve">. Na obszarach oddalonych od domów opalanych </w:t>
      </w:r>
      <w:r w:rsidRPr="00537CE1">
        <w:rPr>
          <w:rFonts w:cs="Times New Roman"/>
        </w:rPr>
        <w:lastRenderedPageBreak/>
        <w:t xml:space="preserve">węglem lub drewnem stężenia </w:t>
      </w:r>
      <w:r w:rsidR="007451D7">
        <w:rPr>
          <w:rFonts w:cs="Times New Roman"/>
        </w:rPr>
        <w:t>B</w:t>
      </w:r>
      <w:r w:rsidRPr="00537CE1">
        <w:rPr>
          <w:rFonts w:cs="Times New Roman"/>
        </w:rPr>
        <w:t>(a)</w:t>
      </w:r>
      <w:r w:rsidR="007451D7">
        <w:rPr>
          <w:rFonts w:cs="Times New Roman"/>
        </w:rPr>
        <w:t>P</w:t>
      </w:r>
      <w:r w:rsidRPr="00537CE1">
        <w:rPr>
          <w:rFonts w:cs="Times New Roman"/>
        </w:rPr>
        <w:t xml:space="preserve"> w pyle z</w:t>
      </w:r>
      <w:r w:rsidR="001A02E3">
        <w:rPr>
          <w:rFonts w:cs="Times New Roman"/>
        </w:rPr>
        <w:t>a</w:t>
      </w:r>
      <w:r w:rsidRPr="00537CE1">
        <w:rPr>
          <w:rFonts w:cs="Times New Roman"/>
        </w:rPr>
        <w:t xml:space="preserve">wieszonym PM10 nie przekraczają dopuszczalnej normy (przykład stacji zlokalizowanej w Puszczy Boreckiej), natomiast w obszarach miejskich przekroczenia te są niekiedy bardzo duże, zwłaszcza w przypadkach, gdy miasta położone są w dolinach górskich lub rzecznych i warunki do rozpraszania zanieczyszczeń są dodatkowo utrudnione ukształtowaniem terenu (przykład Nowej Rudy). </w:t>
      </w:r>
    </w:p>
    <w:p w14:paraId="5352B2B6" w14:textId="77777777" w:rsidR="00537CE1" w:rsidRPr="00537CE1" w:rsidRDefault="00537CE1" w:rsidP="00537CE1">
      <w:pPr>
        <w:jc w:val="both"/>
        <w:rPr>
          <w:rFonts w:cs="Times New Roman"/>
        </w:rPr>
      </w:pPr>
      <w:r w:rsidRPr="00537CE1">
        <w:rPr>
          <w:noProof/>
          <w:lang w:eastAsia="pl-PL"/>
        </w:rPr>
        <w:drawing>
          <wp:inline distT="0" distB="0" distL="0" distR="0" wp14:anchorId="30363CB3" wp14:editId="1943BED9">
            <wp:extent cx="5646420" cy="2218944"/>
            <wp:effectExtent l="0" t="0" r="0" b="0"/>
            <wp:docPr id="451" name="Wykres 45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69ECD41" w14:textId="2A2A2033" w:rsidR="00537CE1" w:rsidRPr="00537CE1" w:rsidRDefault="00537CE1" w:rsidP="00DD0E4C">
      <w:pPr>
        <w:spacing w:after="120" w:line="240" w:lineRule="auto"/>
        <w:jc w:val="center"/>
        <w:rPr>
          <w:rFonts w:cs="Times New Roman"/>
        </w:rPr>
      </w:pPr>
      <w:r w:rsidRPr="00537CE1">
        <w:rPr>
          <w:rFonts w:cs="Times New Roman"/>
          <w:sz w:val="20"/>
          <w:szCs w:val="20"/>
        </w:rPr>
        <w:t>Rys.36.</w:t>
      </w:r>
      <w:r w:rsidRPr="00537CE1">
        <w:rPr>
          <w:rFonts w:cs="Times New Roman"/>
          <w:sz w:val="20"/>
          <w:szCs w:val="20"/>
        </w:rPr>
        <w:tab/>
        <w:t xml:space="preserve">Przebieg dobowych stężeń </w:t>
      </w:r>
      <w:r w:rsidR="00752622">
        <w:rPr>
          <w:rFonts w:cs="Times New Roman"/>
          <w:sz w:val="20"/>
          <w:szCs w:val="20"/>
        </w:rPr>
        <w:t>B(a)P</w:t>
      </w:r>
      <w:r w:rsidRPr="00537CE1">
        <w:rPr>
          <w:rFonts w:cs="Times New Roman"/>
          <w:sz w:val="20"/>
          <w:szCs w:val="20"/>
        </w:rPr>
        <w:t xml:space="preserve"> w roku 2020 r. na przykładzie wyników pomiarów z wybranych stacji Państwowego Monitoringu Środowiska</w:t>
      </w:r>
    </w:p>
    <w:p w14:paraId="353507FD" w14:textId="77777777" w:rsidR="00537CE1" w:rsidRPr="00537CE1" w:rsidRDefault="00537CE1" w:rsidP="0069104D">
      <w:pPr>
        <w:jc w:val="center"/>
        <w:rPr>
          <w:rFonts w:cs="Times New Roman"/>
          <w:i/>
        </w:rPr>
      </w:pPr>
      <w:r w:rsidRPr="00537CE1">
        <w:rPr>
          <w:noProof/>
          <w:lang w:eastAsia="pl-PL"/>
        </w:rPr>
        <w:drawing>
          <wp:inline distT="0" distB="0" distL="0" distR="0" wp14:anchorId="059EC736" wp14:editId="3E382655">
            <wp:extent cx="5593080" cy="2267712"/>
            <wp:effectExtent l="0" t="0" r="7620" b="0"/>
            <wp:docPr id="228" name="Wykres 228">
              <a:extLst xmlns:a="http://schemas.openxmlformats.org/drawingml/2006/main">
                <a:ext uri="{FF2B5EF4-FFF2-40B4-BE49-F238E27FC236}">
                  <a16:creationId xmlns:a16="http://schemas.microsoft.com/office/drawing/2014/main" id="{26A7966A-6DF1-4172-88F9-85E3957F66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4E80326D" w14:textId="492711A8" w:rsidR="00537CE1" w:rsidRPr="00537CE1" w:rsidRDefault="00537CE1" w:rsidP="00DD0E4C">
      <w:pPr>
        <w:spacing w:after="120" w:line="240" w:lineRule="auto"/>
        <w:jc w:val="center"/>
        <w:rPr>
          <w:rFonts w:cs="Times New Roman"/>
          <w:sz w:val="20"/>
          <w:szCs w:val="20"/>
        </w:rPr>
      </w:pPr>
      <w:r w:rsidRPr="00537CE1">
        <w:rPr>
          <w:rFonts w:cs="Times New Roman"/>
          <w:sz w:val="20"/>
          <w:szCs w:val="20"/>
        </w:rPr>
        <w:t>Rys. 37.</w:t>
      </w:r>
      <w:r w:rsidRPr="00537CE1">
        <w:rPr>
          <w:rFonts w:cs="Times New Roman"/>
          <w:sz w:val="20"/>
          <w:szCs w:val="20"/>
        </w:rPr>
        <w:tab/>
        <w:t xml:space="preserve">Średnie stężenia roczne </w:t>
      </w:r>
      <w:r w:rsidR="00752622">
        <w:rPr>
          <w:rFonts w:cs="Times New Roman"/>
          <w:sz w:val="20"/>
          <w:szCs w:val="20"/>
        </w:rPr>
        <w:t>B</w:t>
      </w:r>
      <w:r w:rsidR="00C245A9">
        <w:rPr>
          <w:rFonts w:cs="Times New Roman"/>
          <w:sz w:val="20"/>
          <w:szCs w:val="20"/>
        </w:rPr>
        <w:t>(</w:t>
      </w:r>
      <w:r w:rsidR="00752622">
        <w:rPr>
          <w:rFonts w:cs="Times New Roman"/>
          <w:sz w:val="20"/>
          <w:szCs w:val="20"/>
        </w:rPr>
        <w:t>a)P</w:t>
      </w:r>
      <w:r w:rsidRPr="00537CE1">
        <w:rPr>
          <w:rFonts w:cs="Times New Roman"/>
          <w:sz w:val="20"/>
          <w:szCs w:val="20"/>
        </w:rPr>
        <w:t xml:space="preserve"> w pyle zawieszonym PM10 na wybranych stacjach w Polsce, w latach 2010-2020 (kolorem czerwonym zaznaczono linię z poziomem docelowym dla </w:t>
      </w:r>
      <w:r w:rsidR="00752622">
        <w:rPr>
          <w:rFonts w:cs="Times New Roman"/>
          <w:sz w:val="20"/>
          <w:szCs w:val="20"/>
        </w:rPr>
        <w:t>B(a)P</w:t>
      </w:r>
      <w:r w:rsidRPr="00537CE1">
        <w:rPr>
          <w:rFonts w:cs="Times New Roman"/>
          <w:sz w:val="20"/>
          <w:szCs w:val="20"/>
        </w:rPr>
        <w:t xml:space="preserve"> w pyle zawieszonym PM10)</w:t>
      </w:r>
    </w:p>
    <w:p w14:paraId="271B5E4F" w14:textId="649CFDE4" w:rsidR="00537CE1" w:rsidRPr="00537CE1" w:rsidRDefault="00537CE1" w:rsidP="00537CE1">
      <w:pPr>
        <w:spacing w:after="120" w:line="240" w:lineRule="auto"/>
        <w:jc w:val="both"/>
      </w:pPr>
      <w:r w:rsidRPr="00537CE1">
        <w:rPr>
          <w:b/>
          <w:bCs/>
          <w:color w:val="2F5496" w:themeColor="accent1" w:themeShade="BF"/>
        </w:rPr>
        <w:t>Pośród zanieczyszczeń gazowych, których stężania są bezpośrednio zależne od wielkości emitowanych zanieczyszczeń, w rocznych ocenach jakości powietrza, w największych aglomeracjach, na stacjach znajdujących się pod bezpośrednim wpływem emisji zanieczyszczeń z transportu, tzw. stacjach komunikacyjnych, notuje się przekroczenia średniego rocznego stężenia NO</w:t>
      </w:r>
      <w:r w:rsidRPr="00537CE1">
        <w:rPr>
          <w:b/>
          <w:bCs/>
          <w:color w:val="2F5496" w:themeColor="accent1" w:themeShade="BF"/>
          <w:vertAlign w:val="subscript"/>
        </w:rPr>
        <w:t>2</w:t>
      </w:r>
      <w:r w:rsidRPr="00537CE1">
        <w:rPr>
          <w:color w:val="2F5496" w:themeColor="accent1" w:themeShade="BF"/>
        </w:rPr>
        <w:t xml:space="preserve">. </w:t>
      </w:r>
      <w:r w:rsidRPr="00537CE1">
        <w:t xml:space="preserve">Stacje komunikacyjne zlokalizowane są w centrach miast w bezpośredniej bliskości dróg o dużym natężeniu ruchu, a pomiary tam prowadzone ukierunkowane są na badanie oddziaływania transportu samochodowego na poziom zanieczyszczeń powietrza. W Polsce nie notuje się przekroczeń poziomu dopuszczalnego w odniesieniu do 1-godzinnych stężeń </w:t>
      </w:r>
      <w:bookmarkStart w:id="35" w:name="_Hlk78122663"/>
      <w:r w:rsidRPr="00537CE1">
        <w:t>NO</w:t>
      </w:r>
      <w:r w:rsidRPr="00537CE1">
        <w:rPr>
          <w:vertAlign w:val="subscript"/>
        </w:rPr>
        <w:t>2</w:t>
      </w:r>
      <w:bookmarkEnd w:id="35"/>
      <w:r w:rsidRPr="00537CE1">
        <w:t>.</w:t>
      </w:r>
    </w:p>
    <w:p w14:paraId="5FFDC6F4" w14:textId="662174DA" w:rsidR="00537CE1" w:rsidRPr="00537CE1" w:rsidRDefault="00537CE1" w:rsidP="00537CE1">
      <w:pPr>
        <w:spacing w:after="120" w:line="240" w:lineRule="auto"/>
        <w:jc w:val="both"/>
        <w:rPr>
          <w:rFonts w:cstheme="minorHAnsi"/>
        </w:rPr>
      </w:pPr>
      <w:r w:rsidRPr="00537CE1">
        <w:rPr>
          <w:rFonts w:cstheme="minorHAnsi"/>
        </w:rPr>
        <w:t xml:space="preserve">W latach 2010-2019 stężenia średnie roczne </w:t>
      </w:r>
      <w:r w:rsidR="00752622" w:rsidRPr="00752622">
        <w:rPr>
          <w:rFonts w:cstheme="minorHAnsi"/>
        </w:rPr>
        <w:t>NO</w:t>
      </w:r>
      <w:r w:rsidR="00752622" w:rsidRPr="00DD0E4C">
        <w:rPr>
          <w:rFonts w:cstheme="minorHAnsi"/>
          <w:vertAlign w:val="subscript"/>
        </w:rPr>
        <w:t>2</w:t>
      </w:r>
      <w:r w:rsidRPr="00537CE1">
        <w:rPr>
          <w:rFonts w:cstheme="minorHAnsi"/>
        </w:rPr>
        <w:t>kształtowały się na podobnym poziomie z wyraźnym spadkiem w roku 2019 w stosunku do roku 2010 (o 12,5%). W roku 2020 ze względu na sytuację związaną z epidemią C</w:t>
      </w:r>
      <w:r w:rsidR="00752622">
        <w:rPr>
          <w:rFonts w:cstheme="minorHAnsi"/>
        </w:rPr>
        <w:t>OVID</w:t>
      </w:r>
      <w:r w:rsidRPr="00537CE1">
        <w:rPr>
          <w:rFonts w:cstheme="minorHAnsi"/>
        </w:rPr>
        <w:t>-19 na większości stacji nastąpił dalszy spadek stężeń tego zanieczyszczenia.</w:t>
      </w:r>
    </w:p>
    <w:p w14:paraId="25C658B5" w14:textId="77777777" w:rsidR="00537CE1" w:rsidRPr="00537CE1" w:rsidRDefault="00537CE1" w:rsidP="00537CE1">
      <w:pPr>
        <w:spacing w:line="240" w:lineRule="auto"/>
        <w:jc w:val="both"/>
        <w:rPr>
          <w:rFonts w:cstheme="minorHAnsi"/>
        </w:rPr>
      </w:pPr>
      <w:r w:rsidRPr="00537CE1">
        <w:rPr>
          <w:noProof/>
          <w:lang w:eastAsia="pl-PL"/>
        </w:rPr>
        <w:lastRenderedPageBreak/>
        <w:drawing>
          <wp:inline distT="0" distB="0" distL="0" distR="0" wp14:anchorId="23CB4317" wp14:editId="532EEB7B">
            <wp:extent cx="5620512" cy="2181860"/>
            <wp:effectExtent l="0" t="0" r="0" b="8890"/>
            <wp:docPr id="452" name="Wykres 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237B121F" w14:textId="784BAC05" w:rsidR="00537CE1" w:rsidRPr="00DD0E4C" w:rsidRDefault="00537CE1" w:rsidP="00DD0E4C">
      <w:pPr>
        <w:spacing w:after="120" w:line="240" w:lineRule="auto"/>
        <w:jc w:val="center"/>
        <w:rPr>
          <w:rFonts w:cs="Times New Roman"/>
          <w:sz w:val="20"/>
          <w:szCs w:val="20"/>
        </w:rPr>
      </w:pPr>
      <w:r w:rsidRPr="00537CE1">
        <w:rPr>
          <w:rFonts w:cs="Times New Roman"/>
          <w:sz w:val="20"/>
          <w:szCs w:val="20"/>
        </w:rPr>
        <w:t>Rys. 38. Średnie stężenia roczne NO</w:t>
      </w:r>
      <w:r w:rsidRPr="00537CE1">
        <w:rPr>
          <w:rFonts w:cs="Times New Roman"/>
          <w:sz w:val="20"/>
          <w:szCs w:val="20"/>
          <w:vertAlign w:val="subscript"/>
        </w:rPr>
        <w:t>2</w:t>
      </w:r>
      <w:r w:rsidRPr="00537CE1">
        <w:rPr>
          <w:rFonts w:cs="Times New Roman"/>
          <w:sz w:val="20"/>
          <w:szCs w:val="20"/>
        </w:rPr>
        <w:t xml:space="preserve"> na wybranych stacjach komunikacyjnych w Polsce, w latach 2010-2020 (kolorem czerwonym zaznaczono linię z poziomem docelowym NO</w:t>
      </w:r>
      <w:r w:rsidRPr="00537CE1">
        <w:rPr>
          <w:rFonts w:cs="Times New Roman"/>
          <w:sz w:val="20"/>
          <w:szCs w:val="20"/>
          <w:vertAlign w:val="subscript"/>
        </w:rPr>
        <w:t>2</w:t>
      </w:r>
      <w:r w:rsidRPr="00537CE1">
        <w:rPr>
          <w:rFonts w:cs="Times New Roman"/>
          <w:sz w:val="20"/>
          <w:szCs w:val="20"/>
        </w:rPr>
        <w:t>)</w:t>
      </w:r>
    </w:p>
    <w:p w14:paraId="4372FE9C" w14:textId="77777777" w:rsidR="00537CE1" w:rsidRPr="00710110" w:rsidRDefault="00537CE1" w:rsidP="00710110">
      <w:pPr>
        <w:pStyle w:val="Nagwek2"/>
        <w:numPr>
          <w:ilvl w:val="0"/>
          <w:numId w:val="0"/>
        </w:numPr>
        <w:rPr>
          <w:b/>
          <w:sz w:val="22"/>
          <w:szCs w:val="22"/>
        </w:rPr>
      </w:pPr>
      <w:bookmarkStart w:id="36" w:name="_Toc78205884"/>
      <w:r w:rsidRPr="00710110">
        <w:rPr>
          <w:b/>
          <w:sz w:val="22"/>
          <w:szCs w:val="22"/>
        </w:rPr>
        <w:t>6.5. Udziały emisji w stężeniach zanieczyszczeń</w:t>
      </w:r>
      <w:bookmarkEnd w:id="36"/>
    </w:p>
    <w:p w14:paraId="2D9E8E39" w14:textId="51BCD194" w:rsidR="00537CE1" w:rsidRPr="00537CE1" w:rsidRDefault="00537CE1" w:rsidP="00537CE1">
      <w:pPr>
        <w:spacing w:after="120" w:line="240" w:lineRule="auto"/>
        <w:jc w:val="both"/>
      </w:pPr>
      <w:r w:rsidRPr="00537CE1">
        <w:t>W ramach</w:t>
      </w:r>
      <w:r w:rsidR="00550313">
        <w:t xml:space="preserve"> działań pozaustawowych IOŚ-PIB wykonuje</w:t>
      </w:r>
      <w:r w:rsidRPr="00537CE1">
        <w:t xml:space="preserve"> </w:t>
      </w:r>
      <w:r w:rsidR="00550313">
        <w:t xml:space="preserve">dodatkowe </w:t>
      </w:r>
      <w:r w:rsidRPr="00537CE1">
        <w:t>modelowani</w:t>
      </w:r>
      <w:r w:rsidR="00550313">
        <w:t>e</w:t>
      </w:r>
      <w:r w:rsidRPr="00537CE1">
        <w:t xml:space="preserve"> matematyczn</w:t>
      </w:r>
      <w:r w:rsidR="00550313">
        <w:t>e</w:t>
      </w:r>
      <w:r w:rsidRPr="00537CE1">
        <w:t>,</w:t>
      </w:r>
      <w:r w:rsidR="00550313">
        <w:t xml:space="preserve"> wykorzystywane przez GIOŚ</w:t>
      </w:r>
      <w:r w:rsidRPr="00537CE1">
        <w:t xml:space="preserve"> </w:t>
      </w:r>
      <w:r w:rsidR="00550313">
        <w:t>w ramach rocznej oceny jakości powietrza</w:t>
      </w:r>
      <w:r w:rsidRPr="00537CE1">
        <w:t>,</w:t>
      </w:r>
      <w:r w:rsidR="00550313">
        <w:t xml:space="preserve"> w celu</w:t>
      </w:r>
      <w:r w:rsidRPr="00537CE1">
        <w:t xml:space="preserve"> określ</w:t>
      </w:r>
      <w:r w:rsidR="00550313">
        <w:t>enia</w:t>
      </w:r>
      <w:r w:rsidRPr="00537CE1">
        <w:t xml:space="preserve"> </w:t>
      </w:r>
      <w:bookmarkStart w:id="37" w:name="_Hlk63883125"/>
      <w:r w:rsidRPr="00537CE1">
        <w:t>uśrednion</w:t>
      </w:r>
      <w:r w:rsidR="00550313">
        <w:t>ych</w:t>
      </w:r>
      <w:r w:rsidRPr="00537CE1">
        <w:t xml:space="preserve"> udział</w:t>
      </w:r>
      <w:r w:rsidR="00550313">
        <w:t>ów</w:t>
      </w:r>
      <w:r w:rsidRPr="00537CE1">
        <w:t xml:space="preserve"> procentow</w:t>
      </w:r>
      <w:r w:rsidR="00550313">
        <w:t>ych</w:t>
      </w:r>
      <w:r w:rsidRPr="00537CE1">
        <w:t xml:space="preserve"> poszczególnych kategorii źródeł emisji zanieczyszczeń w stężeniach pyłu zawieszonego PM10 i PM2,5 obliczonych dla stref w Polsce</w:t>
      </w:r>
      <w:bookmarkEnd w:id="37"/>
      <w:r w:rsidR="00D733F2">
        <w:t xml:space="preserve">. </w:t>
      </w:r>
    </w:p>
    <w:p w14:paraId="36C2FB99" w14:textId="52FE859D" w:rsidR="00537CE1" w:rsidRPr="00537CE1" w:rsidRDefault="00537CE1" w:rsidP="00537CE1">
      <w:pPr>
        <w:spacing w:after="120" w:line="240" w:lineRule="auto"/>
        <w:jc w:val="both"/>
        <w:rPr>
          <w:rFonts w:eastAsia="Calibri" w:cstheme="minorHAnsi"/>
        </w:rPr>
      </w:pPr>
      <w:r w:rsidRPr="00537CE1">
        <w:rPr>
          <w:rFonts w:eastAsia="Calibri" w:cstheme="minorHAnsi"/>
        </w:rPr>
        <w:t>Jak wynika z analiz</w:t>
      </w:r>
      <w:r w:rsidR="00D733F2">
        <w:rPr>
          <w:rFonts w:eastAsia="Calibri" w:cstheme="minorHAnsi"/>
        </w:rPr>
        <w:t xml:space="preserve"> dla roku 2020 </w:t>
      </w:r>
      <w:r w:rsidR="00D733F2" w:rsidRPr="00537CE1">
        <w:t>(Rys. 39 i 40)</w:t>
      </w:r>
      <w:r w:rsidRPr="00537CE1">
        <w:rPr>
          <w:rFonts w:eastAsia="Calibri" w:cstheme="minorHAnsi"/>
        </w:rPr>
        <w:t xml:space="preserve">, </w:t>
      </w:r>
      <w:r w:rsidRPr="00537CE1">
        <w:rPr>
          <w:rFonts w:eastAsia="Calibri" w:cstheme="minorHAnsi"/>
          <w:b/>
          <w:bCs/>
          <w:color w:val="2F5496" w:themeColor="accent1" w:themeShade="BF"/>
        </w:rPr>
        <w:t xml:space="preserve">w poszczególnych strefach występują różnice w </w:t>
      </w:r>
      <w:r w:rsidR="00761C4C">
        <w:rPr>
          <w:rFonts w:eastAsia="Calibri" w:cstheme="minorHAnsi"/>
          <w:b/>
          <w:bCs/>
          <w:color w:val="2F5496" w:themeColor="accent1" w:themeShade="BF"/>
        </w:rPr>
        <w:t>obliczonych</w:t>
      </w:r>
      <w:r w:rsidR="00761C4C" w:rsidRPr="00537CE1">
        <w:rPr>
          <w:rFonts w:eastAsia="Calibri" w:cstheme="minorHAnsi"/>
          <w:b/>
          <w:bCs/>
          <w:color w:val="2F5496" w:themeColor="accent1" w:themeShade="BF"/>
        </w:rPr>
        <w:t xml:space="preserve"> </w:t>
      </w:r>
      <w:r w:rsidRPr="00537CE1">
        <w:rPr>
          <w:rFonts w:eastAsia="Calibri" w:cstheme="minorHAnsi"/>
          <w:b/>
          <w:bCs/>
          <w:color w:val="2F5496" w:themeColor="accent1" w:themeShade="BF"/>
        </w:rPr>
        <w:t>udziałach. S</w:t>
      </w:r>
      <w:r w:rsidR="006C0E3B">
        <w:rPr>
          <w:rFonts w:eastAsia="Calibri" w:cstheme="minorHAnsi"/>
          <w:b/>
          <w:bCs/>
          <w:color w:val="2F5496" w:themeColor="accent1" w:themeShade="BF"/>
        </w:rPr>
        <w:t xml:space="preserve">ą </w:t>
      </w:r>
      <w:r w:rsidRPr="00537CE1">
        <w:rPr>
          <w:rFonts w:eastAsia="Calibri" w:cstheme="minorHAnsi"/>
          <w:b/>
          <w:bCs/>
          <w:color w:val="2F5496" w:themeColor="accent1" w:themeShade="BF"/>
        </w:rPr>
        <w:t>one związane z lokalną i regionalną obecnością określonych grup źródeł emisji oraz ich aktywnością, a także położeniem samych stref</w:t>
      </w:r>
      <w:r w:rsidR="00761C4C">
        <w:rPr>
          <w:rFonts w:eastAsia="Calibri" w:cstheme="minorHAnsi"/>
          <w:b/>
          <w:bCs/>
          <w:color w:val="2F5496" w:themeColor="accent1" w:themeShade="BF"/>
        </w:rPr>
        <w:t xml:space="preserve"> i napływem</w:t>
      </w:r>
      <w:r w:rsidRPr="00537CE1">
        <w:rPr>
          <w:rFonts w:eastAsia="Calibri" w:cstheme="minorHAnsi"/>
          <w:color w:val="2F5496" w:themeColor="accent1" w:themeShade="BF"/>
        </w:rPr>
        <w:t xml:space="preserve">. </w:t>
      </w:r>
      <w:r w:rsidRPr="00537CE1">
        <w:rPr>
          <w:rFonts w:eastAsia="Calibri" w:cstheme="minorHAnsi"/>
        </w:rPr>
        <w:t xml:space="preserve">Można zauważyć, że większe udziały emisji </w:t>
      </w:r>
      <w:r w:rsidR="00761C4C">
        <w:rPr>
          <w:rFonts w:eastAsia="Calibri" w:cstheme="minorHAnsi"/>
        </w:rPr>
        <w:t xml:space="preserve">z sektora </w:t>
      </w:r>
      <w:r w:rsidRPr="00537CE1">
        <w:rPr>
          <w:rFonts w:eastAsia="Calibri" w:cstheme="minorHAnsi"/>
        </w:rPr>
        <w:t>transport</w:t>
      </w:r>
      <w:r w:rsidR="00761C4C">
        <w:rPr>
          <w:rFonts w:eastAsia="Calibri" w:cstheme="minorHAnsi"/>
        </w:rPr>
        <w:t>u</w:t>
      </w:r>
      <w:r w:rsidRPr="00537CE1">
        <w:rPr>
          <w:rFonts w:eastAsia="Calibri" w:cstheme="minorHAnsi"/>
        </w:rPr>
        <w:t xml:space="preserve"> są na obszarach aglomeracji powyżej 250 tysięcy mieszkańców i miast powyżej 100 tysięcy mieszkańców. Zauważalne są także większe udziały napływu transgranicznego zanieczyszczeń na obszarze stref przygranicznych. Z kolei udział rolnictwa jest związany z wielkością i aktywnością tego sektora w strefie oraz jej otoczeniu, przy jednoczesnej mniejszej obecności np. znaczącego lokalnego przemysłu. Źródła przemysłowe i energetyczne mają największy udział na obszarach silnie uprzemysłowionych, jak np. aglomeracja górnośląska lub na terenie miast, gdzie zlokalizowane są znaczące obiekty z tego sektora. </w:t>
      </w:r>
      <w:r w:rsidRPr="00537CE1">
        <w:rPr>
          <w:rFonts w:eastAsia="Calibri" w:cstheme="minorHAnsi"/>
          <w:b/>
          <w:bCs/>
          <w:color w:val="2F5496" w:themeColor="accent1" w:themeShade="BF"/>
        </w:rPr>
        <w:t>W większości stref dominował jednak udział sektora bytowo-komunalnego, przy jednoczesnym, znaczącym udziale napływu spoza granic kraju</w:t>
      </w:r>
      <w:r w:rsidRPr="00537CE1">
        <w:rPr>
          <w:rFonts w:eastAsia="Calibri" w:cstheme="minorHAnsi"/>
          <w:color w:val="2F5496" w:themeColor="accent1" w:themeShade="BF"/>
        </w:rPr>
        <w:t>.</w:t>
      </w:r>
    </w:p>
    <w:p w14:paraId="713ADCB8" w14:textId="3B9D777F" w:rsidR="00537CE1" w:rsidRPr="00537CE1" w:rsidRDefault="0030338E" w:rsidP="0030338E">
      <w:pPr>
        <w:spacing w:after="120" w:line="240" w:lineRule="auto"/>
        <w:jc w:val="center"/>
      </w:pPr>
      <w:r>
        <w:rPr>
          <w:noProof/>
          <w:lang w:eastAsia="pl-PL"/>
        </w:rPr>
        <w:lastRenderedPageBreak/>
        <w:drawing>
          <wp:inline distT="0" distB="0" distL="0" distR="0" wp14:anchorId="22FE1303" wp14:editId="72CED126">
            <wp:extent cx="4053840" cy="6480048"/>
            <wp:effectExtent l="0" t="0" r="3810" b="0"/>
            <wp:docPr id="239" name="Wykres 239">
              <a:extLst xmlns:a="http://schemas.openxmlformats.org/drawingml/2006/main">
                <a:ext uri="{FF2B5EF4-FFF2-40B4-BE49-F238E27FC236}">
                  <a16:creationId xmlns:a16="http://schemas.microsoft.com/office/drawing/2014/main" id="{430C3C8B-DBE0-43FD-A8CA-0CC901005A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624EE7DB" w14:textId="47EAD98B" w:rsidR="0030338E" w:rsidRPr="00D9785F" w:rsidRDefault="0030338E" w:rsidP="00DD0E4C">
      <w:pPr>
        <w:spacing w:after="120" w:line="240" w:lineRule="auto"/>
        <w:jc w:val="center"/>
        <w:rPr>
          <w:sz w:val="20"/>
          <w:szCs w:val="20"/>
        </w:rPr>
      </w:pPr>
      <w:r w:rsidRPr="00D9785F">
        <w:rPr>
          <w:sz w:val="20"/>
          <w:szCs w:val="20"/>
        </w:rPr>
        <w:t>Rys. 39 Uśrednione udziały procentowe poszczególnych kategorii źródeł emisji zanieczyszczeń w stężeniach średnich 24 godzinnych pyłu zawieszonego PM10</w:t>
      </w:r>
      <w:r w:rsidRPr="0030338E">
        <w:rPr>
          <w:sz w:val="20"/>
          <w:szCs w:val="20"/>
        </w:rPr>
        <w:t xml:space="preserve"> </w:t>
      </w:r>
      <w:r w:rsidRPr="00D9785F">
        <w:rPr>
          <w:sz w:val="20"/>
          <w:szCs w:val="20"/>
        </w:rPr>
        <w:t>w 2020 r., obliczonych dla stref w Polsce</w:t>
      </w:r>
      <w:r>
        <w:rPr>
          <w:sz w:val="20"/>
          <w:szCs w:val="20"/>
        </w:rPr>
        <w:t>.</w:t>
      </w:r>
    </w:p>
    <w:p w14:paraId="29E10CD0" w14:textId="1DAA36A1" w:rsidR="00537CE1" w:rsidRPr="00537CE1" w:rsidRDefault="0030338E" w:rsidP="00537CE1">
      <w:pPr>
        <w:jc w:val="center"/>
        <w:rPr>
          <w:b/>
          <w:i/>
          <w:color w:val="000000" w:themeColor="text1"/>
          <w:sz w:val="20"/>
          <w:szCs w:val="20"/>
        </w:rPr>
      </w:pPr>
      <w:r>
        <w:rPr>
          <w:noProof/>
          <w:lang w:eastAsia="pl-PL"/>
        </w:rPr>
        <w:lastRenderedPageBreak/>
        <w:drawing>
          <wp:inline distT="0" distB="0" distL="0" distR="0" wp14:anchorId="25FE7C3B" wp14:editId="2558BD93">
            <wp:extent cx="4165600" cy="6583680"/>
            <wp:effectExtent l="0" t="0" r="6350" b="7620"/>
            <wp:docPr id="240" name="Wykres 240">
              <a:extLst xmlns:a="http://schemas.openxmlformats.org/drawingml/2006/main">
                <a:ext uri="{FF2B5EF4-FFF2-40B4-BE49-F238E27FC236}">
                  <a16:creationId xmlns:a16="http://schemas.microsoft.com/office/drawing/2014/main" id="{9E2F736B-129C-41B5-937D-4D878EDD76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B4B80C0" w14:textId="2E02380F" w:rsidR="006C1E42" w:rsidRDefault="0030338E" w:rsidP="006C1E42">
      <w:pPr>
        <w:jc w:val="center"/>
        <w:rPr>
          <w:sz w:val="20"/>
          <w:szCs w:val="20"/>
        </w:rPr>
      </w:pPr>
      <w:r w:rsidRPr="00D9785F">
        <w:rPr>
          <w:sz w:val="20"/>
          <w:szCs w:val="20"/>
        </w:rPr>
        <w:t>Rys. 40. Uśrednione udziały procentowe poszczególnych kategorii źródeł emisji zanieczyszczeń w stężeniach średnich 24 godzinnych pyłu zawieszonego PM2,5</w:t>
      </w:r>
      <w:r w:rsidRPr="0030338E">
        <w:rPr>
          <w:sz w:val="20"/>
          <w:szCs w:val="20"/>
        </w:rPr>
        <w:t xml:space="preserve"> </w:t>
      </w:r>
      <w:r w:rsidRPr="00D9785F">
        <w:rPr>
          <w:sz w:val="20"/>
          <w:szCs w:val="20"/>
        </w:rPr>
        <w:t>w 2020 r</w:t>
      </w:r>
      <w:r>
        <w:rPr>
          <w:sz w:val="20"/>
          <w:szCs w:val="20"/>
        </w:rPr>
        <w:t>.</w:t>
      </w:r>
      <w:r w:rsidRPr="00D9785F">
        <w:rPr>
          <w:sz w:val="20"/>
          <w:szCs w:val="20"/>
        </w:rPr>
        <w:t>, obliczonych dla stref w Polsce</w:t>
      </w:r>
      <w:r>
        <w:rPr>
          <w:sz w:val="20"/>
          <w:szCs w:val="20"/>
        </w:rPr>
        <w:t>.</w:t>
      </w:r>
      <w:r w:rsidRPr="00D9785F">
        <w:rPr>
          <w:sz w:val="20"/>
          <w:szCs w:val="20"/>
        </w:rPr>
        <w:t xml:space="preserve"> </w:t>
      </w:r>
    </w:p>
    <w:p w14:paraId="262D6F44" w14:textId="3812590C" w:rsidR="00761C4C" w:rsidRDefault="00761C4C" w:rsidP="006C1E42">
      <w:pPr>
        <w:jc w:val="center"/>
        <w:rPr>
          <w:sz w:val="20"/>
          <w:szCs w:val="20"/>
        </w:rPr>
      </w:pPr>
    </w:p>
    <w:p w14:paraId="2A90F44E" w14:textId="7B89B49C" w:rsidR="00761C4C" w:rsidRDefault="00761C4C" w:rsidP="00B63546">
      <w:pPr>
        <w:jc w:val="both"/>
        <w:rPr>
          <w:sz w:val="20"/>
          <w:szCs w:val="20"/>
        </w:rPr>
      </w:pPr>
      <w:r>
        <w:rPr>
          <w:sz w:val="20"/>
          <w:szCs w:val="20"/>
        </w:rPr>
        <w:t xml:space="preserve">Ponieważ wyniki te stanowią wartości dodaną w stosunku do wyników modelowania na potrzeby rocznej oceny jakości powietrza przekazywanych </w:t>
      </w:r>
      <w:r w:rsidR="0087327E">
        <w:rPr>
          <w:sz w:val="20"/>
          <w:szCs w:val="20"/>
        </w:rPr>
        <w:t xml:space="preserve">przez IOŚ-PIB do GIOŚ, </w:t>
      </w:r>
      <w:r>
        <w:rPr>
          <w:sz w:val="20"/>
          <w:szCs w:val="20"/>
        </w:rPr>
        <w:t xml:space="preserve">zgodnie z </w:t>
      </w:r>
      <w:r w:rsidR="0087327E">
        <w:rPr>
          <w:sz w:val="20"/>
          <w:szCs w:val="20"/>
        </w:rPr>
        <w:t>r</w:t>
      </w:r>
      <w:r>
        <w:rPr>
          <w:sz w:val="20"/>
          <w:szCs w:val="20"/>
        </w:rPr>
        <w:t>ozporządzen</w:t>
      </w:r>
      <w:r w:rsidR="0087327E">
        <w:rPr>
          <w:sz w:val="20"/>
          <w:szCs w:val="20"/>
        </w:rPr>
        <w:t xml:space="preserve">iem Ministra Klimatu i Środowiska z dnia 13 listopada 2020 r. w sprawie zakresu i sposobu przekazywania informacji dotyczących zanieczyszczenia powietrza, </w:t>
      </w:r>
      <w:r>
        <w:rPr>
          <w:sz w:val="20"/>
          <w:szCs w:val="20"/>
        </w:rPr>
        <w:t xml:space="preserve">a obecnie wykonywane są jako zadanie </w:t>
      </w:r>
      <w:r w:rsidR="00FE5F61">
        <w:rPr>
          <w:sz w:val="20"/>
          <w:szCs w:val="20"/>
        </w:rPr>
        <w:t xml:space="preserve">dodatkowe, </w:t>
      </w:r>
      <w:r w:rsidR="0087327E">
        <w:rPr>
          <w:sz w:val="20"/>
          <w:szCs w:val="20"/>
        </w:rPr>
        <w:t xml:space="preserve">zasadnym jest rozważenie wprowadzenia ich do zakresu zadań IOŚ-PIB, określonych w obowiązujących </w:t>
      </w:r>
      <w:r w:rsidR="00FE5F61">
        <w:rPr>
          <w:sz w:val="20"/>
          <w:szCs w:val="20"/>
        </w:rPr>
        <w:t>przepi</w:t>
      </w:r>
      <w:r w:rsidR="0087327E">
        <w:rPr>
          <w:sz w:val="20"/>
          <w:szCs w:val="20"/>
        </w:rPr>
        <w:t>sach prawa, w przypadku pozyskania źródeł ich finasowania</w:t>
      </w:r>
      <w:r w:rsidR="00FE5F61">
        <w:rPr>
          <w:sz w:val="20"/>
          <w:szCs w:val="20"/>
        </w:rPr>
        <w:t xml:space="preserve">, </w:t>
      </w:r>
      <w:r w:rsidR="0087327E">
        <w:rPr>
          <w:sz w:val="20"/>
          <w:szCs w:val="20"/>
        </w:rPr>
        <w:t xml:space="preserve">i przeprowadzanie  ich dla </w:t>
      </w:r>
      <w:r w:rsidR="00680807">
        <w:rPr>
          <w:sz w:val="20"/>
          <w:szCs w:val="20"/>
        </w:rPr>
        <w:t>wszystkich</w:t>
      </w:r>
      <w:r w:rsidR="00FE5F61">
        <w:rPr>
          <w:sz w:val="20"/>
          <w:szCs w:val="20"/>
        </w:rPr>
        <w:t xml:space="preserve"> modelowanych zanieczyszczeń</w:t>
      </w:r>
      <w:r w:rsidR="0087327E">
        <w:rPr>
          <w:sz w:val="20"/>
          <w:szCs w:val="20"/>
        </w:rPr>
        <w:t xml:space="preserve">. </w:t>
      </w:r>
      <w:r w:rsidR="00FE5F61">
        <w:rPr>
          <w:sz w:val="20"/>
          <w:szCs w:val="20"/>
        </w:rPr>
        <w:t xml:space="preserve"> </w:t>
      </w:r>
    </w:p>
    <w:p w14:paraId="2CAD21A2" w14:textId="77777777" w:rsidR="00EB7E25" w:rsidRPr="00710110" w:rsidRDefault="00EB7E25" w:rsidP="00710110">
      <w:pPr>
        <w:pStyle w:val="Nagwek2"/>
        <w:numPr>
          <w:ilvl w:val="0"/>
          <w:numId w:val="0"/>
        </w:numPr>
        <w:rPr>
          <w:b/>
          <w:sz w:val="22"/>
          <w:szCs w:val="22"/>
        </w:rPr>
      </w:pPr>
      <w:bookmarkStart w:id="38" w:name="_Toc78205885"/>
      <w:r w:rsidRPr="00710110">
        <w:rPr>
          <w:b/>
          <w:sz w:val="22"/>
          <w:szCs w:val="22"/>
        </w:rPr>
        <w:lastRenderedPageBreak/>
        <w:t>6.6. Wskaźnik średniego narażenia</w:t>
      </w:r>
      <w:bookmarkEnd w:id="38"/>
    </w:p>
    <w:p w14:paraId="08F00950" w14:textId="07AEE2F8" w:rsidR="00EB7E25" w:rsidRPr="00EB7E25" w:rsidRDefault="00EB7E25" w:rsidP="00EB7E25">
      <w:pPr>
        <w:spacing w:after="120" w:line="240" w:lineRule="auto"/>
        <w:jc w:val="both"/>
      </w:pPr>
      <w:r w:rsidRPr="00EB7E25">
        <w:t>W dyrektywie 2008/50/WE, dla pyłu zawieszonego PM2,5</w:t>
      </w:r>
      <w:r>
        <w:t>,</w:t>
      </w:r>
      <w:r w:rsidRPr="00EB7E25">
        <w:t xml:space="preserve"> </w:t>
      </w:r>
      <w:r>
        <w:t xml:space="preserve">jak już wspomniano we Wprowadzeniu, </w:t>
      </w:r>
      <w:r w:rsidRPr="00EB7E25">
        <w:t xml:space="preserve">zostały określone dodatkowe kryteria: pułap stężenia ekspozycji i krajowy cel redukcji narażenia, które odnoszą się do obszarów tła miejskiego w miastach powyżej 100 tys. mieszkańców i w aglomeracjach. </w:t>
      </w:r>
    </w:p>
    <w:p w14:paraId="7BA20425" w14:textId="1C2D5888" w:rsidR="00EB7E25" w:rsidRPr="00EB7E25" w:rsidRDefault="00EB7E25" w:rsidP="00EB7E25">
      <w:pPr>
        <w:spacing w:after="120" w:line="240" w:lineRule="auto"/>
        <w:jc w:val="both"/>
        <w:rPr>
          <w:rFonts w:cstheme="minorHAnsi"/>
          <w:lang w:eastAsia="pl-PL"/>
        </w:rPr>
      </w:pPr>
      <w:r w:rsidRPr="00EB7E25">
        <w:rPr>
          <w:rFonts w:cstheme="minorHAnsi"/>
          <w:lang w:eastAsia="pl-PL"/>
        </w:rPr>
        <w:t xml:space="preserve">Monitoring pyłu zawieszonego PM2,5 dla potrzeb obliczania wskaźników średniego narażenia jest prowadzony w Polsce od 2010 roku na obszarach tła miejskiego. W latach 2018 i 2019 w systemie pomiarowym funkcjonowały 32 stanowiska pomiarowe zlokalizowane w 30 miastach i aglomeracjach. W 2020 </w:t>
      </w:r>
      <w:r>
        <w:rPr>
          <w:rFonts w:cstheme="minorHAnsi"/>
          <w:lang w:eastAsia="pl-PL"/>
        </w:rPr>
        <w:t xml:space="preserve">r. </w:t>
      </w:r>
      <w:r w:rsidRPr="00EB7E25">
        <w:rPr>
          <w:rFonts w:cstheme="minorHAnsi"/>
          <w:lang w:eastAsia="pl-PL"/>
        </w:rPr>
        <w:t>ze względu na to, iż Legnica</w:t>
      </w:r>
      <w:r w:rsidRPr="00EB7E25">
        <w:rPr>
          <w:rFonts w:cstheme="minorHAnsi"/>
          <w:vertAlign w:val="superscript"/>
          <w:lang w:eastAsia="pl-PL"/>
        </w:rPr>
        <w:footnoteReference w:id="10"/>
      </w:r>
      <w:r w:rsidRPr="00EB7E25">
        <w:rPr>
          <w:rFonts w:cstheme="minorHAnsi"/>
          <w:lang w:eastAsia="pl-PL"/>
        </w:rPr>
        <w:t xml:space="preserve"> straciła status miasta o liczbie mieszkańców 100 tys. liczba stanowisk zlokalizowanych w miastach zmniejszona została z 30 na 29, a tym samym dla potrzeb obliczania wskaźników średniego narażenia dla miast i aglomeracji oraz krajowego wskaźnika średniego narażenia dla roku 2020 wykorzystano 31 stanowisk. W aglomeracji warszawskiej i aglomeracji górnośląskiej pomiary są prowadzone na dwóch stanowiskach pomiarowych, w pozostałych aglomeracjach i miastach powyżej 100 tys. mieszkańców pomiary są prowadzone na jednym stanowisku pomiarowym.</w:t>
      </w:r>
      <w:r w:rsidRPr="00EB7E25">
        <w:rPr>
          <w:rFonts w:ascii="Calibri" w:hAnsi="Calibri" w:cs="Calibri"/>
          <w:lang w:eastAsia="pl-PL"/>
        </w:rPr>
        <w:t xml:space="preserve"> Pomiary pyłu PM2,5 służące do obliczania wskaźników średniego narażenia są prowadzone wyłącznie metodą manualną (referencyjną).</w:t>
      </w:r>
    </w:p>
    <w:p w14:paraId="11860797" w14:textId="3261D1C4" w:rsidR="00EB7E25" w:rsidRPr="00EB7E25" w:rsidRDefault="00EB7E25" w:rsidP="00EB7E25">
      <w:pPr>
        <w:spacing w:after="120" w:line="240" w:lineRule="auto"/>
        <w:jc w:val="both"/>
        <w:rPr>
          <w:rFonts w:cstheme="minorHAnsi"/>
        </w:rPr>
      </w:pPr>
      <w:r w:rsidRPr="00EB7E25">
        <w:rPr>
          <w:rFonts w:cstheme="minorHAnsi"/>
          <w:b/>
        </w:rPr>
        <w:t>Wartość krajowego wskaźnika średniego narażenia na pył zawieszony PM2,5 dla 2020 r</w:t>
      </w:r>
      <w:r>
        <w:rPr>
          <w:rFonts w:cstheme="minorHAnsi"/>
          <w:b/>
        </w:rPr>
        <w:t>.</w:t>
      </w:r>
      <w:r w:rsidRPr="00EB7E25">
        <w:rPr>
          <w:rFonts w:cstheme="minorHAnsi"/>
          <w:b/>
        </w:rPr>
        <w:t xml:space="preserve"> wynosi 19 </w:t>
      </w:r>
      <w:bookmarkStart w:id="39" w:name="_Hlk41899682"/>
      <w:r w:rsidRPr="00EB7E25">
        <w:rPr>
          <w:rFonts w:cstheme="minorHAnsi"/>
          <w:b/>
        </w:rPr>
        <w:t>µg/m</w:t>
      </w:r>
      <w:r w:rsidRPr="00EB7E25">
        <w:rPr>
          <w:rFonts w:cstheme="minorHAnsi"/>
          <w:b/>
          <w:vertAlign w:val="superscript"/>
        </w:rPr>
        <w:t>3</w:t>
      </w:r>
      <w:bookmarkEnd w:id="39"/>
      <w:r w:rsidRPr="00EB7E25">
        <w:rPr>
          <w:rFonts w:cstheme="minorHAnsi"/>
          <w:b/>
        </w:rPr>
        <w:t>.</w:t>
      </w:r>
      <w:r w:rsidRPr="00EB7E25">
        <w:rPr>
          <w:rFonts w:cstheme="minorHAnsi"/>
        </w:rPr>
        <w:t xml:space="preserve"> Wartość ta jest o 2 µg/m</w:t>
      </w:r>
      <w:r w:rsidRPr="00EB7E25">
        <w:rPr>
          <w:rFonts w:cstheme="minorHAnsi"/>
          <w:vertAlign w:val="superscript"/>
        </w:rPr>
        <w:t>3</w:t>
      </w:r>
      <w:r w:rsidRPr="00EB7E25">
        <w:rPr>
          <w:rFonts w:cstheme="minorHAnsi"/>
        </w:rPr>
        <w:t xml:space="preserve"> mniejsza od wartości krajowego wskaźnika średniego narażenia dla roku 2019 oraz o 3 µg/m</w:t>
      </w:r>
      <w:r w:rsidRPr="00EB7E25">
        <w:rPr>
          <w:rFonts w:cstheme="minorHAnsi"/>
          <w:vertAlign w:val="superscript"/>
        </w:rPr>
        <w:t>3</w:t>
      </w:r>
      <w:r w:rsidRPr="00EB7E25">
        <w:rPr>
          <w:rFonts w:cstheme="minorHAnsi"/>
        </w:rPr>
        <w:t xml:space="preserve"> mniejsza od wskaźnika w latach 2016-2018. Jest to kolejny rok, w którym odnotowano spadek wartości krajowego wskaźnika narażenia na pył zawieszony PM2,5. Wartość krajowego wskaźnika średniego narażenia dla 2020 r. jest o 5% mniejsza od pułapu stężenia ekspozycji (20 µg/m</w:t>
      </w:r>
      <w:r w:rsidRPr="00EB7E25">
        <w:rPr>
          <w:rFonts w:cstheme="minorHAnsi"/>
          <w:vertAlign w:val="superscript"/>
        </w:rPr>
        <w:t>3</w:t>
      </w:r>
      <w:r w:rsidRPr="00EB7E25">
        <w:rPr>
          <w:rFonts w:cstheme="minorHAnsi"/>
        </w:rPr>
        <w:t xml:space="preserve">) </w:t>
      </w:r>
      <w:r w:rsidRPr="00EB7E25">
        <w:rPr>
          <w:rFonts w:cstheme="minorHAnsi"/>
          <w:bCs/>
        </w:rPr>
        <w:t>będącego w tym względzie standardem jakości powietrza, który należy dotrzymywać od roku 2015</w:t>
      </w:r>
      <w:r w:rsidRPr="00EB7E25">
        <w:rPr>
          <w:rFonts w:cstheme="minorHAnsi"/>
        </w:rPr>
        <w:t>.</w:t>
      </w:r>
      <w:r w:rsidRPr="00EB7E25">
        <w:rPr>
          <w:rFonts w:cstheme="minorHAnsi"/>
          <w:bCs/>
        </w:rPr>
        <w:t xml:space="preserve"> Jednocześnie, wskaźnik ten o</w:t>
      </w:r>
      <w:r w:rsidRPr="00EB7E25">
        <w:rPr>
          <w:rFonts w:cstheme="minorHAnsi"/>
        </w:rPr>
        <w:t xml:space="preserve"> 1 µg/m</w:t>
      </w:r>
      <w:r w:rsidRPr="00EB7E25">
        <w:rPr>
          <w:rFonts w:cstheme="minorHAnsi"/>
          <w:vertAlign w:val="superscript"/>
        </w:rPr>
        <w:t>3</w:t>
      </w:r>
      <w:r w:rsidRPr="00EB7E25">
        <w:rPr>
          <w:rFonts w:cstheme="minorHAnsi"/>
        </w:rPr>
        <w:t xml:space="preserve"> (6%) </w:t>
      </w:r>
      <w:r w:rsidRPr="00EB7E25">
        <w:rPr>
          <w:rFonts w:cstheme="minorHAnsi"/>
          <w:bCs/>
        </w:rPr>
        <w:t>przekroczył krajowy cel redukcji narażenia na pył zawieszony PM2,5 (18 µg/m</w:t>
      </w:r>
      <w:r w:rsidRPr="00EB7E25">
        <w:rPr>
          <w:rFonts w:cstheme="minorHAnsi"/>
          <w:bCs/>
          <w:vertAlign w:val="superscript"/>
        </w:rPr>
        <w:t>3</w:t>
      </w:r>
      <w:r w:rsidRPr="00EB7E25">
        <w:rPr>
          <w:rFonts w:cstheme="minorHAnsi"/>
          <w:bCs/>
        </w:rPr>
        <w:t>), który należało osiągnąć do roku 2020.</w:t>
      </w:r>
      <w:r w:rsidRPr="00EB7E25">
        <w:rPr>
          <w:rFonts w:cstheme="minorHAnsi"/>
        </w:rPr>
        <w:t xml:space="preserve"> </w:t>
      </w:r>
    </w:p>
    <w:p w14:paraId="5DDDE0FA" w14:textId="77777777" w:rsidR="00EB7E25" w:rsidRPr="00EB7E25" w:rsidRDefault="00EB7E25" w:rsidP="00EB7E25">
      <w:pPr>
        <w:jc w:val="center"/>
        <w:rPr>
          <w:rFonts w:cstheme="minorHAnsi"/>
          <w:color w:val="FF0000"/>
        </w:rPr>
      </w:pPr>
      <w:r w:rsidRPr="00EB7E25">
        <w:rPr>
          <w:noProof/>
          <w:lang w:eastAsia="pl-PL"/>
        </w:rPr>
        <w:drawing>
          <wp:inline distT="0" distB="0" distL="0" distR="0" wp14:anchorId="3B299DB3" wp14:editId="4693BA70">
            <wp:extent cx="4998720" cy="2468880"/>
            <wp:effectExtent l="0" t="0" r="0" b="7620"/>
            <wp:docPr id="454" name="Wykres 454">
              <a:extLst xmlns:a="http://schemas.openxmlformats.org/drawingml/2006/main">
                <a:ext uri="{FF2B5EF4-FFF2-40B4-BE49-F238E27FC236}">
                  <a16:creationId xmlns:a16="http://schemas.microsoft.com/office/drawing/2014/main" id="{35ABB925-142A-4F2B-9A53-5429C68A5B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599AE4B8" w14:textId="6DB92823" w:rsidR="00EB7E25" w:rsidRPr="00EB7E25" w:rsidRDefault="00EB7E25" w:rsidP="00DD0E4C">
      <w:pPr>
        <w:spacing w:after="120" w:line="240" w:lineRule="auto"/>
        <w:jc w:val="center"/>
        <w:rPr>
          <w:rFonts w:cstheme="minorHAnsi"/>
          <w:sz w:val="20"/>
          <w:szCs w:val="20"/>
        </w:rPr>
      </w:pPr>
      <w:r w:rsidRPr="00EB7E25">
        <w:rPr>
          <w:rFonts w:cstheme="minorHAnsi"/>
          <w:sz w:val="20"/>
          <w:szCs w:val="20"/>
        </w:rPr>
        <w:t xml:space="preserve">Rys. 41. Krajowe wskaźniki średniego narażenia na pył zawieszony PM2,5 w latach 2010-2020 </w:t>
      </w:r>
      <w:r w:rsidRPr="00EB7E25">
        <w:rPr>
          <w:rFonts w:cstheme="minorHAnsi"/>
          <w:bCs/>
          <w:sz w:val="20"/>
          <w:szCs w:val="20"/>
        </w:rPr>
        <w:t>w odniesieniu do: (a) krajowego celu redukcji narażenia (linia żółta); (b) pułapu stężenia ekspozycji (linia czerwona)</w:t>
      </w:r>
    </w:p>
    <w:p w14:paraId="26455836" w14:textId="5F83466C" w:rsidR="00EB7E25" w:rsidRPr="00EB7E25" w:rsidRDefault="00EB7E25" w:rsidP="00EB7E25">
      <w:pPr>
        <w:spacing w:after="120" w:line="240" w:lineRule="auto"/>
        <w:jc w:val="both"/>
        <w:rPr>
          <w:rFonts w:cstheme="minorHAnsi"/>
        </w:rPr>
      </w:pPr>
      <w:r w:rsidRPr="00EB7E25">
        <w:rPr>
          <w:rFonts w:cstheme="minorHAnsi"/>
        </w:rPr>
        <w:t>Wartości krajowego wskaźnika średniego narażenia obliczone dla lat 2010-2020</w:t>
      </w:r>
      <w:r w:rsidRPr="00EB7E25">
        <w:rPr>
          <w:rFonts w:cstheme="minorHAnsi"/>
          <w:vertAlign w:val="superscript"/>
        </w:rPr>
        <w:footnoteReference w:id="11"/>
      </w:r>
      <w:r w:rsidRPr="00EB7E25">
        <w:rPr>
          <w:rFonts w:cstheme="minorHAnsi"/>
        </w:rPr>
        <w:t xml:space="preserve"> wykazywały do 2016</w:t>
      </w:r>
      <w:r>
        <w:rPr>
          <w:rFonts w:cstheme="minorHAnsi"/>
        </w:rPr>
        <w:t xml:space="preserve"> r. </w:t>
      </w:r>
      <w:r w:rsidRPr="00EB7E25">
        <w:rPr>
          <w:rFonts w:cstheme="minorHAnsi"/>
        </w:rPr>
        <w:t xml:space="preserve">trwały trend spadkowy, jednak od 2016 </w:t>
      </w:r>
      <w:r>
        <w:rPr>
          <w:rFonts w:cstheme="minorHAnsi"/>
        </w:rPr>
        <w:t xml:space="preserve">r. </w:t>
      </w:r>
      <w:r w:rsidRPr="00EB7E25">
        <w:rPr>
          <w:rFonts w:cstheme="minorHAnsi"/>
        </w:rPr>
        <w:t>wskaźnik ten ustabilizował się na poziomie 22 µg/m</w:t>
      </w:r>
      <w:r w:rsidRPr="00EB7E25">
        <w:rPr>
          <w:rFonts w:cstheme="minorHAnsi"/>
          <w:vertAlign w:val="superscript"/>
        </w:rPr>
        <w:t>3</w:t>
      </w:r>
      <w:r w:rsidRPr="00EB7E25">
        <w:rPr>
          <w:rFonts w:cstheme="minorHAnsi"/>
        </w:rPr>
        <w:t xml:space="preserve"> </w:t>
      </w:r>
      <w:r w:rsidRPr="00EB7E25">
        <w:rPr>
          <w:rFonts w:cstheme="minorHAnsi"/>
        </w:rPr>
        <w:lastRenderedPageBreak/>
        <w:t>i taka sytuacja utrzymywała się do 2018</w:t>
      </w:r>
      <w:r>
        <w:rPr>
          <w:rFonts w:cstheme="minorHAnsi"/>
        </w:rPr>
        <w:t xml:space="preserve"> r</w:t>
      </w:r>
      <w:r w:rsidRPr="00EB7E25">
        <w:rPr>
          <w:rFonts w:cstheme="minorHAnsi"/>
        </w:rPr>
        <w:t>. Rok 2019 był pierwszym rokiem po trzyletniej stagnacji, w</w:t>
      </w:r>
      <w:r>
        <w:rPr>
          <w:rFonts w:cstheme="minorHAnsi"/>
        </w:rPr>
        <w:t> </w:t>
      </w:r>
      <w:r w:rsidRPr="00EB7E25">
        <w:rPr>
          <w:rFonts w:cstheme="minorHAnsi"/>
        </w:rPr>
        <w:t>którym zanotowano spadek krajowego wskaźnika średniego narażenia na pył zawieszony PM2,5 do wartości 21 µg/m</w:t>
      </w:r>
      <w:r w:rsidRPr="00EB7E25">
        <w:rPr>
          <w:rFonts w:cstheme="minorHAnsi"/>
          <w:vertAlign w:val="superscript"/>
        </w:rPr>
        <w:t>3</w:t>
      </w:r>
      <w:r w:rsidRPr="00EB7E25">
        <w:rPr>
          <w:rFonts w:cstheme="minorHAnsi"/>
        </w:rPr>
        <w:t xml:space="preserve"> (Rys. 41).</w:t>
      </w:r>
    </w:p>
    <w:p w14:paraId="4D55E2A3" w14:textId="77777777" w:rsidR="00EB7E25" w:rsidRPr="00EB7E25" w:rsidRDefault="00EB7E25" w:rsidP="00EB7E25">
      <w:pPr>
        <w:keepNext/>
        <w:keepLines/>
        <w:jc w:val="both"/>
      </w:pPr>
      <w:r w:rsidRPr="00EB7E25">
        <w:rPr>
          <w:noProof/>
          <w:lang w:eastAsia="pl-PL"/>
        </w:rPr>
        <w:drawing>
          <wp:inline distT="0" distB="0" distL="0" distR="0" wp14:anchorId="2C642F6F" wp14:editId="1A7C7983">
            <wp:extent cx="5354320" cy="6106602"/>
            <wp:effectExtent l="0" t="0" r="0" b="8890"/>
            <wp:docPr id="455" name="Wykres 455">
              <a:extLst xmlns:a="http://schemas.openxmlformats.org/drawingml/2006/main">
                <a:ext uri="{FF2B5EF4-FFF2-40B4-BE49-F238E27FC236}">
                  <a16:creationId xmlns:a16="http://schemas.microsoft.com/office/drawing/2014/main" id="{F362474A-C875-4B95-B0A9-8F650C5779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72E46AF1" w14:textId="77777777" w:rsidR="00EB7E25" w:rsidRPr="00EB7E25" w:rsidRDefault="00EB7E25" w:rsidP="00DD0E4C">
      <w:pPr>
        <w:spacing w:after="120" w:line="240" w:lineRule="auto"/>
        <w:jc w:val="center"/>
        <w:rPr>
          <w:rFonts w:cstheme="minorHAnsi"/>
          <w:bCs/>
          <w:sz w:val="20"/>
          <w:szCs w:val="20"/>
        </w:rPr>
      </w:pPr>
      <w:r w:rsidRPr="00EB7E25">
        <w:rPr>
          <w:rFonts w:cstheme="minorHAnsi"/>
          <w:sz w:val="20"/>
          <w:szCs w:val="20"/>
        </w:rPr>
        <w:t xml:space="preserve">Rys. 42. Wskaźniki średniego narażenia na pył zawieszony PM2,5 dla lat 2012-2020 </w:t>
      </w:r>
      <w:bookmarkStart w:id="40" w:name="_Hlk72759431"/>
      <w:r w:rsidRPr="00EB7E25">
        <w:rPr>
          <w:rFonts w:cstheme="minorHAnsi"/>
          <w:bCs/>
          <w:sz w:val="20"/>
          <w:szCs w:val="20"/>
        </w:rPr>
        <w:t>w odniesieniu do: (a)</w:t>
      </w:r>
      <w:bookmarkStart w:id="41" w:name="_Hlk72759253"/>
      <w:r w:rsidRPr="00EB7E25">
        <w:rPr>
          <w:rFonts w:cstheme="minorHAnsi"/>
          <w:bCs/>
          <w:sz w:val="20"/>
          <w:szCs w:val="20"/>
        </w:rPr>
        <w:t> krajowego celu redukcji narażenia</w:t>
      </w:r>
      <w:bookmarkEnd w:id="40"/>
      <w:r w:rsidRPr="00EB7E25">
        <w:rPr>
          <w:rFonts w:cstheme="minorHAnsi"/>
          <w:bCs/>
          <w:sz w:val="20"/>
          <w:szCs w:val="20"/>
        </w:rPr>
        <w:t xml:space="preserve"> – cel na 2020 rok dla obszarów tła miejskiego dużych miast i aglomeracji</w:t>
      </w:r>
      <w:bookmarkEnd w:id="41"/>
      <w:r w:rsidRPr="00EB7E25">
        <w:rPr>
          <w:rFonts w:cstheme="minorHAnsi"/>
          <w:bCs/>
          <w:sz w:val="20"/>
          <w:szCs w:val="20"/>
        </w:rPr>
        <w:t xml:space="preserve"> (linia zielona); (b) pułapu stężenia ekspozycji i poziomu dopuszczalnego od roku 2020 – cel na 2015 rok dla obszarów tła miejskiego dużych miast i aglomeracji oraz poziom dopuszczalny od roku 2020 – cel dla obszaru całego kraju (linia żółta)</w:t>
      </w:r>
    </w:p>
    <w:p w14:paraId="3FE796B0" w14:textId="6BC7D4B5" w:rsidR="00EB7E25" w:rsidRPr="00EB7E25" w:rsidRDefault="00EB7E25" w:rsidP="00EB7E25">
      <w:pPr>
        <w:keepNext/>
        <w:keepLines/>
        <w:spacing w:after="120" w:line="240" w:lineRule="auto"/>
        <w:jc w:val="both"/>
        <w:rPr>
          <w:rFonts w:cstheme="minorHAnsi"/>
        </w:rPr>
      </w:pPr>
      <w:r w:rsidRPr="00EB7E25">
        <w:rPr>
          <w:rFonts w:cstheme="minorHAnsi"/>
        </w:rPr>
        <w:t xml:space="preserve">Natomiast </w:t>
      </w:r>
      <w:r w:rsidRPr="00EB7E25">
        <w:rPr>
          <w:rFonts w:cstheme="minorHAnsi"/>
          <w:b/>
          <w:bCs/>
          <w:color w:val="2F5496" w:themeColor="accent1" w:themeShade="BF"/>
        </w:rPr>
        <w:t xml:space="preserve">2020 </w:t>
      </w:r>
      <w:r w:rsidRPr="00656E0F">
        <w:rPr>
          <w:rFonts w:cstheme="minorHAnsi"/>
          <w:b/>
          <w:bCs/>
          <w:color w:val="2F5496" w:themeColor="accent1" w:themeShade="BF"/>
        </w:rPr>
        <w:t xml:space="preserve">r. </w:t>
      </w:r>
      <w:r w:rsidR="00D733F2">
        <w:rPr>
          <w:rFonts w:cstheme="minorHAnsi"/>
          <w:b/>
          <w:bCs/>
          <w:color w:val="2F5496" w:themeColor="accent1" w:themeShade="BF"/>
        </w:rPr>
        <w:t>był</w:t>
      </w:r>
      <w:r w:rsidR="00D733F2" w:rsidRPr="00EB7E25">
        <w:rPr>
          <w:rFonts w:cstheme="minorHAnsi"/>
          <w:b/>
          <w:bCs/>
          <w:color w:val="2F5496" w:themeColor="accent1" w:themeShade="BF"/>
        </w:rPr>
        <w:t xml:space="preserve"> </w:t>
      </w:r>
      <w:r w:rsidRPr="00EB7E25">
        <w:rPr>
          <w:rFonts w:cstheme="minorHAnsi"/>
          <w:b/>
          <w:bCs/>
          <w:color w:val="2F5496" w:themeColor="accent1" w:themeShade="BF"/>
        </w:rPr>
        <w:t>kolejnym rokiem ze spadkiem wartości krajowego wskaźnika średniego narażenia na pył zawieszony PM2,5 do wartości wynoszącej 19 µg/m</w:t>
      </w:r>
      <w:r w:rsidRPr="00EB7E25">
        <w:rPr>
          <w:rFonts w:cstheme="minorHAnsi"/>
          <w:b/>
          <w:bCs/>
          <w:color w:val="2F5496" w:themeColor="accent1" w:themeShade="BF"/>
          <w:vertAlign w:val="superscript"/>
        </w:rPr>
        <w:t>3</w:t>
      </w:r>
      <w:r w:rsidRPr="00EB7E25">
        <w:rPr>
          <w:rFonts w:cstheme="minorHAnsi"/>
          <w:b/>
          <w:bCs/>
          <w:color w:val="2F5496" w:themeColor="accent1" w:themeShade="BF"/>
        </w:rPr>
        <w:t>. Tym samym jest to najniższa wartość krajowego wskaźnika średniego narażenia otrzymana od 2010</w:t>
      </w:r>
      <w:r w:rsidRPr="00656E0F">
        <w:rPr>
          <w:rFonts w:cstheme="minorHAnsi"/>
          <w:b/>
          <w:bCs/>
          <w:color w:val="2F5496" w:themeColor="accent1" w:themeShade="BF"/>
        </w:rPr>
        <w:t xml:space="preserve"> r.</w:t>
      </w:r>
    </w:p>
    <w:p w14:paraId="0605C9EE" w14:textId="77777777" w:rsidR="00EB7E25" w:rsidRDefault="00EB7E25" w:rsidP="00EB7E25">
      <w:pPr>
        <w:spacing w:after="120" w:line="240" w:lineRule="auto"/>
        <w:jc w:val="both"/>
        <w:rPr>
          <w:rFonts w:cstheme="minorHAnsi"/>
        </w:rPr>
      </w:pPr>
      <w:r w:rsidRPr="00EB7E25">
        <w:rPr>
          <w:rFonts w:cstheme="minorHAnsi"/>
        </w:rPr>
        <w:t>Najniższą wartość wskaźnika, spośród obliczonych dla poszczególnych miast i aglomeracji, uzyskano dla aglomeracji trójmiejskiej - 13 µg/m</w:t>
      </w:r>
      <w:r w:rsidRPr="00EB7E25">
        <w:rPr>
          <w:rFonts w:cstheme="minorHAnsi"/>
          <w:vertAlign w:val="superscript"/>
        </w:rPr>
        <w:t>3</w:t>
      </w:r>
      <w:r w:rsidRPr="00EB7E25">
        <w:rPr>
          <w:rFonts w:cstheme="minorHAnsi"/>
        </w:rPr>
        <w:t xml:space="preserve"> i miast Zielona Góra i Koszalin - 14 µg/m</w:t>
      </w:r>
      <w:r w:rsidRPr="00EB7E25">
        <w:rPr>
          <w:rFonts w:cstheme="minorHAnsi"/>
          <w:vertAlign w:val="superscript"/>
        </w:rPr>
        <w:t>3</w:t>
      </w:r>
      <w:r w:rsidRPr="00EB7E25">
        <w:rPr>
          <w:rFonts w:cstheme="minorHAnsi"/>
        </w:rPr>
        <w:t xml:space="preserve"> (Rys. 42). Najwyższe </w:t>
      </w:r>
      <w:r w:rsidRPr="00EB7E25">
        <w:rPr>
          <w:rFonts w:cstheme="minorHAnsi"/>
        </w:rPr>
        <w:lastRenderedPageBreak/>
        <w:t xml:space="preserve">wartości wskaźnika uzyskano dla aglomeracji górnośląskiej i aglomeracji rybnicko-jastrzębskiej </w:t>
      </w:r>
      <w:r>
        <w:rPr>
          <w:rFonts w:cstheme="minorHAnsi"/>
        </w:rPr>
        <w:br/>
      </w:r>
      <w:r w:rsidRPr="00EB7E25">
        <w:rPr>
          <w:rFonts w:cstheme="minorHAnsi"/>
        </w:rPr>
        <w:t xml:space="preserve">- 26 </w:t>
      </w:r>
      <w:bookmarkStart w:id="42" w:name="_Hlk72315315"/>
      <w:r w:rsidRPr="00EB7E25">
        <w:rPr>
          <w:rFonts w:cstheme="minorHAnsi"/>
        </w:rPr>
        <w:t>µg/m</w:t>
      </w:r>
      <w:r w:rsidRPr="00EB7E25">
        <w:rPr>
          <w:rFonts w:cstheme="minorHAnsi"/>
          <w:vertAlign w:val="superscript"/>
        </w:rPr>
        <w:t>3</w:t>
      </w:r>
      <w:r w:rsidRPr="00EB7E25">
        <w:rPr>
          <w:rFonts w:cstheme="minorHAnsi"/>
        </w:rPr>
        <w:t xml:space="preserve"> </w:t>
      </w:r>
      <w:bookmarkEnd w:id="42"/>
      <w:r w:rsidRPr="00EB7E25">
        <w:rPr>
          <w:rFonts w:cstheme="minorHAnsi"/>
        </w:rPr>
        <w:t>i miasta Bielsko-Biała - 24 µg/m</w:t>
      </w:r>
      <w:r w:rsidRPr="00EB7E25">
        <w:rPr>
          <w:rFonts w:cstheme="minorHAnsi"/>
          <w:vertAlign w:val="superscript"/>
        </w:rPr>
        <w:t>3</w:t>
      </w:r>
      <w:r w:rsidRPr="00EB7E25">
        <w:rPr>
          <w:rFonts w:cstheme="minorHAnsi"/>
        </w:rPr>
        <w:t xml:space="preserve">. </w:t>
      </w:r>
    </w:p>
    <w:p w14:paraId="328CB096" w14:textId="01E69599" w:rsidR="00EB7E25" w:rsidRPr="00EB7E25" w:rsidRDefault="00EB7E25" w:rsidP="00EB7E25">
      <w:pPr>
        <w:spacing w:after="120" w:line="240" w:lineRule="auto"/>
        <w:jc w:val="both"/>
        <w:rPr>
          <w:rFonts w:cstheme="minorHAnsi"/>
        </w:rPr>
      </w:pPr>
      <w:r w:rsidRPr="00EB7E25">
        <w:rPr>
          <w:rFonts w:cstheme="minorHAnsi"/>
        </w:rPr>
        <w:t>Największy spadek wskaźnika (o 4 µg/m</w:t>
      </w:r>
      <w:r w:rsidRPr="00EB7E25">
        <w:rPr>
          <w:rFonts w:cstheme="minorHAnsi"/>
          <w:vertAlign w:val="superscript"/>
        </w:rPr>
        <w:t>3</w:t>
      </w:r>
      <w:r w:rsidRPr="00EB7E25">
        <w:rPr>
          <w:rFonts w:cstheme="minorHAnsi"/>
        </w:rPr>
        <w:t>) odnotowano w aglomeracji krakowskiej z 29 µg/m</w:t>
      </w:r>
      <w:r w:rsidRPr="00EB7E25">
        <w:rPr>
          <w:rFonts w:cstheme="minorHAnsi"/>
          <w:vertAlign w:val="superscript"/>
        </w:rPr>
        <w:t>3</w:t>
      </w:r>
      <w:r w:rsidRPr="00EB7E25">
        <w:rPr>
          <w:rFonts w:cstheme="minorHAnsi"/>
        </w:rPr>
        <w:t xml:space="preserve"> na 25 µg/m</w:t>
      </w:r>
      <w:r w:rsidRPr="00EB7E25">
        <w:rPr>
          <w:rFonts w:cstheme="minorHAnsi"/>
          <w:vertAlign w:val="superscript"/>
        </w:rPr>
        <w:t>3</w:t>
      </w:r>
      <w:r w:rsidRPr="00EB7E25">
        <w:rPr>
          <w:rFonts w:cstheme="minorHAnsi"/>
        </w:rPr>
        <w:t>. W 27 miastach i aglomeracjach wartość wskaźnika w 2020 r. była niższa od wartości z roku 2019 (spadek od 1 do 3 µg/m</w:t>
      </w:r>
      <w:r w:rsidRPr="00EB7E25">
        <w:rPr>
          <w:rFonts w:cstheme="minorHAnsi"/>
          <w:vertAlign w:val="superscript"/>
        </w:rPr>
        <w:t>3</w:t>
      </w:r>
      <w:r w:rsidRPr="00EB7E25">
        <w:rPr>
          <w:rFonts w:cstheme="minorHAnsi"/>
        </w:rPr>
        <w:t>). W żadnym mieście lub aglomeracji nie stwierdzono wzrostu wskaźnika, a w aglomeracji białostockiej i mieście Kielce wartość wskaźnika nie zmieniła się.</w:t>
      </w:r>
    </w:p>
    <w:p w14:paraId="10100D9F" w14:textId="77777777" w:rsidR="00EB7E25" w:rsidRPr="00710110" w:rsidRDefault="00EB7E25" w:rsidP="00710110">
      <w:pPr>
        <w:pStyle w:val="Nagwek2"/>
        <w:numPr>
          <w:ilvl w:val="0"/>
          <w:numId w:val="0"/>
        </w:numPr>
        <w:rPr>
          <w:b/>
          <w:sz w:val="22"/>
          <w:szCs w:val="22"/>
        </w:rPr>
      </w:pPr>
      <w:bookmarkStart w:id="43" w:name="_Toc78205886"/>
      <w:r w:rsidRPr="00710110">
        <w:rPr>
          <w:b/>
          <w:sz w:val="22"/>
          <w:szCs w:val="22"/>
        </w:rPr>
        <w:t>6.7. Jakość powietrza w uzdrowiskach</w:t>
      </w:r>
      <w:bookmarkEnd w:id="43"/>
    </w:p>
    <w:p w14:paraId="52E73705" w14:textId="6C381498" w:rsidR="00EB7E25" w:rsidRPr="00EB7E25" w:rsidRDefault="00EB7E25" w:rsidP="00EB7E25">
      <w:pPr>
        <w:spacing w:after="120" w:line="240" w:lineRule="auto"/>
        <w:jc w:val="both"/>
        <w:rPr>
          <w:rFonts w:eastAsia="Times New Roman" w:cstheme="minorHAnsi"/>
          <w:lang w:eastAsia="pl-PL"/>
        </w:rPr>
      </w:pPr>
      <w:r w:rsidRPr="00EB7E25">
        <w:rPr>
          <w:rFonts w:eastAsia="Times New Roman" w:cstheme="minorHAnsi"/>
          <w:lang w:eastAsia="pl-PL"/>
        </w:rPr>
        <w:t xml:space="preserve">Zgodnie z przepisami ustawy z dnia 28 lipca 2005 r. </w:t>
      </w:r>
      <w:r w:rsidRPr="00EB7E25">
        <w:rPr>
          <w:rFonts w:eastAsia="Times New Roman" w:cstheme="minorHAnsi"/>
          <w:iCs/>
          <w:lang w:eastAsia="pl-PL"/>
        </w:rPr>
        <w:t>o lecznictwie uzdrowiskowym, uzdrowiskach i obszarach ochrony uzdrowiskowej oraz o gminach uzdrowiskowych</w:t>
      </w:r>
      <w:r w:rsidRPr="00EB7E25">
        <w:rPr>
          <w:rFonts w:eastAsia="Times New Roman" w:cstheme="minorHAnsi"/>
          <w:vertAlign w:val="superscript"/>
          <w:lang w:eastAsia="pl-PL"/>
        </w:rPr>
        <w:footnoteReference w:id="12"/>
      </w:r>
      <w:r w:rsidRPr="00EB7E25">
        <w:rPr>
          <w:rFonts w:eastAsia="Times New Roman" w:cstheme="minorHAnsi"/>
          <w:lang w:eastAsia="pl-PL"/>
        </w:rPr>
        <w:t xml:space="preserve"> obszar, na terenie którego prowadzone jest lecznictwo uzdrowiskowe, </w:t>
      </w:r>
      <w:r w:rsidR="00226D9D">
        <w:rPr>
          <w:rFonts w:eastAsia="Times New Roman" w:cstheme="minorHAnsi"/>
          <w:lang w:eastAsia="pl-PL"/>
        </w:rPr>
        <w:t xml:space="preserve">zostaje </w:t>
      </w:r>
      <w:r w:rsidRPr="00EB7E25">
        <w:rPr>
          <w:rFonts w:eastAsia="Times New Roman" w:cstheme="minorHAnsi"/>
          <w:lang w:eastAsia="pl-PL"/>
        </w:rPr>
        <w:t xml:space="preserve">wydzielony w celu wykorzystania i ochrony znajdujących się na jego obszarze naturalnych surowców leczniczych. W przypadku spełnienia tych wymogów, określonemu obszarowi w danej gminie/miejscowości nadawany jest status uzdrowiska. </w:t>
      </w:r>
      <w:r w:rsidRPr="00EB7E25">
        <w:rPr>
          <w:rFonts w:eastAsia="Times New Roman" w:cstheme="minorHAnsi"/>
          <w:b/>
          <w:bCs/>
          <w:color w:val="2F5496" w:themeColor="accent1" w:themeShade="BF"/>
          <w:lang w:eastAsia="pl-PL"/>
        </w:rPr>
        <w:t xml:space="preserve">Uznanie miejscowości za uzdrowisko wymaga wystąpienia przez gminę do </w:t>
      </w:r>
      <w:r w:rsidR="00752622">
        <w:rPr>
          <w:rFonts w:eastAsia="Times New Roman" w:cstheme="minorHAnsi"/>
          <w:b/>
          <w:bCs/>
          <w:color w:val="2F5496" w:themeColor="accent1" w:themeShade="BF"/>
          <w:lang w:eastAsia="pl-PL"/>
        </w:rPr>
        <w:t>m</w:t>
      </w:r>
      <w:r w:rsidRPr="00EB7E25">
        <w:rPr>
          <w:rFonts w:eastAsia="Times New Roman" w:cstheme="minorHAnsi"/>
          <w:b/>
          <w:bCs/>
          <w:color w:val="2F5496" w:themeColor="accent1" w:themeShade="BF"/>
          <w:lang w:eastAsia="pl-PL"/>
        </w:rPr>
        <w:t>inistra właściwego do spraw zdrowia wraz z opracowanym operatem uzdrowiskowym, pozwalającym stwierdzić posiadanie wymagań i warunków zawartych w ustawie uzdrowiskowej.</w:t>
      </w:r>
      <w:r w:rsidRPr="00EB7E25">
        <w:rPr>
          <w:rFonts w:eastAsia="Times New Roman" w:cstheme="minorHAnsi"/>
          <w:color w:val="2F5496" w:themeColor="accent1" w:themeShade="BF"/>
          <w:lang w:eastAsia="pl-PL"/>
        </w:rPr>
        <w:t xml:space="preserve"> </w:t>
      </w:r>
      <w:r w:rsidRPr="00EB7E25">
        <w:rPr>
          <w:rFonts w:eastAsia="Times New Roman" w:cstheme="minorHAnsi"/>
          <w:lang w:eastAsia="pl-PL"/>
        </w:rPr>
        <w:t xml:space="preserve">Operat taki zawiera m.in. świadectwa potwierdzające właściwości lecznicze naturalnych surowców leczniczych i właściwości lecznicze klimatu oraz </w:t>
      </w:r>
      <w:r w:rsidRPr="00DD0E4C">
        <w:rPr>
          <w:rFonts w:eastAsia="Times New Roman" w:cstheme="minorHAnsi"/>
          <w:b/>
          <w:bCs/>
          <w:color w:val="2F5496" w:themeColor="accent1" w:themeShade="BF"/>
          <w:lang w:eastAsia="pl-PL"/>
        </w:rPr>
        <w:t>informacje o stanie czystości powietrza opracowane zgodnie z przepisami prawnymi dotyczącymi ocen jakości powietrza</w:t>
      </w:r>
      <w:r w:rsidRPr="00EB7E25">
        <w:rPr>
          <w:rFonts w:eastAsia="Times New Roman" w:cstheme="minorHAnsi"/>
          <w:lang w:eastAsia="pl-PL"/>
        </w:rPr>
        <w:t xml:space="preserve">. </w:t>
      </w:r>
    </w:p>
    <w:p w14:paraId="4A812537" w14:textId="4EADD44E" w:rsidR="00EB7E25" w:rsidRPr="00EB7E25" w:rsidRDefault="00EB7E25" w:rsidP="00EB7E25">
      <w:pPr>
        <w:spacing w:after="0" w:line="240" w:lineRule="auto"/>
        <w:jc w:val="both"/>
      </w:pPr>
      <w:r w:rsidRPr="00EB7E25">
        <w:t xml:space="preserve">Lecznictwo uzdrowiskowe stanowi zorganizowaną działalność polegającą na udzielaniu świadczeń opieki zdrowotnej z zakresu leczenia albo rehabilitacji, prowadzoną w uzdrowisku przez zakłady lecznictwa uzdrowiskowego albo poza uzdrowiskiem w przeznaczonych do tego celu szpitalach i sanatoriach. Istotną rolę w lecznictwie uzdrowiskowym, poza stosowanymi zabiegami, odgrywają zarówno właściwości naturalne stosowanych surowców leczniczych, jak i właściwości lecznicze klimatu i mikroklimatu, </w:t>
      </w:r>
      <w:r w:rsidR="00A272F8">
        <w:t>s</w:t>
      </w:r>
      <w:r w:rsidRPr="00EB7E25">
        <w:t>tąd, od obszarów uzdrowiska lub ochrony uzdrowiskowej wymaga się posiadania udokumentowanego operatem:</w:t>
      </w:r>
    </w:p>
    <w:p w14:paraId="577D9BDA" w14:textId="77777777" w:rsidR="00EB7E25" w:rsidRPr="00EB7E25" w:rsidRDefault="00EB7E25" w:rsidP="00CA3BB7">
      <w:pPr>
        <w:numPr>
          <w:ilvl w:val="0"/>
          <w:numId w:val="6"/>
        </w:numPr>
        <w:spacing w:after="0" w:line="240" w:lineRule="auto"/>
        <w:jc w:val="both"/>
      </w:pPr>
      <w:r w:rsidRPr="00EB7E25">
        <w:t>klimatu lokalnego o walorach leczniczych,</w:t>
      </w:r>
    </w:p>
    <w:p w14:paraId="08D0D11E" w14:textId="77777777" w:rsidR="00EB7E25" w:rsidRPr="00EB7E25" w:rsidRDefault="00EB7E25" w:rsidP="00CA3BB7">
      <w:pPr>
        <w:numPr>
          <w:ilvl w:val="0"/>
          <w:numId w:val="6"/>
        </w:numPr>
        <w:spacing w:after="0" w:line="240" w:lineRule="auto"/>
        <w:jc w:val="both"/>
      </w:pPr>
      <w:r w:rsidRPr="00EB7E25">
        <w:t>unikalnego, naturalnego złoża surowców uzdrowiskowych,</w:t>
      </w:r>
    </w:p>
    <w:p w14:paraId="4DF313FC" w14:textId="77777777" w:rsidR="00EB7E25" w:rsidRPr="00EB7E25" w:rsidRDefault="00EB7E25" w:rsidP="00CA3BB7">
      <w:pPr>
        <w:numPr>
          <w:ilvl w:val="0"/>
          <w:numId w:val="6"/>
        </w:numPr>
        <w:spacing w:after="0" w:line="240" w:lineRule="auto"/>
        <w:jc w:val="both"/>
      </w:pPr>
      <w:r w:rsidRPr="00EB7E25">
        <w:t>funkcjonowania zakładów opieki zdrowotnej udzielających specjalistycznych świadczeń z zakresu lecznictwa uzdrowiskowego przez wysoko wykwalifikowane kadry medyczne,</w:t>
      </w:r>
    </w:p>
    <w:p w14:paraId="01528B35" w14:textId="77777777" w:rsidR="00EB7E25" w:rsidRPr="00EB7E25" w:rsidRDefault="00EB7E25" w:rsidP="00CA3BB7">
      <w:pPr>
        <w:numPr>
          <w:ilvl w:val="0"/>
          <w:numId w:val="6"/>
        </w:numPr>
        <w:spacing w:after="0" w:line="240" w:lineRule="auto"/>
        <w:jc w:val="both"/>
      </w:pPr>
      <w:r w:rsidRPr="00EB7E25">
        <w:t>wysokich standardów zaplecza obiektów szpitalnych i sanatoryjnych,</w:t>
      </w:r>
    </w:p>
    <w:p w14:paraId="56B32FDE" w14:textId="77777777" w:rsidR="00EB7E25" w:rsidRPr="00EB7E25" w:rsidRDefault="00EB7E25" w:rsidP="00CA3BB7">
      <w:pPr>
        <w:numPr>
          <w:ilvl w:val="0"/>
          <w:numId w:val="6"/>
        </w:numPr>
        <w:spacing w:after="0" w:line="240" w:lineRule="auto"/>
        <w:jc w:val="both"/>
      </w:pPr>
      <w:r w:rsidRPr="00EB7E25">
        <w:t>urządzeń przeznaczonych do korzystania z uzdrowiskowych zasobów naturalnych,</w:t>
      </w:r>
    </w:p>
    <w:p w14:paraId="334039A8" w14:textId="77777777" w:rsidR="00EB7E25" w:rsidRPr="00EB7E25" w:rsidRDefault="00EB7E25" w:rsidP="00CA3BB7">
      <w:pPr>
        <w:numPr>
          <w:ilvl w:val="0"/>
          <w:numId w:val="6"/>
        </w:numPr>
        <w:spacing w:after="0" w:line="240" w:lineRule="auto"/>
        <w:jc w:val="both"/>
      </w:pPr>
      <w:r w:rsidRPr="00EB7E25">
        <w:t>wyznaczenia obszarów pozwalających na wyodrębnienie stref ochrony uzdrowiskowej.</w:t>
      </w:r>
    </w:p>
    <w:p w14:paraId="41F0B773" w14:textId="7DB68ACD" w:rsidR="00EB7E25" w:rsidRPr="00EB7E25" w:rsidRDefault="00EB7E25" w:rsidP="00EB7E25">
      <w:pPr>
        <w:spacing w:after="0" w:line="240" w:lineRule="auto"/>
        <w:jc w:val="center"/>
        <w:rPr>
          <w:bCs/>
          <w:i/>
          <w:sz w:val="20"/>
          <w:szCs w:val="20"/>
        </w:rPr>
      </w:pPr>
      <w:r w:rsidRPr="00EB7E25">
        <w:br w:type="page"/>
      </w:r>
    </w:p>
    <w:p w14:paraId="4ABA9350" w14:textId="77777777" w:rsidR="00EB7E25" w:rsidRPr="00EB7E25" w:rsidRDefault="00EB7E25" w:rsidP="00EB7E25">
      <w:pPr>
        <w:spacing w:after="120" w:line="240" w:lineRule="auto"/>
        <w:jc w:val="both"/>
      </w:pPr>
      <w:r w:rsidRPr="00EB7E25">
        <w:rPr>
          <w:b/>
          <w:bCs/>
          <w:color w:val="2F5496" w:themeColor="accent1" w:themeShade="BF"/>
        </w:rPr>
        <w:lastRenderedPageBreak/>
        <w:t>Strefy uzdrowiskowe dzielące się na trzy kategorie: „A”, „B” i „C”</w:t>
      </w:r>
      <w:r w:rsidRPr="00EB7E25">
        <w:t xml:space="preserve">, stanowią część obszaru uzdrowiska albo obszaru ochrony uzdrowiskowej, określone w statucie uzdrowiska, wydzielone w celu ochrony czynników leczniczych i naturalnych surowców leczniczych, walorów środowiska i urządzeń uzdrowiskowych. </w:t>
      </w:r>
    </w:p>
    <w:p w14:paraId="72B24A69" w14:textId="77777777" w:rsidR="00EB7E25" w:rsidRPr="00EB7E25" w:rsidRDefault="00EB7E25" w:rsidP="00EB7E25">
      <w:pPr>
        <w:spacing w:after="120" w:line="240" w:lineRule="auto"/>
        <w:jc w:val="both"/>
      </w:pPr>
      <w:r w:rsidRPr="00EB7E25">
        <w:t xml:space="preserve">W strefie „A” ochrony uzdrowiskowej zlokalizowane są zakłady lecznictwa uzdrowiskowego, w których prowadzi się lecznictwo uzdrowiskowe (przy wykorzystaniu urządzeń lecznictwa uzdrowiskowego, m.in. pijalni uzdrowiskowych, tężni, parków, ścieżek ruchowych, urządzonych odcinków wybrzeża morskiego oraz leczniczych i rehabilitacyjnych basenów uzdrowiskowych). W tej strefie istnieją ścisłe zakazy prowadzenia działalności mogących zakłócić lub mieć negatywny wpływ na stan zdrowia pacjentów. </w:t>
      </w:r>
    </w:p>
    <w:p w14:paraId="3CDDA2FE" w14:textId="77777777" w:rsidR="00EB7E25" w:rsidRPr="00EB7E25" w:rsidRDefault="00EB7E25" w:rsidP="00EB7E25">
      <w:pPr>
        <w:spacing w:after="120" w:line="240" w:lineRule="auto"/>
        <w:jc w:val="both"/>
      </w:pPr>
      <w:r w:rsidRPr="00EB7E25">
        <w:t>Strefa „B” obejmuje obszar przeznaczony dla obiektów usługowych i turystycznych (m.in. hoteli, rekreacyjnych, sportowych i komunalnych, budownictwa mieszkaniowego oraz innych związanych z zaspokajaniem potrzeb osób przebywających na tym obszarze). Warunkiem jest, by te obiekty nie miały negatywnego wpływu na właściwości lecznicze uzdrowiska lub obszaru ochrony uzdrowiskowej oraz nie były nieuciążliwe dla pacjentów leczonych w uzdrowisku.</w:t>
      </w:r>
    </w:p>
    <w:p w14:paraId="1DC2C610" w14:textId="77777777" w:rsidR="00EB7E25" w:rsidRPr="00EB7E25" w:rsidRDefault="00EB7E25" w:rsidP="00EB7E25">
      <w:pPr>
        <w:spacing w:after="120" w:line="240" w:lineRule="auto"/>
        <w:jc w:val="both"/>
      </w:pPr>
      <w:r w:rsidRPr="00EB7E25">
        <w:t>Strefa „C” stanowi granicę obszaru, któremu został nadany status uzdrowiska albo status obszaru ochrony uzdrowiskowej zapewniając przede wszystkim odpowiednie otoczenie poprzez zachowanie walorów krajobrazowych, klimatycznych oraz ochronę złóż naturalnych surowców leczniczych.</w:t>
      </w:r>
    </w:p>
    <w:p w14:paraId="54351AD8" w14:textId="77777777" w:rsidR="00EB7E25" w:rsidRPr="00EB7E25" w:rsidRDefault="00EB7E25" w:rsidP="00EB7E25">
      <w:pPr>
        <w:spacing w:after="120" w:line="240" w:lineRule="auto"/>
        <w:jc w:val="both"/>
      </w:pPr>
      <w:r w:rsidRPr="00EB7E25">
        <w:t xml:space="preserve">W związku z powyższym, </w:t>
      </w:r>
      <w:r w:rsidRPr="00EB7E25">
        <w:rPr>
          <w:b/>
          <w:bCs/>
          <w:color w:val="2F5496" w:themeColor="accent1" w:themeShade="BF"/>
        </w:rPr>
        <w:t>ze względu na pacjentów i kuracjuszy, istotne znaczenie z punktu widzenia jakości powietrza posiada strefa „A”</w:t>
      </w:r>
      <w:r w:rsidRPr="00EB7E25">
        <w:t>. Z punktu widzenia mieszkańców gminy (miejscowości) uzdrowiskowej, jakość powietrza należy analizować dla wszystkich stref.</w:t>
      </w:r>
    </w:p>
    <w:p w14:paraId="1453B1CE" w14:textId="77777777" w:rsidR="00EB7E25" w:rsidRPr="00EB7E25" w:rsidRDefault="00EB7E25" w:rsidP="00EB7E25">
      <w:pPr>
        <w:spacing w:after="120" w:line="240" w:lineRule="auto"/>
        <w:jc w:val="both"/>
      </w:pPr>
      <w:r w:rsidRPr="00EB7E25">
        <w:t>Spośród wszystkich 45 uzdrowisk w kraju, 37% z nich to uzdrowiska położone na obszarze nizinnym, 13,3% to uzdrowiska nadmorskie, zaś 31,1% położonych jest na obszarze podgórskim. Pozostałe 17,8% to uzdrowiska górskie. Znaczna część uzdrowisk jest zlokalizowana na terenie województw południowych.</w:t>
      </w:r>
    </w:p>
    <w:p w14:paraId="69D8DD70" w14:textId="77777777" w:rsidR="00EB7E25" w:rsidRPr="00EB7E25" w:rsidRDefault="00EB7E25" w:rsidP="00EB7E25">
      <w:pPr>
        <w:spacing w:after="120" w:line="240" w:lineRule="auto"/>
        <w:jc w:val="both"/>
      </w:pPr>
      <w:r w:rsidRPr="00EB7E25">
        <w:t xml:space="preserve">W 34 uzdrowiskach w Polsce prowadzi się leczenie co najmniej jednej z trzech chorób związanych z zanieczyszczeniem powietrza (kardiologicznych i nadciśnienia oraz chorób górnych i dolnych dróg oddechowych), w 13 (Czerniawa-Zdrój, Dąbki, Duszniki-Zdrój, Jedlina-Zdrój, Kołobrzeg, Polańczyk, Rabka-Zdrój, Rymanów-Zdrój, Supraśl, Świeradów-Zdrój, Świnoujście, Ustka i Ustroń) prowadzi się leczenie trzech wymienionych chorób, w 12 (Ciechocinek, Gołdap, Kamień Pomorski, Konstancin-Jeziorna, Krasnobród, Piwniczna-Zdrój, Polanica-Zdrój, Sopot, Szczawnica, Szczawno-Zdrój, Wieniec-Zdrój, Wysowa-Zdrój) prowadzi się leczenie dwóch wymienionych chorób, zaś 8 (Busko-Zdrój, Inowrocław, Iwonicz-Zdrój, Krynica-Zdrój, Kudowa-Zdrój, Muszyna, Nałęczów i Wapienne) prowadzi się leczenie jednej z wymienionych chorób. </w:t>
      </w:r>
    </w:p>
    <w:p w14:paraId="3FB3F4F8" w14:textId="77777777" w:rsidR="00EB7E25" w:rsidRPr="00EB7E25" w:rsidRDefault="00EB7E25" w:rsidP="00EB7E25">
      <w:pPr>
        <w:spacing w:after="120" w:line="240" w:lineRule="auto"/>
        <w:jc w:val="both"/>
      </w:pPr>
      <w:r w:rsidRPr="00EB7E25">
        <w:t xml:space="preserve">Należy podkreślić, że z punktu widzenia omówienia problemu jakości powietrza w uzdrowiskach oraz samych kuracjuszy, większego znaczenia nabiera ryzyko związane z krótkookresowym narażeniem na zanieczyszczenie powietrza (podczas trwającego 21 dni turnusu). Dotyczy to przede wszystkim osób leczących się na choroby układu oddechowego. </w:t>
      </w:r>
    </w:p>
    <w:p w14:paraId="75C99B6B" w14:textId="45C45109" w:rsidR="00EB7E25" w:rsidRPr="00EB7E25" w:rsidRDefault="00EB7E25" w:rsidP="00EB7E25">
      <w:pPr>
        <w:spacing w:after="120" w:line="240" w:lineRule="auto"/>
        <w:jc w:val="both"/>
      </w:pPr>
      <w:r w:rsidRPr="00EB7E25">
        <w:t xml:space="preserve">Wyjaśnić należy, że na obszarze Polski, w tym w uzdrowiskach, ocena jakości powietrza atmosferycznego jest wykonywana zgodnie z obowiązującymi regulacjami prawnymi, tj. </w:t>
      </w:r>
      <w:r w:rsidR="00B92334">
        <w:t xml:space="preserve">ustawą </w:t>
      </w:r>
      <w:r w:rsidR="00A272F8">
        <w:t>POŚ</w:t>
      </w:r>
      <w:r w:rsidRPr="00EB7E25">
        <w:t xml:space="preserve">, rozporządzeniem Ministra </w:t>
      </w:r>
      <w:r w:rsidR="00B92334">
        <w:t xml:space="preserve">Klimatu i </w:t>
      </w:r>
      <w:r w:rsidRPr="00EB7E25">
        <w:t>Środowiska z dnia 11</w:t>
      </w:r>
      <w:r w:rsidR="00C66496">
        <w:t> </w:t>
      </w:r>
      <w:r w:rsidRPr="00EB7E25">
        <w:t>grudnia 2020 r. w sprawie dokonywania oceny poziomów substancji w powietrzu oraz rozporządzeniem Ministra Środowiska z dnia 24 sierpnia 2012 r. w sprawie poziomów niektórych substancji w powietrzu, które równocześnie stanowią implementację prawa europejskiego, w tym przede wszystkim dyrektyw: 2008/50/WE oraz 2004/107/WE. Analizy jakości powietrza dokonuje się w ramach, nadzorowanego przez GIOŚ P</w:t>
      </w:r>
      <w:r w:rsidR="00D90941">
        <w:t>MŚ</w:t>
      </w:r>
      <w:r w:rsidRPr="00EB7E25">
        <w:t xml:space="preserve">. </w:t>
      </w:r>
      <w:r w:rsidR="00B92334" w:rsidRPr="00B92334">
        <w:t xml:space="preserve">W przypadku jakości powietrza oceny dokonuje się przy pomocy sieci pomiarów stężeń wybranych zanieczyszczeń powietrza uzupełnianych technikami modelowania matematycznego transportu i </w:t>
      </w:r>
      <w:r w:rsidR="00B92334" w:rsidRPr="00B92334">
        <w:lastRenderedPageBreak/>
        <w:t>przemian substancji w powietrzu oraz obiektywnego szacowania</w:t>
      </w:r>
      <w:r w:rsidR="00B92334">
        <w:t xml:space="preserve">. </w:t>
      </w:r>
      <w:r w:rsidRPr="00EB7E25">
        <w:t xml:space="preserve">Badania monitoringowe prowadzi się w sposób cykliczny, stosując ujednolicone metody zbierania, gromadzenia i przetwarzania danych. Istotną cechą sieci pomiarowej PMŚ jest stosowanie referencyjnych metod pomiarowych lub równoważnych, a także wdrożenie i utrzymanie systemu kontroli i zapewnienia jakości pomiarów. </w:t>
      </w:r>
    </w:p>
    <w:p w14:paraId="525C4318" w14:textId="59DB9E31" w:rsidR="00EB7E25" w:rsidRPr="00EB7E25" w:rsidRDefault="00EB7E25" w:rsidP="00EB7E25">
      <w:pPr>
        <w:spacing w:after="120" w:line="240" w:lineRule="auto"/>
        <w:jc w:val="both"/>
      </w:pPr>
      <w:r w:rsidRPr="00EB7E25">
        <w:t>Zgodnie z wymaganiami określonymi w dokumencie „Strategiczny Program Państwowego Monitoringu Środowiska na lata 2020-2025”</w:t>
      </w:r>
      <w:r w:rsidRPr="00EB7E25">
        <w:rPr>
          <w:vertAlign w:val="superscript"/>
        </w:rPr>
        <w:footnoteReference w:id="13"/>
      </w:r>
      <w:r w:rsidRPr="00EB7E25">
        <w:t xml:space="preserve"> </w:t>
      </w:r>
      <w:r w:rsidRPr="00EB7E25">
        <w:rPr>
          <w:b/>
          <w:bCs/>
          <w:color w:val="2F5496" w:themeColor="accent1" w:themeShade="BF"/>
        </w:rPr>
        <w:t>w najbliższych latach przewidywany jest rozwój i wzmocnienie sieci pomiarów jakości powietrza poprzez utworzenie nowych stacji i stanowisk pomiarowych. Kierunki tego rozwoju będą ściśle związane, między innymi, z monitorowaniem obszarów o wysokich stężeniach zanieczyszczeń, na których istnieją problemy z dotrzymaniem norm jakości powietrza, w</w:t>
      </w:r>
      <w:r w:rsidR="00C66496">
        <w:rPr>
          <w:b/>
          <w:bCs/>
          <w:color w:val="2F5496" w:themeColor="accent1" w:themeShade="BF"/>
        </w:rPr>
        <w:t> </w:t>
      </w:r>
      <w:r w:rsidRPr="00EB7E25">
        <w:rPr>
          <w:b/>
          <w:bCs/>
          <w:color w:val="2F5496" w:themeColor="accent1" w:themeShade="BF"/>
        </w:rPr>
        <w:t>tym obszarów uzdrowiskowych.</w:t>
      </w:r>
      <w:r w:rsidRPr="00EB7E25">
        <w:rPr>
          <w:b/>
          <w:bCs/>
        </w:rPr>
        <w:t xml:space="preserve"> </w:t>
      </w:r>
      <w:r w:rsidRPr="00EB7E25">
        <w:t>Formą realizacji tego zadania jest np. zapewnienie prowadzenia stałych lub</w:t>
      </w:r>
      <w:r w:rsidR="00C66496">
        <w:t xml:space="preserve"> </w:t>
      </w:r>
      <w:r w:rsidRPr="00EB7E25">
        <w:t>okresowych (jednorocznych) pomiarów jakości powietrza w miejscowościach uzdrowiskowych, z</w:t>
      </w:r>
      <w:r w:rsidR="00C66496">
        <w:t xml:space="preserve"> </w:t>
      </w:r>
      <w:r w:rsidRPr="00EB7E25">
        <w:t>wykorzystaniem m.in. stacji mobilnych. Pozwala to na prowadzenie wiarygodnej diagnozy i pogłębionego rozpoznania problemów jakości powietrza na poszczególnych obszarach, przy użyciu metodyk referencyjnych oraz zgodnych z nimi.</w:t>
      </w:r>
    </w:p>
    <w:p w14:paraId="3886C6DC" w14:textId="77777777" w:rsidR="00EB7E25" w:rsidRPr="00EB7E25" w:rsidRDefault="00EB7E25" w:rsidP="00EB7E25">
      <w:pPr>
        <w:spacing w:after="120" w:line="240" w:lineRule="auto"/>
        <w:jc w:val="both"/>
      </w:pPr>
      <w:r w:rsidRPr="00EB7E25">
        <w:rPr>
          <w:b/>
          <w:bCs/>
          <w:color w:val="2F5496" w:themeColor="accent1" w:themeShade="BF"/>
        </w:rPr>
        <w:t>Liczba stacji pomiarowych położonych na obszarze uzdrowisk w okresie 2010 – 2021 systematycznie wzrasta – od 11 w roku 2010 do 23 w 2021 r.</w:t>
      </w:r>
      <w:r w:rsidRPr="00EB7E25">
        <w:rPr>
          <w:color w:val="2F5496" w:themeColor="accent1" w:themeShade="BF"/>
        </w:rPr>
        <w:t xml:space="preserve"> </w:t>
      </w:r>
      <w:r w:rsidRPr="00EB7E25">
        <w:t xml:space="preserve">(Rys. 43.). </w:t>
      </w:r>
    </w:p>
    <w:p w14:paraId="2587C947" w14:textId="77777777" w:rsidR="00EB7E25" w:rsidRPr="00EB7E25" w:rsidRDefault="00EB7E25" w:rsidP="00EB7E25">
      <w:pPr>
        <w:spacing w:after="120" w:line="240" w:lineRule="auto"/>
        <w:jc w:val="both"/>
      </w:pPr>
    </w:p>
    <w:p w14:paraId="65417D16" w14:textId="77777777" w:rsidR="00EB7E25" w:rsidRPr="00EB7E25" w:rsidRDefault="00EB7E25" w:rsidP="00EB7E25">
      <w:pPr>
        <w:jc w:val="center"/>
      </w:pPr>
      <w:r w:rsidRPr="00EB7E25">
        <w:rPr>
          <w:noProof/>
          <w:sz w:val="20"/>
          <w:szCs w:val="20"/>
          <w:lang w:eastAsia="pl-PL"/>
        </w:rPr>
        <w:drawing>
          <wp:inline distT="0" distB="0" distL="0" distR="0" wp14:anchorId="344E554E" wp14:editId="1F3A13FD">
            <wp:extent cx="5699760" cy="2261235"/>
            <wp:effectExtent l="0" t="0" r="0" b="5715"/>
            <wp:docPr id="246" name="Wykres 246">
              <a:extLst xmlns:a="http://schemas.openxmlformats.org/drawingml/2006/main">
                <a:ext uri="{FF2B5EF4-FFF2-40B4-BE49-F238E27FC236}">
                  <a16:creationId xmlns:a16="http://schemas.microsoft.com/office/drawing/2014/main" id="{CA5DFEAE-9474-4611-ACE4-E3816319A8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sidRPr="00EB7E25">
        <w:rPr>
          <w:sz w:val="20"/>
          <w:szCs w:val="20"/>
        </w:rPr>
        <w:t>Rys. 43. Zmienność liczby stacji i stanowisk pomiarowych na obszarze uzdrowisk w latach 2010-2021</w:t>
      </w:r>
    </w:p>
    <w:p w14:paraId="74391C28" w14:textId="28AF2E14" w:rsidR="00EB7E25" w:rsidRPr="00EB7E25" w:rsidRDefault="00D733F2" w:rsidP="00EB7E25">
      <w:pPr>
        <w:spacing w:after="120" w:line="240" w:lineRule="auto"/>
        <w:jc w:val="both"/>
      </w:pPr>
      <w:r>
        <w:rPr>
          <w:b/>
          <w:bCs/>
          <w:color w:val="2F5496" w:themeColor="accent1" w:themeShade="BF"/>
        </w:rPr>
        <w:t>W 2021 r. w uzdrowiskach</w:t>
      </w:r>
      <w:r w:rsidRPr="00EB7E25">
        <w:rPr>
          <w:b/>
          <w:bCs/>
          <w:color w:val="2F5496" w:themeColor="accent1" w:themeShade="BF"/>
        </w:rPr>
        <w:t xml:space="preserve"> </w:t>
      </w:r>
      <w:r>
        <w:rPr>
          <w:b/>
          <w:bCs/>
          <w:color w:val="2F5496" w:themeColor="accent1" w:themeShade="BF"/>
        </w:rPr>
        <w:t>f</w:t>
      </w:r>
      <w:r w:rsidR="00EB7E25" w:rsidRPr="00EB7E25">
        <w:rPr>
          <w:b/>
          <w:bCs/>
          <w:color w:val="2F5496" w:themeColor="accent1" w:themeShade="BF"/>
        </w:rPr>
        <w:t>unkcjonuje łącznie 76 stanowisk pomiarów zanieczyszczeń</w:t>
      </w:r>
      <w:r>
        <w:rPr>
          <w:b/>
          <w:bCs/>
          <w:color w:val="2F5496" w:themeColor="accent1" w:themeShade="BF"/>
        </w:rPr>
        <w:t xml:space="preserve"> powietrza</w:t>
      </w:r>
      <w:r w:rsidR="00EB7E25" w:rsidRPr="00EB7E25">
        <w:t xml:space="preserve">. Zmniejszenie tej liczby w stosunku do roku poprzedniego wynika z optymalizacji sieci pomiarowej prowadzonej, między innymi, poprzez redukcję liczby pomiarów stężenia zanieczyszczeń, które nie stanowią obecnie dużego problemu i dla których nie rejestruje się w Polsce przekroczeń standardów jakości powietrza. Dotyczy to np. </w:t>
      </w:r>
      <w:r w:rsidR="00C66496">
        <w:t>SO</w:t>
      </w:r>
      <w:r w:rsidR="00C66496" w:rsidRPr="00C66496">
        <w:rPr>
          <w:vertAlign w:val="subscript"/>
        </w:rPr>
        <w:t>2</w:t>
      </w:r>
      <w:r w:rsidR="00EB7E25" w:rsidRPr="00EB7E25">
        <w:t xml:space="preserve">, </w:t>
      </w:r>
      <w:r w:rsidR="00C66496">
        <w:t>CO</w:t>
      </w:r>
      <w:r w:rsidR="00EB7E25" w:rsidRPr="00EB7E25">
        <w:t xml:space="preserve">, czy metali ciężkich zawartych w pyle zawieszonym. Jednocześnie uruchomiono dodatkowe pomiary stężenia zanieczyszczeń problematycznych, takich jak </w:t>
      </w:r>
      <w:r w:rsidR="00C66496">
        <w:t>B(a)P</w:t>
      </w:r>
      <w:r w:rsidR="00EB7E25" w:rsidRPr="00EB7E25">
        <w:t xml:space="preserve"> zawarty w pyle zawieszonym PM10.</w:t>
      </w:r>
    </w:p>
    <w:p w14:paraId="4DFA29C2" w14:textId="77777777" w:rsidR="00EB7E25" w:rsidRPr="00EB7E25" w:rsidRDefault="00EB7E25" w:rsidP="00EB7E25">
      <w:pPr>
        <w:spacing w:after="0" w:line="240" w:lineRule="auto"/>
        <w:jc w:val="both"/>
      </w:pPr>
      <w:r w:rsidRPr="00EB7E25">
        <w:rPr>
          <w:bCs/>
        </w:rPr>
        <w:t>Stężenia zanieczyszczeń powietrza w uzdrowiskach na przestrzeni lat 2018-2020 zmieniały się podobnie jak stężenia na innych stacjach tła miejskiego i podmiejskiego w Polsce</w:t>
      </w:r>
      <w:r w:rsidRPr="00EB7E25">
        <w:t>. Wysokość stężeń w kolejnych latach ulegała zmianom - zależała między innymi od warunków pogodowych w danym roku warunkujących zarówno wielkość emisji pyłu i jego prekursorów, jak i warunki rozprzestrzeniania się zanieczyszczeń.</w:t>
      </w:r>
    </w:p>
    <w:p w14:paraId="1120E1CE" w14:textId="3EAE9023" w:rsidR="00EB7E25" w:rsidRPr="00EB7E25" w:rsidRDefault="00EB7E25" w:rsidP="00EB7E25">
      <w:pPr>
        <w:spacing w:after="0" w:line="240" w:lineRule="auto"/>
        <w:jc w:val="both"/>
      </w:pPr>
      <w:r w:rsidRPr="00EB7E25">
        <w:rPr>
          <w:b/>
          <w:bCs/>
          <w:color w:val="2F5496" w:themeColor="accent1" w:themeShade="BF"/>
        </w:rPr>
        <w:t>Wśród źródeł emisji pyłu zawieszonego</w:t>
      </w:r>
      <w:r w:rsidR="001A02E3">
        <w:rPr>
          <w:b/>
          <w:bCs/>
          <w:color w:val="2F5496" w:themeColor="accent1" w:themeShade="BF"/>
        </w:rPr>
        <w:t xml:space="preserve"> o frakcjach</w:t>
      </w:r>
      <w:r w:rsidRPr="00EB7E25">
        <w:rPr>
          <w:b/>
          <w:bCs/>
          <w:color w:val="2F5496" w:themeColor="accent1" w:themeShade="BF"/>
        </w:rPr>
        <w:t xml:space="preserve"> PM10 i PM2,5 oraz ich prekursorów, kategorią o największym znaczeniu dla okresowego występowania wysokich stężeń tych zanieczyszczeń w uzdrowiskach ma przede wszystkich tzw. niska emisja związana ze spalaniem paliw stałych w celu </w:t>
      </w:r>
      <w:r w:rsidRPr="00EB7E25">
        <w:rPr>
          <w:b/>
          <w:bCs/>
          <w:color w:val="2F5496" w:themeColor="accent1" w:themeShade="BF"/>
        </w:rPr>
        <w:lastRenderedPageBreak/>
        <w:t>ogrzewania budynków i zaspokojenia innych potrzeb bytowych (np. ciepła woda użytkowa)</w:t>
      </w:r>
      <w:r w:rsidRPr="00EB7E25">
        <w:t xml:space="preserve">. Emisja ta zmienia się w zależności od zapotrzebowania na ciepło do ogrzewania budynków – zimą jest znacznie większa niż w innych porach roku. Dodatkowo, często w sezonie zimowym przy dużych spadkach temperatury utrzymują się niekorzystne warunki meteorologiczne (słaby wiatr, inwersja temperatury) prowadzące do kumulacji zanieczyszczeń pochodzących z niskiej emisji w przyziemnej warstwie atmosfery. Podobne warunki odnoszą się do emisji </w:t>
      </w:r>
      <w:r w:rsidR="00C66496">
        <w:t>B(a)P</w:t>
      </w:r>
      <w:r w:rsidRPr="00EB7E25">
        <w:t xml:space="preserve">. </w:t>
      </w:r>
    </w:p>
    <w:p w14:paraId="358345A6" w14:textId="72B85DAC" w:rsidR="00EB7E25" w:rsidRPr="00EB7E25" w:rsidRDefault="00EB7E25" w:rsidP="00C66496">
      <w:pPr>
        <w:spacing w:before="120" w:after="0" w:line="240" w:lineRule="auto"/>
        <w:jc w:val="both"/>
      </w:pPr>
      <w:r w:rsidRPr="00EB7E25">
        <w:t>Stężenia średnie roczne pyłu zawieszonego PM10 w 2020 r. wynosiły od 12 µg/m</w:t>
      </w:r>
      <w:r w:rsidRPr="00EB7E25">
        <w:rPr>
          <w:vertAlign w:val="superscript"/>
        </w:rPr>
        <w:t>3</w:t>
      </w:r>
      <w:r w:rsidRPr="00EB7E25">
        <w:t xml:space="preserve"> w Połczynie-Zdrój do 35 µg/m</w:t>
      </w:r>
      <w:r w:rsidRPr="00EB7E25">
        <w:rPr>
          <w:vertAlign w:val="superscript"/>
        </w:rPr>
        <w:t>3</w:t>
      </w:r>
      <w:r w:rsidRPr="00EB7E25">
        <w:t xml:space="preserve"> w uzdrowisku Goczałkowice-Zdrój. </w:t>
      </w:r>
      <w:r w:rsidRPr="00EB7E25">
        <w:rPr>
          <w:bCs/>
        </w:rPr>
        <w:t xml:space="preserve">Dla pyłu zawieszonego PM2,5 w 2020 r. najwyższe stężenie średnioroczne zanotowano w Goczałkowicach-Zdrój (30 </w:t>
      </w:r>
      <w:r w:rsidRPr="00EB7E25">
        <w:t>µg/m</w:t>
      </w:r>
      <w:r w:rsidRPr="00EB7E25">
        <w:rPr>
          <w:vertAlign w:val="superscript"/>
        </w:rPr>
        <w:t>3</w:t>
      </w:r>
      <w:r w:rsidRPr="00EB7E25">
        <w:t>), a najniższe w Polańczyku, Połczynie-Zdrój i Rymanowie-Zdroju (9 µg/m</w:t>
      </w:r>
      <w:r w:rsidRPr="00EB7E25">
        <w:rPr>
          <w:vertAlign w:val="superscript"/>
        </w:rPr>
        <w:t>3</w:t>
      </w:r>
      <w:r w:rsidRPr="00EB7E25">
        <w:t xml:space="preserve">). W Połczynie-Zdrój i Polańczyku odnotowano również w 2020 r. najniższe stężenia </w:t>
      </w:r>
      <w:r w:rsidR="00C66496">
        <w:t>B(a)P</w:t>
      </w:r>
      <w:r w:rsidRPr="00EB7E25">
        <w:t xml:space="preserve"> (0,45 ng/m</w:t>
      </w:r>
      <w:r w:rsidRPr="00EB7E25">
        <w:rPr>
          <w:vertAlign w:val="superscript"/>
        </w:rPr>
        <w:t>3</w:t>
      </w:r>
      <w:r w:rsidRPr="00EB7E25">
        <w:t xml:space="preserve">). Natomiast najwyższe stężenia średnioroczne </w:t>
      </w:r>
      <w:r w:rsidR="00C66496">
        <w:t>B(a)P</w:t>
      </w:r>
      <w:r w:rsidRPr="00EB7E25">
        <w:t xml:space="preserve"> wystąpiło w 2020 r. w Rabce-Zdroju - 9 ng/m</w:t>
      </w:r>
      <w:r w:rsidRPr="00EB7E25">
        <w:rPr>
          <w:vertAlign w:val="superscript"/>
        </w:rPr>
        <w:t>3</w:t>
      </w:r>
      <w:r w:rsidRPr="00EB7E25">
        <w:t>. Średnie roczne stężenia NO</w:t>
      </w:r>
      <w:r w:rsidRPr="00EB7E25">
        <w:rPr>
          <w:vertAlign w:val="subscript"/>
        </w:rPr>
        <w:t>2</w:t>
      </w:r>
      <w:r w:rsidRPr="00EB7E25">
        <w:t xml:space="preserve"> wynosiło od 3 µg/m</w:t>
      </w:r>
      <w:r w:rsidRPr="00EB7E25">
        <w:rPr>
          <w:vertAlign w:val="superscript"/>
        </w:rPr>
        <w:t>3</w:t>
      </w:r>
      <w:r w:rsidRPr="00EB7E25">
        <w:t xml:space="preserve"> w</w:t>
      </w:r>
      <w:r w:rsidR="00C66496">
        <w:t> </w:t>
      </w:r>
      <w:r w:rsidRPr="00EB7E25">
        <w:t>Połczynie -Zdrój do 15 µg/m</w:t>
      </w:r>
      <w:r w:rsidRPr="00EB7E25">
        <w:rPr>
          <w:vertAlign w:val="superscript"/>
        </w:rPr>
        <w:t>3</w:t>
      </w:r>
      <w:r w:rsidRPr="00EB7E25">
        <w:t xml:space="preserve"> w Goczałkowicach-Zdrój. </w:t>
      </w:r>
    </w:p>
    <w:p w14:paraId="0813B26C" w14:textId="77777777" w:rsidR="00EB7E25" w:rsidRPr="00EB7E25" w:rsidRDefault="00EB7E25" w:rsidP="00EB7E25">
      <w:pPr>
        <w:jc w:val="center"/>
        <w:rPr>
          <w:sz w:val="20"/>
          <w:szCs w:val="20"/>
        </w:rPr>
      </w:pPr>
      <w:r w:rsidRPr="00EB7E25">
        <w:rPr>
          <w:noProof/>
          <w:lang w:eastAsia="pl-PL"/>
        </w:rPr>
        <mc:AlternateContent>
          <mc:Choice Requires="wps">
            <w:drawing>
              <wp:anchor distT="0" distB="0" distL="114300" distR="114300" simplePos="0" relativeHeight="251684864" behindDoc="0" locked="0" layoutInCell="1" allowOverlap="1" wp14:anchorId="68EC4CD2" wp14:editId="4C4BF459">
                <wp:simplePos x="0" y="0"/>
                <wp:positionH relativeFrom="column">
                  <wp:posOffset>3306445</wp:posOffset>
                </wp:positionH>
                <wp:positionV relativeFrom="paragraph">
                  <wp:posOffset>130479</wp:posOffset>
                </wp:positionV>
                <wp:extent cx="31750" cy="2258170"/>
                <wp:effectExtent l="0" t="0" r="25400" b="27940"/>
                <wp:wrapNone/>
                <wp:docPr id="241" name="Łącznik prosty 241"/>
                <wp:cNvGraphicFramePr/>
                <a:graphic xmlns:a="http://schemas.openxmlformats.org/drawingml/2006/main">
                  <a:graphicData uri="http://schemas.microsoft.com/office/word/2010/wordprocessingShape">
                    <wps:wsp>
                      <wps:cNvCnPr/>
                      <wps:spPr>
                        <a:xfrm flipH="1" flipV="1">
                          <a:off x="0" y="0"/>
                          <a:ext cx="31750" cy="2258170"/>
                        </a:xfrm>
                        <a:prstGeom prst="line">
                          <a:avLst/>
                        </a:prstGeom>
                        <a:noFill/>
                        <a:ln w="15875" cap="flat" cmpd="sng" algn="ctr">
                          <a:solidFill>
                            <a:srgbClr val="0B4AFD"/>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D66C34" id="Łącznik prosty 241" o:spid="_x0000_s1026" style="position:absolute;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35pt,10.25pt" to="262.85pt,1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" strokecolor="#0b4afd" strokeweight="1.25pt">
                <v:stroke dashstyle="3 1" joinstyle="miter"/>
              </v:line>
            </w:pict>
          </mc:Fallback>
        </mc:AlternateContent>
      </w:r>
      <w:r w:rsidRPr="00EB7E25">
        <w:rPr>
          <w:noProof/>
          <w:lang w:eastAsia="pl-PL"/>
        </w:rPr>
        <mc:AlternateContent>
          <mc:Choice Requires="wps">
            <w:drawing>
              <wp:anchor distT="0" distB="0" distL="114300" distR="114300" simplePos="0" relativeHeight="251685888" behindDoc="0" locked="0" layoutInCell="1" allowOverlap="1" wp14:anchorId="18E9CEEE" wp14:editId="5CB436B5">
                <wp:simplePos x="0" y="0"/>
                <wp:positionH relativeFrom="column">
                  <wp:posOffset>2542954</wp:posOffset>
                </wp:positionH>
                <wp:positionV relativeFrom="paragraph">
                  <wp:posOffset>129872</wp:posOffset>
                </wp:positionV>
                <wp:extent cx="23495" cy="2250220"/>
                <wp:effectExtent l="0" t="0" r="33655" b="17145"/>
                <wp:wrapNone/>
                <wp:docPr id="242" name="Łącznik prosty 242"/>
                <wp:cNvGraphicFramePr/>
                <a:graphic xmlns:a="http://schemas.openxmlformats.org/drawingml/2006/main">
                  <a:graphicData uri="http://schemas.microsoft.com/office/word/2010/wordprocessingShape">
                    <wps:wsp>
                      <wps:cNvCnPr/>
                      <wps:spPr>
                        <a:xfrm flipH="1" flipV="1">
                          <a:off x="0" y="0"/>
                          <a:ext cx="23495" cy="2250220"/>
                        </a:xfrm>
                        <a:prstGeom prst="line">
                          <a:avLst/>
                        </a:prstGeom>
                        <a:noFill/>
                        <a:ln w="15875" cap="flat" cmpd="sng" algn="ctr">
                          <a:solidFill>
                            <a:srgbClr val="00B05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1151BB" id="Łącznik prosty 242"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25pt,10.25pt" to="202.1pt,1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" strokecolor="#00b050" strokeweight="1.25pt">
                <v:stroke dashstyle="3 1" joinstyle="miter"/>
              </v:line>
            </w:pict>
          </mc:Fallback>
        </mc:AlternateContent>
      </w:r>
      <w:r w:rsidRPr="00EB7E25">
        <w:rPr>
          <w:noProof/>
          <w:lang w:eastAsia="pl-PL"/>
        </w:rPr>
        <mc:AlternateContent>
          <mc:Choice Requires="wps">
            <w:drawing>
              <wp:anchor distT="0" distB="0" distL="114300" distR="114300" simplePos="0" relativeHeight="251683840" behindDoc="0" locked="0" layoutInCell="1" allowOverlap="1" wp14:anchorId="08A3AB14" wp14:editId="09E6D245">
                <wp:simplePos x="0" y="0"/>
                <wp:positionH relativeFrom="column">
                  <wp:posOffset>3703679</wp:posOffset>
                </wp:positionH>
                <wp:positionV relativeFrom="paragraph">
                  <wp:posOffset>129872</wp:posOffset>
                </wp:positionV>
                <wp:extent cx="7952" cy="2282025"/>
                <wp:effectExtent l="0" t="0" r="30480" b="23495"/>
                <wp:wrapNone/>
                <wp:docPr id="243" name="Łącznik prosty 243"/>
                <wp:cNvGraphicFramePr/>
                <a:graphic xmlns:a="http://schemas.openxmlformats.org/drawingml/2006/main">
                  <a:graphicData uri="http://schemas.microsoft.com/office/word/2010/wordprocessingShape">
                    <wps:wsp>
                      <wps:cNvCnPr/>
                      <wps:spPr>
                        <a:xfrm flipH="1" flipV="1">
                          <a:off x="0" y="0"/>
                          <a:ext cx="7952" cy="2282025"/>
                        </a:xfrm>
                        <a:prstGeom prst="line">
                          <a:avLst/>
                        </a:prstGeom>
                        <a:noFill/>
                        <a:ln w="15875" cap="flat" cmpd="sng" algn="ctr">
                          <a:solidFill>
                            <a:srgbClr val="FF66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9D5CA0" id="Łącznik prosty 243" o:spid="_x0000_s1026" style="position:absolute;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65pt,10.25pt" to="292.3pt,1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" strokecolor="#f60" strokeweight="1.25pt">
                <v:stroke joinstyle="miter"/>
              </v:line>
            </w:pict>
          </mc:Fallback>
        </mc:AlternateContent>
      </w:r>
      <w:r w:rsidRPr="00EB7E25">
        <w:rPr>
          <w:noProof/>
          <w:lang w:eastAsia="pl-PL"/>
        </w:rPr>
        <w:drawing>
          <wp:inline distT="0" distB="0" distL="0" distR="0" wp14:anchorId="771D56C9" wp14:editId="63403511">
            <wp:extent cx="4572000" cy="2949575"/>
            <wp:effectExtent l="0" t="0" r="0" b="3175"/>
            <wp:docPr id="46" name="Wykres 46">
              <a:extLst xmlns:a="http://schemas.openxmlformats.org/drawingml/2006/main">
                <a:ext uri="{FF2B5EF4-FFF2-40B4-BE49-F238E27FC236}">
                  <a16:creationId xmlns:a16="http://schemas.microsoft.com/office/drawing/2014/main" id="{486DD3DE-DDBD-4305-B4E1-68E7DD2506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bookmarkStart w:id="44" w:name="_Hlk74918280"/>
    </w:p>
    <w:p w14:paraId="76B086CA" w14:textId="77777777" w:rsidR="00EB7E25" w:rsidRPr="00DD0E4C" w:rsidRDefault="00EB7E25" w:rsidP="00DD0E4C">
      <w:pPr>
        <w:jc w:val="center"/>
        <w:rPr>
          <w:sz w:val="20"/>
          <w:szCs w:val="20"/>
        </w:rPr>
      </w:pPr>
      <w:r w:rsidRPr="00DD0E4C">
        <w:rPr>
          <w:sz w:val="20"/>
          <w:szCs w:val="20"/>
        </w:rPr>
        <w:t xml:space="preserve">Rys. 44. Stężenia średnie roczne pyłu zawieszonego PM2,5 w 2018, 2019 i 2020 r. w odniesieniu do poziomów dopuszczalnych określonych w rozporządzeniu Ministra Środowiska (linia pomarańczowa - poziom dopuszczalny 25 </w:t>
      </w:r>
      <w:r w:rsidRPr="00DD0E4C">
        <w:rPr>
          <w:rFonts w:cstheme="minorHAnsi"/>
          <w:sz w:val="20"/>
          <w:szCs w:val="20"/>
        </w:rPr>
        <w:t>µ</w:t>
      </w:r>
      <w:r w:rsidRPr="00DD0E4C">
        <w:rPr>
          <w:sz w:val="20"/>
          <w:szCs w:val="20"/>
        </w:rPr>
        <w:t>g/m</w:t>
      </w:r>
      <w:r w:rsidRPr="00DD0E4C">
        <w:rPr>
          <w:sz w:val="20"/>
          <w:szCs w:val="20"/>
          <w:vertAlign w:val="superscript"/>
        </w:rPr>
        <w:t>3</w:t>
      </w:r>
      <w:r w:rsidRPr="00DD0E4C">
        <w:rPr>
          <w:sz w:val="20"/>
          <w:szCs w:val="20"/>
        </w:rPr>
        <w:t xml:space="preserve"> obowiązujący do końca 2019 r. i linia niebieska – poziom dopuszczalny 20 </w:t>
      </w:r>
      <w:r w:rsidRPr="00DD0E4C">
        <w:rPr>
          <w:rFonts w:cstheme="minorHAnsi"/>
          <w:sz w:val="20"/>
          <w:szCs w:val="20"/>
        </w:rPr>
        <w:t>µ</w:t>
      </w:r>
      <w:r w:rsidRPr="00DD0E4C">
        <w:rPr>
          <w:sz w:val="20"/>
          <w:szCs w:val="20"/>
        </w:rPr>
        <w:t>g/m</w:t>
      </w:r>
      <w:r w:rsidRPr="00DD0E4C">
        <w:rPr>
          <w:sz w:val="20"/>
          <w:szCs w:val="20"/>
          <w:vertAlign w:val="superscript"/>
        </w:rPr>
        <w:t>3</w:t>
      </w:r>
      <w:r w:rsidRPr="00DD0E4C">
        <w:rPr>
          <w:sz w:val="20"/>
          <w:szCs w:val="20"/>
        </w:rPr>
        <w:t xml:space="preserve"> obowiązujący od 2020 r.) i wartości zalecanej określonej w wytycznych WHO (linia zielona - 10 </w:t>
      </w:r>
      <w:r w:rsidRPr="00DD0E4C">
        <w:rPr>
          <w:rFonts w:cstheme="minorHAnsi"/>
          <w:sz w:val="20"/>
          <w:szCs w:val="20"/>
        </w:rPr>
        <w:t>µ</w:t>
      </w:r>
      <w:r w:rsidRPr="00DD0E4C">
        <w:rPr>
          <w:sz w:val="20"/>
          <w:szCs w:val="20"/>
        </w:rPr>
        <w:t>g/m</w:t>
      </w:r>
      <w:r w:rsidRPr="00DD0E4C">
        <w:rPr>
          <w:sz w:val="20"/>
          <w:szCs w:val="20"/>
          <w:vertAlign w:val="superscript"/>
        </w:rPr>
        <w:t>3</w:t>
      </w:r>
      <w:r w:rsidRPr="00DD0E4C">
        <w:rPr>
          <w:sz w:val="20"/>
          <w:szCs w:val="20"/>
        </w:rPr>
        <w:t>)</w:t>
      </w:r>
    </w:p>
    <w:bookmarkEnd w:id="44"/>
    <w:p w14:paraId="6D2FDE01" w14:textId="77777777" w:rsidR="00EB7E25" w:rsidRPr="00EB7E25" w:rsidRDefault="00EB7E25" w:rsidP="00EB7E25">
      <w:pPr>
        <w:spacing w:after="0" w:line="240" w:lineRule="auto"/>
        <w:jc w:val="both"/>
        <w:rPr>
          <w:color w:val="FF0000"/>
        </w:rPr>
      </w:pPr>
    </w:p>
    <w:p w14:paraId="6064B87C" w14:textId="77777777" w:rsidR="00EB7E25" w:rsidRPr="00EB7E25" w:rsidRDefault="00EB7E25" w:rsidP="00EB7E25">
      <w:pPr>
        <w:jc w:val="center"/>
      </w:pPr>
      <w:r w:rsidRPr="00EB7E25">
        <w:rPr>
          <w:noProof/>
          <w:lang w:eastAsia="pl-PL"/>
        </w:rPr>
        <w:lastRenderedPageBreak/>
        <mc:AlternateContent>
          <mc:Choice Requires="wps">
            <w:drawing>
              <wp:anchor distT="0" distB="0" distL="114300" distR="114300" simplePos="0" relativeHeight="251679744" behindDoc="0" locked="0" layoutInCell="1" allowOverlap="1" wp14:anchorId="3A3BF5BB" wp14:editId="294EE066">
                <wp:simplePos x="0" y="0"/>
                <wp:positionH relativeFrom="column">
                  <wp:posOffset>3495485</wp:posOffset>
                </wp:positionH>
                <wp:positionV relativeFrom="paragraph">
                  <wp:posOffset>-64135</wp:posOffset>
                </wp:positionV>
                <wp:extent cx="358140" cy="234950"/>
                <wp:effectExtent l="0" t="0" r="0" b="0"/>
                <wp:wrapNone/>
                <wp:docPr id="244" name="Pole tekstowe 244"/>
                <wp:cNvGraphicFramePr/>
                <a:graphic xmlns:a="http://schemas.openxmlformats.org/drawingml/2006/main">
                  <a:graphicData uri="http://schemas.microsoft.com/office/word/2010/wordprocessingShape">
                    <wps:wsp>
                      <wps:cNvSpPr txBox="1"/>
                      <wps:spPr>
                        <a:xfrm>
                          <a:off x="0" y="0"/>
                          <a:ext cx="358140" cy="234950"/>
                        </a:xfrm>
                        <a:prstGeom prst="rect">
                          <a:avLst/>
                        </a:prstGeom>
                        <a:noFill/>
                        <a:ln w="6350">
                          <a:noFill/>
                        </a:ln>
                      </wps:spPr>
                      <wps:txbx>
                        <w:txbxContent>
                          <w:p w14:paraId="7E31CBF1" w14:textId="77777777" w:rsidR="0072137C" w:rsidRPr="00C60E5C" w:rsidRDefault="0072137C" w:rsidP="00EB7E25">
                            <w:pPr>
                              <w:rPr>
                                <w:color w:val="FF6600"/>
                                <w:sz w:val="16"/>
                              </w:rPr>
                            </w:pPr>
                            <w:r w:rsidRPr="00C60E5C">
                              <w:rPr>
                                <w:color w:val="FF6600"/>
                                <w:sz w:val="16"/>
                              </w:rPr>
                              <w: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BF5BB" id="Pole tekstowe 244" o:spid="_x0000_s1028" type="#_x0000_t202" style="position:absolute;left:0;text-align:left;margin-left:275.25pt;margin-top:-5.05pt;width:28.2pt;height: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" filled="f" stroked="f" strokeweight=".5pt">
                <v:textbox>
                  <w:txbxContent>
                    <w:p w14:paraId="7E31CBF1" w14:textId="77777777" w:rsidR="0072137C" w:rsidRPr="00C60E5C" w:rsidRDefault="0072137C" w:rsidP="00EB7E25">
                      <w:pPr>
                        <w:rPr>
                          <w:color w:val="FF6600"/>
                          <w:sz w:val="16"/>
                        </w:rPr>
                      </w:pPr>
                      <w:r w:rsidRPr="00C60E5C">
                        <w:rPr>
                          <w:color w:val="FF6600"/>
                          <w:sz w:val="16"/>
                        </w:rPr>
                        <w:t>Da</w:t>
                      </w:r>
                    </w:p>
                  </w:txbxContent>
                </v:textbox>
              </v:shape>
            </w:pict>
          </mc:Fallback>
        </mc:AlternateContent>
      </w:r>
      <w:r w:rsidRPr="00EB7E25">
        <w:rPr>
          <w:noProof/>
          <w:lang w:eastAsia="pl-PL"/>
        </w:rPr>
        <mc:AlternateContent>
          <mc:Choice Requires="wps">
            <w:drawing>
              <wp:anchor distT="0" distB="0" distL="114300" distR="114300" simplePos="0" relativeHeight="251678720" behindDoc="0" locked="0" layoutInCell="1" allowOverlap="1" wp14:anchorId="52037E3F" wp14:editId="6B0F24E1">
                <wp:simplePos x="0" y="0"/>
                <wp:positionH relativeFrom="margin">
                  <wp:posOffset>2288445</wp:posOffset>
                </wp:positionH>
                <wp:positionV relativeFrom="paragraph">
                  <wp:posOffset>-63568</wp:posOffset>
                </wp:positionV>
                <wp:extent cx="709295" cy="219075"/>
                <wp:effectExtent l="0" t="0" r="0" b="0"/>
                <wp:wrapNone/>
                <wp:docPr id="245" name="Pole tekstowe 245"/>
                <wp:cNvGraphicFramePr/>
                <a:graphic xmlns:a="http://schemas.openxmlformats.org/drawingml/2006/main">
                  <a:graphicData uri="http://schemas.microsoft.com/office/word/2010/wordprocessingShape">
                    <wps:wsp>
                      <wps:cNvSpPr txBox="1"/>
                      <wps:spPr>
                        <a:xfrm>
                          <a:off x="0" y="0"/>
                          <a:ext cx="709295" cy="219075"/>
                        </a:xfrm>
                        <a:prstGeom prst="rect">
                          <a:avLst/>
                        </a:prstGeom>
                        <a:noFill/>
                        <a:ln w="6350">
                          <a:noFill/>
                        </a:ln>
                      </wps:spPr>
                      <wps:txbx>
                        <w:txbxContent>
                          <w:p w14:paraId="1274D361" w14:textId="77777777" w:rsidR="0072137C" w:rsidRPr="00C60E5C" w:rsidRDefault="0072137C" w:rsidP="00EB7E25">
                            <w:pPr>
                              <w:rPr>
                                <w:color w:val="00B050"/>
                                <w:sz w:val="16"/>
                              </w:rPr>
                            </w:pPr>
                            <w:r w:rsidRPr="00C60E5C">
                              <w:rPr>
                                <w:color w:val="00B050"/>
                                <w:sz w:val="16"/>
                              </w:rPr>
                              <w:t>Da WHO</w:t>
                            </w:r>
                          </w:p>
                          <w:p w14:paraId="26DDEB22" w14:textId="77777777" w:rsidR="0072137C" w:rsidRPr="00C60E5C" w:rsidRDefault="0072137C" w:rsidP="00EB7E25">
                            <w:pPr>
                              <w:rPr>
                                <w:color w:val="FF6600"/>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37E3F" id="Pole tekstowe 245" o:spid="_x0000_s1029" type="#_x0000_t202" style="position:absolute;left:0;text-align:left;margin-left:180.2pt;margin-top:-5pt;width:55.85pt;height:17.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" filled="f" stroked="f" strokeweight=".5pt">
                <v:textbox>
                  <w:txbxContent>
                    <w:p w14:paraId="1274D361" w14:textId="77777777" w:rsidR="0072137C" w:rsidRPr="00C60E5C" w:rsidRDefault="0072137C" w:rsidP="00EB7E25">
                      <w:pPr>
                        <w:rPr>
                          <w:color w:val="00B050"/>
                          <w:sz w:val="16"/>
                        </w:rPr>
                      </w:pPr>
                      <w:r w:rsidRPr="00C60E5C">
                        <w:rPr>
                          <w:color w:val="00B050"/>
                          <w:sz w:val="16"/>
                        </w:rPr>
                        <w:t>Da WHO</w:t>
                      </w:r>
                    </w:p>
                    <w:p w14:paraId="26DDEB22" w14:textId="77777777" w:rsidR="0072137C" w:rsidRPr="00C60E5C" w:rsidRDefault="0072137C" w:rsidP="00EB7E25">
                      <w:pPr>
                        <w:rPr>
                          <w:color w:val="FF6600"/>
                          <w:sz w:val="16"/>
                        </w:rPr>
                      </w:pPr>
                    </w:p>
                  </w:txbxContent>
                </v:textbox>
                <w10:wrap anchorx="margin"/>
              </v:shape>
            </w:pict>
          </mc:Fallback>
        </mc:AlternateContent>
      </w:r>
      <w:r w:rsidRPr="00EB7E25">
        <w:rPr>
          <w:noProof/>
          <w:lang w:eastAsia="pl-PL"/>
        </w:rPr>
        <w:drawing>
          <wp:inline distT="0" distB="0" distL="0" distR="0" wp14:anchorId="3F06BE74" wp14:editId="47CD561D">
            <wp:extent cx="5181600" cy="6845300"/>
            <wp:effectExtent l="0" t="0" r="0" b="0"/>
            <wp:docPr id="32" name="Wykres 32">
              <a:extLst xmlns:a="http://schemas.openxmlformats.org/drawingml/2006/main">
                <a:ext uri="{FF2B5EF4-FFF2-40B4-BE49-F238E27FC236}">
                  <a16:creationId xmlns:a16="http://schemas.microsoft.com/office/drawing/2014/main" id="{67A690E2-A683-4CA1-8DB9-33427143B6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13064B16" w14:textId="77777777" w:rsidR="00EB7E25" w:rsidRPr="00EB7E25" w:rsidRDefault="00EB7E25" w:rsidP="00DD0E4C">
      <w:pPr>
        <w:spacing w:after="120" w:line="240" w:lineRule="auto"/>
        <w:jc w:val="center"/>
        <w:rPr>
          <w:sz w:val="20"/>
          <w:szCs w:val="20"/>
        </w:rPr>
      </w:pPr>
      <w:r w:rsidRPr="00EB7E25">
        <w:rPr>
          <w:sz w:val="20"/>
          <w:szCs w:val="20"/>
        </w:rPr>
        <w:t>Rys. 45. Stężenia średnie roczne pyłu zawieszonego PM10 w 2018, 2019 i 2020 r. w odniesieniu do średniorocznego poziomu dopuszczalnego określonego w rozporządzeniu Ministra Środowiska (Da) i wartości zalecanej rocznej określonej w wytycznych WHO (Da WHO)</w:t>
      </w:r>
    </w:p>
    <w:p w14:paraId="737B3CE4" w14:textId="77777777" w:rsidR="00EB7E25" w:rsidRPr="00EB7E25" w:rsidRDefault="00EB7E25" w:rsidP="00EB7E25">
      <w:pPr>
        <w:jc w:val="both"/>
        <w:rPr>
          <w:color w:val="FF0000"/>
        </w:rPr>
      </w:pPr>
    </w:p>
    <w:p w14:paraId="59DBF5FB" w14:textId="77777777" w:rsidR="00EB7E25" w:rsidRPr="00EB7E25" w:rsidRDefault="00EB7E25" w:rsidP="00EB7E25">
      <w:pPr>
        <w:spacing w:after="120" w:line="240" w:lineRule="auto"/>
        <w:jc w:val="both"/>
        <w:rPr>
          <w:b/>
          <w:bCs/>
          <w:color w:val="2F5496" w:themeColor="accent1" w:themeShade="BF"/>
        </w:rPr>
      </w:pPr>
    </w:p>
    <w:p w14:paraId="66788176" w14:textId="77777777" w:rsidR="00EB7E25" w:rsidRPr="00EB7E25" w:rsidRDefault="00EB7E25" w:rsidP="00EB7E25">
      <w:pPr>
        <w:jc w:val="center"/>
      </w:pPr>
      <w:r w:rsidRPr="00EB7E25">
        <w:rPr>
          <w:noProof/>
          <w:lang w:eastAsia="pl-PL"/>
        </w:rPr>
        <w:lastRenderedPageBreak/>
        <mc:AlternateContent>
          <mc:Choice Requires="wps">
            <w:drawing>
              <wp:anchor distT="0" distB="0" distL="114300" distR="114300" simplePos="0" relativeHeight="251681792" behindDoc="0" locked="0" layoutInCell="1" allowOverlap="1" wp14:anchorId="2B0B05A6" wp14:editId="60E484B3">
                <wp:simplePos x="0" y="0"/>
                <wp:positionH relativeFrom="column">
                  <wp:posOffset>1978025</wp:posOffset>
                </wp:positionH>
                <wp:positionV relativeFrom="paragraph">
                  <wp:posOffset>135255</wp:posOffset>
                </wp:positionV>
                <wp:extent cx="15240" cy="3787140"/>
                <wp:effectExtent l="0" t="0" r="22860" b="22860"/>
                <wp:wrapNone/>
                <wp:docPr id="469" name="Łącznik prosty 469"/>
                <wp:cNvGraphicFramePr/>
                <a:graphic xmlns:a="http://schemas.openxmlformats.org/drawingml/2006/main">
                  <a:graphicData uri="http://schemas.microsoft.com/office/word/2010/wordprocessingShape">
                    <wps:wsp>
                      <wps:cNvCnPr/>
                      <wps:spPr>
                        <a:xfrm flipH="1" flipV="1">
                          <a:off x="0" y="0"/>
                          <a:ext cx="15240" cy="3787140"/>
                        </a:xfrm>
                        <a:prstGeom prst="line">
                          <a:avLst/>
                        </a:prstGeom>
                        <a:noFill/>
                        <a:ln w="15875" cap="flat" cmpd="sng" algn="ctr">
                          <a:solidFill>
                            <a:srgbClr val="FF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98C36D" id="Łącznik prosty 469" o:spid="_x0000_s1026" style="position:absolute;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75pt,10.65pt" to="156.95pt,3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" strokecolor="red" strokeweight="1.25pt">
                <v:stroke dashstyle="3 1" joinstyle="miter"/>
              </v:line>
            </w:pict>
          </mc:Fallback>
        </mc:AlternateContent>
      </w:r>
      <w:r w:rsidRPr="00EB7E25">
        <w:rPr>
          <w:noProof/>
          <w:lang w:eastAsia="pl-PL"/>
        </w:rPr>
        <mc:AlternateContent>
          <mc:Choice Requires="wps">
            <w:drawing>
              <wp:anchor distT="0" distB="0" distL="114300" distR="114300" simplePos="0" relativeHeight="251680768" behindDoc="0" locked="0" layoutInCell="1" allowOverlap="1" wp14:anchorId="39C3B2BD" wp14:editId="23ACC771">
                <wp:simplePos x="0" y="0"/>
                <wp:positionH relativeFrom="column">
                  <wp:posOffset>1812290</wp:posOffset>
                </wp:positionH>
                <wp:positionV relativeFrom="paragraph">
                  <wp:posOffset>182245</wp:posOffset>
                </wp:positionV>
                <wp:extent cx="0" cy="3779520"/>
                <wp:effectExtent l="0" t="0" r="38100" b="11430"/>
                <wp:wrapNone/>
                <wp:docPr id="470" name="Łącznik prosty 470"/>
                <wp:cNvGraphicFramePr/>
                <a:graphic xmlns:a="http://schemas.openxmlformats.org/drawingml/2006/main">
                  <a:graphicData uri="http://schemas.microsoft.com/office/word/2010/wordprocessingShape">
                    <wps:wsp>
                      <wps:cNvCnPr/>
                      <wps:spPr>
                        <a:xfrm flipH="1" flipV="1">
                          <a:off x="0" y="0"/>
                          <a:ext cx="0" cy="3779520"/>
                        </a:xfrm>
                        <a:prstGeom prst="line">
                          <a:avLst/>
                        </a:prstGeom>
                        <a:noFill/>
                        <a:ln w="158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55A3C9" id="Łącznik prosty 470" o:spid="_x0000_s1026"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7pt,14.35pt" to="142.7pt,3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" strokecolor="red" strokeweight="1.25pt">
                <v:stroke joinstyle="miter"/>
              </v:line>
            </w:pict>
          </mc:Fallback>
        </mc:AlternateContent>
      </w:r>
      <w:r w:rsidRPr="00EB7E25">
        <w:rPr>
          <w:noProof/>
          <w:lang w:eastAsia="pl-PL"/>
        </w:rPr>
        <mc:AlternateContent>
          <mc:Choice Requires="wps">
            <w:drawing>
              <wp:anchor distT="0" distB="0" distL="114300" distR="114300" simplePos="0" relativeHeight="251682816" behindDoc="0" locked="0" layoutInCell="1" allowOverlap="1" wp14:anchorId="366BF82B" wp14:editId="671C5359">
                <wp:simplePos x="0" y="0"/>
                <wp:positionH relativeFrom="column">
                  <wp:posOffset>1559859</wp:posOffset>
                </wp:positionH>
                <wp:positionV relativeFrom="paragraph">
                  <wp:posOffset>-53788</wp:posOffset>
                </wp:positionV>
                <wp:extent cx="358140" cy="234950"/>
                <wp:effectExtent l="0" t="0" r="0" b="0"/>
                <wp:wrapNone/>
                <wp:docPr id="468" name="Pole tekstowe 468"/>
                <wp:cNvGraphicFramePr/>
                <a:graphic xmlns:a="http://schemas.openxmlformats.org/drawingml/2006/main">
                  <a:graphicData uri="http://schemas.microsoft.com/office/word/2010/wordprocessingShape">
                    <wps:wsp>
                      <wps:cNvSpPr txBox="1"/>
                      <wps:spPr>
                        <a:xfrm>
                          <a:off x="0" y="0"/>
                          <a:ext cx="358140" cy="234950"/>
                        </a:xfrm>
                        <a:prstGeom prst="rect">
                          <a:avLst/>
                        </a:prstGeom>
                        <a:noFill/>
                        <a:ln w="6350">
                          <a:noFill/>
                        </a:ln>
                      </wps:spPr>
                      <wps:txbx>
                        <w:txbxContent>
                          <w:p w14:paraId="48EE65BC" w14:textId="77777777" w:rsidR="0072137C" w:rsidRPr="003310E1" w:rsidRDefault="0072137C" w:rsidP="00EB7E25">
                            <w:pPr>
                              <w:rPr>
                                <w:color w:val="FF0000"/>
                                <w:sz w:val="16"/>
                              </w:rPr>
                            </w:pPr>
                            <w:r w:rsidRPr="003310E1">
                              <w:rPr>
                                <w:color w:val="FF0000"/>
                                <w:sz w:val="16"/>
                              </w:rPr>
                              <w: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BF82B" id="Pole tekstowe 468" o:spid="_x0000_s1030" type="#_x0000_t202" style="position:absolute;left:0;text-align:left;margin-left:122.8pt;margin-top:-4.25pt;width:28.2pt;height:1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" filled="f" stroked="f" strokeweight=".5pt">
                <v:textbox>
                  <w:txbxContent>
                    <w:p w14:paraId="48EE65BC" w14:textId="77777777" w:rsidR="0072137C" w:rsidRPr="003310E1" w:rsidRDefault="0072137C" w:rsidP="00EB7E25">
                      <w:pPr>
                        <w:rPr>
                          <w:color w:val="FF0000"/>
                          <w:sz w:val="16"/>
                        </w:rPr>
                      </w:pPr>
                      <w:r w:rsidRPr="003310E1">
                        <w:rPr>
                          <w:color w:val="FF0000"/>
                          <w:sz w:val="16"/>
                        </w:rPr>
                        <w:t>Da</w:t>
                      </w:r>
                    </w:p>
                  </w:txbxContent>
                </v:textbox>
              </v:shape>
            </w:pict>
          </mc:Fallback>
        </mc:AlternateContent>
      </w:r>
      <w:r w:rsidRPr="00EB7E25">
        <w:rPr>
          <w:noProof/>
          <w:lang w:eastAsia="pl-PL"/>
        </w:rPr>
        <w:drawing>
          <wp:inline distT="0" distB="0" distL="0" distR="0" wp14:anchorId="44B67358" wp14:editId="14EC6CB8">
            <wp:extent cx="5107940" cy="4533900"/>
            <wp:effectExtent l="0" t="0" r="0" b="0"/>
            <wp:docPr id="471" name="Wykres 471">
              <a:extLst xmlns:a="http://schemas.openxmlformats.org/drawingml/2006/main">
                <a:ext uri="{FF2B5EF4-FFF2-40B4-BE49-F238E27FC236}">
                  <a16:creationId xmlns:a16="http://schemas.microsoft.com/office/drawing/2014/main" id="{18C0683D-8112-4BB8-A725-EAD3CB3FB0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380B7F8F" w14:textId="5BBDD720" w:rsidR="00EB7E25" w:rsidRPr="00EB7E25" w:rsidRDefault="00EB7E25" w:rsidP="00DD0E4C">
      <w:pPr>
        <w:spacing w:after="120" w:line="240" w:lineRule="auto"/>
        <w:jc w:val="center"/>
        <w:rPr>
          <w:sz w:val="20"/>
          <w:szCs w:val="20"/>
        </w:rPr>
      </w:pPr>
      <w:r w:rsidRPr="00EB7E25">
        <w:rPr>
          <w:sz w:val="20"/>
          <w:szCs w:val="20"/>
        </w:rPr>
        <w:t xml:space="preserve">Rys. 46. Stężenia średnie roczne </w:t>
      </w:r>
      <w:r w:rsidR="00C66496">
        <w:rPr>
          <w:sz w:val="20"/>
          <w:szCs w:val="20"/>
        </w:rPr>
        <w:t>B(a)P</w:t>
      </w:r>
      <w:r w:rsidRPr="00EB7E25">
        <w:rPr>
          <w:sz w:val="20"/>
          <w:szCs w:val="20"/>
        </w:rPr>
        <w:t xml:space="preserve"> w 2018, 2019 i 2020 r. w odniesieniu do poziomu docelowego określonego w rozporządzeniu Ministra Środowiska (Da=1 ng/m</w:t>
      </w:r>
      <w:r w:rsidRPr="00EB7E25">
        <w:rPr>
          <w:sz w:val="20"/>
          <w:szCs w:val="20"/>
          <w:vertAlign w:val="superscript"/>
        </w:rPr>
        <w:t>3</w:t>
      </w:r>
      <w:r w:rsidRPr="00EB7E25">
        <w:rPr>
          <w:sz w:val="20"/>
          <w:szCs w:val="20"/>
        </w:rPr>
        <w:t>) oraz do poziomu 1,5 ng/m</w:t>
      </w:r>
      <w:r w:rsidRPr="00EB7E25">
        <w:rPr>
          <w:sz w:val="20"/>
          <w:szCs w:val="20"/>
          <w:vertAlign w:val="superscript"/>
        </w:rPr>
        <w:t>3</w:t>
      </w:r>
    </w:p>
    <w:p w14:paraId="2C2955CF" w14:textId="77777777" w:rsidR="00EB7E25" w:rsidRPr="00EB7E25" w:rsidRDefault="00EB7E25" w:rsidP="00EB7E25">
      <w:pPr>
        <w:jc w:val="center"/>
      </w:pPr>
      <w:r w:rsidRPr="00EB7E25">
        <w:rPr>
          <w:noProof/>
          <w:lang w:eastAsia="pl-PL"/>
        </w:rPr>
        <w:drawing>
          <wp:inline distT="0" distB="0" distL="0" distR="0" wp14:anchorId="449A014F" wp14:editId="50A844A7">
            <wp:extent cx="5196840" cy="3175635"/>
            <wp:effectExtent l="0" t="0" r="3810" b="5715"/>
            <wp:docPr id="472" name="Wykres 472">
              <a:extLst xmlns:a="http://schemas.openxmlformats.org/drawingml/2006/main">
                <a:ext uri="{FF2B5EF4-FFF2-40B4-BE49-F238E27FC236}">
                  <a16:creationId xmlns:a16="http://schemas.microsoft.com/office/drawing/2014/main" id="{D0648058-2274-4372-88FE-07FAA8FD97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48CDBD44" w14:textId="2BFBB6CB" w:rsidR="00EB7E25" w:rsidRPr="00EB7E25" w:rsidRDefault="00EB7E25" w:rsidP="00DD0E4C">
      <w:pPr>
        <w:jc w:val="center"/>
        <w:rPr>
          <w:sz w:val="20"/>
          <w:szCs w:val="20"/>
        </w:rPr>
      </w:pPr>
      <w:r w:rsidRPr="00EB7E25">
        <w:rPr>
          <w:sz w:val="20"/>
          <w:szCs w:val="20"/>
        </w:rPr>
        <w:t>Rys. 47. Stężenia średnie roczne NO</w:t>
      </w:r>
      <w:r w:rsidRPr="00EB7E25">
        <w:rPr>
          <w:sz w:val="20"/>
          <w:szCs w:val="20"/>
          <w:vertAlign w:val="subscript"/>
        </w:rPr>
        <w:t>2</w:t>
      </w:r>
      <w:r w:rsidRPr="00EB7E25">
        <w:rPr>
          <w:sz w:val="20"/>
          <w:szCs w:val="20"/>
        </w:rPr>
        <w:t xml:space="preserve"> w 2018, 2019 i 2020 r. (poziom dopuszczalny określony w rozporządzeniu Ministra Środowiska: 40 </w:t>
      </w:r>
      <w:r w:rsidRPr="00EB7E25">
        <w:rPr>
          <w:rFonts w:cstheme="minorHAnsi"/>
          <w:sz w:val="20"/>
          <w:szCs w:val="20"/>
        </w:rPr>
        <w:t>µ</w:t>
      </w:r>
      <w:r w:rsidRPr="00EB7E25">
        <w:rPr>
          <w:sz w:val="20"/>
          <w:szCs w:val="20"/>
        </w:rPr>
        <w:t>g/m</w:t>
      </w:r>
      <w:r w:rsidRPr="00EB7E25">
        <w:rPr>
          <w:sz w:val="20"/>
          <w:szCs w:val="20"/>
          <w:vertAlign w:val="superscript"/>
        </w:rPr>
        <w:t>3</w:t>
      </w:r>
      <w:r w:rsidRPr="00EB7E25">
        <w:rPr>
          <w:sz w:val="20"/>
          <w:szCs w:val="20"/>
        </w:rPr>
        <w:t>)</w:t>
      </w:r>
    </w:p>
    <w:p w14:paraId="17E2B618" w14:textId="699D36A1" w:rsidR="00EB7E25" w:rsidRPr="00EB7E25" w:rsidRDefault="00EB7E25" w:rsidP="00EB7E25">
      <w:pPr>
        <w:spacing w:after="120" w:line="240" w:lineRule="auto"/>
        <w:jc w:val="both"/>
        <w:rPr>
          <w:rFonts w:cs="Arial"/>
        </w:rPr>
      </w:pPr>
      <w:r w:rsidRPr="00EB7E25">
        <w:rPr>
          <w:rFonts w:cs="Times New Roman"/>
          <w:b/>
          <w:bCs/>
          <w:color w:val="2F5496" w:themeColor="accent1" w:themeShade="BF"/>
        </w:rPr>
        <w:lastRenderedPageBreak/>
        <w:t>Pozytywnym przykładem skuteczności działań na rzecz czystego powietrza w uzdrowiskach jest Ciechocinek</w:t>
      </w:r>
      <w:r w:rsidRPr="00EB7E25">
        <w:rPr>
          <w:rFonts w:cs="Times New Roman"/>
        </w:rPr>
        <w:t xml:space="preserve">. </w:t>
      </w:r>
      <w:r w:rsidRPr="00EB7E25">
        <w:rPr>
          <w:rFonts w:cs="Times New Roman"/>
          <w:b/>
          <w:bCs/>
          <w:color w:val="2F5496" w:themeColor="accent1" w:themeShade="BF"/>
        </w:rPr>
        <w:t>Rada Miejska Ciechocinka w dniu 26 marca 2018 r. przyjęła Uchwałę Nr XLIV/272/18 w sprawie zasad udzielania dotacji celowej z budżetu Gminy Miejskiej Ciechocinek na dofinansowanie kosztów inwestycji, polegającej na likwidacji źródeł tzw. niskiej emisji na terenie Ciechocinka oraz kolejną w dniu 4 marca 2019 r.</w:t>
      </w:r>
      <w:r w:rsidRPr="00EB7E25">
        <w:rPr>
          <w:rFonts w:cs="Times New Roman"/>
          <w:color w:val="2F5496" w:themeColor="accent1" w:themeShade="BF"/>
        </w:rPr>
        <w:t xml:space="preserve"> </w:t>
      </w:r>
      <w:r w:rsidRPr="00EB7E25">
        <w:rPr>
          <w:rFonts w:cs="Times New Roman"/>
        </w:rPr>
        <w:t>(Uchwała Nr V/42/19). Mieszkańcy miasta mogą ubiegać się o dofinansowanie do wymiany źródeł ogrzewania w kwocie do 4000 złotych. W latach 2018-2020 z dofinansowania skorzystały łącznie 133 osoby</w:t>
      </w:r>
      <w:r w:rsidR="009D0A0C">
        <w:rPr>
          <w:rFonts w:cs="Times New Roman"/>
        </w:rPr>
        <w:t>.</w:t>
      </w:r>
      <w:r w:rsidR="009D0A0C">
        <w:rPr>
          <w:rFonts w:cs="Arial"/>
        </w:rPr>
        <w:t xml:space="preserve"> </w:t>
      </w:r>
      <w:r w:rsidRPr="00EB7E25">
        <w:rPr>
          <w:rFonts w:cs="Times New Roman"/>
        </w:rPr>
        <w:t>W 2021 r</w:t>
      </w:r>
      <w:r w:rsidR="00931503">
        <w:rPr>
          <w:rFonts w:cs="Times New Roman"/>
        </w:rPr>
        <w:t>.</w:t>
      </w:r>
      <w:r w:rsidRPr="00EB7E25">
        <w:rPr>
          <w:rFonts w:cs="Times New Roman"/>
        </w:rPr>
        <w:t xml:space="preserve"> na działania związane z likwidacją niskiej emisji w Ciechocinku zarezerwowano w budżecie miasta kwotę w wysokości 96 tys. zł.</w:t>
      </w:r>
      <w:r w:rsidRPr="00EB7E25">
        <w:rPr>
          <w:rFonts w:cs="Arial"/>
        </w:rPr>
        <w:t xml:space="preserve"> </w:t>
      </w:r>
      <w:r w:rsidRPr="00EB7E25">
        <w:rPr>
          <w:rFonts w:cs="Times New Roman"/>
        </w:rPr>
        <w:t>Istotnym elementem w walce z niską emisją była gazyfikacja miasta przeprowadzona w latach 1998-2001, dzięki której obecnie miasto jest w 90% zgazyfikowane.</w:t>
      </w:r>
    </w:p>
    <w:p w14:paraId="4670344B" w14:textId="6A36653B" w:rsidR="00EB7E25" w:rsidRPr="00EB7E25" w:rsidRDefault="00EB7E25" w:rsidP="00EB7E25">
      <w:pPr>
        <w:spacing w:after="120" w:line="240" w:lineRule="auto"/>
        <w:jc w:val="both"/>
        <w:rPr>
          <w:rFonts w:eastAsia="Times New Roman" w:cs="Times New Roman"/>
          <w:lang w:eastAsia="pl-PL"/>
        </w:rPr>
      </w:pPr>
      <w:r w:rsidRPr="00EB7E25">
        <w:rPr>
          <w:b/>
          <w:bCs/>
          <w:color w:val="2F5496" w:themeColor="accent1" w:themeShade="BF"/>
        </w:rPr>
        <w:t>W czerwcu 2019 r</w:t>
      </w:r>
      <w:r w:rsidR="00931503" w:rsidRPr="00931503">
        <w:rPr>
          <w:b/>
          <w:bCs/>
          <w:color w:val="2F5496" w:themeColor="accent1" w:themeShade="BF"/>
        </w:rPr>
        <w:t>.</w:t>
      </w:r>
      <w:r w:rsidRPr="00EB7E25">
        <w:rPr>
          <w:b/>
          <w:bCs/>
          <w:color w:val="2F5496" w:themeColor="accent1" w:themeShade="BF"/>
        </w:rPr>
        <w:t xml:space="preserve"> Sejmik Województwa Kujawsko – Pomorskiego przyjął Uchwałę Nr VIII/136/19 w sprawie wprowadzenia na obszarze województwa kujawsko – pomorskiego ograniczeń i zakazów w zakresie eksploatacji instalacji, w których następuje spalanie paliw. Zgodnie z tą tzw. uchwałą antysmogową, m.in. na terenie Ciechocinka</w:t>
      </w:r>
      <w:r w:rsidRPr="00EB7E25">
        <w:rPr>
          <w:rFonts w:cs="Times New Roman"/>
          <w:b/>
          <w:bCs/>
          <w:color w:val="2F5496" w:themeColor="accent1" w:themeShade="BF"/>
        </w:rPr>
        <w:t xml:space="preserve"> obowiązuje od 1 września 2019 roku</w:t>
      </w:r>
      <w:r w:rsidRPr="00EB7E25">
        <w:rPr>
          <w:rFonts w:eastAsia="Times New Roman" w:cs="Times New Roman"/>
          <w:b/>
          <w:bCs/>
          <w:color w:val="2F5496" w:themeColor="accent1" w:themeShade="BF"/>
          <w:lang w:eastAsia="pl-PL"/>
        </w:rPr>
        <w:t xml:space="preserve"> zakaz palenia węglem brunatnym oraz mułami i flotokoncentratami węglowymi (także ich pochodnymi), miałem węglowym najgorszej jakości i mokrą biomasą (np. niesezonowanym drewnem) oraz obowiązek posiadania świadectwa jakości używanego paliwa stałego</w:t>
      </w:r>
      <w:r w:rsidRPr="00EB7E25">
        <w:rPr>
          <w:rFonts w:eastAsia="Times New Roman" w:cs="Times New Roman"/>
          <w:lang w:eastAsia="pl-PL"/>
        </w:rPr>
        <w:t>. W następnych latach wejdą w życie kolejne zakazy: od 1 stycznia 2024 r. zakaz eksploatacji tzw. pozaklasowych kotłów grzewczych oraz zakaz używania ogrzewaczy pomieszczeń (np. kominków), niemieszczących się w standardach emisji i efektywności energetycznej, a od 1 stycznia 2028 r. zakaz eksploatacji kotłów grzewczych poniżej 5. klasy.</w:t>
      </w:r>
      <w:r w:rsidR="00656E0F">
        <w:rPr>
          <w:rFonts w:eastAsia="Times New Roman" w:cs="Times New Roman"/>
          <w:lang w:eastAsia="pl-PL"/>
        </w:rPr>
        <w:t xml:space="preserve"> </w:t>
      </w:r>
      <w:r w:rsidRPr="00EB7E25">
        <w:rPr>
          <w:rFonts w:eastAsia="Times New Roman" w:cs="Times New Roman"/>
          <w:lang w:eastAsia="pl-PL"/>
        </w:rPr>
        <w:t xml:space="preserve">Rezultaty podejmowanych działań widoczne są w odnotowywanych spadkach stężeń pyłu zawieszonego PM10 (Rys. 48 i 49). </w:t>
      </w:r>
    </w:p>
    <w:p w14:paraId="5992FC48" w14:textId="77777777" w:rsidR="00EB7E25" w:rsidRPr="00EB7E25" w:rsidRDefault="00EB7E25" w:rsidP="00931503">
      <w:pPr>
        <w:spacing w:after="0" w:line="240" w:lineRule="auto"/>
        <w:jc w:val="center"/>
        <w:rPr>
          <w:rFonts w:eastAsia="Times New Roman" w:cs="Times New Roman"/>
          <w:lang w:eastAsia="pl-PL"/>
        </w:rPr>
      </w:pPr>
      <w:r w:rsidRPr="00EB7E25">
        <w:rPr>
          <w:noProof/>
          <w:lang w:eastAsia="pl-PL"/>
        </w:rPr>
        <w:drawing>
          <wp:inline distT="0" distB="0" distL="0" distR="0" wp14:anchorId="6E00805C" wp14:editId="2E50C024">
            <wp:extent cx="5347335" cy="1767840"/>
            <wp:effectExtent l="0" t="0" r="5715" b="3810"/>
            <wp:docPr id="1053" name="Wykres 1053">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76E54A97" w14:textId="77777777" w:rsidR="00EB7E25" w:rsidRPr="00EB7E25" w:rsidRDefault="00EB7E25" w:rsidP="00DD0E4C">
      <w:pPr>
        <w:spacing w:after="120" w:line="240" w:lineRule="auto"/>
        <w:jc w:val="center"/>
        <w:rPr>
          <w:rFonts w:cs="Times New Roman"/>
          <w:sz w:val="20"/>
          <w:szCs w:val="20"/>
        </w:rPr>
      </w:pPr>
      <w:r w:rsidRPr="00EB7E25">
        <w:rPr>
          <w:rFonts w:cs="Times New Roman"/>
          <w:sz w:val="20"/>
          <w:szCs w:val="20"/>
        </w:rPr>
        <w:t>Rys. 48.</w:t>
      </w:r>
      <w:r w:rsidRPr="00EB7E25">
        <w:rPr>
          <w:rFonts w:cs="Times New Roman"/>
          <w:sz w:val="20"/>
          <w:szCs w:val="20"/>
        </w:rPr>
        <w:tab/>
        <w:t xml:space="preserve">Zmiany średniego stężenia rocznego pyłu zawieszonego PM10 dla stacji pomiarowej w Ciechocinku, </w:t>
      </w:r>
      <w:r w:rsidRPr="00EB7E25">
        <w:rPr>
          <w:rFonts w:cs="Times New Roman"/>
          <w:sz w:val="20"/>
          <w:szCs w:val="20"/>
        </w:rPr>
        <w:br/>
        <w:t xml:space="preserve">w latach 2014-2020 (kolorem czerwonym zaznaczono średnioroczny </w:t>
      </w:r>
      <w:r w:rsidRPr="00EB7E25">
        <w:rPr>
          <w:rFonts w:cs="Times New Roman"/>
          <w:sz w:val="20"/>
          <w:szCs w:val="20"/>
          <w:shd w:val="clear" w:color="auto" w:fill="FFFFFF"/>
        </w:rPr>
        <w:t xml:space="preserve">poziom dopuszczalny wynoszący </w:t>
      </w:r>
      <w:r w:rsidRPr="00EB7E25">
        <w:rPr>
          <w:rFonts w:cs="Times New Roman"/>
          <w:sz w:val="20"/>
          <w:szCs w:val="20"/>
        </w:rPr>
        <w:t>40 µg/m</w:t>
      </w:r>
      <w:r w:rsidRPr="00EB7E25">
        <w:rPr>
          <w:rFonts w:cs="Times New Roman"/>
          <w:sz w:val="20"/>
          <w:szCs w:val="20"/>
          <w:vertAlign w:val="superscript"/>
        </w:rPr>
        <w:t>3</w:t>
      </w:r>
      <w:r w:rsidRPr="00EB7E25">
        <w:rPr>
          <w:rFonts w:cs="Times New Roman"/>
          <w:sz w:val="20"/>
          <w:szCs w:val="20"/>
        </w:rPr>
        <w:t>)</w:t>
      </w:r>
    </w:p>
    <w:p w14:paraId="556B8D66" w14:textId="77777777" w:rsidR="00EB7E25" w:rsidRPr="00EB7E25" w:rsidRDefault="00EB7E25" w:rsidP="00EB7E25">
      <w:pPr>
        <w:spacing w:after="0" w:line="240" w:lineRule="auto"/>
        <w:rPr>
          <w:rFonts w:eastAsia="Times New Roman" w:cs="Times New Roman"/>
          <w:lang w:eastAsia="pl-PL"/>
        </w:rPr>
      </w:pPr>
      <w:r w:rsidRPr="00EB7E25">
        <w:rPr>
          <w:noProof/>
          <w:lang w:eastAsia="pl-PL"/>
        </w:rPr>
        <w:drawing>
          <wp:inline distT="0" distB="0" distL="0" distR="0" wp14:anchorId="28CB85C5" wp14:editId="099F5EF0">
            <wp:extent cx="5745480" cy="1790700"/>
            <wp:effectExtent l="0" t="0" r="7620" b="0"/>
            <wp:docPr id="1054" name="Wykres 105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4C297B6F" w14:textId="5D53E72C" w:rsidR="00EB7E25" w:rsidRPr="00EB7E25" w:rsidRDefault="00EB7E25" w:rsidP="00EB7E25">
      <w:pPr>
        <w:spacing w:after="120" w:line="240" w:lineRule="auto"/>
        <w:jc w:val="both"/>
        <w:rPr>
          <w:rFonts w:cs="Times New Roman"/>
          <w:sz w:val="20"/>
          <w:szCs w:val="20"/>
          <w:shd w:val="clear" w:color="auto" w:fill="FFFFFF"/>
        </w:rPr>
      </w:pPr>
      <w:r w:rsidRPr="00EB7E25">
        <w:rPr>
          <w:rFonts w:cs="Times New Roman"/>
          <w:sz w:val="20"/>
          <w:szCs w:val="20"/>
        </w:rPr>
        <w:t>Rys. 49.</w:t>
      </w:r>
      <w:r w:rsidRPr="00EB7E25">
        <w:rPr>
          <w:rFonts w:cs="Times New Roman"/>
          <w:sz w:val="20"/>
          <w:szCs w:val="20"/>
        </w:rPr>
        <w:tab/>
        <w:t xml:space="preserve">Średnia liczba dni z przekroczeniem normy dobowej pyłu zawieszonego PM10 dla stacji pomiarowej w Ciechocinku, w latach 2014-2020 (kolorem czerwonym zaznaczono </w:t>
      </w:r>
      <w:r w:rsidRPr="00EB7E25">
        <w:rPr>
          <w:rFonts w:cs="Times New Roman"/>
          <w:sz w:val="20"/>
          <w:szCs w:val="20"/>
          <w:shd w:val="clear" w:color="auto" w:fill="FFFFFF"/>
        </w:rPr>
        <w:t>dopuszczalną liczbę przekroczeń dobowego poziomu dopuszczalnego (</w:t>
      </w:r>
      <w:r w:rsidRPr="00EB7E25">
        <w:rPr>
          <w:rFonts w:cs="Times New Roman"/>
          <w:sz w:val="20"/>
          <w:szCs w:val="20"/>
        </w:rPr>
        <w:t>50 µg/m</w:t>
      </w:r>
      <w:r w:rsidRPr="00EB7E25">
        <w:rPr>
          <w:rFonts w:cs="Times New Roman"/>
          <w:sz w:val="20"/>
          <w:szCs w:val="20"/>
          <w:vertAlign w:val="superscript"/>
        </w:rPr>
        <w:t>3</w:t>
      </w:r>
      <w:r w:rsidRPr="00EB7E25">
        <w:rPr>
          <w:rFonts w:cs="Times New Roman"/>
          <w:sz w:val="20"/>
          <w:szCs w:val="20"/>
        </w:rPr>
        <w:t xml:space="preserve">) </w:t>
      </w:r>
      <w:r w:rsidRPr="00EB7E25">
        <w:rPr>
          <w:rFonts w:cs="Times New Roman"/>
          <w:sz w:val="20"/>
          <w:szCs w:val="20"/>
          <w:shd w:val="clear" w:color="auto" w:fill="FFFFFF"/>
        </w:rPr>
        <w:t>wynoszącą 35 dni w roku)</w:t>
      </w:r>
      <w:r w:rsidR="00656E0F">
        <w:rPr>
          <w:rFonts w:cs="Times New Roman"/>
          <w:sz w:val="20"/>
          <w:szCs w:val="20"/>
          <w:shd w:val="clear" w:color="auto" w:fill="FFFFFF"/>
        </w:rPr>
        <w:t>.</w:t>
      </w:r>
    </w:p>
    <w:p w14:paraId="6E7128C3" w14:textId="58FAC7A0" w:rsidR="00EB7E25" w:rsidRPr="00710110" w:rsidRDefault="00B56EF8" w:rsidP="00710110">
      <w:pPr>
        <w:pStyle w:val="Nagwek2"/>
        <w:numPr>
          <w:ilvl w:val="0"/>
          <w:numId w:val="0"/>
        </w:numPr>
        <w:rPr>
          <w:b/>
          <w:sz w:val="22"/>
          <w:szCs w:val="22"/>
        </w:rPr>
      </w:pPr>
      <w:bookmarkStart w:id="45" w:name="_Toc68684617"/>
      <w:bookmarkStart w:id="46" w:name="_Toc78205887"/>
      <w:r w:rsidRPr="00710110">
        <w:rPr>
          <w:b/>
          <w:sz w:val="22"/>
          <w:szCs w:val="22"/>
        </w:rPr>
        <w:lastRenderedPageBreak/>
        <w:t xml:space="preserve">6.8. </w:t>
      </w:r>
      <w:r w:rsidR="00EB7E25" w:rsidRPr="00710110">
        <w:rPr>
          <w:b/>
          <w:sz w:val="22"/>
          <w:szCs w:val="22"/>
        </w:rPr>
        <w:t>Podsumowanie</w:t>
      </w:r>
      <w:bookmarkEnd w:id="45"/>
      <w:bookmarkEnd w:id="46"/>
    </w:p>
    <w:p w14:paraId="7910FEA7" w14:textId="02897DB5" w:rsidR="007514AA" w:rsidRDefault="00EB7E25" w:rsidP="00EB7E25">
      <w:pPr>
        <w:spacing w:after="120" w:line="240" w:lineRule="auto"/>
        <w:jc w:val="both"/>
      </w:pPr>
      <w:r w:rsidRPr="00EB7E25">
        <w:rPr>
          <w:lang w:eastAsia="pl-PL"/>
        </w:rPr>
        <w:t xml:space="preserve">Jakość powietrza w Polsce ulega stopniowej poprawie, co potwierdzają wyniki pomiarów prowadzonych w ramach </w:t>
      </w:r>
      <w:r w:rsidR="00931503">
        <w:rPr>
          <w:lang w:eastAsia="pl-PL"/>
        </w:rPr>
        <w:t>PMŚ</w:t>
      </w:r>
      <w:r w:rsidRPr="00EB7E25">
        <w:rPr>
          <w:lang w:eastAsia="pl-PL"/>
        </w:rPr>
        <w:t xml:space="preserve"> oraz roczne oceny jakości powietrza. </w:t>
      </w:r>
      <w:r w:rsidRPr="00EB7E25">
        <w:rPr>
          <w:b/>
          <w:bCs/>
          <w:color w:val="2F5496" w:themeColor="accent1" w:themeShade="BF"/>
          <w:lang w:eastAsia="pl-PL"/>
        </w:rPr>
        <w:t>Stężenia zanieczyszczeń powietrza, zwłaszcza pyłu zawieszonego</w:t>
      </w:r>
      <w:r w:rsidR="001A02E3">
        <w:rPr>
          <w:b/>
          <w:bCs/>
          <w:color w:val="2F5496" w:themeColor="accent1" w:themeShade="BF"/>
          <w:lang w:eastAsia="pl-PL"/>
        </w:rPr>
        <w:t xml:space="preserve"> we frakcjach</w:t>
      </w:r>
      <w:r w:rsidRPr="00EB7E25">
        <w:rPr>
          <w:b/>
          <w:bCs/>
          <w:color w:val="2F5496" w:themeColor="accent1" w:themeShade="BF"/>
          <w:lang w:eastAsia="pl-PL"/>
        </w:rPr>
        <w:t xml:space="preserve"> PM10 i PM2,5, w ostatnich latach systematycznie się zmniejszały</w:t>
      </w:r>
      <w:r w:rsidRPr="00EB7E25">
        <w:rPr>
          <w:lang w:eastAsia="pl-PL"/>
        </w:rPr>
        <w:t>.</w:t>
      </w:r>
      <w:r w:rsidRPr="00EB7E25">
        <w:t xml:space="preserve"> </w:t>
      </w:r>
    </w:p>
    <w:p w14:paraId="0635C012" w14:textId="4124B792" w:rsidR="00EB7E25" w:rsidRPr="00EB7E25" w:rsidRDefault="00EB7E25" w:rsidP="00EB7E25">
      <w:pPr>
        <w:spacing w:after="120" w:line="240" w:lineRule="auto"/>
        <w:jc w:val="both"/>
        <w:rPr>
          <w:lang w:eastAsia="pl-PL"/>
        </w:rPr>
      </w:pPr>
      <w:r w:rsidRPr="00EB7E25">
        <w:rPr>
          <w:b/>
          <w:bCs/>
          <w:color w:val="2F5496" w:themeColor="accent1" w:themeShade="BF"/>
        </w:rPr>
        <w:t xml:space="preserve">Informacje o jakości powietrza wytwarzane w ramach </w:t>
      </w:r>
      <w:r w:rsidR="007514AA" w:rsidRPr="007514AA">
        <w:rPr>
          <w:b/>
          <w:bCs/>
          <w:color w:val="2F5496" w:themeColor="accent1" w:themeShade="BF"/>
        </w:rPr>
        <w:t>PMŚ</w:t>
      </w:r>
      <w:r w:rsidRPr="00EB7E25">
        <w:rPr>
          <w:b/>
          <w:bCs/>
          <w:color w:val="2F5496" w:themeColor="accent1" w:themeShade="BF"/>
        </w:rPr>
        <w:t xml:space="preserve"> stanowią podstawę do zarządzania jakością powietrza w kraju poprzez systematyczne kontrolowanie skuteczności instrumentów zarządzania ochroną powietrza, w tym przepisów prawa krajowego i lokalnego oraz </w:t>
      </w:r>
      <w:r w:rsidR="00D90941">
        <w:rPr>
          <w:b/>
          <w:bCs/>
          <w:color w:val="2F5496" w:themeColor="accent1" w:themeShade="BF"/>
        </w:rPr>
        <w:t>POP</w:t>
      </w:r>
      <w:r w:rsidRPr="00EB7E25">
        <w:rPr>
          <w:b/>
          <w:bCs/>
          <w:color w:val="2F5496" w:themeColor="accent1" w:themeShade="BF"/>
        </w:rPr>
        <w:t>. Prowadzony monitoring jakości powietrza pozwala więc na analizę efektów działań naprawczych</w:t>
      </w:r>
      <w:r w:rsidR="007514AA" w:rsidRPr="007514AA">
        <w:rPr>
          <w:b/>
          <w:bCs/>
          <w:color w:val="2F5496" w:themeColor="accent1" w:themeShade="BF"/>
        </w:rPr>
        <w:t xml:space="preserve"> </w:t>
      </w:r>
      <w:r w:rsidR="007514AA" w:rsidRPr="00EB7E25">
        <w:rPr>
          <w:b/>
          <w:bCs/>
          <w:color w:val="2F5496" w:themeColor="accent1" w:themeShade="BF"/>
        </w:rPr>
        <w:t>prowadzonych</w:t>
      </w:r>
      <w:r w:rsidR="007514AA">
        <w:rPr>
          <w:b/>
          <w:bCs/>
          <w:color w:val="2F5496" w:themeColor="accent1" w:themeShade="BF"/>
        </w:rPr>
        <w:t xml:space="preserve"> na wszystkich szczeblach zarządzania jakością powietrza w Polsce</w:t>
      </w:r>
      <w:r w:rsidRPr="00EB7E25">
        <w:t>.</w:t>
      </w:r>
      <w:r w:rsidRPr="00EB7E25">
        <w:rPr>
          <w:lang w:eastAsia="pl-PL"/>
        </w:rPr>
        <w:t xml:space="preserve"> </w:t>
      </w:r>
    </w:p>
    <w:p w14:paraId="5716367F" w14:textId="77777777" w:rsidR="00EB7E25" w:rsidRPr="00EB7E25" w:rsidRDefault="00EB7E25" w:rsidP="00EB7E25">
      <w:pPr>
        <w:spacing w:after="120" w:line="240" w:lineRule="auto"/>
        <w:jc w:val="both"/>
        <w:rPr>
          <w:lang w:eastAsia="pl-PL"/>
        </w:rPr>
      </w:pPr>
      <w:r w:rsidRPr="00EB7E25">
        <w:rPr>
          <w:lang w:eastAsia="pl-PL"/>
        </w:rPr>
        <w:t xml:space="preserve">Duże znaczenie dla redukcji stężeń zanieczyszczeń miały działania naprawcze podejmowane zarówno na poziomie krajowym, regionalnym, jak i lokalnym – tak w dużych miastach, jak i w mniejszych miejscowościach. Obok nakładów finansowych, mających głównie na celu modernizację systemu ogrzewania zbiorowego, jak i indywidualnego, ważnym elementem podejmowanych działań była edukacja społeczeństwa. Jej istotność widać zwłaszcza na przykładzie małych miejscowości, ze względu na znacznie większy udział indywidualnego ogrzewania budynków aniżeli na obszarach zurbanizowanych, z rozwiniętą siecią ciepłowniczą. </w:t>
      </w:r>
    </w:p>
    <w:p w14:paraId="0A359CAD" w14:textId="1E5DCC8E" w:rsidR="00EB7E25" w:rsidRPr="00EB7E25" w:rsidRDefault="00EB7E25" w:rsidP="00EB7E25">
      <w:pPr>
        <w:spacing w:after="120" w:line="240" w:lineRule="auto"/>
        <w:jc w:val="both"/>
        <w:rPr>
          <w:lang w:eastAsia="pl-PL"/>
        </w:rPr>
      </w:pPr>
      <w:r w:rsidRPr="00EB7E25">
        <w:rPr>
          <w:b/>
          <w:bCs/>
          <w:color w:val="2F5496" w:themeColor="accent1" w:themeShade="BF"/>
          <w:lang w:eastAsia="pl-PL"/>
        </w:rPr>
        <w:t xml:space="preserve">W latach 2018-2020 liczba stref zaklasyfikowanych jako C (objętych </w:t>
      </w:r>
      <w:r w:rsidR="00D90941">
        <w:rPr>
          <w:b/>
          <w:bCs/>
          <w:color w:val="2F5496" w:themeColor="accent1" w:themeShade="BF"/>
          <w:lang w:eastAsia="pl-PL"/>
        </w:rPr>
        <w:t>POP</w:t>
      </w:r>
      <w:r w:rsidRPr="00EB7E25">
        <w:rPr>
          <w:b/>
          <w:bCs/>
          <w:color w:val="2F5496" w:themeColor="accent1" w:themeShade="BF"/>
          <w:lang w:eastAsia="pl-PL"/>
        </w:rPr>
        <w:t xml:space="preserve">) ze względu na przekroczenia 24-godzinnego poziomu dopuszczalnego </w:t>
      </w:r>
      <w:r w:rsidR="001A02E3">
        <w:rPr>
          <w:b/>
          <w:bCs/>
          <w:color w:val="2F5496" w:themeColor="accent1" w:themeShade="BF"/>
          <w:lang w:eastAsia="pl-PL"/>
        </w:rPr>
        <w:t xml:space="preserve">frakcji </w:t>
      </w:r>
      <w:r w:rsidRPr="00EB7E25">
        <w:rPr>
          <w:b/>
          <w:bCs/>
          <w:color w:val="2F5496" w:themeColor="accent1" w:themeShade="BF"/>
          <w:lang w:eastAsia="pl-PL"/>
        </w:rPr>
        <w:t>PM10 znacznie zmalała (z 39 do 16), a liczba stref C ze względu na przekroczenia średniorocznego poziomu dopuszczalnego PM10 zmalała z 9 do 1</w:t>
      </w:r>
      <w:r w:rsidRPr="00EB7E25">
        <w:rPr>
          <w:lang w:eastAsia="pl-PL"/>
        </w:rPr>
        <w:t xml:space="preserve">. </w:t>
      </w:r>
      <w:r w:rsidRPr="00EB7E25">
        <w:rPr>
          <w:b/>
          <w:bCs/>
          <w:color w:val="2F5496" w:themeColor="accent1" w:themeShade="BF"/>
          <w:lang w:eastAsia="pl-PL"/>
        </w:rPr>
        <w:t>Podobnie rzecz ma się z</w:t>
      </w:r>
      <w:r w:rsidR="001A02E3">
        <w:rPr>
          <w:b/>
          <w:bCs/>
          <w:color w:val="2F5496" w:themeColor="accent1" w:themeShade="BF"/>
          <w:lang w:eastAsia="pl-PL"/>
        </w:rPr>
        <w:t xml:space="preserve"> frakcją PM2,5</w:t>
      </w:r>
      <w:r w:rsidRPr="00EB7E25">
        <w:rPr>
          <w:b/>
          <w:bCs/>
          <w:color w:val="2F5496" w:themeColor="accent1" w:themeShade="BF"/>
          <w:lang w:eastAsia="pl-PL"/>
        </w:rPr>
        <w:t xml:space="preserve"> pył</w:t>
      </w:r>
      <w:r w:rsidR="001A02E3">
        <w:rPr>
          <w:b/>
          <w:bCs/>
          <w:color w:val="2F5496" w:themeColor="accent1" w:themeShade="BF"/>
          <w:lang w:eastAsia="pl-PL"/>
        </w:rPr>
        <w:t>u</w:t>
      </w:r>
      <w:r w:rsidRPr="00EB7E25">
        <w:rPr>
          <w:b/>
          <w:bCs/>
          <w:color w:val="2F5496" w:themeColor="accent1" w:themeShade="BF"/>
          <w:lang w:eastAsia="pl-PL"/>
        </w:rPr>
        <w:t xml:space="preserve"> zawieszon</w:t>
      </w:r>
      <w:r w:rsidR="001A02E3">
        <w:rPr>
          <w:b/>
          <w:bCs/>
          <w:color w:val="2F5496" w:themeColor="accent1" w:themeShade="BF"/>
          <w:lang w:eastAsia="pl-PL"/>
        </w:rPr>
        <w:t>ego</w:t>
      </w:r>
      <w:r w:rsidRPr="00EB7E25">
        <w:rPr>
          <w:b/>
          <w:bCs/>
          <w:color w:val="2F5496" w:themeColor="accent1" w:themeShade="BF"/>
          <w:lang w:eastAsia="pl-PL"/>
        </w:rPr>
        <w:t xml:space="preserve">, gdzie liczba stref C zmalała z 14 do 2 stref. </w:t>
      </w:r>
      <w:r w:rsidRPr="00EB7E25">
        <w:rPr>
          <w:lang w:eastAsia="pl-PL"/>
        </w:rPr>
        <w:t>Dla</w:t>
      </w:r>
      <w:r w:rsidR="001A02E3">
        <w:rPr>
          <w:lang w:eastAsia="pl-PL"/>
        </w:rPr>
        <w:t xml:space="preserve"> frakcji</w:t>
      </w:r>
      <w:r w:rsidRPr="00EB7E25">
        <w:rPr>
          <w:lang w:eastAsia="pl-PL"/>
        </w:rPr>
        <w:t xml:space="preserve"> pyłu PM2,5 </w:t>
      </w:r>
      <w:r w:rsidR="001A0573">
        <w:rPr>
          <w:lang w:eastAsia="pl-PL"/>
        </w:rPr>
        <w:t>od</w:t>
      </w:r>
      <w:r w:rsidR="001A0573" w:rsidRPr="00EB7E25">
        <w:rPr>
          <w:lang w:eastAsia="pl-PL"/>
        </w:rPr>
        <w:t xml:space="preserve"> </w:t>
      </w:r>
      <w:r w:rsidRPr="00EB7E25">
        <w:rPr>
          <w:lang w:eastAsia="pl-PL"/>
        </w:rPr>
        <w:t xml:space="preserve">2020 r. obowiązuje jednak ostrzejsza norma, co na powrót doprowadziło do sklasyfikowania 14 stref jako </w:t>
      </w:r>
      <w:r w:rsidR="00D90941">
        <w:rPr>
          <w:lang w:eastAsia="pl-PL"/>
        </w:rPr>
        <w:t xml:space="preserve">strefy </w:t>
      </w:r>
      <w:r w:rsidRPr="00EB7E25">
        <w:rPr>
          <w:lang w:eastAsia="pl-PL"/>
        </w:rPr>
        <w:t>C.</w:t>
      </w:r>
    </w:p>
    <w:p w14:paraId="45C859F6" w14:textId="77777777" w:rsidR="00EB7E25" w:rsidRPr="00EB7E25" w:rsidRDefault="00EB7E25" w:rsidP="00EB7E25">
      <w:pPr>
        <w:spacing w:after="120" w:line="240" w:lineRule="auto"/>
        <w:jc w:val="both"/>
        <w:rPr>
          <w:lang w:eastAsia="pl-PL"/>
        </w:rPr>
      </w:pPr>
      <w:r w:rsidRPr="00EB7E25">
        <w:rPr>
          <w:lang w:eastAsia="pl-PL"/>
        </w:rPr>
        <w:t>Do poprawy jakości powietrza przyczyniły się również warunki meteorologiczne. Lata 2019-2020 charakteryzowały się bowiem wyższymi od średnich wieloletnich temperaturami w miesiącach jesienno-zimowych.</w:t>
      </w:r>
    </w:p>
    <w:p w14:paraId="3230064A" w14:textId="651D073E" w:rsidR="00EB7E25" w:rsidRPr="00EB7E25" w:rsidRDefault="00EB7E25" w:rsidP="00EB7E25">
      <w:pPr>
        <w:spacing w:after="120" w:line="240" w:lineRule="auto"/>
        <w:jc w:val="both"/>
        <w:rPr>
          <w:lang w:eastAsia="pl-PL"/>
        </w:rPr>
      </w:pPr>
      <w:r w:rsidRPr="00EB7E25">
        <w:rPr>
          <w:b/>
          <w:bCs/>
          <w:color w:val="2F5496" w:themeColor="accent1" w:themeShade="BF"/>
          <w:lang w:eastAsia="pl-PL"/>
        </w:rPr>
        <w:t xml:space="preserve">Na szczególną uwagę zasługuje zawartość </w:t>
      </w:r>
      <w:r w:rsidR="007514AA" w:rsidRPr="007514AA">
        <w:rPr>
          <w:b/>
          <w:bCs/>
          <w:color w:val="2F5496" w:themeColor="accent1" w:themeShade="BF"/>
          <w:lang w:eastAsia="pl-PL"/>
        </w:rPr>
        <w:t>B(a)P</w:t>
      </w:r>
      <w:r w:rsidRPr="00EB7E25">
        <w:rPr>
          <w:b/>
          <w:bCs/>
          <w:color w:val="2F5496" w:themeColor="accent1" w:themeShade="BF"/>
          <w:lang w:eastAsia="pl-PL"/>
        </w:rPr>
        <w:t xml:space="preserve"> w pyle zawieszonym PM10. Chociaż średnie roczne stężenia </w:t>
      </w:r>
      <w:r w:rsidR="007514AA" w:rsidRPr="007514AA">
        <w:rPr>
          <w:b/>
          <w:bCs/>
          <w:color w:val="2F5496" w:themeColor="accent1" w:themeShade="BF"/>
          <w:lang w:eastAsia="pl-PL"/>
        </w:rPr>
        <w:t>B(a)P</w:t>
      </w:r>
      <w:r w:rsidRPr="00EB7E25">
        <w:rPr>
          <w:b/>
          <w:bCs/>
          <w:color w:val="2F5496" w:themeColor="accent1" w:themeShade="BF"/>
          <w:lang w:eastAsia="pl-PL"/>
        </w:rPr>
        <w:t>, wraz z pozostałymi zanieczyszczeniami, zmniejszyły się w ostatnich latach, to postęp w redukcji stężeń tego zanieczyszczenia nie ma tak dużego tempa, jak w przypadku pyłu zawieszonego</w:t>
      </w:r>
      <w:r w:rsidRPr="00EB7E25">
        <w:rPr>
          <w:lang w:eastAsia="pl-PL"/>
        </w:rPr>
        <w:t xml:space="preserve">. Przekroczenia poziomu docelowego </w:t>
      </w:r>
      <w:r w:rsidR="007514AA">
        <w:rPr>
          <w:lang w:eastAsia="pl-PL"/>
        </w:rPr>
        <w:t>B(a)P</w:t>
      </w:r>
      <w:r w:rsidRPr="00EB7E25">
        <w:rPr>
          <w:lang w:eastAsia="pl-PL"/>
        </w:rPr>
        <w:t xml:space="preserve"> nadal obejmują znaczne obszary Polski i stanowią istotny problem i zagrożenie dla zdrowia ludzi. Mając powyższe na uwadze, działania związane z redukcją emisji z sektora komunalno-bytowego muszą być kontynuowane, a ich intensywność zwiększona, zwłaszcza na obszarach miast i miasteczek Polski południowej, gdzie stężenia tego zanieczyszczenia w powietrzu są najwyższe. </w:t>
      </w:r>
    </w:p>
    <w:p w14:paraId="776E0924" w14:textId="5EBBB72F" w:rsidR="00EB7E25" w:rsidRPr="00EB7E25" w:rsidRDefault="00EB7E25" w:rsidP="00EB7E25">
      <w:pPr>
        <w:spacing w:after="120" w:line="240" w:lineRule="auto"/>
        <w:jc w:val="both"/>
      </w:pPr>
      <w:r w:rsidRPr="00EB7E25">
        <w:rPr>
          <w:b/>
          <w:bCs/>
          <w:color w:val="2F5496" w:themeColor="accent1" w:themeShade="BF"/>
        </w:rPr>
        <w:t xml:space="preserve">W odniesieniu do </w:t>
      </w:r>
      <w:r w:rsidR="007514AA" w:rsidRPr="007514AA">
        <w:rPr>
          <w:b/>
          <w:bCs/>
          <w:color w:val="2F5496" w:themeColor="accent1" w:themeShade="BF"/>
        </w:rPr>
        <w:t>NO</w:t>
      </w:r>
      <w:r w:rsidR="007514AA" w:rsidRPr="007514AA">
        <w:rPr>
          <w:b/>
          <w:bCs/>
          <w:color w:val="2F5496" w:themeColor="accent1" w:themeShade="BF"/>
          <w:vertAlign w:val="subscript"/>
        </w:rPr>
        <w:t>2</w:t>
      </w:r>
      <w:r w:rsidRPr="00EB7E25">
        <w:rPr>
          <w:b/>
          <w:bCs/>
          <w:color w:val="2F5496" w:themeColor="accent1" w:themeShade="BF"/>
        </w:rPr>
        <w:t xml:space="preserve"> wartości stężeń ulegały zmianom w poszczególnych latach, jednak bez określonych tendencji (rosnącej lub malejącej) w dłuższym okresie, wspólnych dla większości stacji</w:t>
      </w:r>
      <w:r w:rsidRPr="00EB7E25">
        <w:t>.</w:t>
      </w:r>
      <w:r w:rsidRPr="00EB7E25">
        <w:rPr>
          <w:lang w:eastAsia="pl-PL"/>
        </w:rPr>
        <w:t xml:space="preserve"> W ocenie jakości powietrza dla roku 2020 wskazuje się na wystąpienie tylko dwóch stref z przekroczeniami stężeń średniorocznych </w:t>
      </w:r>
      <w:r w:rsidR="007514AA">
        <w:rPr>
          <w:lang w:eastAsia="pl-PL"/>
        </w:rPr>
        <w:t>NO</w:t>
      </w:r>
      <w:r w:rsidR="007514AA" w:rsidRPr="007514AA">
        <w:rPr>
          <w:vertAlign w:val="subscript"/>
          <w:lang w:eastAsia="pl-PL"/>
        </w:rPr>
        <w:t>2</w:t>
      </w:r>
      <w:r w:rsidRPr="00EB7E25">
        <w:rPr>
          <w:lang w:eastAsia="pl-PL"/>
        </w:rPr>
        <w:t>: aglomeracja górnośląska i aglomeracja krakowska. Zmniejszenie średnich rocznych stężeń NO</w:t>
      </w:r>
      <w:r w:rsidRPr="00EB7E25">
        <w:rPr>
          <w:vertAlign w:val="subscript"/>
          <w:lang w:eastAsia="pl-PL"/>
        </w:rPr>
        <w:t>2</w:t>
      </w:r>
      <w:r w:rsidRPr="00EB7E25">
        <w:rPr>
          <w:lang w:eastAsia="pl-PL"/>
        </w:rPr>
        <w:t xml:space="preserve"> w 2020 </w:t>
      </w:r>
      <w:r w:rsidR="007514AA">
        <w:rPr>
          <w:lang w:eastAsia="pl-PL"/>
        </w:rPr>
        <w:t xml:space="preserve">r. </w:t>
      </w:r>
      <w:r w:rsidRPr="00EB7E25">
        <w:rPr>
          <w:lang w:eastAsia="pl-PL"/>
        </w:rPr>
        <w:t>w dużej mierze powiązane jest z</w:t>
      </w:r>
      <w:r w:rsidR="007514AA">
        <w:rPr>
          <w:lang w:eastAsia="pl-PL"/>
        </w:rPr>
        <w:t xml:space="preserve"> </w:t>
      </w:r>
      <w:r w:rsidRPr="00EB7E25">
        <w:rPr>
          <w:lang w:eastAsia="pl-PL"/>
        </w:rPr>
        <w:t xml:space="preserve">czasowym spadkiem natężenia ruch samochodowego będącym konsekwencją obostrzeń wprowadzanych w związku z epidemią COVID-19. </w:t>
      </w:r>
      <w:r w:rsidRPr="00EB7E25">
        <w:rPr>
          <w:b/>
          <w:bCs/>
          <w:color w:val="2F5496" w:themeColor="accent1" w:themeShade="BF"/>
        </w:rPr>
        <w:t>Jako główne przyczyny wystąpienia przekroczeń poziomu dopuszczalnego dla NO</w:t>
      </w:r>
      <w:r w:rsidRPr="00EB7E25">
        <w:rPr>
          <w:b/>
          <w:bCs/>
          <w:color w:val="2F5496" w:themeColor="accent1" w:themeShade="BF"/>
          <w:vertAlign w:val="subscript"/>
        </w:rPr>
        <w:t>2</w:t>
      </w:r>
      <w:r w:rsidRPr="00EB7E25">
        <w:rPr>
          <w:b/>
          <w:bCs/>
          <w:color w:val="2F5496" w:themeColor="accent1" w:themeShade="BF"/>
        </w:rPr>
        <w:t xml:space="preserve"> wskazuje się oddziaływanie emisji związanej z </w:t>
      </w:r>
      <w:r w:rsidR="007514AA">
        <w:rPr>
          <w:b/>
          <w:bCs/>
          <w:color w:val="2F5496" w:themeColor="accent1" w:themeShade="BF"/>
        </w:rPr>
        <w:t>transportem drogowym</w:t>
      </w:r>
      <w:r w:rsidRPr="00EB7E25">
        <w:t xml:space="preserve">. </w:t>
      </w:r>
    </w:p>
    <w:p w14:paraId="53619620" w14:textId="21903AA1" w:rsidR="00EB7E25" w:rsidRPr="00EB7E25" w:rsidRDefault="00EB7E25" w:rsidP="00EB7E25">
      <w:pPr>
        <w:spacing w:after="120" w:line="240" w:lineRule="auto"/>
        <w:jc w:val="both"/>
        <w:rPr>
          <w:b/>
          <w:bCs/>
          <w:color w:val="2F5496" w:themeColor="accent1" w:themeShade="BF"/>
        </w:rPr>
      </w:pPr>
      <w:r w:rsidRPr="00EB7E25">
        <w:rPr>
          <w:b/>
          <w:bCs/>
          <w:color w:val="2F5496" w:themeColor="accent1" w:themeShade="BF"/>
        </w:rPr>
        <w:t>Zmienność parametrów meteorologicznych ma zasadnicze znaczenie w ocenie jakości powietrza pod kątem ozonu troposferycznego</w:t>
      </w:r>
      <w:r w:rsidRPr="00EB7E25">
        <w:t xml:space="preserve">. </w:t>
      </w:r>
      <w:r w:rsidRPr="00EB7E25">
        <w:rPr>
          <w:b/>
          <w:bCs/>
          <w:color w:val="2F5496" w:themeColor="accent1" w:themeShade="BF"/>
        </w:rPr>
        <w:t xml:space="preserve">Ze względu na fakt, iż stężenie </w:t>
      </w:r>
      <w:r w:rsidR="007514AA" w:rsidRPr="007514AA">
        <w:rPr>
          <w:b/>
          <w:bCs/>
          <w:color w:val="2F5496" w:themeColor="accent1" w:themeShade="BF"/>
        </w:rPr>
        <w:t>O</w:t>
      </w:r>
      <w:r w:rsidR="007514AA" w:rsidRPr="007514AA">
        <w:rPr>
          <w:b/>
          <w:bCs/>
          <w:color w:val="2F5496" w:themeColor="accent1" w:themeShade="BF"/>
          <w:vertAlign w:val="subscript"/>
        </w:rPr>
        <w:t>3</w:t>
      </w:r>
      <w:r w:rsidRPr="00EB7E25">
        <w:rPr>
          <w:b/>
          <w:bCs/>
          <w:color w:val="2F5496" w:themeColor="accent1" w:themeShade="BF"/>
        </w:rPr>
        <w:t xml:space="preserve"> na terenie kraju może w sposób znaczący być kształtowane wielkością stężeń ozonu transportowanego spoza tego obszaru, jak również emisją prekursorów poza jego granicami trudno wprowadzić krajowe działania naprawcze dla tego zanieczyszczenia powietrza. </w:t>
      </w:r>
    </w:p>
    <w:p w14:paraId="61C920C4" w14:textId="0991FDC8" w:rsidR="00EB7E25" w:rsidRPr="00EB7E25" w:rsidRDefault="00EB7E25" w:rsidP="00EB7E25">
      <w:pPr>
        <w:spacing w:after="120" w:line="240" w:lineRule="auto"/>
        <w:jc w:val="both"/>
        <w:rPr>
          <w:lang w:eastAsia="pl-PL"/>
        </w:rPr>
      </w:pPr>
      <w:r w:rsidRPr="00EB7E25">
        <w:rPr>
          <w:lang w:eastAsia="pl-PL"/>
        </w:rPr>
        <w:lastRenderedPageBreak/>
        <w:t xml:space="preserve">W celu zapewnienia jak najbardziej precyzyjnej i szerokiej informacji o jakości powietrza w Polsce, </w:t>
      </w:r>
      <w:r w:rsidRPr="00EB7E25">
        <w:rPr>
          <w:rFonts w:cs="Times New Roman"/>
        </w:rPr>
        <w:t xml:space="preserve">mając na uwadze rekomendacje Komitetu Ekonomicznego Rady Ministrów w sprawie działań niezbędnych do podjęcia w zakresie rozwoju i wzmocnienie sieci pomiarów jakości powietrza poprzez tworzenie nowych stacji pomiarowych, </w:t>
      </w:r>
      <w:r w:rsidR="007514AA">
        <w:rPr>
          <w:lang w:eastAsia="pl-PL"/>
        </w:rPr>
        <w:t>GIOŚ</w:t>
      </w:r>
      <w:r w:rsidRPr="00EB7E25">
        <w:rPr>
          <w:lang w:eastAsia="pl-PL"/>
        </w:rPr>
        <w:t xml:space="preserve"> rozwija zarówno sieć monitoringu jakości powietrza, jak i metody oceny, wykorzystując wyniki modelowania wykonywanego przez </w:t>
      </w:r>
      <w:r w:rsidR="007514AA">
        <w:rPr>
          <w:lang w:eastAsia="pl-PL"/>
        </w:rPr>
        <w:t>IOŚ</w:t>
      </w:r>
      <w:r w:rsidRPr="00EB7E25">
        <w:rPr>
          <w:lang w:eastAsia="pl-PL"/>
        </w:rPr>
        <w:t>- PIB</w:t>
      </w:r>
      <w:r w:rsidR="00FE5F61">
        <w:rPr>
          <w:lang w:eastAsia="pl-PL"/>
        </w:rPr>
        <w:t xml:space="preserve"> w ramach zadań ustawowych określonych </w:t>
      </w:r>
      <w:r w:rsidR="00680807">
        <w:rPr>
          <w:lang w:eastAsia="pl-PL"/>
        </w:rPr>
        <w:t xml:space="preserve">przepisami </w:t>
      </w:r>
      <w:r w:rsidR="001B6192">
        <w:t>POŚ</w:t>
      </w:r>
      <w:r w:rsidRPr="00EB7E25">
        <w:rPr>
          <w:lang w:eastAsia="pl-PL"/>
        </w:rPr>
        <w:t xml:space="preserve">. Poszerza również zakres prowadzonych analiz udostępniając kolejne raporty problemowe, np. raport na temat jakości powietrza w uzdrowiskach. </w:t>
      </w:r>
    </w:p>
    <w:p w14:paraId="7BFAE28E" w14:textId="77777777" w:rsidR="00EB7E25" w:rsidRPr="00EB7E25" w:rsidRDefault="00EB7E25" w:rsidP="00EB7E25">
      <w:pPr>
        <w:spacing w:after="120" w:line="240" w:lineRule="auto"/>
        <w:jc w:val="both"/>
        <w:rPr>
          <w:b/>
          <w:bCs/>
          <w:color w:val="2F5496" w:themeColor="accent1" w:themeShade="BF"/>
          <w:lang w:eastAsia="pl-PL"/>
        </w:rPr>
      </w:pPr>
      <w:r w:rsidRPr="00EB7E25">
        <w:rPr>
          <w:b/>
          <w:bCs/>
          <w:color w:val="2F5496" w:themeColor="accent1" w:themeShade="BF"/>
          <w:lang w:eastAsia="pl-PL"/>
        </w:rPr>
        <w:t xml:space="preserve">Rozwój sieci pomiarowej jest nakierowany głównie na detekcję zanieczyszczeń problemowych. Co roku zwiększana jest liczba stanowisk mierzących stężenie pyłu zawieszonego i dotyczy to zarówno pomiarów manualnych, jak i automatycznych, służących do bieżącego informowania społeczeństwa. Na bieżąco rozwijane są również narzędzia GIOŚ do informowania o jakości powietrza w Polsce – portal „Jakość Powietrza” i aplikacje „Jakość powietrza w Polsce” na urządzenia mobilne. </w:t>
      </w:r>
    </w:p>
    <w:p w14:paraId="62D25C3E" w14:textId="77777777" w:rsidR="00EB7E25" w:rsidRPr="00EB7E25" w:rsidRDefault="00EB7E25" w:rsidP="00EB7E25">
      <w:pPr>
        <w:spacing w:after="120" w:line="240" w:lineRule="auto"/>
        <w:jc w:val="both"/>
        <w:rPr>
          <w:rFonts w:cs="Times New Roman"/>
        </w:rPr>
      </w:pPr>
      <w:r w:rsidRPr="00EB7E25">
        <w:rPr>
          <w:rFonts w:cs="Times New Roman"/>
        </w:rPr>
        <w:t xml:space="preserve">Kierunki dalszego rozwoju, zarówno systemu pomiarów, jak i ocen jakości powietrza, będą ściśle związane z monitorowaniem obszarów o wysokich stężeniach zanieczyszczeń, na których istnieją problemy z dotrzymaniem norm jakości powietrza, w tym obszarów uzdrowiskowych oraz diagnozowaniem wpływu na stan powietrza systematycznie rosnącej liczby pojazdów na polskich drogach. </w:t>
      </w:r>
    </w:p>
    <w:p w14:paraId="31B4A140" w14:textId="799AD582" w:rsidR="00EB7E25" w:rsidRPr="003D72AF" w:rsidRDefault="00EB7E25" w:rsidP="00EB7E25">
      <w:pPr>
        <w:rPr>
          <w:b/>
          <w:bCs/>
          <w:sz w:val="20"/>
          <w:szCs w:val="20"/>
        </w:rPr>
      </w:pPr>
    </w:p>
    <w:p w14:paraId="43FDE472" w14:textId="77777777" w:rsidR="00EB7E25" w:rsidRPr="00406A2E" w:rsidRDefault="00EB7E25" w:rsidP="006C1E42">
      <w:pPr>
        <w:jc w:val="center"/>
        <w:rPr>
          <w:color w:val="000000" w:themeColor="text1"/>
          <w:sz w:val="20"/>
          <w:szCs w:val="20"/>
        </w:rPr>
      </w:pPr>
    </w:p>
    <w:p w14:paraId="1C63358B" w14:textId="4E3E643C" w:rsidR="00282106" w:rsidRPr="0035160C" w:rsidRDefault="00282106" w:rsidP="00B93CC2">
      <w:pPr>
        <w:spacing w:after="0" w:line="240" w:lineRule="auto"/>
        <w:jc w:val="center"/>
        <w:rPr>
          <w:bCs/>
          <w:i/>
          <w:sz w:val="20"/>
          <w:szCs w:val="20"/>
        </w:rPr>
      </w:pPr>
      <w:r w:rsidRPr="0035160C">
        <w:br w:type="page"/>
      </w:r>
    </w:p>
    <w:p w14:paraId="2030D81B" w14:textId="73EA503A" w:rsidR="00E20D8C" w:rsidRPr="009D093A" w:rsidRDefault="00B56EF8" w:rsidP="009D093A">
      <w:pPr>
        <w:pStyle w:val="Nagwek1"/>
        <w:numPr>
          <w:ilvl w:val="0"/>
          <w:numId w:val="0"/>
        </w:numPr>
        <w:ind w:left="431" w:hanging="431"/>
        <w:rPr>
          <w:b/>
          <w:sz w:val="24"/>
          <w:szCs w:val="24"/>
        </w:rPr>
      </w:pPr>
      <w:bookmarkStart w:id="47" w:name="_Toc78205888"/>
      <w:r w:rsidRPr="009D093A">
        <w:rPr>
          <w:b/>
          <w:sz w:val="24"/>
          <w:szCs w:val="24"/>
        </w:rPr>
        <w:lastRenderedPageBreak/>
        <w:t xml:space="preserve">7. </w:t>
      </w:r>
      <w:r w:rsidR="00E20D8C" w:rsidRPr="009D093A">
        <w:rPr>
          <w:b/>
          <w:sz w:val="24"/>
          <w:szCs w:val="24"/>
        </w:rPr>
        <w:t>Wpływ sektorów gospodarki na stan jakości powietrza</w:t>
      </w:r>
      <w:bookmarkEnd w:id="47"/>
    </w:p>
    <w:p w14:paraId="0CDF57A8" w14:textId="40C18A7E" w:rsidR="00E20D8C" w:rsidRPr="0035160C" w:rsidRDefault="00E20D8C" w:rsidP="00E20D8C">
      <w:pPr>
        <w:jc w:val="both"/>
        <w:rPr>
          <w:b/>
          <w:bCs/>
          <w:color w:val="2F5496" w:themeColor="accent1" w:themeShade="BF"/>
        </w:rPr>
      </w:pPr>
      <w:bookmarkStart w:id="48" w:name="_Toc426995828"/>
      <w:r w:rsidRPr="0035160C">
        <w:rPr>
          <w:b/>
          <w:bCs/>
          <w:color w:val="2F5496" w:themeColor="accent1" w:themeShade="BF"/>
        </w:rPr>
        <w:t xml:space="preserve">Wyniki krajowej inwentaryzacji emisji głównych zanieczyszczeń powietrza, za rok </w:t>
      </w:r>
      <w:bookmarkEnd w:id="48"/>
      <w:r w:rsidR="00AA27BB" w:rsidRPr="0035160C">
        <w:rPr>
          <w:b/>
          <w:bCs/>
          <w:color w:val="2F5496" w:themeColor="accent1" w:themeShade="BF"/>
        </w:rPr>
        <w:t>201</w:t>
      </w:r>
      <w:r w:rsidR="00AA27BB">
        <w:rPr>
          <w:b/>
          <w:bCs/>
          <w:color w:val="2F5496" w:themeColor="accent1" w:themeShade="BF"/>
        </w:rPr>
        <w:t>9</w:t>
      </w:r>
      <w:r w:rsidR="00AA27BB" w:rsidRPr="0035160C">
        <w:rPr>
          <w:b/>
          <w:bCs/>
          <w:color w:val="2F5496" w:themeColor="accent1" w:themeShade="BF"/>
        </w:rPr>
        <w:t xml:space="preserve"> </w:t>
      </w:r>
    </w:p>
    <w:p w14:paraId="6E1FB812" w14:textId="5BEADD63" w:rsidR="0037666D" w:rsidRPr="0035160C" w:rsidRDefault="0037666D" w:rsidP="0037666D">
      <w:pPr>
        <w:jc w:val="both"/>
        <w:rPr>
          <w:color w:val="2F5496" w:themeColor="accent1" w:themeShade="BF"/>
        </w:rPr>
      </w:pPr>
      <w:r w:rsidRPr="0035160C">
        <w:t xml:space="preserve">Jak wskazują dane zawarte w raportach GIOŚ dotyczących ocen jakości powietrza, </w:t>
      </w:r>
      <w:r w:rsidRPr="0035160C">
        <w:rPr>
          <w:b/>
          <w:bCs/>
          <w:color w:val="2F5496" w:themeColor="accent1" w:themeShade="BF"/>
        </w:rPr>
        <w:t xml:space="preserve">głównym źródłem przekroczeń norm jakości powietrza, w tym zwłaszcza </w:t>
      </w:r>
      <w:r w:rsidR="008C3236">
        <w:rPr>
          <w:b/>
          <w:bCs/>
          <w:color w:val="2F5496" w:themeColor="accent1" w:themeShade="BF"/>
        </w:rPr>
        <w:t xml:space="preserve"> dopuszczalnych poziomów </w:t>
      </w:r>
      <w:r w:rsidRPr="0035160C">
        <w:rPr>
          <w:b/>
          <w:bCs/>
          <w:color w:val="2F5496" w:themeColor="accent1" w:themeShade="BF"/>
        </w:rPr>
        <w:t xml:space="preserve">pyłu zawieszonego </w:t>
      </w:r>
      <w:r w:rsidR="008C3236">
        <w:rPr>
          <w:b/>
          <w:bCs/>
          <w:color w:val="2F5496" w:themeColor="accent1" w:themeShade="BF"/>
        </w:rPr>
        <w:t xml:space="preserve">o frakcjach </w:t>
      </w:r>
      <w:r w:rsidRPr="0035160C">
        <w:rPr>
          <w:b/>
          <w:bCs/>
          <w:color w:val="2F5496" w:themeColor="accent1" w:themeShade="BF"/>
        </w:rPr>
        <w:t xml:space="preserve">PM10, PM2,5 oraz </w:t>
      </w:r>
      <w:r w:rsidR="00680807">
        <w:rPr>
          <w:b/>
          <w:bCs/>
          <w:color w:val="2F5496" w:themeColor="accent1" w:themeShade="BF"/>
        </w:rPr>
        <w:t xml:space="preserve">docelowego poziomu </w:t>
      </w:r>
      <w:r w:rsidR="007E070E">
        <w:rPr>
          <w:b/>
          <w:bCs/>
          <w:color w:val="2F5496" w:themeColor="accent1" w:themeShade="BF"/>
        </w:rPr>
        <w:t>B(a)P</w:t>
      </w:r>
      <w:r w:rsidR="00680807">
        <w:rPr>
          <w:b/>
          <w:bCs/>
          <w:color w:val="2F5496" w:themeColor="accent1" w:themeShade="BF"/>
        </w:rPr>
        <w:t xml:space="preserve"> oznaczanego w pyle PM10</w:t>
      </w:r>
      <w:r w:rsidRPr="0035160C">
        <w:rPr>
          <w:b/>
          <w:bCs/>
          <w:color w:val="2F5496" w:themeColor="accent1" w:themeShade="BF"/>
        </w:rPr>
        <w:t xml:space="preserve"> jest sektor bytowo-komunalny</w:t>
      </w:r>
      <w:r w:rsidRPr="0035160C">
        <w:rPr>
          <w:color w:val="2F5496" w:themeColor="accent1" w:themeShade="BF"/>
        </w:rPr>
        <w:t xml:space="preserve">. </w:t>
      </w:r>
    </w:p>
    <w:p w14:paraId="210430FD" w14:textId="1796FE18" w:rsidR="0037666D" w:rsidRPr="0035160C" w:rsidRDefault="0037666D" w:rsidP="003B2050">
      <w:pPr>
        <w:jc w:val="both"/>
      </w:pPr>
      <w:r w:rsidRPr="0035160C">
        <w:t>Potwierdzają to także dane Krajowego Ośrodka Bilansowania i Zarządzania Emisjami (KOBIZE)</w:t>
      </w:r>
      <w:r w:rsidR="004C1B36">
        <w:rPr>
          <w:rStyle w:val="Odwoanieprzypisudolnego"/>
        </w:rPr>
        <w:footnoteReference w:id="14"/>
      </w:r>
      <w:r w:rsidRPr="0035160C">
        <w:t xml:space="preserve">. </w:t>
      </w:r>
      <w:r w:rsidRPr="0035160C">
        <w:br/>
      </w:r>
    </w:p>
    <w:p w14:paraId="6E8FDD91" w14:textId="169E9678" w:rsidR="002679B8" w:rsidRPr="004C1B36" w:rsidRDefault="002679B8" w:rsidP="002679B8">
      <w:pPr>
        <w:jc w:val="both"/>
        <w:rPr>
          <w:b/>
          <w:bCs/>
          <w:color w:val="2F5496" w:themeColor="accent1" w:themeShade="BF"/>
        </w:rPr>
      </w:pPr>
      <w:r w:rsidRPr="004C1B36">
        <w:rPr>
          <w:b/>
          <w:bCs/>
          <w:i/>
          <w:iCs/>
          <w:color w:val="2F5496" w:themeColor="accent1" w:themeShade="BF"/>
        </w:rPr>
        <w:t>Emisj</w:t>
      </w:r>
      <w:r w:rsidR="008C3236">
        <w:rPr>
          <w:b/>
          <w:bCs/>
          <w:i/>
          <w:iCs/>
          <w:color w:val="2F5496" w:themeColor="accent1" w:themeShade="BF"/>
        </w:rPr>
        <w:t>a</w:t>
      </w:r>
      <w:r w:rsidRPr="004C1B36">
        <w:rPr>
          <w:b/>
          <w:bCs/>
          <w:i/>
          <w:iCs/>
          <w:color w:val="2F5496" w:themeColor="accent1" w:themeShade="BF"/>
        </w:rPr>
        <w:t xml:space="preserve"> pyłu PM10 </w:t>
      </w:r>
    </w:p>
    <w:p w14:paraId="54E4D2AC" w14:textId="77777777" w:rsidR="00AA27BB" w:rsidRDefault="00B13C6E" w:rsidP="00AA27BB">
      <w:pPr>
        <w:jc w:val="both"/>
        <w:rPr>
          <w:b/>
          <w:bCs/>
          <w:color w:val="2F5496" w:themeColor="accent1" w:themeShade="BF"/>
        </w:rPr>
      </w:pPr>
      <w:r w:rsidRPr="004C1B36">
        <w:rPr>
          <w:b/>
          <w:bCs/>
          <w:color w:val="2F5496" w:themeColor="accent1" w:themeShade="BF"/>
        </w:rPr>
        <w:t xml:space="preserve">Głównym źródłem emisji pyłu PM10 w Polsce, podobnie jak dla pyłu całkowitego, </w:t>
      </w:r>
      <w:r w:rsidR="004C1B36" w:rsidRPr="004C1B36">
        <w:rPr>
          <w:b/>
          <w:bCs/>
          <w:color w:val="2F5496" w:themeColor="accent1" w:themeShade="BF"/>
        </w:rPr>
        <w:t xml:space="preserve">są procesy stacjonarnego spalania, z których większość pochodzi z kategorii 1A4. </w:t>
      </w:r>
      <w:r w:rsidR="004C1B36" w:rsidRPr="004C1B36">
        <w:rPr>
          <w:b/>
          <w:bCs/>
          <w:i/>
          <w:iCs/>
          <w:color w:val="2F5496" w:themeColor="accent1" w:themeShade="BF"/>
        </w:rPr>
        <w:t>Inne sektory</w:t>
      </w:r>
      <w:r w:rsidR="004C1B36" w:rsidRPr="004C1B36">
        <w:rPr>
          <w:b/>
          <w:bCs/>
          <w:color w:val="2F5496" w:themeColor="accent1" w:themeShade="BF"/>
        </w:rPr>
        <w:t xml:space="preserve"> – 41%</w:t>
      </w:r>
      <w:r w:rsidR="00AA27BB" w:rsidRPr="004C1B36">
        <w:rPr>
          <w:b/>
          <w:bCs/>
          <w:color w:val="2F5496" w:themeColor="accent1" w:themeShade="BF"/>
        </w:rPr>
        <w:t>%</w:t>
      </w:r>
      <w:r w:rsidR="00AA27BB">
        <w:rPr>
          <w:b/>
          <w:bCs/>
          <w:color w:val="2F5496" w:themeColor="accent1" w:themeShade="BF"/>
        </w:rPr>
        <w:t xml:space="preserve">, </w:t>
      </w:r>
      <w:r w:rsidR="00AA27BB" w:rsidRPr="0035160C">
        <w:t>w tym zwłaszcza sektor bytowo-komunalny</w:t>
      </w:r>
      <w:r w:rsidR="00AA27BB">
        <w:rPr>
          <w:bCs/>
        </w:rPr>
        <w:t xml:space="preserve"> i  pochodzące z niego </w:t>
      </w:r>
      <w:r w:rsidR="00AA27BB" w:rsidRPr="0035160C">
        <w:rPr>
          <w:bCs/>
        </w:rPr>
        <w:t xml:space="preserve"> </w:t>
      </w:r>
      <w:r w:rsidR="00AA27BB">
        <w:rPr>
          <w:bCs/>
        </w:rPr>
        <w:t xml:space="preserve">emisje </w:t>
      </w:r>
      <w:r w:rsidR="00AA27BB" w:rsidRPr="0035160C">
        <w:rPr>
          <w:bCs/>
        </w:rPr>
        <w:t>związan</w:t>
      </w:r>
      <w:r w:rsidR="00AA27BB">
        <w:rPr>
          <w:bCs/>
        </w:rPr>
        <w:t>e</w:t>
      </w:r>
      <w:r w:rsidR="00AA27BB" w:rsidRPr="0035160C">
        <w:rPr>
          <w:bCs/>
        </w:rPr>
        <w:t xml:space="preserve"> z ogrzewaniem budynków.</w:t>
      </w:r>
      <w:r w:rsidR="00AA27BB" w:rsidRPr="0035160C">
        <w:t xml:space="preserve"> </w:t>
      </w:r>
      <w:r w:rsidR="00AA27BB">
        <w:t>Ta kategoria emisji p</w:t>
      </w:r>
      <w:r w:rsidR="00AA27BB" w:rsidRPr="0035160C">
        <w:t>ochodzi z niskich emitorów, zlokalizowanych często na terenach z zabudową mieszkaniową, przez co ma ona na wielu obszarach decydujący wpływ na występowanie przekroczeń wartości kryterialnych. W ramach tej grupy źródeł emisji, poza spalaniem paliw w gospodarstwach domowych, instytucjach i obiektach handlowych, mieszczą się również spalania towarzyszące rolnictwu, leśnictwu i rybołówstwu.</w:t>
      </w:r>
    </w:p>
    <w:p w14:paraId="25D3B461" w14:textId="453FD3E6" w:rsidR="004C1B36" w:rsidRPr="004C1B36" w:rsidRDefault="004C1B36" w:rsidP="004C1B36">
      <w:pPr>
        <w:jc w:val="both"/>
      </w:pPr>
      <w:r w:rsidRPr="004C1B36">
        <w:rPr>
          <w:b/>
          <w:bCs/>
          <w:color w:val="2F5496" w:themeColor="accent1" w:themeShade="BF"/>
        </w:rPr>
        <w:t xml:space="preserve">Drugim w kolejności źródłem jest sektor 2. </w:t>
      </w:r>
      <w:r w:rsidRPr="004C1B36">
        <w:rPr>
          <w:b/>
          <w:bCs/>
          <w:i/>
          <w:iCs/>
          <w:color w:val="2F5496" w:themeColor="accent1" w:themeShade="BF"/>
        </w:rPr>
        <w:t>Procesy przemysłowe</w:t>
      </w:r>
      <w:r w:rsidRPr="004C1B36">
        <w:rPr>
          <w:b/>
          <w:bCs/>
          <w:color w:val="2F5496" w:themeColor="accent1" w:themeShade="BF"/>
        </w:rPr>
        <w:t xml:space="preserve"> – 16%</w:t>
      </w:r>
      <w:r w:rsidRPr="004C1B36">
        <w:t xml:space="preserve">. </w:t>
      </w:r>
    </w:p>
    <w:p w14:paraId="42356786" w14:textId="77777777" w:rsidR="00AA27BB" w:rsidRPr="0035160C" w:rsidRDefault="00AA27BB" w:rsidP="00AA27BB">
      <w:pPr>
        <w:jc w:val="both"/>
      </w:pPr>
      <w:r w:rsidRPr="00DD0E4C">
        <w:rPr>
          <w:b/>
          <w:bCs/>
          <w:color w:val="2F5496" w:themeColor="accent1" w:themeShade="BF"/>
        </w:rPr>
        <w:t>Natomiast transport drogowy odpowiedzialny jest za ok. 8% krajowej emisji pyłu PM10</w:t>
      </w:r>
      <w:r w:rsidRPr="0035160C">
        <w:t>, co w połączeniu z miejscem i sposobem wprowadzania tych zanieczyszczeń do powietrza, powoduje, że w centralnych częściach miast z gęstą siatką ulic o dużym natężeniu ruchu samochodów oraz w obrębie kanionów ruchliwych ulic, emisja z samochodów może być czynnikiem decydującym o wystąpieniu przekroczeń wartości kryterialnych dla pyłu PM10 (jak również dla pyłu PM2,5 i NO</w:t>
      </w:r>
      <w:r w:rsidRPr="0035160C">
        <w:rPr>
          <w:vertAlign w:val="subscript"/>
        </w:rPr>
        <w:t>2</w:t>
      </w:r>
      <w:r w:rsidRPr="0035160C">
        <w:t>).</w:t>
      </w:r>
    </w:p>
    <w:p w14:paraId="45BBBA1E" w14:textId="77777777" w:rsidR="004C1B36" w:rsidRPr="004C1B36" w:rsidRDefault="004C1B36" w:rsidP="004C1B36">
      <w:pPr>
        <w:jc w:val="both"/>
      </w:pPr>
      <w:r w:rsidRPr="004C1B36">
        <w:rPr>
          <w:b/>
          <w:bCs/>
          <w:color w:val="2F5496" w:themeColor="accent1" w:themeShade="BF"/>
        </w:rPr>
        <w:t>Emisja PM10 w 2019 r. zmniejszyła się o 70% od 1990 roku. Wartość emisji pyłu PM10 w 2019 roku zmniejszyła się o 6% w stosunku do roku poprzedniego</w:t>
      </w:r>
      <w:r w:rsidRPr="004C1B36">
        <w:t xml:space="preserve">. </w:t>
      </w:r>
    </w:p>
    <w:p w14:paraId="4DDFE950" w14:textId="77777777" w:rsidR="004C1B36" w:rsidRPr="004C1B36" w:rsidRDefault="004C1B36" w:rsidP="004C1B36">
      <w:pPr>
        <w:jc w:val="both"/>
      </w:pPr>
      <w:r w:rsidRPr="004C1B36">
        <w:t>Wzrost krajowej emisji pyłu PM10 w roku 2019 w stosunku do roku 2018 odnotowano głównie w sektorze 2A</w:t>
      </w:r>
      <w:r w:rsidRPr="004C1B36">
        <w:rPr>
          <w:i/>
          <w:iCs/>
        </w:rPr>
        <w:t>. Produkty mineralne, a </w:t>
      </w:r>
      <w:r w:rsidRPr="004C1B36">
        <w:t xml:space="preserve">największy spadek odnotowano w sektorze 1A4. </w:t>
      </w:r>
      <w:r w:rsidRPr="004C1B36">
        <w:rPr>
          <w:i/>
          <w:iCs/>
        </w:rPr>
        <w:t xml:space="preserve">Inne sektory </w:t>
      </w:r>
      <w:r w:rsidRPr="004C1B36">
        <w:t>m.in. ze względu na mniejsze zużycie węgla kamiennego i drewna w gospodarstwach domowych.</w:t>
      </w:r>
    </w:p>
    <w:p w14:paraId="7EB61CF0" w14:textId="4CA6627F" w:rsidR="002679B8" w:rsidRDefault="002679B8" w:rsidP="00390E4B">
      <w:pPr>
        <w:spacing w:after="120"/>
        <w:jc w:val="both"/>
      </w:pPr>
      <w:r w:rsidRPr="0035160C">
        <w:t>Tabela</w:t>
      </w:r>
      <w:r w:rsidR="00EE1451" w:rsidRPr="0035160C">
        <w:t xml:space="preserve"> 2. </w:t>
      </w:r>
      <w:r w:rsidR="00B13C6E" w:rsidRPr="0035160C">
        <w:t>Emisja pyłu PM10 w</w:t>
      </w:r>
      <w:r w:rsidR="00585D4A">
        <w:t xml:space="preserve"> </w:t>
      </w:r>
      <w:r w:rsidR="00B13C6E" w:rsidRPr="0035160C">
        <w:t>wybranych latach</w:t>
      </w:r>
    </w:p>
    <w:tbl>
      <w:tblPr>
        <w:tblW w:w="9060" w:type="dxa"/>
        <w:tblLayout w:type="fixed"/>
        <w:tblCellMar>
          <w:left w:w="70" w:type="dxa"/>
          <w:right w:w="70" w:type="dxa"/>
        </w:tblCellMar>
        <w:tblLook w:val="04A0" w:firstRow="1" w:lastRow="0" w:firstColumn="1" w:lastColumn="0" w:noHBand="0" w:noVBand="1"/>
      </w:tblPr>
      <w:tblGrid>
        <w:gridCol w:w="4390"/>
        <w:gridCol w:w="934"/>
        <w:gridCol w:w="934"/>
        <w:gridCol w:w="934"/>
        <w:gridCol w:w="934"/>
        <w:gridCol w:w="934"/>
      </w:tblGrid>
      <w:tr w:rsidR="004C1B36" w:rsidRPr="004C1B36" w14:paraId="51B469BC" w14:textId="77777777" w:rsidTr="00F04B84">
        <w:trPr>
          <w:trHeight w:val="300"/>
          <w:tblHeader/>
        </w:trPr>
        <w:tc>
          <w:tcPr>
            <w:tcW w:w="4390" w:type="dxa"/>
            <w:vMerge w:val="restart"/>
            <w:tcBorders>
              <w:top w:val="single" w:sz="4" w:space="0" w:color="auto"/>
              <w:left w:val="single" w:sz="4" w:space="0" w:color="auto"/>
              <w:bottom w:val="single" w:sz="4" w:space="0" w:color="auto"/>
              <w:right w:val="single" w:sz="4" w:space="0" w:color="auto"/>
            </w:tcBorders>
            <w:shd w:val="clear" w:color="auto" w:fill="99CCFF"/>
            <w:vAlign w:val="center"/>
            <w:hideMark/>
          </w:tcPr>
          <w:p w14:paraId="1C352826" w14:textId="77777777" w:rsidR="004C1B36" w:rsidRPr="004C1B36" w:rsidRDefault="004C1B36" w:rsidP="00F04B84">
            <w:pPr>
              <w:autoSpaceDE w:val="0"/>
              <w:autoSpaceDN w:val="0"/>
              <w:adjustRightInd w:val="0"/>
              <w:jc w:val="center"/>
              <w:rPr>
                <w:rFonts w:cstheme="minorHAnsi"/>
                <w:b/>
                <w:sz w:val="18"/>
                <w:szCs w:val="18"/>
              </w:rPr>
            </w:pPr>
            <w:r w:rsidRPr="004C1B36">
              <w:rPr>
                <w:rFonts w:cstheme="minorHAnsi"/>
                <w:b/>
                <w:bCs/>
                <w:sz w:val="18"/>
                <w:szCs w:val="18"/>
              </w:rPr>
              <w:t>Źródło emisji wg kategorii NFR</w:t>
            </w:r>
          </w:p>
        </w:tc>
        <w:tc>
          <w:tcPr>
            <w:tcW w:w="934" w:type="dxa"/>
            <w:tcBorders>
              <w:top w:val="single" w:sz="4" w:space="0" w:color="auto"/>
              <w:left w:val="nil"/>
              <w:bottom w:val="single" w:sz="4" w:space="0" w:color="auto"/>
              <w:right w:val="single" w:sz="4" w:space="0" w:color="auto"/>
            </w:tcBorders>
            <w:shd w:val="clear" w:color="auto" w:fill="99CCFF"/>
            <w:vAlign w:val="center"/>
          </w:tcPr>
          <w:p w14:paraId="3E52045C" w14:textId="77777777" w:rsidR="004C1B36" w:rsidRPr="004C1B36" w:rsidRDefault="004C1B36" w:rsidP="00F04B84">
            <w:pPr>
              <w:autoSpaceDE w:val="0"/>
              <w:autoSpaceDN w:val="0"/>
              <w:adjustRightInd w:val="0"/>
              <w:jc w:val="center"/>
              <w:rPr>
                <w:rFonts w:cstheme="minorHAnsi"/>
                <w:b/>
                <w:sz w:val="18"/>
                <w:szCs w:val="18"/>
              </w:rPr>
            </w:pPr>
            <w:r w:rsidRPr="004C1B36">
              <w:rPr>
                <w:rFonts w:cstheme="minorHAnsi"/>
                <w:b/>
                <w:bCs/>
                <w:sz w:val="18"/>
                <w:szCs w:val="18"/>
              </w:rPr>
              <w:t>1990</w:t>
            </w:r>
          </w:p>
        </w:tc>
        <w:tc>
          <w:tcPr>
            <w:tcW w:w="934" w:type="dxa"/>
            <w:tcBorders>
              <w:top w:val="single" w:sz="4" w:space="0" w:color="auto"/>
              <w:left w:val="single" w:sz="4" w:space="0" w:color="auto"/>
              <w:bottom w:val="single" w:sz="4" w:space="0" w:color="auto"/>
              <w:right w:val="single" w:sz="4" w:space="0" w:color="auto"/>
            </w:tcBorders>
            <w:shd w:val="clear" w:color="auto" w:fill="99CCFF"/>
            <w:vAlign w:val="center"/>
          </w:tcPr>
          <w:p w14:paraId="6B7E0CFE" w14:textId="77777777" w:rsidR="004C1B36" w:rsidRPr="004C1B36" w:rsidRDefault="004C1B36" w:rsidP="00F04B84">
            <w:pPr>
              <w:autoSpaceDE w:val="0"/>
              <w:autoSpaceDN w:val="0"/>
              <w:adjustRightInd w:val="0"/>
              <w:jc w:val="center"/>
              <w:rPr>
                <w:rFonts w:cstheme="minorHAnsi"/>
                <w:b/>
                <w:sz w:val="18"/>
                <w:szCs w:val="18"/>
              </w:rPr>
            </w:pPr>
            <w:r w:rsidRPr="004C1B36">
              <w:rPr>
                <w:rFonts w:cstheme="minorHAnsi"/>
                <w:b/>
                <w:bCs/>
                <w:sz w:val="18"/>
                <w:szCs w:val="18"/>
              </w:rPr>
              <w:t>2005</w:t>
            </w:r>
          </w:p>
        </w:tc>
        <w:tc>
          <w:tcPr>
            <w:tcW w:w="934" w:type="dxa"/>
            <w:tcBorders>
              <w:top w:val="single" w:sz="4" w:space="0" w:color="auto"/>
              <w:left w:val="single" w:sz="4" w:space="0" w:color="auto"/>
              <w:bottom w:val="single" w:sz="4" w:space="0" w:color="auto"/>
              <w:right w:val="single" w:sz="4" w:space="0" w:color="auto"/>
            </w:tcBorders>
            <w:shd w:val="clear" w:color="auto" w:fill="99CCFF"/>
            <w:vAlign w:val="center"/>
          </w:tcPr>
          <w:p w14:paraId="5DC568BA" w14:textId="77777777" w:rsidR="004C1B36" w:rsidRPr="004C1B36" w:rsidRDefault="004C1B36" w:rsidP="00F04B84">
            <w:pPr>
              <w:autoSpaceDE w:val="0"/>
              <w:autoSpaceDN w:val="0"/>
              <w:adjustRightInd w:val="0"/>
              <w:jc w:val="center"/>
              <w:rPr>
                <w:rFonts w:cstheme="minorHAnsi"/>
                <w:b/>
                <w:sz w:val="18"/>
                <w:szCs w:val="18"/>
              </w:rPr>
            </w:pPr>
            <w:r w:rsidRPr="004C1B36">
              <w:rPr>
                <w:rFonts w:cstheme="minorHAnsi"/>
                <w:b/>
                <w:bCs/>
                <w:sz w:val="18"/>
                <w:szCs w:val="18"/>
              </w:rPr>
              <w:t>2010</w:t>
            </w:r>
          </w:p>
        </w:tc>
        <w:tc>
          <w:tcPr>
            <w:tcW w:w="934" w:type="dxa"/>
            <w:tcBorders>
              <w:top w:val="single" w:sz="4" w:space="0" w:color="auto"/>
              <w:left w:val="single" w:sz="4" w:space="0" w:color="auto"/>
              <w:bottom w:val="single" w:sz="4" w:space="0" w:color="auto"/>
              <w:right w:val="single" w:sz="4" w:space="0" w:color="auto"/>
            </w:tcBorders>
            <w:shd w:val="clear" w:color="auto" w:fill="99CCFF"/>
            <w:vAlign w:val="center"/>
          </w:tcPr>
          <w:p w14:paraId="794F9C88" w14:textId="77777777" w:rsidR="004C1B36" w:rsidRPr="004C1B36" w:rsidRDefault="004C1B36" w:rsidP="00F04B84">
            <w:pPr>
              <w:autoSpaceDE w:val="0"/>
              <w:autoSpaceDN w:val="0"/>
              <w:adjustRightInd w:val="0"/>
              <w:jc w:val="center"/>
              <w:rPr>
                <w:rFonts w:cstheme="minorHAnsi"/>
                <w:b/>
                <w:sz w:val="18"/>
                <w:szCs w:val="18"/>
              </w:rPr>
            </w:pPr>
            <w:r w:rsidRPr="004C1B36">
              <w:rPr>
                <w:rFonts w:cstheme="minorHAnsi"/>
                <w:b/>
                <w:bCs/>
                <w:sz w:val="18"/>
                <w:szCs w:val="18"/>
              </w:rPr>
              <w:t>2018</w:t>
            </w:r>
          </w:p>
        </w:tc>
        <w:tc>
          <w:tcPr>
            <w:tcW w:w="934" w:type="dxa"/>
            <w:tcBorders>
              <w:top w:val="single" w:sz="4" w:space="0" w:color="auto"/>
              <w:left w:val="nil"/>
              <w:bottom w:val="single" w:sz="4" w:space="0" w:color="auto"/>
              <w:right w:val="single" w:sz="4" w:space="0" w:color="auto"/>
            </w:tcBorders>
            <w:shd w:val="clear" w:color="auto" w:fill="99CCFF"/>
            <w:vAlign w:val="center"/>
          </w:tcPr>
          <w:p w14:paraId="7E34FBFF" w14:textId="77777777" w:rsidR="004C1B36" w:rsidRPr="004C1B36" w:rsidRDefault="004C1B36" w:rsidP="00F04B84">
            <w:pPr>
              <w:autoSpaceDE w:val="0"/>
              <w:autoSpaceDN w:val="0"/>
              <w:adjustRightInd w:val="0"/>
              <w:jc w:val="center"/>
              <w:rPr>
                <w:rFonts w:cstheme="minorHAnsi"/>
                <w:b/>
                <w:sz w:val="18"/>
                <w:szCs w:val="18"/>
              </w:rPr>
            </w:pPr>
            <w:r w:rsidRPr="004C1B36">
              <w:rPr>
                <w:rFonts w:cstheme="minorHAnsi"/>
                <w:b/>
                <w:bCs/>
                <w:sz w:val="18"/>
                <w:szCs w:val="18"/>
              </w:rPr>
              <w:t>2019</w:t>
            </w:r>
          </w:p>
        </w:tc>
      </w:tr>
      <w:tr w:rsidR="004C1B36" w:rsidRPr="004C1B36" w14:paraId="4DEDC133" w14:textId="77777777" w:rsidTr="00F04B84">
        <w:trPr>
          <w:trHeight w:val="300"/>
          <w:tblHeader/>
        </w:trPr>
        <w:tc>
          <w:tcPr>
            <w:tcW w:w="4390" w:type="dxa"/>
            <w:vMerge/>
            <w:tcBorders>
              <w:top w:val="single" w:sz="4" w:space="0" w:color="auto"/>
              <w:left w:val="single" w:sz="4" w:space="0" w:color="auto"/>
              <w:bottom w:val="single" w:sz="4" w:space="0" w:color="auto"/>
              <w:right w:val="single" w:sz="4" w:space="0" w:color="auto"/>
            </w:tcBorders>
            <w:shd w:val="clear" w:color="auto" w:fill="99CCFF"/>
            <w:vAlign w:val="center"/>
            <w:hideMark/>
          </w:tcPr>
          <w:p w14:paraId="11493421" w14:textId="77777777" w:rsidR="004C1B36" w:rsidRPr="004C1B36" w:rsidRDefault="004C1B36" w:rsidP="00F04B84">
            <w:pPr>
              <w:autoSpaceDE w:val="0"/>
              <w:autoSpaceDN w:val="0"/>
              <w:adjustRightInd w:val="0"/>
              <w:jc w:val="center"/>
              <w:rPr>
                <w:rFonts w:cstheme="minorHAnsi"/>
                <w:b/>
                <w:bCs/>
                <w:sz w:val="18"/>
                <w:szCs w:val="18"/>
              </w:rPr>
            </w:pPr>
          </w:p>
        </w:tc>
        <w:tc>
          <w:tcPr>
            <w:tcW w:w="934" w:type="dxa"/>
            <w:tcBorders>
              <w:top w:val="single" w:sz="4" w:space="0" w:color="auto"/>
              <w:left w:val="nil"/>
              <w:bottom w:val="single" w:sz="4" w:space="0" w:color="auto"/>
              <w:right w:val="single" w:sz="4" w:space="0" w:color="auto"/>
            </w:tcBorders>
            <w:shd w:val="clear" w:color="auto" w:fill="99CCFF"/>
            <w:vAlign w:val="center"/>
          </w:tcPr>
          <w:p w14:paraId="40619FDE" w14:textId="77777777" w:rsidR="004C1B36" w:rsidRPr="004C1B36" w:rsidRDefault="004C1B36" w:rsidP="00F04B84">
            <w:pPr>
              <w:autoSpaceDE w:val="0"/>
              <w:autoSpaceDN w:val="0"/>
              <w:adjustRightInd w:val="0"/>
              <w:jc w:val="center"/>
              <w:rPr>
                <w:rFonts w:cstheme="minorHAnsi"/>
                <w:b/>
                <w:sz w:val="18"/>
                <w:szCs w:val="18"/>
              </w:rPr>
            </w:pPr>
            <w:r w:rsidRPr="004C1B36">
              <w:rPr>
                <w:rFonts w:cstheme="minorHAnsi"/>
                <w:b/>
                <w:bCs/>
                <w:sz w:val="18"/>
                <w:szCs w:val="18"/>
              </w:rPr>
              <w:t>Gg</w:t>
            </w:r>
          </w:p>
        </w:tc>
        <w:tc>
          <w:tcPr>
            <w:tcW w:w="934" w:type="dxa"/>
            <w:tcBorders>
              <w:top w:val="single" w:sz="4" w:space="0" w:color="auto"/>
              <w:left w:val="single" w:sz="4" w:space="0" w:color="auto"/>
              <w:bottom w:val="single" w:sz="4" w:space="0" w:color="auto"/>
              <w:right w:val="single" w:sz="4" w:space="0" w:color="auto"/>
            </w:tcBorders>
            <w:shd w:val="clear" w:color="auto" w:fill="99CCFF"/>
            <w:vAlign w:val="center"/>
          </w:tcPr>
          <w:p w14:paraId="7C3EE53B" w14:textId="77777777" w:rsidR="004C1B36" w:rsidRPr="004C1B36" w:rsidRDefault="004C1B36" w:rsidP="00F04B84">
            <w:pPr>
              <w:autoSpaceDE w:val="0"/>
              <w:autoSpaceDN w:val="0"/>
              <w:adjustRightInd w:val="0"/>
              <w:jc w:val="center"/>
              <w:rPr>
                <w:rFonts w:cstheme="minorHAnsi"/>
                <w:b/>
                <w:sz w:val="18"/>
                <w:szCs w:val="18"/>
              </w:rPr>
            </w:pPr>
            <w:r w:rsidRPr="004C1B36">
              <w:rPr>
                <w:rFonts w:cstheme="minorHAnsi"/>
                <w:b/>
                <w:bCs/>
                <w:sz w:val="18"/>
                <w:szCs w:val="18"/>
              </w:rPr>
              <w:t>Gg</w:t>
            </w:r>
          </w:p>
        </w:tc>
        <w:tc>
          <w:tcPr>
            <w:tcW w:w="934" w:type="dxa"/>
            <w:tcBorders>
              <w:top w:val="nil"/>
              <w:left w:val="single" w:sz="4" w:space="0" w:color="auto"/>
              <w:bottom w:val="single" w:sz="4" w:space="0" w:color="auto"/>
              <w:right w:val="single" w:sz="4" w:space="0" w:color="auto"/>
            </w:tcBorders>
            <w:shd w:val="clear" w:color="auto" w:fill="99CCFF"/>
            <w:vAlign w:val="center"/>
          </w:tcPr>
          <w:p w14:paraId="13ED039E" w14:textId="77777777" w:rsidR="004C1B36" w:rsidRPr="004C1B36" w:rsidRDefault="004C1B36" w:rsidP="00F04B84">
            <w:pPr>
              <w:autoSpaceDE w:val="0"/>
              <w:autoSpaceDN w:val="0"/>
              <w:adjustRightInd w:val="0"/>
              <w:jc w:val="center"/>
              <w:rPr>
                <w:rFonts w:cstheme="minorHAnsi"/>
                <w:b/>
                <w:sz w:val="18"/>
                <w:szCs w:val="18"/>
              </w:rPr>
            </w:pPr>
            <w:r w:rsidRPr="004C1B36">
              <w:rPr>
                <w:rFonts w:cstheme="minorHAnsi"/>
                <w:b/>
                <w:bCs/>
                <w:sz w:val="18"/>
                <w:szCs w:val="18"/>
              </w:rPr>
              <w:t>Gg</w:t>
            </w:r>
          </w:p>
        </w:tc>
        <w:tc>
          <w:tcPr>
            <w:tcW w:w="934" w:type="dxa"/>
            <w:tcBorders>
              <w:top w:val="nil"/>
              <w:left w:val="single" w:sz="4" w:space="0" w:color="auto"/>
              <w:bottom w:val="single" w:sz="4" w:space="0" w:color="auto"/>
              <w:right w:val="single" w:sz="4" w:space="0" w:color="auto"/>
            </w:tcBorders>
            <w:shd w:val="clear" w:color="auto" w:fill="99CCFF"/>
            <w:vAlign w:val="center"/>
          </w:tcPr>
          <w:p w14:paraId="06B08F8E" w14:textId="77777777" w:rsidR="004C1B36" w:rsidRPr="004C1B36" w:rsidRDefault="004C1B36" w:rsidP="00F04B84">
            <w:pPr>
              <w:autoSpaceDE w:val="0"/>
              <w:autoSpaceDN w:val="0"/>
              <w:adjustRightInd w:val="0"/>
              <w:jc w:val="center"/>
              <w:rPr>
                <w:rFonts w:cstheme="minorHAnsi"/>
                <w:b/>
                <w:sz w:val="18"/>
                <w:szCs w:val="18"/>
              </w:rPr>
            </w:pPr>
            <w:r w:rsidRPr="004C1B36">
              <w:rPr>
                <w:rFonts w:cstheme="minorHAnsi"/>
                <w:b/>
                <w:bCs/>
                <w:sz w:val="18"/>
                <w:szCs w:val="18"/>
              </w:rPr>
              <w:t>Gg</w:t>
            </w:r>
          </w:p>
        </w:tc>
        <w:tc>
          <w:tcPr>
            <w:tcW w:w="934" w:type="dxa"/>
            <w:tcBorders>
              <w:top w:val="nil"/>
              <w:left w:val="nil"/>
              <w:bottom w:val="single" w:sz="4" w:space="0" w:color="auto"/>
              <w:right w:val="single" w:sz="4" w:space="0" w:color="auto"/>
            </w:tcBorders>
            <w:shd w:val="clear" w:color="auto" w:fill="99CCFF"/>
            <w:vAlign w:val="center"/>
          </w:tcPr>
          <w:p w14:paraId="3E7FF52E" w14:textId="77777777" w:rsidR="004C1B36" w:rsidRPr="004C1B36" w:rsidRDefault="004C1B36" w:rsidP="00F04B84">
            <w:pPr>
              <w:autoSpaceDE w:val="0"/>
              <w:autoSpaceDN w:val="0"/>
              <w:adjustRightInd w:val="0"/>
              <w:jc w:val="center"/>
              <w:rPr>
                <w:rFonts w:cstheme="minorHAnsi"/>
                <w:b/>
                <w:sz w:val="18"/>
                <w:szCs w:val="18"/>
              </w:rPr>
            </w:pPr>
            <w:r w:rsidRPr="004C1B36">
              <w:rPr>
                <w:rFonts w:cstheme="minorHAnsi"/>
                <w:b/>
                <w:bCs/>
                <w:sz w:val="18"/>
                <w:szCs w:val="18"/>
              </w:rPr>
              <w:t>Gg</w:t>
            </w:r>
          </w:p>
        </w:tc>
      </w:tr>
      <w:tr w:rsidR="004C1B36" w:rsidRPr="004C1B36" w14:paraId="6B664347" w14:textId="77777777" w:rsidTr="00F04B84">
        <w:trPr>
          <w:trHeight w:val="313"/>
        </w:trPr>
        <w:tc>
          <w:tcPr>
            <w:tcW w:w="4390" w:type="dxa"/>
            <w:tcBorders>
              <w:top w:val="nil"/>
              <w:left w:val="single" w:sz="4" w:space="0" w:color="auto"/>
              <w:bottom w:val="single" w:sz="4" w:space="0" w:color="auto"/>
              <w:right w:val="single" w:sz="4" w:space="0" w:color="auto"/>
            </w:tcBorders>
            <w:shd w:val="clear" w:color="auto" w:fill="D0CECE"/>
            <w:noWrap/>
            <w:vAlign w:val="center"/>
            <w:hideMark/>
          </w:tcPr>
          <w:p w14:paraId="3519930D" w14:textId="77777777" w:rsidR="004C1B36" w:rsidRPr="004C1B36" w:rsidRDefault="004C1B36" w:rsidP="00F04B84">
            <w:pPr>
              <w:rPr>
                <w:rFonts w:cstheme="minorHAnsi"/>
                <w:b/>
                <w:sz w:val="18"/>
                <w:szCs w:val="18"/>
              </w:rPr>
            </w:pPr>
            <w:r w:rsidRPr="004C1B36">
              <w:rPr>
                <w:rFonts w:cstheme="minorHAnsi"/>
                <w:b/>
                <w:bCs/>
                <w:sz w:val="18"/>
                <w:szCs w:val="18"/>
              </w:rPr>
              <w:t>Ogółem</w:t>
            </w:r>
          </w:p>
        </w:tc>
        <w:tc>
          <w:tcPr>
            <w:tcW w:w="934" w:type="dxa"/>
            <w:tcBorders>
              <w:top w:val="single" w:sz="4" w:space="0" w:color="auto"/>
              <w:left w:val="single" w:sz="4" w:space="0" w:color="auto"/>
              <w:bottom w:val="single" w:sz="4" w:space="0" w:color="auto"/>
              <w:right w:val="single" w:sz="4" w:space="0" w:color="auto"/>
            </w:tcBorders>
            <w:shd w:val="clear" w:color="auto" w:fill="D0CECE"/>
            <w:vAlign w:val="center"/>
          </w:tcPr>
          <w:p w14:paraId="312B252D" w14:textId="77777777" w:rsidR="004C1B36" w:rsidRPr="004C1B36" w:rsidRDefault="004C1B36" w:rsidP="00F04B84">
            <w:pPr>
              <w:jc w:val="right"/>
              <w:rPr>
                <w:rFonts w:cstheme="minorHAnsi"/>
                <w:b/>
                <w:sz w:val="18"/>
                <w:szCs w:val="18"/>
              </w:rPr>
            </w:pPr>
            <w:r w:rsidRPr="004C1B36">
              <w:rPr>
                <w:rFonts w:cstheme="minorHAnsi"/>
                <w:b/>
                <w:bCs/>
                <w:sz w:val="18"/>
                <w:szCs w:val="18"/>
              </w:rPr>
              <w:t>733,81</w:t>
            </w:r>
          </w:p>
        </w:tc>
        <w:tc>
          <w:tcPr>
            <w:tcW w:w="934" w:type="dxa"/>
            <w:tcBorders>
              <w:top w:val="single" w:sz="4" w:space="0" w:color="auto"/>
              <w:left w:val="single" w:sz="4" w:space="0" w:color="auto"/>
              <w:bottom w:val="single" w:sz="4" w:space="0" w:color="auto"/>
              <w:right w:val="single" w:sz="4" w:space="0" w:color="auto"/>
            </w:tcBorders>
            <w:shd w:val="clear" w:color="auto" w:fill="D0CECE"/>
            <w:vAlign w:val="center"/>
          </w:tcPr>
          <w:p w14:paraId="5F3E05D0" w14:textId="77777777" w:rsidR="004C1B36" w:rsidRPr="004C1B36" w:rsidRDefault="004C1B36" w:rsidP="00F04B84">
            <w:pPr>
              <w:jc w:val="right"/>
              <w:rPr>
                <w:rFonts w:cstheme="minorHAnsi"/>
                <w:b/>
                <w:sz w:val="18"/>
                <w:szCs w:val="18"/>
              </w:rPr>
            </w:pPr>
            <w:r w:rsidRPr="004C1B36">
              <w:rPr>
                <w:rFonts w:cstheme="minorHAnsi"/>
                <w:b/>
                <w:bCs/>
                <w:sz w:val="18"/>
                <w:szCs w:val="18"/>
              </w:rPr>
              <w:t>278,62</w:t>
            </w:r>
          </w:p>
        </w:tc>
        <w:tc>
          <w:tcPr>
            <w:tcW w:w="934" w:type="dxa"/>
            <w:tcBorders>
              <w:top w:val="single" w:sz="4" w:space="0" w:color="auto"/>
              <w:left w:val="single" w:sz="4" w:space="0" w:color="auto"/>
              <w:bottom w:val="single" w:sz="4" w:space="0" w:color="auto"/>
              <w:right w:val="single" w:sz="4" w:space="0" w:color="auto"/>
            </w:tcBorders>
            <w:shd w:val="clear" w:color="auto" w:fill="D0CECE"/>
            <w:vAlign w:val="center"/>
          </w:tcPr>
          <w:p w14:paraId="6971EDED" w14:textId="77777777" w:rsidR="004C1B36" w:rsidRPr="004C1B36" w:rsidRDefault="004C1B36" w:rsidP="00F04B84">
            <w:pPr>
              <w:jc w:val="right"/>
              <w:rPr>
                <w:rFonts w:cstheme="minorHAnsi"/>
                <w:b/>
                <w:sz w:val="18"/>
                <w:szCs w:val="18"/>
              </w:rPr>
            </w:pPr>
            <w:r w:rsidRPr="004C1B36">
              <w:rPr>
                <w:rFonts w:cstheme="minorHAnsi"/>
                <w:b/>
                <w:bCs/>
                <w:sz w:val="18"/>
                <w:szCs w:val="18"/>
              </w:rPr>
              <w:t>271,27</w:t>
            </w:r>
          </w:p>
        </w:tc>
        <w:tc>
          <w:tcPr>
            <w:tcW w:w="934" w:type="dxa"/>
            <w:tcBorders>
              <w:top w:val="single" w:sz="4" w:space="0" w:color="auto"/>
              <w:left w:val="single" w:sz="4" w:space="0" w:color="auto"/>
              <w:bottom w:val="single" w:sz="4" w:space="0" w:color="auto"/>
              <w:right w:val="single" w:sz="4" w:space="0" w:color="auto"/>
            </w:tcBorders>
            <w:shd w:val="clear" w:color="auto" w:fill="D0CECE"/>
            <w:noWrap/>
            <w:vAlign w:val="center"/>
          </w:tcPr>
          <w:p w14:paraId="52C1967B" w14:textId="77777777" w:rsidR="004C1B36" w:rsidRPr="004C1B36" w:rsidRDefault="004C1B36" w:rsidP="00F04B84">
            <w:pPr>
              <w:jc w:val="right"/>
              <w:rPr>
                <w:rFonts w:cstheme="minorHAnsi"/>
                <w:b/>
                <w:sz w:val="18"/>
                <w:szCs w:val="18"/>
              </w:rPr>
            </w:pPr>
            <w:r w:rsidRPr="004C1B36">
              <w:rPr>
                <w:rFonts w:cstheme="minorHAnsi"/>
                <w:b/>
                <w:bCs/>
                <w:sz w:val="18"/>
                <w:szCs w:val="18"/>
              </w:rPr>
              <w:t>232,68</w:t>
            </w:r>
          </w:p>
        </w:tc>
        <w:tc>
          <w:tcPr>
            <w:tcW w:w="934" w:type="dxa"/>
            <w:tcBorders>
              <w:top w:val="single" w:sz="4" w:space="0" w:color="auto"/>
              <w:left w:val="single" w:sz="4" w:space="0" w:color="auto"/>
              <w:bottom w:val="single" w:sz="4" w:space="0" w:color="auto"/>
              <w:right w:val="single" w:sz="4" w:space="0" w:color="auto"/>
            </w:tcBorders>
            <w:shd w:val="clear" w:color="auto" w:fill="D0CECE"/>
            <w:noWrap/>
            <w:vAlign w:val="center"/>
          </w:tcPr>
          <w:p w14:paraId="67B6D069" w14:textId="77777777" w:rsidR="004C1B36" w:rsidRPr="004C1B36" w:rsidRDefault="004C1B36" w:rsidP="00F04B84">
            <w:pPr>
              <w:jc w:val="right"/>
              <w:rPr>
                <w:rFonts w:cstheme="minorHAnsi"/>
                <w:b/>
                <w:sz w:val="18"/>
                <w:szCs w:val="18"/>
              </w:rPr>
            </w:pPr>
            <w:r w:rsidRPr="004C1B36">
              <w:rPr>
                <w:rFonts w:cstheme="minorHAnsi"/>
                <w:b/>
                <w:bCs/>
                <w:sz w:val="18"/>
                <w:szCs w:val="18"/>
              </w:rPr>
              <w:t>218,41</w:t>
            </w:r>
          </w:p>
        </w:tc>
      </w:tr>
      <w:tr w:rsidR="004C1B36" w:rsidRPr="004C1B36" w14:paraId="76616EEA" w14:textId="77777777" w:rsidTr="00F04B84">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FF3A7" w14:textId="77777777" w:rsidR="004C1B36" w:rsidRPr="004C1B36" w:rsidRDefault="004C1B36" w:rsidP="00F04B84">
            <w:pPr>
              <w:rPr>
                <w:rFonts w:cstheme="minorHAnsi"/>
                <w:b/>
                <w:sz w:val="18"/>
                <w:szCs w:val="18"/>
              </w:rPr>
            </w:pPr>
            <w:r w:rsidRPr="004C1B36">
              <w:rPr>
                <w:rFonts w:cstheme="minorHAnsi"/>
                <w:b/>
                <w:bCs/>
                <w:sz w:val="18"/>
                <w:szCs w:val="18"/>
              </w:rPr>
              <w:t>1. Energia</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3A3270F" w14:textId="77777777" w:rsidR="004C1B36" w:rsidRPr="004C1B36" w:rsidRDefault="004C1B36" w:rsidP="00F04B84">
            <w:pPr>
              <w:jc w:val="right"/>
              <w:rPr>
                <w:rFonts w:cstheme="minorHAnsi"/>
                <w:b/>
                <w:sz w:val="18"/>
                <w:szCs w:val="18"/>
              </w:rPr>
            </w:pPr>
            <w:r w:rsidRPr="004C1B36">
              <w:rPr>
                <w:rFonts w:cstheme="minorHAnsi"/>
                <w:b/>
                <w:bCs/>
                <w:sz w:val="18"/>
                <w:szCs w:val="18"/>
              </w:rPr>
              <w:t>652,17</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51E38AC" w14:textId="77777777" w:rsidR="004C1B36" w:rsidRPr="004C1B36" w:rsidRDefault="004C1B36" w:rsidP="00F04B84">
            <w:pPr>
              <w:jc w:val="right"/>
              <w:rPr>
                <w:rFonts w:cstheme="minorHAnsi"/>
                <w:b/>
                <w:sz w:val="18"/>
                <w:szCs w:val="18"/>
              </w:rPr>
            </w:pPr>
            <w:r w:rsidRPr="004C1B36">
              <w:rPr>
                <w:rFonts w:cstheme="minorHAnsi"/>
                <w:b/>
                <w:bCs/>
                <w:sz w:val="18"/>
                <w:szCs w:val="18"/>
              </w:rPr>
              <w:t>221,05</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3711099" w14:textId="77777777" w:rsidR="004C1B36" w:rsidRPr="004C1B36" w:rsidRDefault="004C1B36" w:rsidP="00F04B84">
            <w:pPr>
              <w:jc w:val="right"/>
              <w:rPr>
                <w:rFonts w:cstheme="minorHAnsi"/>
                <w:b/>
                <w:sz w:val="18"/>
                <w:szCs w:val="18"/>
              </w:rPr>
            </w:pPr>
            <w:r w:rsidRPr="004C1B36">
              <w:rPr>
                <w:rFonts w:cstheme="minorHAnsi"/>
                <w:b/>
                <w:bCs/>
                <w:sz w:val="18"/>
                <w:szCs w:val="18"/>
              </w:rPr>
              <w:t>211,52</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6AFEC" w14:textId="77777777" w:rsidR="004C1B36" w:rsidRPr="004C1B36" w:rsidRDefault="004C1B36" w:rsidP="00F04B84">
            <w:pPr>
              <w:jc w:val="right"/>
              <w:rPr>
                <w:rFonts w:cstheme="minorHAnsi"/>
                <w:b/>
                <w:sz w:val="18"/>
                <w:szCs w:val="18"/>
                <w:highlight w:val="yellow"/>
              </w:rPr>
            </w:pPr>
            <w:r w:rsidRPr="004C1B36">
              <w:rPr>
                <w:rFonts w:cstheme="minorHAnsi"/>
                <w:b/>
                <w:bCs/>
                <w:sz w:val="18"/>
                <w:szCs w:val="18"/>
              </w:rPr>
              <w:t>165,15</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E7D19E" w14:textId="77777777" w:rsidR="004C1B36" w:rsidRPr="004C1B36" w:rsidRDefault="004C1B36" w:rsidP="00F04B84">
            <w:pPr>
              <w:jc w:val="right"/>
              <w:rPr>
                <w:rFonts w:cstheme="minorHAnsi"/>
                <w:b/>
                <w:sz w:val="18"/>
                <w:szCs w:val="18"/>
                <w:highlight w:val="yellow"/>
              </w:rPr>
            </w:pPr>
            <w:r w:rsidRPr="004C1B36">
              <w:rPr>
                <w:rFonts w:cstheme="minorHAnsi"/>
                <w:b/>
                <w:bCs/>
                <w:sz w:val="18"/>
                <w:szCs w:val="18"/>
              </w:rPr>
              <w:t>149,92</w:t>
            </w:r>
          </w:p>
        </w:tc>
      </w:tr>
      <w:tr w:rsidR="004C1B36" w:rsidRPr="004C1B36" w14:paraId="7D5AD6D9"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12E90304" w14:textId="77777777" w:rsidR="004C1B36" w:rsidRPr="004C1B36" w:rsidRDefault="004C1B36" w:rsidP="00F04B84">
            <w:pPr>
              <w:ind w:firstLineChars="200" w:firstLine="360"/>
              <w:rPr>
                <w:rFonts w:cstheme="minorHAnsi"/>
                <w:sz w:val="18"/>
                <w:szCs w:val="18"/>
              </w:rPr>
            </w:pPr>
            <w:r w:rsidRPr="004C1B36">
              <w:rPr>
                <w:rFonts w:cstheme="minorHAnsi"/>
                <w:sz w:val="18"/>
                <w:szCs w:val="18"/>
              </w:rPr>
              <w:t>A. Spalanie paliw</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0257B9C" w14:textId="77777777" w:rsidR="004C1B36" w:rsidRPr="004C1B36" w:rsidRDefault="004C1B36" w:rsidP="00F04B84">
            <w:pPr>
              <w:jc w:val="right"/>
              <w:rPr>
                <w:rFonts w:cstheme="minorHAnsi"/>
                <w:sz w:val="18"/>
                <w:szCs w:val="18"/>
              </w:rPr>
            </w:pPr>
            <w:r w:rsidRPr="004C1B36">
              <w:rPr>
                <w:rFonts w:cstheme="minorHAnsi"/>
                <w:sz w:val="18"/>
                <w:szCs w:val="18"/>
              </w:rPr>
              <w:t>631,79</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0903CA45" w14:textId="77777777" w:rsidR="004C1B36" w:rsidRPr="004C1B36" w:rsidRDefault="004C1B36" w:rsidP="00F04B84">
            <w:pPr>
              <w:jc w:val="right"/>
              <w:rPr>
                <w:rFonts w:cstheme="minorHAnsi"/>
                <w:sz w:val="18"/>
                <w:szCs w:val="18"/>
              </w:rPr>
            </w:pPr>
            <w:r w:rsidRPr="004C1B36">
              <w:rPr>
                <w:rFonts w:cstheme="minorHAnsi"/>
                <w:sz w:val="18"/>
                <w:szCs w:val="18"/>
              </w:rPr>
              <w:t>206,97</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71736E30" w14:textId="77777777" w:rsidR="004C1B36" w:rsidRPr="004C1B36" w:rsidRDefault="004C1B36" w:rsidP="00F04B84">
            <w:pPr>
              <w:jc w:val="right"/>
              <w:rPr>
                <w:rFonts w:cstheme="minorHAnsi"/>
                <w:sz w:val="18"/>
                <w:szCs w:val="18"/>
              </w:rPr>
            </w:pPr>
            <w:r w:rsidRPr="004C1B36">
              <w:rPr>
                <w:rFonts w:cstheme="minorHAnsi"/>
                <w:sz w:val="18"/>
                <w:szCs w:val="18"/>
              </w:rPr>
              <w:t>199,45</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571F52" w14:textId="77777777" w:rsidR="004C1B36" w:rsidRPr="004C1B36" w:rsidRDefault="004C1B36" w:rsidP="00F04B84">
            <w:pPr>
              <w:jc w:val="right"/>
              <w:rPr>
                <w:rFonts w:cstheme="minorHAnsi"/>
                <w:sz w:val="18"/>
                <w:szCs w:val="18"/>
                <w:highlight w:val="yellow"/>
              </w:rPr>
            </w:pPr>
            <w:r w:rsidRPr="004C1B36">
              <w:rPr>
                <w:rFonts w:cstheme="minorHAnsi"/>
                <w:sz w:val="18"/>
                <w:szCs w:val="18"/>
              </w:rPr>
              <w:t>154,33</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597E9B" w14:textId="77777777" w:rsidR="004C1B36" w:rsidRPr="004C1B36" w:rsidRDefault="004C1B36" w:rsidP="00F04B84">
            <w:pPr>
              <w:jc w:val="right"/>
              <w:rPr>
                <w:rFonts w:cstheme="minorHAnsi"/>
                <w:sz w:val="18"/>
                <w:szCs w:val="18"/>
                <w:highlight w:val="yellow"/>
              </w:rPr>
            </w:pPr>
            <w:r w:rsidRPr="004C1B36">
              <w:rPr>
                <w:rFonts w:cstheme="minorHAnsi"/>
                <w:sz w:val="18"/>
                <w:szCs w:val="18"/>
              </w:rPr>
              <w:t>140,42</w:t>
            </w:r>
          </w:p>
        </w:tc>
      </w:tr>
      <w:tr w:rsidR="004C1B36" w:rsidRPr="004C1B36" w14:paraId="7ED099B7"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20F13B2B" w14:textId="77777777" w:rsidR="004C1B36" w:rsidRPr="004C1B36" w:rsidRDefault="004C1B36" w:rsidP="00CA3BB7">
            <w:pPr>
              <w:pStyle w:val="Akapitzlist"/>
              <w:numPr>
                <w:ilvl w:val="0"/>
                <w:numId w:val="12"/>
              </w:numPr>
              <w:spacing w:after="0" w:line="240" w:lineRule="auto"/>
              <w:ind w:hanging="215"/>
              <w:rPr>
                <w:rFonts w:cstheme="minorHAnsi"/>
                <w:sz w:val="18"/>
                <w:szCs w:val="18"/>
              </w:rPr>
            </w:pPr>
            <w:r w:rsidRPr="004C1B36">
              <w:rPr>
                <w:rFonts w:cstheme="minorHAnsi"/>
                <w:sz w:val="18"/>
                <w:szCs w:val="18"/>
              </w:rPr>
              <w:lastRenderedPageBreak/>
              <w:t>Przemysły energetyczne</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177AFAB" w14:textId="77777777" w:rsidR="004C1B36" w:rsidRPr="004C1B36" w:rsidRDefault="004C1B36" w:rsidP="00F04B84">
            <w:pPr>
              <w:jc w:val="right"/>
              <w:rPr>
                <w:rFonts w:cstheme="minorHAnsi"/>
                <w:sz w:val="18"/>
                <w:szCs w:val="18"/>
              </w:rPr>
            </w:pPr>
            <w:r w:rsidRPr="004C1B36">
              <w:rPr>
                <w:rFonts w:cstheme="minorHAnsi"/>
                <w:sz w:val="18"/>
                <w:szCs w:val="18"/>
              </w:rPr>
              <w:t>456,60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79B2529" w14:textId="77777777" w:rsidR="004C1B36" w:rsidRPr="004C1B36" w:rsidRDefault="004C1B36" w:rsidP="00F04B84">
            <w:pPr>
              <w:jc w:val="right"/>
              <w:rPr>
                <w:rFonts w:cstheme="minorHAnsi"/>
                <w:sz w:val="18"/>
                <w:szCs w:val="18"/>
              </w:rPr>
            </w:pPr>
            <w:r w:rsidRPr="004C1B36">
              <w:rPr>
                <w:rFonts w:cstheme="minorHAnsi"/>
                <w:sz w:val="18"/>
                <w:szCs w:val="18"/>
              </w:rPr>
              <w:t>32,90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25ED8145" w14:textId="77777777" w:rsidR="004C1B36" w:rsidRPr="004C1B36" w:rsidRDefault="004C1B36" w:rsidP="00F04B84">
            <w:pPr>
              <w:jc w:val="right"/>
              <w:rPr>
                <w:rFonts w:cstheme="minorHAnsi"/>
                <w:sz w:val="18"/>
                <w:szCs w:val="18"/>
              </w:rPr>
            </w:pPr>
            <w:r w:rsidRPr="004C1B36">
              <w:rPr>
                <w:rFonts w:cstheme="minorHAnsi"/>
                <w:sz w:val="18"/>
                <w:szCs w:val="18"/>
              </w:rPr>
              <w:t>19,03</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84F2B5" w14:textId="77777777" w:rsidR="004C1B36" w:rsidRPr="004C1B36" w:rsidRDefault="004C1B36" w:rsidP="00F04B84">
            <w:pPr>
              <w:jc w:val="right"/>
              <w:rPr>
                <w:rFonts w:cstheme="minorHAnsi"/>
                <w:sz w:val="18"/>
                <w:szCs w:val="18"/>
                <w:highlight w:val="yellow"/>
              </w:rPr>
            </w:pPr>
            <w:r w:rsidRPr="004C1B36">
              <w:rPr>
                <w:rFonts w:cstheme="minorHAnsi"/>
                <w:sz w:val="18"/>
                <w:szCs w:val="18"/>
              </w:rPr>
              <w:t>8,16</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5FDDE6" w14:textId="77777777" w:rsidR="004C1B36" w:rsidRPr="004C1B36" w:rsidRDefault="004C1B36" w:rsidP="00F04B84">
            <w:pPr>
              <w:jc w:val="right"/>
              <w:rPr>
                <w:rFonts w:cstheme="minorHAnsi"/>
                <w:sz w:val="18"/>
                <w:szCs w:val="18"/>
                <w:highlight w:val="yellow"/>
              </w:rPr>
            </w:pPr>
            <w:r w:rsidRPr="004C1B36">
              <w:rPr>
                <w:rFonts w:cstheme="minorHAnsi"/>
                <w:sz w:val="18"/>
                <w:szCs w:val="18"/>
              </w:rPr>
              <w:t>6,86</w:t>
            </w:r>
          </w:p>
        </w:tc>
      </w:tr>
      <w:tr w:rsidR="004C1B36" w:rsidRPr="004C1B36" w14:paraId="250B314B"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23A60787" w14:textId="77777777" w:rsidR="004C1B36" w:rsidRPr="004C1B36" w:rsidRDefault="004C1B36" w:rsidP="00CA3BB7">
            <w:pPr>
              <w:pStyle w:val="Akapitzlist"/>
              <w:numPr>
                <w:ilvl w:val="0"/>
                <w:numId w:val="12"/>
              </w:numPr>
              <w:spacing w:after="0" w:line="240" w:lineRule="auto"/>
              <w:ind w:left="856" w:hanging="227"/>
              <w:rPr>
                <w:rFonts w:cstheme="minorHAnsi"/>
                <w:sz w:val="18"/>
                <w:szCs w:val="18"/>
              </w:rPr>
            </w:pPr>
            <w:r w:rsidRPr="004C1B36">
              <w:rPr>
                <w:rFonts w:cstheme="minorHAnsi"/>
                <w:sz w:val="18"/>
                <w:szCs w:val="18"/>
              </w:rPr>
              <w:t>Przemysł wytwórczy i budownictwo</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337B9E3C" w14:textId="77777777" w:rsidR="004C1B36" w:rsidRPr="004C1B36" w:rsidRDefault="004C1B36" w:rsidP="00F04B84">
            <w:pPr>
              <w:jc w:val="right"/>
              <w:rPr>
                <w:rFonts w:cstheme="minorHAnsi"/>
                <w:sz w:val="18"/>
                <w:szCs w:val="18"/>
              </w:rPr>
            </w:pPr>
            <w:r w:rsidRPr="004C1B36">
              <w:rPr>
                <w:rFonts w:cstheme="minorHAnsi"/>
                <w:sz w:val="18"/>
                <w:szCs w:val="18"/>
              </w:rPr>
              <w:t>25,39</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2872359F" w14:textId="77777777" w:rsidR="004C1B36" w:rsidRPr="004C1B36" w:rsidRDefault="004C1B36" w:rsidP="00F04B84">
            <w:pPr>
              <w:jc w:val="right"/>
              <w:rPr>
                <w:rFonts w:cstheme="minorHAnsi"/>
                <w:sz w:val="18"/>
                <w:szCs w:val="18"/>
              </w:rPr>
            </w:pPr>
            <w:r w:rsidRPr="004C1B36">
              <w:rPr>
                <w:rFonts w:cstheme="minorHAnsi"/>
                <w:sz w:val="18"/>
                <w:szCs w:val="18"/>
              </w:rPr>
              <w:t>24,66</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07FD5BA" w14:textId="77777777" w:rsidR="004C1B36" w:rsidRPr="004C1B36" w:rsidRDefault="004C1B36" w:rsidP="00F04B84">
            <w:pPr>
              <w:jc w:val="right"/>
              <w:rPr>
                <w:rFonts w:cstheme="minorHAnsi"/>
                <w:sz w:val="18"/>
                <w:szCs w:val="18"/>
              </w:rPr>
            </w:pPr>
            <w:r w:rsidRPr="004C1B36">
              <w:rPr>
                <w:rFonts w:cstheme="minorHAnsi"/>
                <w:sz w:val="18"/>
                <w:szCs w:val="18"/>
              </w:rPr>
              <w:t>22,34</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37068F" w14:textId="77777777" w:rsidR="004C1B36" w:rsidRPr="004C1B36" w:rsidRDefault="004C1B36" w:rsidP="00F04B84">
            <w:pPr>
              <w:jc w:val="right"/>
              <w:rPr>
                <w:rFonts w:cstheme="minorHAnsi"/>
                <w:sz w:val="18"/>
                <w:szCs w:val="18"/>
                <w:highlight w:val="yellow"/>
              </w:rPr>
            </w:pPr>
            <w:r w:rsidRPr="004C1B36">
              <w:rPr>
                <w:rFonts w:cstheme="minorHAnsi"/>
                <w:sz w:val="18"/>
                <w:szCs w:val="18"/>
              </w:rPr>
              <w:t>25,69</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34216" w14:textId="77777777" w:rsidR="004C1B36" w:rsidRPr="004C1B36" w:rsidRDefault="004C1B36" w:rsidP="00F04B84">
            <w:pPr>
              <w:jc w:val="right"/>
              <w:rPr>
                <w:rFonts w:cstheme="minorHAnsi"/>
                <w:sz w:val="18"/>
                <w:szCs w:val="18"/>
                <w:highlight w:val="yellow"/>
              </w:rPr>
            </w:pPr>
            <w:r w:rsidRPr="004C1B36">
              <w:rPr>
                <w:rFonts w:cstheme="minorHAnsi"/>
                <w:sz w:val="18"/>
                <w:szCs w:val="18"/>
              </w:rPr>
              <w:t>25,68</w:t>
            </w:r>
          </w:p>
        </w:tc>
      </w:tr>
      <w:tr w:rsidR="004C1B36" w:rsidRPr="004C1B36" w14:paraId="43B467BD"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396ED8FF" w14:textId="77777777" w:rsidR="004C1B36" w:rsidRPr="004C1B36" w:rsidRDefault="004C1B36" w:rsidP="00CA3BB7">
            <w:pPr>
              <w:pStyle w:val="Akapitzlist"/>
              <w:numPr>
                <w:ilvl w:val="0"/>
                <w:numId w:val="12"/>
              </w:numPr>
              <w:spacing w:after="0" w:line="240" w:lineRule="auto"/>
              <w:ind w:left="856" w:hanging="227"/>
              <w:rPr>
                <w:rFonts w:cstheme="minorHAnsi"/>
                <w:sz w:val="18"/>
                <w:szCs w:val="18"/>
              </w:rPr>
            </w:pPr>
            <w:r w:rsidRPr="004C1B36">
              <w:rPr>
                <w:rFonts w:cstheme="minorHAnsi"/>
                <w:sz w:val="18"/>
                <w:szCs w:val="18"/>
              </w:rPr>
              <w:t>Transport</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C8784CD" w14:textId="77777777" w:rsidR="004C1B36" w:rsidRPr="004C1B36" w:rsidRDefault="004C1B36" w:rsidP="00F04B84">
            <w:pPr>
              <w:jc w:val="right"/>
              <w:rPr>
                <w:rFonts w:cstheme="minorHAnsi"/>
                <w:sz w:val="18"/>
                <w:szCs w:val="18"/>
              </w:rPr>
            </w:pPr>
            <w:r w:rsidRPr="004C1B36">
              <w:rPr>
                <w:rFonts w:cstheme="minorHAnsi"/>
                <w:sz w:val="18"/>
                <w:szCs w:val="18"/>
              </w:rPr>
              <w:t>12,64</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25FEA855" w14:textId="77777777" w:rsidR="004C1B36" w:rsidRPr="004C1B36" w:rsidRDefault="004C1B36" w:rsidP="00F04B84">
            <w:pPr>
              <w:jc w:val="right"/>
              <w:rPr>
                <w:rFonts w:cstheme="minorHAnsi"/>
                <w:sz w:val="18"/>
                <w:szCs w:val="18"/>
              </w:rPr>
            </w:pPr>
            <w:r w:rsidRPr="004C1B36">
              <w:rPr>
                <w:rFonts w:cstheme="minorHAnsi"/>
                <w:sz w:val="18"/>
                <w:szCs w:val="18"/>
              </w:rPr>
              <w:t>13,26</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358C8219" w14:textId="77777777" w:rsidR="004C1B36" w:rsidRPr="004C1B36" w:rsidRDefault="004C1B36" w:rsidP="00F04B84">
            <w:pPr>
              <w:jc w:val="right"/>
              <w:rPr>
                <w:rFonts w:cstheme="minorHAnsi"/>
                <w:sz w:val="18"/>
                <w:szCs w:val="18"/>
              </w:rPr>
            </w:pPr>
            <w:r w:rsidRPr="004C1B36">
              <w:rPr>
                <w:rFonts w:cstheme="minorHAnsi"/>
                <w:sz w:val="18"/>
                <w:szCs w:val="18"/>
              </w:rPr>
              <w:t>17,34</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7BBEA" w14:textId="77777777" w:rsidR="004C1B36" w:rsidRPr="004C1B36" w:rsidRDefault="004C1B36" w:rsidP="00F04B84">
            <w:pPr>
              <w:jc w:val="right"/>
              <w:rPr>
                <w:rFonts w:cstheme="minorHAnsi"/>
                <w:sz w:val="18"/>
                <w:szCs w:val="18"/>
                <w:highlight w:val="yellow"/>
              </w:rPr>
            </w:pPr>
            <w:r w:rsidRPr="004C1B36">
              <w:rPr>
                <w:rFonts w:cstheme="minorHAnsi"/>
                <w:sz w:val="18"/>
                <w:szCs w:val="18"/>
              </w:rPr>
              <w:t>18,50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A1011C" w14:textId="77777777" w:rsidR="004C1B36" w:rsidRPr="004C1B36" w:rsidRDefault="004C1B36" w:rsidP="00F04B84">
            <w:pPr>
              <w:jc w:val="right"/>
              <w:rPr>
                <w:rFonts w:cstheme="minorHAnsi"/>
                <w:sz w:val="18"/>
                <w:szCs w:val="18"/>
                <w:highlight w:val="yellow"/>
              </w:rPr>
            </w:pPr>
            <w:r w:rsidRPr="004C1B36">
              <w:rPr>
                <w:rFonts w:cstheme="minorHAnsi"/>
                <w:sz w:val="18"/>
                <w:szCs w:val="18"/>
              </w:rPr>
              <w:t>18,25</w:t>
            </w:r>
          </w:p>
        </w:tc>
      </w:tr>
      <w:tr w:rsidR="004C1B36" w:rsidRPr="004C1B36" w14:paraId="149D1BD5"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7AFC8BF5" w14:textId="77777777" w:rsidR="004C1B36" w:rsidRPr="004C1B36" w:rsidRDefault="004C1B36" w:rsidP="00CA3BB7">
            <w:pPr>
              <w:pStyle w:val="Akapitzlist"/>
              <w:numPr>
                <w:ilvl w:val="0"/>
                <w:numId w:val="12"/>
              </w:numPr>
              <w:spacing w:after="0" w:line="240" w:lineRule="auto"/>
              <w:ind w:left="856" w:hanging="227"/>
              <w:rPr>
                <w:rFonts w:cstheme="minorHAnsi"/>
                <w:sz w:val="18"/>
                <w:szCs w:val="18"/>
              </w:rPr>
            </w:pPr>
            <w:r w:rsidRPr="004C1B36">
              <w:rPr>
                <w:rFonts w:cstheme="minorHAnsi"/>
                <w:sz w:val="18"/>
                <w:szCs w:val="18"/>
              </w:rPr>
              <w:t>Inne sektory</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5922F17" w14:textId="77777777" w:rsidR="004C1B36" w:rsidRPr="004C1B36" w:rsidRDefault="004C1B36" w:rsidP="00F04B84">
            <w:pPr>
              <w:jc w:val="right"/>
              <w:rPr>
                <w:rFonts w:cstheme="minorHAnsi"/>
                <w:sz w:val="18"/>
                <w:szCs w:val="18"/>
              </w:rPr>
            </w:pPr>
            <w:r w:rsidRPr="004C1B36">
              <w:rPr>
                <w:rFonts w:cstheme="minorHAnsi"/>
                <w:sz w:val="18"/>
                <w:szCs w:val="18"/>
              </w:rPr>
              <w:t>137,16</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4254D37" w14:textId="77777777" w:rsidR="004C1B36" w:rsidRPr="004C1B36" w:rsidRDefault="004C1B36" w:rsidP="00F04B84">
            <w:pPr>
              <w:jc w:val="right"/>
              <w:rPr>
                <w:rFonts w:cstheme="minorHAnsi"/>
                <w:sz w:val="18"/>
                <w:szCs w:val="18"/>
              </w:rPr>
            </w:pPr>
            <w:r w:rsidRPr="004C1B36">
              <w:rPr>
                <w:rFonts w:cstheme="minorHAnsi"/>
                <w:sz w:val="18"/>
                <w:szCs w:val="18"/>
              </w:rPr>
              <w:t>136,13</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760FF1DF" w14:textId="77777777" w:rsidR="004C1B36" w:rsidRPr="004C1B36" w:rsidRDefault="004C1B36" w:rsidP="00F04B84">
            <w:pPr>
              <w:jc w:val="right"/>
              <w:rPr>
                <w:rFonts w:cstheme="minorHAnsi"/>
                <w:sz w:val="18"/>
                <w:szCs w:val="18"/>
              </w:rPr>
            </w:pPr>
            <w:r w:rsidRPr="004C1B36">
              <w:rPr>
                <w:rFonts w:cstheme="minorHAnsi"/>
                <w:sz w:val="18"/>
                <w:szCs w:val="18"/>
              </w:rPr>
              <w:t>140,73</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EEF5F" w14:textId="77777777" w:rsidR="004C1B36" w:rsidRPr="004C1B36" w:rsidRDefault="004C1B36" w:rsidP="00F04B84">
            <w:pPr>
              <w:jc w:val="right"/>
              <w:rPr>
                <w:rFonts w:cstheme="minorHAnsi"/>
                <w:sz w:val="18"/>
                <w:szCs w:val="18"/>
                <w:highlight w:val="yellow"/>
              </w:rPr>
            </w:pPr>
            <w:r w:rsidRPr="004C1B36">
              <w:rPr>
                <w:rFonts w:cstheme="minorHAnsi"/>
                <w:sz w:val="18"/>
                <w:szCs w:val="18"/>
              </w:rPr>
              <w:t>101,98</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1F6FD" w14:textId="77777777" w:rsidR="004C1B36" w:rsidRPr="004C1B36" w:rsidRDefault="004C1B36" w:rsidP="00F04B84">
            <w:pPr>
              <w:jc w:val="right"/>
              <w:rPr>
                <w:rFonts w:cstheme="minorHAnsi"/>
                <w:sz w:val="18"/>
                <w:szCs w:val="18"/>
                <w:highlight w:val="yellow"/>
              </w:rPr>
            </w:pPr>
            <w:r w:rsidRPr="004C1B36">
              <w:rPr>
                <w:rFonts w:cstheme="minorHAnsi"/>
                <w:sz w:val="18"/>
                <w:szCs w:val="18"/>
              </w:rPr>
              <w:t>89,62</w:t>
            </w:r>
          </w:p>
        </w:tc>
      </w:tr>
      <w:tr w:rsidR="004C1B36" w:rsidRPr="004C1B36" w14:paraId="01B42570"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6A417EA3" w14:textId="77777777" w:rsidR="004C1B36" w:rsidRPr="004C1B36" w:rsidRDefault="004C1B36" w:rsidP="00F04B84">
            <w:pPr>
              <w:ind w:firstLineChars="200" w:firstLine="360"/>
              <w:rPr>
                <w:rFonts w:cstheme="minorHAnsi"/>
                <w:sz w:val="18"/>
                <w:szCs w:val="18"/>
              </w:rPr>
            </w:pPr>
            <w:r w:rsidRPr="004C1B36">
              <w:rPr>
                <w:rFonts w:cstheme="minorHAnsi"/>
                <w:sz w:val="18"/>
                <w:szCs w:val="18"/>
              </w:rPr>
              <w:t>B. Emisja lotna z paliw</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DA41F42" w14:textId="77777777" w:rsidR="004C1B36" w:rsidRPr="004C1B36" w:rsidRDefault="004C1B36" w:rsidP="00F04B84">
            <w:pPr>
              <w:jc w:val="right"/>
              <w:rPr>
                <w:rFonts w:cstheme="minorHAnsi"/>
                <w:sz w:val="18"/>
                <w:szCs w:val="18"/>
              </w:rPr>
            </w:pPr>
            <w:r w:rsidRPr="004C1B36">
              <w:rPr>
                <w:rFonts w:cstheme="minorHAnsi"/>
                <w:sz w:val="18"/>
                <w:szCs w:val="18"/>
              </w:rPr>
              <w:t>20,38</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C502455" w14:textId="77777777" w:rsidR="004C1B36" w:rsidRPr="004C1B36" w:rsidRDefault="004C1B36" w:rsidP="00F04B84">
            <w:pPr>
              <w:jc w:val="right"/>
              <w:rPr>
                <w:rFonts w:cstheme="minorHAnsi"/>
                <w:sz w:val="18"/>
                <w:szCs w:val="18"/>
              </w:rPr>
            </w:pPr>
            <w:r w:rsidRPr="004C1B36">
              <w:rPr>
                <w:rFonts w:cstheme="minorHAnsi"/>
                <w:sz w:val="18"/>
                <w:szCs w:val="18"/>
              </w:rPr>
              <w:t>14,09</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398EA65F" w14:textId="77777777" w:rsidR="004C1B36" w:rsidRPr="004C1B36" w:rsidRDefault="004C1B36" w:rsidP="00F04B84">
            <w:pPr>
              <w:jc w:val="right"/>
              <w:rPr>
                <w:rFonts w:cstheme="minorHAnsi"/>
                <w:sz w:val="18"/>
                <w:szCs w:val="18"/>
              </w:rPr>
            </w:pPr>
            <w:r w:rsidRPr="004C1B36">
              <w:rPr>
                <w:rFonts w:cstheme="minorHAnsi"/>
                <w:sz w:val="18"/>
                <w:szCs w:val="18"/>
              </w:rPr>
              <w:t>12,07</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916E05" w14:textId="77777777" w:rsidR="004C1B36" w:rsidRPr="004C1B36" w:rsidRDefault="004C1B36" w:rsidP="00F04B84">
            <w:pPr>
              <w:jc w:val="right"/>
              <w:rPr>
                <w:rFonts w:cstheme="minorHAnsi"/>
                <w:sz w:val="18"/>
                <w:szCs w:val="18"/>
                <w:highlight w:val="yellow"/>
              </w:rPr>
            </w:pPr>
            <w:r w:rsidRPr="004C1B36">
              <w:rPr>
                <w:rFonts w:cstheme="minorHAnsi"/>
                <w:sz w:val="18"/>
                <w:szCs w:val="18"/>
              </w:rPr>
              <w:t>10,82</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671AF" w14:textId="77777777" w:rsidR="004C1B36" w:rsidRPr="004C1B36" w:rsidRDefault="004C1B36" w:rsidP="00F04B84">
            <w:pPr>
              <w:jc w:val="right"/>
              <w:rPr>
                <w:rFonts w:cstheme="minorHAnsi"/>
                <w:sz w:val="18"/>
                <w:szCs w:val="18"/>
                <w:highlight w:val="yellow"/>
              </w:rPr>
            </w:pPr>
            <w:r w:rsidRPr="004C1B36">
              <w:rPr>
                <w:rFonts w:cstheme="minorHAnsi"/>
                <w:sz w:val="18"/>
                <w:szCs w:val="18"/>
              </w:rPr>
              <w:t>9,50</w:t>
            </w:r>
          </w:p>
        </w:tc>
      </w:tr>
      <w:tr w:rsidR="004C1B36" w:rsidRPr="004C1B36" w14:paraId="6157CB78"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770CEB83" w14:textId="77777777" w:rsidR="004C1B36" w:rsidRPr="004C1B36" w:rsidRDefault="004C1B36" w:rsidP="00CA3BB7">
            <w:pPr>
              <w:pStyle w:val="Akapitzlist"/>
              <w:numPr>
                <w:ilvl w:val="0"/>
                <w:numId w:val="13"/>
              </w:numPr>
              <w:spacing w:after="0" w:line="240" w:lineRule="auto"/>
              <w:ind w:hanging="215"/>
              <w:rPr>
                <w:rFonts w:cstheme="minorHAnsi"/>
                <w:sz w:val="18"/>
                <w:szCs w:val="18"/>
              </w:rPr>
            </w:pPr>
            <w:r w:rsidRPr="004C1B36">
              <w:rPr>
                <w:rFonts w:cstheme="minorHAnsi"/>
                <w:sz w:val="18"/>
                <w:szCs w:val="18"/>
              </w:rPr>
              <w:t>Lotna emisja z paliw stałych</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5B3F8C7" w14:textId="77777777" w:rsidR="004C1B36" w:rsidRPr="004C1B36" w:rsidRDefault="004C1B36" w:rsidP="00F04B84">
            <w:pPr>
              <w:jc w:val="right"/>
              <w:rPr>
                <w:rFonts w:cstheme="minorHAnsi"/>
                <w:sz w:val="18"/>
                <w:szCs w:val="18"/>
              </w:rPr>
            </w:pPr>
            <w:r w:rsidRPr="004C1B36">
              <w:rPr>
                <w:rFonts w:cstheme="minorHAnsi"/>
                <w:sz w:val="18"/>
                <w:szCs w:val="18"/>
              </w:rPr>
              <w:t>20,25</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245BC256" w14:textId="77777777" w:rsidR="004C1B36" w:rsidRPr="004C1B36" w:rsidRDefault="004C1B36" w:rsidP="00F04B84">
            <w:pPr>
              <w:jc w:val="right"/>
              <w:rPr>
                <w:rFonts w:cstheme="minorHAnsi"/>
                <w:sz w:val="18"/>
                <w:szCs w:val="18"/>
              </w:rPr>
            </w:pPr>
            <w:r w:rsidRPr="004C1B36">
              <w:rPr>
                <w:rFonts w:cstheme="minorHAnsi"/>
                <w:sz w:val="18"/>
                <w:szCs w:val="18"/>
              </w:rPr>
              <w:t>13,91</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F3B2120" w14:textId="77777777" w:rsidR="004C1B36" w:rsidRPr="004C1B36" w:rsidRDefault="004C1B36" w:rsidP="00F04B84">
            <w:pPr>
              <w:jc w:val="right"/>
              <w:rPr>
                <w:rFonts w:cstheme="minorHAnsi"/>
                <w:sz w:val="18"/>
                <w:szCs w:val="18"/>
              </w:rPr>
            </w:pPr>
            <w:r w:rsidRPr="004C1B36">
              <w:rPr>
                <w:rFonts w:cstheme="minorHAnsi"/>
                <w:sz w:val="18"/>
                <w:szCs w:val="18"/>
              </w:rPr>
              <w:t>11,84</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72B831" w14:textId="77777777" w:rsidR="004C1B36" w:rsidRPr="004C1B36" w:rsidRDefault="004C1B36" w:rsidP="00F04B84">
            <w:pPr>
              <w:jc w:val="right"/>
              <w:rPr>
                <w:rFonts w:cstheme="minorHAnsi"/>
                <w:sz w:val="18"/>
                <w:szCs w:val="18"/>
                <w:highlight w:val="yellow"/>
              </w:rPr>
            </w:pPr>
            <w:r w:rsidRPr="004C1B36">
              <w:rPr>
                <w:rFonts w:cstheme="minorHAnsi"/>
                <w:sz w:val="18"/>
                <w:szCs w:val="18"/>
              </w:rPr>
              <w:t>10,55</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111B79" w14:textId="77777777" w:rsidR="004C1B36" w:rsidRPr="004C1B36" w:rsidRDefault="004C1B36" w:rsidP="00F04B84">
            <w:pPr>
              <w:jc w:val="right"/>
              <w:rPr>
                <w:rFonts w:cstheme="minorHAnsi"/>
                <w:sz w:val="18"/>
                <w:szCs w:val="18"/>
                <w:highlight w:val="yellow"/>
              </w:rPr>
            </w:pPr>
            <w:r w:rsidRPr="004C1B36">
              <w:rPr>
                <w:rFonts w:cstheme="minorHAnsi"/>
                <w:sz w:val="18"/>
                <w:szCs w:val="18"/>
              </w:rPr>
              <w:t>9,23</w:t>
            </w:r>
          </w:p>
        </w:tc>
      </w:tr>
      <w:tr w:rsidR="004C1B36" w:rsidRPr="004C1B36" w14:paraId="1C81FF62"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0025A49F" w14:textId="77777777" w:rsidR="004C1B36" w:rsidRPr="004C1B36" w:rsidRDefault="004C1B36" w:rsidP="00CA3BB7">
            <w:pPr>
              <w:pStyle w:val="Akapitzlist"/>
              <w:numPr>
                <w:ilvl w:val="0"/>
                <w:numId w:val="13"/>
              </w:numPr>
              <w:spacing w:after="0" w:line="240" w:lineRule="auto"/>
              <w:ind w:hanging="215"/>
              <w:rPr>
                <w:rFonts w:cstheme="minorHAnsi"/>
                <w:sz w:val="18"/>
                <w:szCs w:val="18"/>
              </w:rPr>
            </w:pPr>
            <w:r w:rsidRPr="004C1B36">
              <w:rPr>
                <w:rFonts w:cstheme="minorHAnsi"/>
                <w:sz w:val="18"/>
                <w:szCs w:val="18"/>
              </w:rPr>
              <w:t>Lotna emisja z systemu gazu ziemnego i ropy naftowej</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3F291C10" w14:textId="77777777" w:rsidR="004C1B36" w:rsidRPr="004C1B36" w:rsidRDefault="004C1B36" w:rsidP="00F04B84">
            <w:pPr>
              <w:jc w:val="right"/>
              <w:rPr>
                <w:rFonts w:cstheme="minorHAnsi"/>
                <w:sz w:val="18"/>
                <w:szCs w:val="18"/>
              </w:rPr>
            </w:pPr>
            <w:r w:rsidRPr="004C1B36">
              <w:rPr>
                <w:rFonts w:cstheme="minorHAnsi"/>
                <w:sz w:val="18"/>
                <w:szCs w:val="18"/>
              </w:rPr>
              <w:t>0,13</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2726636A" w14:textId="77777777" w:rsidR="004C1B36" w:rsidRPr="004C1B36" w:rsidRDefault="004C1B36" w:rsidP="00F04B84">
            <w:pPr>
              <w:jc w:val="right"/>
              <w:rPr>
                <w:rFonts w:cstheme="minorHAnsi"/>
                <w:sz w:val="18"/>
                <w:szCs w:val="18"/>
              </w:rPr>
            </w:pPr>
            <w:r w:rsidRPr="004C1B36">
              <w:rPr>
                <w:rFonts w:cstheme="minorHAnsi"/>
                <w:sz w:val="18"/>
                <w:szCs w:val="18"/>
              </w:rPr>
              <w:t>0,18</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06C093F5" w14:textId="77777777" w:rsidR="004C1B36" w:rsidRPr="004C1B36" w:rsidRDefault="004C1B36" w:rsidP="00F04B84">
            <w:pPr>
              <w:jc w:val="right"/>
              <w:rPr>
                <w:rFonts w:cstheme="minorHAnsi"/>
                <w:sz w:val="18"/>
                <w:szCs w:val="18"/>
              </w:rPr>
            </w:pPr>
            <w:r w:rsidRPr="004C1B36">
              <w:rPr>
                <w:rFonts w:cstheme="minorHAnsi"/>
                <w:sz w:val="18"/>
                <w:szCs w:val="18"/>
              </w:rPr>
              <w:t>0,23</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F8C532" w14:textId="77777777" w:rsidR="004C1B36" w:rsidRPr="004C1B36" w:rsidRDefault="004C1B36" w:rsidP="00F04B84">
            <w:pPr>
              <w:jc w:val="right"/>
              <w:rPr>
                <w:rFonts w:cstheme="minorHAnsi"/>
                <w:sz w:val="18"/>
                <w:szCs w:val="18"/>
                <w:highlight w:val="yellow"/>
              </w:rPr>
            </w:pPr>
            <w:r w:rsidRPr="004C1B36">
              <w:rPr>
                <w:rFonts w:cstheme="minorHAnsi"/>
                <w:sz w:val="18"/>
                <w:szCs w:val="18"/>
              </w:rPr>
              <w:t>0,27</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1C290" w14:textId="77777777" w:rsidR="004C1B36" w:rsidRPr="004C1B36" w:rsidRDefault="004C1B36" w:rsidP="00F04B84">
            <w:pPr>
              <w:jc w:val="right"/>
              <w:rPr>
                <w:rFonts w:cstheme="minorHAnsi"/>
                <w:sz w:val="18"/>
                <w:szCs w:val="18"/>
                <w:highlight w:val="yellow"/>
              </w:rPr>
            </w:pPr>
            <w:r w:rsidRPr="004C1B36">
              <w:rPr>
                <w:rFonts w:cstheme="minorHAnsi"/>
                <w:sz w:val="18"/>
                <w:szCs w:val="18"/>
              </w:rPr>
              <w:t>0,27</w:t>
            </w:r>
          </w:p>
        </w:tc>
      </w:tr>
      <w:tr w:rsidR="004C1B36" w:rsidRPr="004C1B36" w14:paraId="565C1B93"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422F09D3" w14:textId="77777777" w:rsidR="004C1B36" w:rsidRPr="004C1B36" w:rsidRDefault="004C1B36" w:rsidP="00F04B84">
            <w:pPr>
              <w:rPr>
                <w:rFonts w:cstheme="minorHAnsi"/>
                <w:b/>
                <w:sz w:val="18"/>
                <w:szCs w:val="18"/>
              </w:rPr>
            </w:pPr>
            <w:r w:rsidRPr="004C1B36">
              <w:rPr>
                <w:rFonts w:cstheme="minorHAnsi"/>
                <w:b/>
                <w:bCs/>
                <w:sz w:val="18"/>
                <w:szCs w:val="18"/>
              </w:rPr>
              <w:t>2. Procesy przemysłowe</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2198B879" w14:textId="77777777" w:rsidR="004C1B36" w:rsidRPr="004C1B36" w:rsidRDefault="004C1B36" w:rsidP="00F04B84">
            <w:pPr>
              <w:jc w:val="right"/>
              <w:rPr>
                <w:rFonts w:cstheme="minorHAnsi"/>
                <w:b/>
                <w:sz w:val="18"/>
                <w:szCs w:val="18"/>
              </w:rPr>
            </w:pPr>
            <w:r w:rsidRPr="004C1B36">
              <w:rPr>
                <w:rFonts w:cstheme="minorHAnsi"/>
                <w:b/>
                <w:bCs/>
                <w:sz w:val="18"/>
                <w:szCs w:val="18"/>
              </w:rPr>
              <w:t>39,40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7AE9C51B" w14:textId="77777777" w:rsidR="004C1B36" w:rsidRPr="004C1B36" w:rsidRDefault="004C1B36" w:rsidP="00F04B84">
            <w:pPr>
              <w:jc w:val="right"/>
              <w:rPr>
                <w:rFonts w:cstheme="minorHAnsi"/>
                <w:b/>
                <w:sz w:val="18"/>
                <w:szCs w:val="18"/>
              </w:rPr>
            </w:pPr>
            <w:r w:rsidRPr="004C1B36">
              <w:rPr>
                <w:rFonts w:cstheme="minorHAnsi"/>
                <w:b/>
                <w:bCs/>
                <w:sz w:val="18"/>
                <w:szCs w:val="18"/>
              </w:rPr>
              <w:t>24,04</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753BA420" w14:textId="77777777" w:rsidR="004C1B36" w:rsidRPr="004C1B36" w:rsidRDefault="004C1B36" w:rsidP="00F04B84">
            <w:pPr>
              <w:jc w:val="right"/>
              <w:rPr>
                <w:rFonts w:cstheme="minorHAnsi"/>
                <w:b/>
                <w:sz w:val="18"/>
                <w:szCs w:val="18"/>
              </w:rPr>
            </w:pPr>
            <w:r w:rsidRPr="004C1B36">
              <w:rPr>
                <w:rFonts w:cstheme="minorHAnsi"/>
                <w:b/>
                <w:bCs/>
                <w:sz w:val="18"/>
                <w:szCs w:val="18"/>
              </w:rPr>
              <w:t>29,50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1461A1" w14:textId="77777777" w:rsidR="004C1B36" w:rsidRPr="004C1B36" w:rsidRDefault="004C1B36" w:rsidP="00F04B84">
            <w:pPr>
              <w:jc w:val="right"/>
              <w:rPr>
                <w:rFonts w:cstheme="minorHAnsi"/>
                <w:b/>
                <w:sz w:val="18"/>
                <w:szCs w:val="18"/>
                <w:highlight w:val="yellow"/>
              </w:rPr>
            </w:pPr>
            <w:r w:rsidRPr="004C1B36">
              <w:rPr>
                <w:rFonts w:cstheme="minorHAnsi"/>
                <w:b/>
                <w:bCs/>
                <w:sz w:val="18"/>
                <w:szCs w:val="18"/>
              </w:rPr>
              <w:t>33,82</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F216AA" w14:textId="77777777" w:rsidR="004C1B36" w:rsidRPr="004C1B36" w:rsidRDefault="004C1B36" w:rsidP="00F04B84">
            <w:pPr>
              <w:jc w:val="right"/>
              <w:rPr>
                <w:rFonts w:cstheme="minorHAnsi"/>
                <w:b/>
                <w:sz w:val="18"/>
                <w:szCs w:val="18"/>
                <w:highlight w:val="yellow"/>
              </w:rPr>
            </w:pPr>
            <w:r w:rsidRPr="004C1B36">
              <w:rPr>
                <w:rFonts w:cstheme="minorHAnsi"/>
                <w:b/>
                <w:bCs/>
                <w:sz w:val="18"/>
                <w:szCs w:val="18"/>
              </w:rPr>
              <w:t>34,54</w:t>
            </w:r>
          </w:p>
        </w:tc>
      </w:tr>
      <w:tr w:rsidR="004C1B36" w:rsidRPr="004C1B36" w14:paraId="530DF045"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269AA980" w14:textId="77777777" w:rsidR="004C1B36" w:rsidRPr="004C1B36" w:rsidRDefault="004C1B36" w:rsidP="00F04B84">
            <w:pPr>
              <w:ind w:firstLineChars="200" w:firstLine="360"/>
              <w:rPr>
                <w:rFonts w:cstheme="minorHAnsi"/>
                <w:sz w:val="18"/>
                <w:szCs w:val="18"/>
              </w:rPr>
            </w:pPr>
            <w:r w:rsidRPr="004C1B36">
              <w:rPr>
                <w:rFonts w:cstheme="minorHAnsi"/>
                <w:sz w:val="18"/>
                <w:szCs w:val="18"/>
              </w:rPr>
              <w:t>A. Produkty mineralne</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66557D6" w14:textId="77777777" w:rsidR="004C1B36" w:rsidRPr="004C1B36" w:rsidRDefault="004C1B36" w:rsidP="00F04B84">
            <w:pPr>
              <w:jc w:val="right"/>
              <w:rPr>
                <w:rFonts w:cstheme="minorHAnsi"/>
                <w:sz w:val="18"/>
                <w:szCs w:val="18"/>
              </w:rPr>
            </w:pPr>
            <w:r w:rsidRPr="004C1B36">
              <w:rPr>
                <w:rFonts w:cstheme="minorHAnsi"/>
                <w:sz w:val="18"/>
                <w:szCs w:val="18"/>
              </w:rPr>
              <w:t>27,27</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8E77965" w14:textId="77777777" w:rsidR="004C1B36" w:rsidRPr="004C1B36" w:rsidRDefault="004C1B36" w:rsidP="00F04B84">
            <w:pPr>
              <w:jc w:val="right"/>
              <w:rPr>
                <w:rFonts w:cstheme="minorHAnsi"/>
                <w:sz w:val="18"/>
                <w:szCs w:val="18"/>
              </w:rPr>
            </w:pPr>
            <w:r w:rsidRPr="004C1B36">
              <w:rPr>
                <w:rFonts w:cstheme="minorHAnsi"/>
                <w:sz w:val="18"/>
                <w:szCs w:val="18"/>
              </w:rPr>
              <w:t>14,56</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7328EA8F" w14:textId="77777777" w:rsidR="004C1B36" w:rsidRPr="004C1B36" w:rsidRDefault="004C1B36" w:rsidP="00F04B84">
            <w:pPr>
              <w:jc w:val="right"/>
              <w:rPr>
                <w:rFonts w:cstheme="minorHAnsi"/>
                <w:sz w:val="18"/>
                <w:szCs w:val="18"/>
              </w:rPr>
            </w:pPr>
            <w:r w:rsidRPr="004C1B36">
              <w:rPr>
                <w:rFonts w:cstheme="minorHAnsi"/>
                <w:sz w:val="18"/>
                <w:szCs w:val="18"/>
              </w:rPr>
              <w:t>19,03</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BB6C1C" w14:textId="77777777" w:rsidR="004C1B36" w:rsidRPr="004C1B36" w:rsidRDefault="004C1B36" w:rsidP="00F04B84">
            <w:pPr>
              <w:jc w:val="right"/>
              <w:rPr>
                <w:rFonts w:cstheme="minorHAnsi"/>
                <w:sz w:val="18"/>
                <w:szCs w:val="18"/>
                <w:highlight w:val="yellow"/>
              </w:rPr>
            </w:pPr>
            <w:r w:rsidRPr="004C1B36">
              <w:rPr>
                <w:rFonts w:cstheme="minorHAnsi"/>
                <w:sz w:val="18"/>
                <w:szCs w:val="18"/>
              </w:rPr>
              <w:t>22,28</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2F20E6" w14:textId="77777777" w:rsidR="004C1B36" w:rsidRPr="004C1B36" w:rsidRDefault="004C1B36" w:rsidP="00F04B84">
            <w:pPr>
              <w:jc w:val="right"/>
              <w:rPr>
                <w:rFonts w:cstheme="minorHAnsi"/>
                <w:sz w:val="18"/>
                <w:szCs w:val="18"/>
                <w:highlight w:val="yellow"/>
              </w:rPr>
            </w:pPr>
            <w:r w:rsidRPr="004C1B36">
              <w:rPr>
                <w:rFonts w:cstheme="minorHAnsi"/>
                <w:sz w:val="18"/>
                <w:szCs w:val="18"/>
              </w:rPr>
              <w:t>23,29</w:t>
            </w:r>
          </w:p>
        </w:tc>
      </w:tr>
      <w:tr w:rsidR="004C1B36" w:rsidRPr="004C1B36" w14:paraId="7474541F"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58C7634D" w14:textId="77777777" w:rsidR="004C1B36" w:rsidRPr="004C1B36" w:rsidRDefault="004C1B36" w:rsidP="00F04B84">
            <w:pPr>
              <w:ind w:firstLineChars="200" w:firstLine="360"/>
              <w:rPr>
                <w:rFonts w:cstheme="minorHAnsi"/>
                <w:sz w:val="18"/>
                <w:szCs w:val="18"/>
              </w:rPr>
            </w:pPr>
            <w:r w:rsidRPr="004C1B36">
              <w:rPr>
                <w:rFonts w:cstheme="minorHAnsi"/>
                <w:sz w:val="18"/>
                <w:szCs w:val="18"/>
              </w:rPr>
              <w:t>B. Przemysł chemiczny</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743971D0" w14:textId="77777777" w:rsidR="004C1B36" w:rsidRPr="004C1B36" w:rsidRDefault="004C1B36" w:rsidP="00F04B84">
            <w:pPr>
              <w:jc w:val="right"/>
              <w:rPr>
                <w:rFonts w:cstheme="minorHAnsi"/>
                <w:sz w:val="18"/>
                <w:szCs w:val="18"/>
              </w:rPr>
            </w:pPr>
            <w:r w:rsidRPr="004C1B36">
              <w:rPr>
                <w:rFonts w:cstheme="minorHAnsi"/>
                <w:sz w:val="18"/>
                <w:szCs w:val="18"/>
              </w:rPr>
              <w:t>2,70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AD02788" w14:textId="77777777" w:rsidR="004C1B36" w:rsidRPr="004C1B36" w:rsidRDefault="004C1B36" w:rsidP="00F04B84">
            <w:pPr>
              <w:jc w:val="right"/>
              <w:rPr>
                <w:rFonts w:cstheme="minorHAnsi"/>
                <w:sz w:val="18"/>
                <w:szCs w:val="18"/>
              </w:rPr>
            </w:pPr>
            <w:r w:rsidRPr="004C1B36">
              <w:rPr>
                <w:rFonts w:cstheme="minorHAnsi"/>
                <w:sz w:val="18"/>
                <w:szCs w:val="18"/>
              </w:rPr>
              <w:t>2,32</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7E8966B1" w14:textId="77777777" w:rsidR="004C1B36" w:rsidRPr="004C1B36" w:rsidRDefault="004C1B36" w:rsidP="00F04B84">
            <w:pPr>
              <w:jc w:val="right"/>
              <w:rPr>
                <w:rFonts w:cstheme="minorHAnsi"/>
                <w:sz w:val="18"/>
                <w:szCs w:val="18"/>
              </w:rPr>
            </w:pPr>
            <w:r w:rsidRPr="004C1B36">
              <w:rPr>
                <w:rFonts w:cstheme="minorHAnsi"/>
                <w:sz w:val="18"/>
                <w:szCs w:val="18"/>
              </w:rPr>
              <w:t>2,26</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358FC8" w14:textId="77777777" w:rsidR="004C1B36" w:rsidRPr="004C1B36" w:rsidRDefault="004C1B36" w:rsidP="00F04B84">
            <w:pPr>
              <w:jc w:val="right"/>
              <w:rPr>
                <w:rFonts w:cstheme="minorHAnsi"/>
                <w:sz w:val="18"/>
                <w:szCs w:val="18"/>
                <w:highlight w:val="yellow"/>
              </w:rPr>
            </w:pPr>
            <w:r w:rsidRPr="004C1B36">
              <w:rPr>
                <w:rFonts w:cstheme="minorHAnsi"/>
                <w:sz w:val="18"/>
                <w:szCs w:val="18"/>
              </w:rPr>
              <w:t>3,30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D9D2AF" w14:textId="77777777" w:rsidR="004C1B36" w:rsidRPr="004C1B36" w:rsidRDefault="004C1B36" w:rsidP="00F04B84">
            <w:pPr>
              <w:jc w:val="right"/>
              <w:rPr>
                <w:rFonts w:cstheme="minorHAnsi"/>
                <w:sz w:val="18"/>
                <w:szCs w:val="18"/>
                <w:highlight w:val="yellow"/>
              </w:rPr>
            </w:pPr>
            <w:r w:rsidRPr="004C1B36">
              <w:rPr>
                <w:rFonts w:cstheme="minorHAnsi"/>
                <w:sz w:val="18"/>
                <w:szCs w:val="18"/>
              </w:rPr>
              <w:t>3,17</w:t>
            </w:r>
          </w:p>
        </w:tc>
      </w:tr>
      <w:tr w:rsidR="004C1B36" w:rsidRPr="004C1B36" w14:paraId="34845086"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2DCC0D38" w14:textId="77777777" w:rsidR="004C1B36" w:rsidRPr="004C1B36" w:rsidRDefault="004C1B36" w:rsidP="00F04B84">
            <w:pPr>
              <w:ind w:firstLineChars="200" w:firstLine="360"/>
              <w:rPr>
                <w:rFonts w:cstheme="minorHAnsi"/>
                <w:sz w:val="18"/>
                <w:szCs w:val="18"/>
              </w:rPr>
            </w:pPr>
            <w:r w:rsidRPr="004C1B36">
              <w:rPr>
                <w:rFonts w:cstheme="minorHAnsi"/>
                <w:sz w:val="18"/>
                <w:szCs w:val="18"/>
              </w:rPr>
              <w:t>C. Produkcja metali</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0823DCD0" w14:textId="77777777" w:rsidR="004C1B36" w:rsidRPr="004C1B36" w:rsidRDefault="004C1B36" w:rsidP="00F04B84">
            <w:pPr>
              <w:jc w:val="right"/>
              <w:rPr>
                <w:rFonts w:cstheme="minorHAnsi"/>
                <w:sz w:val="18"/>
                <w:szCs w:val="18"/>
              </w:rPr>
            </w:pPr>
            <w:r w:rsidRPr="004C1B36">
              <w:rPr>
                <w:rFonts w:cstheme="minorHAnsi"/>
                <w:sz w:val="18"/>
                <w:szCs w:val="18"/>
              </w:rPr>
              <w:t>5,28</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2DAC544" w14:textId="77777777" w:rsidR="004C1B36" w:rsidRPr="004C1B36" w:rsidRDefault="004C1B36" w:rsidP="00F04B84">
            <w:pPr>
              <w:jc w:val="right"/>
              <w:rPr>
                <w:rFonts w:cstheme="minorHAnsi"/>
                <w:sz w:val="18"/>
                <w:szCs w:val="18"/>
              </w:rPr>
            </w:pPr>
            <w:r w:rsidRPr="004C1B36">
              <w:rPr>
                <w:rFonts w:cstheme="minorHAnsi"/>
                <w:sz w:val="18"/>
                <w:szCs w:val="18"/>
              </w:rPr>
              <w:t>1,68</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7DCEBA42" w14:textId="77777777" w:rsidR="004C1B36" w:rsidRPr="004C1B36" w:rsidRDefault="004C1B36" w:rsidP="00F04B84">
            <w:pPr>
              <w:jc w:val="right"/>
              <w:rPr>
                <w:rFonts w:cstheme="minorHAnsi"/>
                <w:sz w:val="18"/>
                <w:szCs w:val="18"/>
              </w:rPr>
            </w:pPr>
            <w:r w:rsidRPr="004C1B36">
              <w:rPr>
                <w:rFonts w:cstheme="minorHAnsi"/>
                <w:sz w:val="18"/>
                <w:szCs w:val="18"/>
              </w:rPr>
              <w:t>1,49</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C8024" w14:textId="77777777" w:rsidR="004C1B36" w:rsidRPr="004C1B36" w:rsidRDefault="004C1B36" w:rsidP="00F04B84">
            <w:pPr>
              <w:jc w:val="right"/>
              <w:rPr>
                <w:rFonts w:cstheme="minorHAnsi"/>
                <w:sz w:val="18"/>
                <w:szCs w:val="18"/>
                <w:highlight w:val="yellow"/>
              </w:rPr>
            </w:pPr>
            <w:r w:rsidRPr="004C1B36">
              <w:rPr>
                <w:rFonts w:cstheme="minorHAnsi"/>
                <w:sz w:val="18"/>
                <w:szCs w:val="18"/>
              </w:rPr>
              <w:t>2,14</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5CE330" w14:textId="77777777" w:rsidR="004C1B36" w:rsidRPr="004C1B36" w:rsidRDefault="004C1B36" w:rsidP="00F04B84">
            <w:pPr>
              <w:jc w:val="right"/>
              <w:rPr>
                <w:rFonts w:cstheme="minorHAnsi"/>
                <w:sz w:val="18"/>
                <w:szCs w:val="18"/>
                <w:highlight w:val="yellow"/>
              </w:rPr>
            </w:pPr>
            <w:r w:rsidRPr="004C1B36">
              <w:rPr>
                <w:rFonts w:cstheme="minorHAnsi"/>
                <w:sz w:val="18"/>
                <w:szCs w:val="18"/>
              </w:rPr>
              <w:t>1,96</w:t>
            </w:r>
          </w:p>
        </w:tc>
      </w:tr>
      <w:tr w:rsidR="004C1B36" w:rsidRPr="004C1B36" w14:paraId="5EDA414A"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53120556" w14:textId="77777777" w:rsidR="004C1B36" w:rsidRPr="004C1B36" w:rsidRDefault="004C1B36" w:rsidP="00F04B84">
            <w:pPr>
              <w:ind w:firstLineChars="200" w:firstLine="360"/>
              <w:rPr>
                <w:rFonts w:cstheme="minorHAnsi"/>
                <w:sz w:val="18"/>
                <w:szCs w:val="18"/>
              </w:rPr>
            </w:pPr>
            <w:r w:rsidRPr="004C1B36">
              <w:rPr>
                <w:rFonts w:cstheme="minorHAnsi"/>
                <w:sz w:val="18"/>
                <w:szCs w:val="18"/>
              </w:rPr>
              <w:t>D. Stosowanie rozpuszczalników i innych produktów</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75639A37" w14:textId="77777777" w:rsidR="004C1B36" w:rsidRPr="004C1B36" w:rsidRDefault="004C1B36" w:rsidP="00F04B84">
            <w:pPr>
              <w:jc w:val="right"/>
              <w:rPr>
                <w:rFonts w:cstheme="minorHAnsi"/>
                <w:sz w:val="18"/>
                <w:szCs w:val="18"/>
              </w:rPr>
            </w:pPr>
            <w:r w:rsidRPr="004C1B36">
              <w:rPr>
                <w:rFonts w:cstheme="minorHAnsi"/>
                <w:sz w:val="18"/>
                <w:szCs w:val="18"/>
              </w:rPr>
              <w:t>1,83</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0920385B" w14:textId="77777777" w:rsidR="004C1B36" w:rsidRPr="004C1B36" w:rsidRDefault="004C1B36" w:rsidP="00F04B84">
            <w:pPr>
              <w:jc w:val="right"/>
              <w:rPr>
                <w:rFonts w:cstheme="minorHAnsi"/>
                <w:sz w:val="18"/>
                <w:szCs w:val="18"/>
              </w:rPr>
            </w:pPr>
            <w:r w:rsidRPr="004C1B36">
              <w:rPr>
                <w:rFonts w:cstheme="minorHAnsi"/>
                <w:sz w:val="18"/>
                <w:szCs w:val="18"/>
              </w:rPr>
              <w:t>3,42</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341E9EA7" w14:textId="77777777" w:rsidR="004C1B36" w:rsidRPr="004C1B36" w:rsidRDefault="004C1B36" w:rsidP="00F04B84">
            <w:pPr>
              <w:jc w:val="right"/>
              <w:rPr>
                <w:rFonts w:cstheme="minorHAnsi"/>
                <w:sz w:val="18"/>
                <w:szCs w:val="18"/>
              </w:rPr>
            </w:pPr>
            <w:r w:rsidRPr="004C1B36">
              <w:rPr>
                <w:rFonts w:cstheme="minorHAnsi"/>
                <w:sz w:val="18"/>
                <w:szCs w:val="18"/>
              </w:rPr>
              <w:t>4,70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B92ADD" w14:textId="77777777" w:rsidR="004C1B36" w:rsidRPr="004C1B36" w:rsidRDefault="004C1B36" w:rsidP="00F04B84">
            <w:pPr>
              <w:jc w:val="right"/>
              <w:rPr>
                <w:rFonts w:cstheme="minorHAnsi"/>
                <w:sz w:val="18"/>
                <w:szCs w:val="18"/>
                <w:highlight w:val="yellow"/>
              </w:rPr>
            </w:pPr>
            <w:r w:rsidRPr="004C1B36">
              <w:rPr>
                <w:rFonts w:cstheme="minorHAnsi"/>
                <w:sz w:val="18"/>
                <w:szCs w:val="18"/>
              </w:rPr>
              <w:t>4,48</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AE0A9E" w14:textId="77777777" w:rsidR="004C1B36" w:rsidRPr="004C1B36" w:rsidRDefault="004C1B36" w:rsidP="00F04B84">
            <w:pPr>
              <w:jc w:val="right"/>
              <w:rPr>
                <w:rFonts w:cstheme="minorHAnsi"/>
                <w:sz w:val="18"/>
                <w:szCs w:val="18"/>
                <w:highlight w:val="yellow"/>
              </w:rPr>
            </w:pPr>
            <w:r w:rsidRPr="004C1B36">
              <w:rPr>
                <w:rFonts w:cstheme="minorHAnsi"/>
                <w:sz w:val="18"/>
                <w:szCs w:val="18"/>
              </w:rPr>
              <w:t>4,45</w:t>
            </w:r>
          </w:p>
        </w:tc>
      </w:tr>
      <w:tr w:rsidR="004C1B36" w:rsidRPr="004C1B36" w14:paraId="03F8E578"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76079151" w14:textId="77777777" w:rsidR="004C1B36" w:rsidRPr="004C1B36" w:rsidRDefault="004C1B36" w:rsidP="00F04B84">
            <w:pPr>
              <w:ind w:firstLineChars="200" w:firstLine="360"/>
              <w:rPr>
                <w:rFonts w:cstheme="minorHAnsi"/>
                <w:sz w:val="18"/>
                <w:szCs w:val="18"/>
              </w:rPr>
            </w:pPr>
            <w:r w:rsidRPr="004C1B36">
              <w:rPr>
                <w:rFonts w:cstheme="minorHAnsi"/>
                <w:sz w:val="18"/>
                <w:szCs w:val="18"/>
              </w:rPr>
              <w:t>G. – L. Inne</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B5EBDAC" w14:textId="77777777" w:rsidR="004C1B36" w:rsidRPr="004C1B36" w:rsidRDefault="004C1B36" w:rsidP="00F04B84">
            <w:pPr>
              <w:jc w:val="right"/>
              <w:rPr>
                <w:rFonts w:cstheme="minorHAnsi"/>
                <w:sz w:val="18"/>
                <w:szCs w:val="18"/>
              </w:rPr>
            </w:pPr>
            <w:r w:rsidRPr="004C1B36">
              <w:rPr>
                <w:rFonts w:cstheme="minorHAnsi"/>
                <w:sz w:val="18"/>
                <w:szCs w:val="18"/>
              </w:rPr>
              <w:t>2,32</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C9F4308" w14:textId="77777777" w:rsidR="004C1B36" w:rsidRPr="004C1B36" w:rsidRDefault="004C1B36" w:rsidP="00F04B84">
            <w:pPr>
              <w:jc w:val="right"/>
              <w:rPr>
                <w:rFonts w:cstheme="minorHAnsi"/>
                <w:sz w:val="18"/>
                <w:szCs w:val="18"/>
              </w:rPr>
            </w:pPr>
            <w:r w:rsidRPr="004C1B36">
              <w:rPr>
                <w:rFonts w:cstheme="minorHAnsi"/>
                <w:sz w:val="18"/>
                <w:szCs w:val="18"/>
              </w:rPr>
              <w:t>2,07</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24DB51B1" w14:textId="77777777" w:rsidR="004C1B36" w:rsidRPr="004C1B36" w:rsidRDefault="004C1B36" w:rsidP="00F04B84">
            <w:pPr>
              <w:jc w:val="right"/>
              <w:rPr>
                <w:rFonts w:cstheme="minorHAnsi"/>
                <w:sz w:val="18"/>
                <w:szCs w:val="18"/>
              </w:rPr>
            </w:pPr>
            <w:r w:rsidRPr="004C1B36">
              <w:rPr>
                <w:rFonts w:cstheme="minorHAnsi"/>
                <w:sz w:val="18"/>
                <w:szCs w:val="18"/>
              </w:rPr>
              <w:t>2,02</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D9A73B" w14:textId="77777777" w:rsidR="004C1B36" w:rsidRPr="004C1B36" w:rsidRDefault="004C1B36" w:rsidP="00F04B84">
            <w:pPr>
              <w:jc w:val="right"/>
              <w:rPr>
                <w:rFonts w:cstheme="minorHAnsi"/>
                <w:sz w:val="18"/>
                <w:szCs w:val="18"/>
                <w:highlight w:val="yellow"/>
              </w:rPr>
            </w:pPr>
            <w:r w:rsidRPr="004C1B36">
              <w:rPr>
                <w:rFonts w:cstheme="minorHAnsi"/>
                <w:sz w:val="18"/>
                <w:szCs w:val="18"/>
              </w:rPr>
              <w:t>1,61</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13131" w14:textId="77777777" w:rsidR="004C1B36" w:rsidRPr="004C1B36" w:rsidRDefault="004C1B36" w:rsidP="00F04B84">
            <w:pPr>
              <w:jc w:val="right"/>
              <w:rPr>
                <w:rFonts w:cstheme="minorHAnsi"/>
                <w:sz w:val="18"/>
                <w:szCs w:val="18"/>
                <w:highlight w:val="yellow"/>
              </w:rPr>
            </w:pPr>
            <w:r w:rsidRPr="004C1B36">
              <w:rPr>
                <w:rFonts w:cstheme="minorHAnsi"/>
                <w:sz w:val="18"/>
                <w:szCs w:val="18"/>
              </w:rPr>
              <w:t>1,68</w:t>
            </w:r>
          </w:p>
        </w:tc>
      </w:tr>
      <w:tr w:rsidR="004C1B36" w:rsidRPr="004C1B36" w14:paraId="1BFF8E11"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7E87D6B3" w14:textId="77777777" w:rsidR="004C1B36" w:rsidRPr="004C1B36" w:rsidRDefault="004C1B36" w:rsidP="00F04B84">
            <w:pPr>
              <w:rPr>
                <w:rFonts w:cstheme="minorHAnsi"/>
                <w:b/>
                <w:sz w:val="18"/>
                <w:szCs w:val="18"/>
              </w:rPr>
            </w:pPr>
            <w:r w:rsidRPr="004C1B36">
              <w:rPr>
                <w:rFonts w:cstheme="minorHAnsi"/>
                <w:b/>
                <w:bCs/>
                <w:sz w:val="18"/>
                <w:szCs w:val="18"/>
              </w:rPr>
              <w:t>3. Rolnictwo</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3C449461" w14:textId="77777777" w:rsidR="004C1B36" w:rsidRPr="004C1B36" w:rsidRDefault="004C1B36" w:rsidP="00F04B84">
            <w:pPr>
              <w:jc w:val="right"/>
              <w:rPr>
                <w:rFonts w:cstheme="minorHAnsi"/>
                <w:b/>
                <w:sz w:val="18"/>
                <w:szCs w:val="18"/>
              </w:rPr>
            </w:pPr>
            <w:r w:rsidRPr="004C1B36">
              <w:rPr>
                <w:rFonts w:cstheme="minorHAnsi"/>
                <w:b/>
                <w:bCs/>
                <w:sz w:val="18"/>
                <w:szCs w:val="18"/>
              </w:rPr>
              <w:t>38,97</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2DFD10C0" w14:textId="77777777" w:rsidR="004C1B36" w:rsidRPr="004C1B36" w:rsidRDefault="004C1B36" w:rsidP="00F04B84">
            <w:pPr>
              <w:jc w:val="right"/>
              <w:rPr>
                <w:rFonts w:cstheme="minorHAnsi"/>
                <w:b/>
                <w:sz w:val="18"/>
                <w:szCs w:val="18"/>
              </w:rPr>
            </w:pPr>
            <w:r w:rsidRPr="004C1B36">
              <w:rPr>
                <w:rFonts w:cstheme="minorHAnsi"/>
                <w:b/>
                <w:bCs/>
                <w:sz w:val="18"/>
                <w:szCs w:val="18"/>
              </w:rPr>
              <w:t>29,69</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078627A" w14:textId="77777777" w:rsidR="004C1B36" w:rsidRPr="004C1B36" w:rsidRDefault="004C1B36" w:rsidP="00F04B84">
            <w:pPr>
              <w:jc w:val="right"/>
              <w:rPr>
                <w:rFonts w:cstheme="minorHAnsi"/>
                <w:b/>
                <w:sz w:val="18"/>
                <w:szCs w:val="18"/>
              </w:rPr>
            </w:pPr>
            <w:r w:rsidRPr="004C1B36">
              <w:rPr>
                <w:rFonts w:cstheme="minorHAnsi"/>
                <w:b/>
                <w:bCs/>
                <w:sz w:val="18"/>
                <w:szCs w:val="18"/>
              </w:rPr>
              <w:t>26,17</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66BC2A" w14:textId="77777777" w:rsidR="004C1B36" w:rsidRPr="004C1B36" w:rsidRDefault="004C1B36" w:rsidP="00F04B84">
            <w:pPr>
              <w:jc w:val="right"/>
              <w:rPr>
                <w:rFonts w:cstheme="minorHAnsi"/>
                <w:b/>
                <w:sz w:val="18"/>
                <w:szCs w:val="18"/>
                <w:highlight w:val="yellow"/>
              </w:rPr>
            </w:pPr>
            <w:r w:rsidRPr="004C1B36">
              <w:rPr>
                <w:rFonts w:cstheme="minorHAnsi"/>
                <w:b/>
                <w:bCs/>
                <w:sz w:val="18"/>
                <w:szCs w:val="18"/>
              </w:rPr>
              <w:t>29,00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D4291" w14:textId="77777777" w:rsidR="004C1B36" w:rsidRPr="004C1B36" w:rsidRDefault="004C1B36" w:rsidP="00F04B84">
            <w:pPr>
              <w:jc w:val="right"/>
              <w:rPr>
                <w:rFonts w:cstheme="minorHAnsi"/>
                <w:b/>
                <w:sz w:val="18"/>
                <w:szCs w:val="18"/>
                <w:highlight w:val="yellow"/>
              </w:rPr>
            </w:pPr>
            <w:r w:rsidRPr="004C1B36">
              <w:rPr>
                <w:rFonts w:cstheme="minorHAnsi"/>
                <w:b/>
                <w:bCs/>
                <w:sz w:val="18"/>
                <w:szCs w:val="18"/>
              </w:rPr>
              <w:t>29,49</w:t>
            </w:r>
          </w:p>
        </w:tc>
      </w:tr>
      <w:tr w:rsidR="004C1B36" w:rsidRPr="004C1B36" w14:paraId="26838CB2"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35F9F067" w14:textId="77777777" w:rsidR="004C1B36" w:rsidRPr="004C1B36" w:rsidRDefault="004C1B36" w:rsidP="00F04B84">
            <w:pPr>
              <w:ind w:firstLineChars="200" w:firstLine="360"/>
              <w:rPr>
                <w:rFonts w:cstheme="minorHAnsi"/>
                <w:sz w:val="18"/>
                <w:szCs w:val="18"/>
              </w:rPr>
            </w:pPr>
            <w:r w:rsidRPr="004C1B36">
              <w:rPr>
                <w:rFonts w:cstheme="minorHAnsi"/>
                <w:sz w:val="18"/>
                <w:szCs w:val="18"/>
              </w:rPr>
              <w:t>B. Nawozy naturalne</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0886B2B" w14:textId="77777777" w:rsidR="004C1B36" w:rsidRPr="004C1B36" w:rsidRDefault="004C1B36" w:rsidP="00F04B84">
            <w:pPr>
              <w:jc w:val="right"/>
              <w:rPr>
                <w:rFonts w:cstheme="minorHAnsi"/>
                <w:sz w:val="18"/>
                <w:szCs w:val="18"/>
              </w:rPr>
            </w:pPr>
            <w:r w:rsidRPr="004C1B36">
              <w:rPr>
                <w:rFonts w:cstheme="minorHAnsi"/>
                <w:sz w:val="18"/>
                <w:szCs w:val="18"/>
              </w:rPr>
              <w:t>16,33</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C8442F7" w14:textId="77777777" w:rsidR="004C1B36" w:rsidRPr="004C1B36" w:rsidRDefault="004C1B36" w:rsidP="00F04B84">
            <w:pPr>
              <w:jc w:val="right"/>
              <w:rPr>
                <w:rFonts w:cstheme="minorHAnsi"/>
                <w:sz w:val="18"/>
                <w:szCs w:val="18"/>
              </w:rPr>
            </w:pPr>
            <w:r w:rsidRPr="004C1B36">
              <w:rPr>
                <w:rFonts w:cstheme="minorHAnsi"/>
                <w:sz w:val="18"/>
                <w:szCs w:val="18"/>
              </w:rPr>
              <w:t>10,68</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909B841" w14:textId="77777777" w:rsidR="004C1B36" w:rsidRPr="004C1B36" w:rsidRDefault="004C1B36" w:rsidP="00F04B84">
            <w:pPr>
              <w:jc w:val="right"/>
              <w:rPr>
                <w:rFonts w:cstheme="minorHAnsi"/>
                <w:sz w:val="18"/>
                <w:szCs w:val="18"/>
              </w:rPr>
            </w:pPr>
            <w:r w:rsidRPr="004C1B36">
              <w:rPr>
                <w:rFonts w:cstheme="minorHAnsi"/>
                <w:sz w:val="18"/>
                <w:szCs w:val="18"/>
              </w:rPr>
              <w:t>9,28</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EE43C5" w14:textId="77777777" w:rsidR="004C1B36" w:rsidRPr="004C1B36" w:rsidRDefault="004C1B36" w:rsidP="00F04B84">
            <w:pPr>
              <w:jc w:val="right"/>
              <w:rPr>
                <w:rFonts w:cstheme="minorHAnsi"/>
                <w:sz w:val="18"/>
                <w:szCs w:val="18"/>
                <w:highlight w:val="yellow"/>
              </w:rPr>
            </w:pPr>
            <w:r w:rsidRPr="004C1B36">
              <w:rPr>
                <w:rFonts w:cstheme="minorHAnsi"/>
                <w:sz w:val="18"/>
                <w:szCs w:val="18"/>
              </w:rPr>
              <w:t>11,77</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AAB235" w14:textId="77777777" w:rsidR="004C1B36" w:rsidRPr="004C1B36" w:rsidRDefault="004C1B36" w:rsidP="00F04B84">
            <w:pPr>
              <w:jc w:val="right"/>
              <w:rPr>
                <w:rFonts w:cstheme="minorHAnsi"/>
                <w:sz w:val="18"/>
                <w:szCs w:val="18"/>
                <w:highlight w:val="yellow"/>
              </w:rPr>
            </w:pPr>
            <w:r w:rsidRPr="004C1B36">
              <w:rPr>
                <w:rFonts w:cstheme="minorHAnsi"/>
                <w:sz w:val="18"/>
                <w:szCs w:val="18"/>
              </w:rPr>
              <w:t>12,16</w:t>
            </w:r>
          </w:p>
        </w:tc>
      </w:tr>
      <w:tr w:rsidR="004C1B36" w:rsidRPr="004C1B36" w14:paraId="30B1CAEF"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1FB962A8" w14:textId="77777777" w:rsidR="004C1B36" w:rsidRPr="004C1B36" w:rsidRDefault="004C1B36" w:rsidP="00F04B84">
            <w:pPr>
              <w:ind w:firstLineChars="200" w:firstLine="360"/>
              <w:rPr>
                <w:rFonts w:cstheme="minorHAnsi"/>
                <w:sz w:val="18"/>
                <w:szCs w:val="18"/>
              </w:rPr>
            </w:pPr>
            <w:r w:rsidRPr="004C1B36">
              <w:rPr>
                <w:rFonts w:cstheme="minorHAnsi"/>
                <w:sz w:val="18"/>
                <w:szCs w:val="18"/>
              </w:rPr>
              <w:t>D. Gleby rolne</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260A8047" w14:textId="77777777" w:rsidR="004C1B36" w:rsidRPr="004C1B36" w:rsidRDefault="004C1B36" w:rsidP="00F04B84">
            <w:pPr>
              <w:jc w:val="right"/>
              <w:rPr>
                <w:rFonts w:cstheme="minorHAnsi"/>
                <w:sz w:val="18"/>
                <w:szCs w:val="18"/>
              </w:rPr>
            </w:pPr>
            <w:r w:rsidRPr="004C1B36">
              <w:rPr>
                <w:rFonts w:cstheme="minorHAnsi"/>
                <w:sz w:val="18"/>
                <w:szCs w:val="18"/>
              </w:rPr>
              <w:t>22,45</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7BE7F4F0" w14:textId="77777777" w:rsidR="004C1B36" w:rsidRPr="004C1B36" w:rsidRDefault="004C1B36" w:rsidP="00F04B84">
            <w:pPr>
              <w:jc w:val="right"/>
              <w:rPr>
                <w:rFonts w:cstheme="minorHAnsi"/>
                <w:sz w:val="18"/>
                <w:szCs w:val="18"/>
              </w:rPr>
            </w:pPr>
            <w:r w:rsidRPr="004C1B36">
              <w:rPr>
                <w:rFonts w:cstheme="minorHAnsi"/>
                <w:sz w:val="18"/>
                <w:szCs w:val="18"/>
              </w:rPr>
              <w:t>18,85</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0CAC9087" w14:textId="77777777" w:rsidR="004C1B36" w:rsidRPr="004C1B36" w:rsidRDefault="004C1B36" w:rsidP="00F04B84">
            <w:pPr>
              <w:jc w:val="right"/>
              <w:rPr>
                <w:rFonts w:cstheme="minorHAnsi"/>
                <w:sz w:val="18"/>
                <w:szCs w:val="18"/>
              </w:rPr>
            </w:pPr>
            <w:r w:rsidRPr="004C1B36">
              <w:rPr>
                <w:rFonts w:cstheme="minorHAnsi"/>
                <w:sz w:val="18"/>
                <w:szCs w:val="18"/>
              </w:rPr>
              <w:t>16,84</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14FE7" w14:textId="77777777" w:rsidR="004C1B36" w:rsidRPr="004C1B36" w:rsidRDefault="004C1B36" w:rsidP="00F04B84">
            <w:pPr>
              <w:jc w:val="right"/>
              <w:rPr>
                <w:rFonts w:cstheme="minorHAnsi"/>
                <w:sz w:val="18"/>
                <w:szCs w:val="18"/>
                <w:highlight w:val="yellow"/>
              </w:rPr>
            </w:pPr>
            <w:r w:rsidRPr="004C1B36">
              <w:rPr>
                <w:rFonts w:cstheme="minorHAnsi"/>
                <w:sz w:val="18"/>
                <w:szCs w:val="18"/>
              </w:rPr>
              <w:t>17,17</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D327FD" w14:textId="77777777" w:rsidR="004C1B36" w:rsidRPr="004C1B36" w:rsidRDefault="004C1B36" w:rsidP="00F04B84">
            <w:pPr>
              <w:jc w:val="right"/>
              <w:rPr>
                <w:rFonts w:cstheme="minorHAnsi"/>
                <w:sz w:val="18"/>
                <w:szCs w:val="18"/>
                <w:highlight w:val="yellow"/>
              </w:rPr>
            </w:pPr>
            <w:r w:rsidRPr="004C1B36">
              <w:rPr>
                <w:rFonts w:cstheme="minorHAnsi"/>
                <w:sz w:val="18"/>
                <w:szCs w:val="18"/>
              </w:rPr>
              <w:t>17,25</w:t>
            </w:r>
          </w:p>
        </w:tc>
      </w:tr>
      <w:tr w:rsidR="004C1B36" w:rsidRPr="004C1B36" w14:paraId="28378BCE"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2FC30B3E" w14:textId="77777777" w:rsidR="004C1B36" w:rsidRPr="004C1B36" w:rsidRDefault="004C1B36" w:rsidP="00F04B84">
            <w:pPr>
              <w:ind w:firstLineChars="200" w:firstLine="360"/>
              <w:rPr>
                <w:rFonts w:cstheme="minorHAnsi"/>
                <w:sz w:val="18"/>
                <w:szCs w:val="18"/>
              </w:rPr>
            </w:pPr>
            <w:r w:rsidRPr="004C1B36">
              <w:rPr>
                <w:rFonts w:cstheme="minorHAnsi"/>
                <w:sz w:val="18"/>
                <w:szCs w:val="18"/>
              </w:rPr>
              <w:t>F. Spalanie resztek roślinnych</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89309E2" w14:textId="77777777" w:rsidR="004C1B36" w:rsidRPr="004C1B36" w:rsidRDefault="004C1B36" w:rsidP="00F04B84">
            <w:pPr>
              <w:jc w:val="right"/>
              <w:rPr>
                <w:rFonts w:cstheme="minorHAnsi"/>
                <w:sz w:val="18"/>
                <w:szCs w:val="18"/>
              </w:rPr>
            </w:pPr>
            <w:r w:rsidRPr="004C1B36">
              <w:rPr>
                <w:rFonts w:cstheme="minorHAnsi"/>
                <w:sz w:val="18"/>
                <w:szCs w:val="18"/>
              </w:rPr>
              <w:t>0,20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BEF246D" w14:textId="77777777" w:rsidR="004C1B36" w:rsidRPr="004C1B36" w:rsidRDefault="004C1B36" w:rsidP="00F04B84">
            <w:pPr>
              <w:jc w:val="right"/>
              <w:rPr>
                <w:rFonts w:cstheme="minorHAnsi"/>
                <w:sz w:val="18"/>
                <w:szCs w:val="18"/>
              </w:rPr>
            </w:pPr>
            <w:r w:rsidRPr="004C1B36">
              <w:rPr>
                <w:rFonts w:cstheme="minorHAnsi"/>
                <w:sz w:val="18"/>
                <w:szCs w:val="18"/>
              </w:rPr>
              <w:t>0,16</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0555711" w14:textId="77777777" w:rsidR="004C1B36" w:rsidRPr="004C1B36" w:rsidRDefault="004C1B36" w:rsidP="00F04B84">
            <w:pPr>
              <w:jc w:val="right"/>
              <w:rPr>
                <w:rFonts w:cstheme="minorHAnsi"/>
                <w:sz w:val="18"/>
                <w:szCs w:val="18"/>
              </w:rPr>
            </w:pPr>
            <w:r w:rsidRPr="004C1B36">
              <w:rPr>
                <w:rFonts w:cstheme="minorHAnsi"/>
                <w:sz w:val="18"/>
                <w:szCs w:val="18"/>
              </w:rPr>
              <w:t>0,04</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A0F8C" w14:textId="77777777" w:rsidR="004C1B36" w:rsidRPr="004C1B36" w:rsidRDefault="004C1B36" w:rsidP="00F04B84">
            <w:pPr>
              <w:jc w:val="right"/>
              <w:rPr>
                <w:rFonts w:cstheme="minorHAnsi"/>
                <w:sz w:val="18"/>
                <w:szCs w:val="18"/>
                <w:highlight w:val="yellow"/>
                <w:lang w:val="en-US"/>
              </w:rPr>
            </w:pPr>
            <w:r w:rsidRPr="004C1B36">
              <w:rPr>
                <w:rFonts w:cstheme="minorHAnsi"/>
                <w:sz w:val="18"/>
                <w:szCs w:val="18"/>
              </w:rPr>
              <w:t>0,06</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336F09" w14:textId="77777777" w:rsidR="004C1B36" w:rsidRPr="004C1B36" w:rsidRDefault="004C1B36" w:rsidP="00F04B84">
            <w:pPr>
              <w:jc w:val="right"/>
              <w:rPr>
                <w:rFonts w:cstheme="minorHAnsi"/>
                <w:sz w:val="18"/>
                <w:szCs w:val="18"/>
                <w:highlight w:val="yellow"/>
                <w:lang w:val="en-US"/>
              </w:rPr>
            </w:pPr>
            <w:r w:rsidRPr="004C1B36">
              <w:rPr>
                <w:rFonts w:cstheme="minorHAnsi"/>
                <w:sz w:val="18"/>
                <w:szCs w:val="18"/>
              </w:rPr>
              <w:t>0,09</w:t>
            </w:r>
          </w:p>
        </w:tc>
      </w:tr>
      <w:tr w:rsidR="004C1B36" w:rsidRPr="004C1B36" w14:paraId="2228FF3B"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75FB2803" w14:textId="77777777" w:rsidR="004C1B36" w:rsidRPr="004C1B36" w:rsidRDefault="004C1B36" w:rsidP="00F04B84">
            <w:pPr>
              <w:rPr>
                <w:rFonts w:cstheme="minorHAnsi"/>
                <w:b/>
                <w:sz w:val="18"/>
                <w:szCs w:val="18"/>
              </w:rPr>
            </w:pPr>
            <w:r w:rsidRPr="004C1B36">
              <w:rPr>
                <w:rFonts w:cstheme="minorHAnsi"/>
                <w:b/>
                <w:bCs/>
                <w:sz w:val="18"/>
                <w:szCs w:val="18"/>
              </w:rPr>
              <w:t>5. Odpady</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3F3AF48D" w14:textId="77777777" w:rsidR="004C1B36" w:rsidRPr="004C1B36" w:rsidRDefault="004C1B36" w:rsidP="00F04B84">
            <w:pPr>
              <w:jc w:val="right"/>
              <w:rPr>
                <w:rFonts w:cstheme="minorHAnsi"/>
                <w:b/>
                <w:sz w:val="18"/>
                <w:szCs w:val="18"/>
              </w:rPr>
            </w:pPr>
            <w:r w:rsidRPr="004C1B36">
              <w:rPr>
                <w:rFonts w:cstheme="minorHAnsi"/>
                <w:b/>
                <w:bCs/>
                <w:sz w:val="18"/>
                <w:szCs w:val="18"/>
              </w:rPr>
              <w:t>3,28</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3C489A2" w14:textId="77777777" w:rsidR="004C1B36" w:rsidRPr="004C1B36" w:rsidRDefault="004C1B36" w:rsidP="00F04B84">
            <w:pPr>
              <w:jc w:val="right"/>
              <w:rPr>
                <w:rFonts w:cstheme="minorHAnsi"/>
                <w:b/>
                <w:sz w:val="18"/>
                <w:szCs w:val="18"/>
              </w:rPr>
            </w:pPr>
            <w:r w:rsidRPr="004C1B36">
              <w:rPr>
                <w:rFonts w:cstheme="minorHAnsi"/>
                <w:b/>
                <w:bCs/>
                <w:sz w:val="18"/>
                <w:szCs w:val="18"/>
              </w:rPr>
              <w:t>3,84</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35E0DF79" w14:textId="77777777" w:rsidR="004C1B36" w:rsidRPr="004C1B36" w:rsidRDefault="004C1B36" w:rsidP="00F04B84">
            <w:pPr>
              <w:jc w:val="right"/>
              <w:rPr>
                <w:rFonts w:cstheme="minorHAnsi"/>
                <w:b/>
                <w:sz w:val="18"/>
                <w:szCs w:val="18"/>
              </w:rPr>
            </w:pPr>
            <w:r w:rsidRPr="004C1B36">
              <w:rPr>
                <w:rFonts w:cstheme="minorHAnsi"/>
                <w:b/>
                <w:bCs/>
                <w:sz w:val="18"/>
                <w:szCs w:val="18"/>
              </w:rPr>
              <w:t>4,07</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9F3B6" w14:textId="77777777" w:rsidR="004C1B36" w:rsidRPr="004C1B36" w:rsidRDefault="004C1B36" w:rsidP="00F04B84">
            <w:pPr>
              <w:jc w:val="right"/>
              <w:rPr>
                <w:rFonts w:cstheme="minorHAnsi"/>
                <w:b/>
                <w:sz w:val="18"/>
                <w:szCs w:val="18"/>
                <w:highlight w:val="yellow"/>
              </w:rPr>
            </w:pPr>
            <w:r w:rsidRPr="004C1B36">
              <w:rPr>
                <w:rFonts w:cstheme="minorHAnsi"/>
                <w:b/>
                <w:bCs/>
                <w:sz w:val="18"/>
                <w:szCs w:val="18"/>
              </w:rPr>
              <w:t>4,72</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73CEC" w14:textId="77777777" w:rsidR="004C1B36" w:rsidRPr="004C1B36" w:rsidRDefault="004C1B36" w:rsidP="00F04B84">
            <w:pPr>
              <w:jc w:val="right"/>
              <w:rPr>
                <w:rFonts w:cstheme="minorHAnsi"/>
                <w:b/>
                <w:sz w:val="18"/>
                <w:szCs w:val="18"/>
                <w:highlight w:val="yellow"/>
              </w:rPr>
            </w:pPr>
            <w:r w:rsidRPr="004C1B36">
              <w:rPr>
                <w:rFonts w:cstheme="minorHAnsi"/>
                <w:b/>
                <w:bCs/>
                <w:sz w:val="18"/>
                <w:szCs w:val="18"/>
              </w:rPr>
              <w:t>4,46</w:t>
            </w:r>
          </w:p>
        </w:tc>
      </w:tr>
      <w:tr w:rsidR="004C1B36" w:rsidRPr="004C1B36" w14:paraId="28F34868" w14:textId="77777777" w:rsidTr="00F04B84">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43794" w14:textId="77777777" w:rsidR="004C1B36" w:rsidRPr="004C1B36" w:rsidRDefault="004C1B36" w:rsidP="00F04B84">
            <w:pPr>
              <w:ind w:firstLineChars="200" w:firstLine="360"/>
              <w:rPr>
                <w:rFonts w:cstheme="minorHAnsi"/>
                <w:sz w:val="18"/>
                <w:szCs w:val="18"/>
              </w:rPr>
            </w:pPr>
            <w:r w:rsidRPr="004C1B36">
              <w:rPr>
                <w:rFonts w:cstheme="minorHAnsi"/>
                <w:sz w:val="18"/>
                <w:szCs w:val="18"/>
              </w:rPr>
              <w:t>A. Składowiska odpadów stałych</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7D64E4A1" w14:textId="77777777" w:rsidR="004C1B36" w:rsidRPr="004C1B36" w:rsidRDefault="004C1B36" w:rsidP="00F04B84">
            <w:pPr>
              <w:jc w:val="right"/>
              <w:rPr>
                <w:rFonts w:cstheme="minorHAnsi"/>
                <w:sz w:val="18"/>
                <w:szCs w:val="18"/>
              </w:rPr>
            </w:pPr>
            <w:r w:rsidRPr="004C1B36">
              <w:rPr>
                <w:rFonts w:cstheme="minorHAnsi"/>
                <w:sz w:val="18"/>
                <w:szCs w:val="18"/>
              </w:rPr>
              <w:t>0,01</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22A3F9B7" w14:textId="77777777" w:rsidR="004C1B36" w:rsidRPr="004C1B36" w:rsidRDefault="004C1B36" w:rsidP="00F04B84">
            <w:pPr>
              <w:jc w:val="right"/>
              <w:rPr>
                <w:rFonts w:cstheme="minorHAnsi"/>
                <w:sz w:val="18"/>
                <w:szCs w:val="18"/>
              </w:rPr>
            </w:pPr>
            <w:r w:rsidRPr="004C1B36">
              <w:rPr>
                <w:rFonts w:cstheme="minorHAnsi"/>
                <w:sz w:val="18"/>
                <w:szCs w:val="18"/>
              </w:rPr>
              <w:t>0,01</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07AF9376" w14:textId="77777777" w:rsidR="004C1B36" w:rsidRPr="004C1B36" w:rsidRDefault="004C1B36" w:rsidP="00F04B84">
            <w:pPr>
              <w:jc w:val="right"/>
              <w:rPr>
                <w:rFonts w:cstheme="minorHAnsi"/>
                <w:sz w:val="18"/>
                <w:szCs w:val="18"/>
              </w:rPr>
            </w:pPr>
            <w:r w:rsidRPr="004C1B36">
              <w:rPr>
                <w:rFonts w:cstheme="minorHAnsi"/>
                <w:sz w:val="18"/>
                <w:szCs w:val="18"/>
              </w:rPr>
              <w:t>0,01</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B8CF42" w14:textId="77777777" w:rsidR="004C1B36" w:rsidRPr="004C1B36" w:rsidRDefault="004C1B36" w:rsidP="00F04B84">
            <w:pPr>
              <w:jc w:val="right"/>
              <w:rPr>
                <w:rFonts w:cstheme="minorHAnsi"/>
                <w:sz w:val="18"/>
                <w:szCs w:val="18"/>
                <w:highlight w:val="yellow"/>
                <w:lang w:val="en-US"/>
              </w:rPr>
            </w:pPr>
            <w:r w:rsidRPr="004C1B36">
              <w:rPr>
                <w:rFonts w:cstheme="minorHAnsi"/>
                <w:sz w:val="18"/>
                <w:szCs w:val="18"/>
              </w:rPr>
              <w:t>0,01</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F41C6C" w14:textId="77777777" w:rsidR="004C1B36" w:rsidRPr="004C1B36" w:rsidRDefault="004C1B36" w:rsidP="00F04B84">
            <w:pPr>
              <w:jc w:val="right"/>
              <w:rPr>
                <w:rFonts w:cstheme="minorHAnsi"/>
                <w:sz w:val="18"/>
                <w:szCs w:val="18"/>
                <w:highlight w:val="yellow"/>
                <w:lang w:val="en-US"/>
              </w:rPr>
            </w:pPr>
            <w:r w:rsidRPr="004C1B36">
              <w:rPr>
                <w:rFonts w:cstheme="minorHAnsi"/>
                <w:sz w:val="18"/>
                <w:szCs w:val="18"/>
              </w:rPr>
              <w:t>0,01</w:t>
            </w:r>
          </w:p>
        </w:tc>
      </w:tr>
      <w:tr w:rsidR="004C1B36" w:rsidRPr="004C1B36" w14:paraId="7D90AB1F"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182D8A36" w14:textId="77777777" w:rsidR="004C1B36" w:rsidRPr="004C1B36" w:rsidRDefault="004C1B36" w:rsidP="00F04B84">
            <w:pPr>
              <w:ind w:firstLineChars="200" w:firstLine="360"/>
              <w:rPr>
                <w:rFonts w:cstheme="minorHAnsi"/>
                <w:sz w:val="18"/>
                <w:szCs w:val="18"/>
              </w:rPr>
            </w:pPr>
            <w:r w:rsidRPr="004C1B36">
              <w:rPr>
                <w:rFonts w:cstheme="minorHAnsi"/>
                <w:sz w:val="18"/>
                <w:szCs w:val="18"/>
              </w:rPr>
              <w:t>C. Spopielanie i otwarte spalanie odpadów</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261BF796" w14:textId="77777777" w:rsidR="004C1B36" w:rsidRPr="004C1B36" w:rsidRDefault="004C1B36" w:rsidP="00F04B84">
            <w:pPr>
              <w:jc w:val="right"/>
              <w:rPr>
                <w:rFonts w:cstheme="minorHAnsi"/>
                <w:sz w:val="18"/>
                <w:szCs w:val="18"/>
              </w:rPr>
            </w:pPr>
            <w:r w:rsidRPr="004C1B36">
              <w:rPr>
                <w:rFonts w:cstheme="minorHAnsi"/>
                <w:sz w:val="18"/>
                <w:szCs w:val="18"/>
              </w:rPr>
              <w:t>1,20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9F5F14A" w14:textId="77777777" w:rsidR="004C1B36" w:rsidRPr="004C1B36" w:rsidRDefault="004C1B36" w:rsidP="00F04B84">
            <w:pPr>
              <w:jc w:val="right"/>
              <w:rPr>
                <w:rFonts w:cstheme="minorHAnsi"/>
                <w:sz w:val="18"/>
                <w:szCs w:val="18"/>
              </w:rPr>
            </w:pPr>
            <w:r w:rsidRPr="004C1B36">
              <w:rPr>
                <w:rFonts w:cstheme="minorHAnsi"/>
                <w:sz w:val="18"/>
                <w:szCs w:val="18"/>
              </w:rPr>
              <w:t>1,14</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0B36556A" w14:textId="77777777" w:rsidR="004C1B36" w:rsidRPr="004C1B36" w:rsidRDefault="004C1B36" w:rsidP="00F04B84">
            <w:pPr>
              <w:jc w:val="right"/>
              <w:rPr>
                <w:rFonts w:cstheme="minorHAnsi"/>
                <w:sz w:val="18"/>
                <w:szCs w:val="18"/>
              </w:rPr>
            </w:pPr>
            <w:r w:rsidRPr="004C1B36">
              <w:rPr>
                <w:rFonts w:cstheme="minorHAnsi"/>
                <w:sz w:val="18"/>
                <w:szCs w:val="18"/>
              </w:rPr>
              <w:t>1,26</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777975" w14:textId="77777777" w:rsidR="004C1B36" w:rsidRPr="004C1B36" w:rsidRDefault="004C1B36" w:rsidP="00F04B84">
            <w:pPr>
              <w:jc w:val="right"/>
              <w:rPr>
                <w:rFonts w:cstheme="minorHAnsi"/>
                <w:sz w:val="18"/>
                <w:szCs w:val="18"/>
                <w:highlight w:val="yellow"/>
              </w:rPr>
            </w:pPr>
            <w:r w:rsidRPr="004C1B36">
              <w:rPr>
                <w:rFonts w:cstheme="minorHAnsi"/>
                <w:sz w:val="18"/>
                <w:szCs w:val="18"/>
              </w:rPr>
              <w:t>1,46</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B4EF4" w14:textId="77777777" w:rsidR="004C1B36" w:rsidRPr="004C1B36" w:rsidRDefault="004C1B36" w:rsidP="00F04B84">
            <w:pPr>
              <w:jc w:val="right"/>
              <w:rPr>
                <w:rFonts w:cstheme="minorHAnsi"/>
                <w:sz w:val="18"/>
                <w:szCs w:val="18"/>
                <w:highlight w:val="yellow"/>
              </w:rPr>
            </w:pPr>
            <w:r w:rsidRPr="004C1B36">
              <w:rPr>
                <w:rFonts w:cstheme="minorHAnsi"/>
                <w:sz w:val="18"/>
                <w:szCs w:val="18"/>
              </w:rPr>
              <w:t>1,36</w:t>
            </w:r>
          </w:p>
        </w:tc>
      </w:tr>
      <w:tr w:rsidR="004C1B36" w:rsidRPr="004C1B36" w14:paraId="7AA8AC50"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3201C537" w14:textId="77777777" w:rsidR="004C1B36" w:rsidRPr="004C1B36" w:rsidRDefault="004C1B36" w:rsidP="00F04B84">
            <w:pPr>
              <w:ind w:firstLineChars="200" w:firstLine="360"/>
              <w:rPr>
                <w:rFonts w:cstheme="minorHAnsi"/>
                <w:sz w:val="18"/>
                <w:szCs w:val="18"/>
              </w:rPr>
            </w:pPr>
            <w:r w:rsidRPr="004C1B36">
              <w:rPr>
                <w:rFonts w:cstheme="minorHAnsi"/>
                <w:sz w:val="18"/>
                <w:szCs w:val="18"/>
              </w:rPr>
              <w:t>D. Gospodarka ściekami</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08F799B0" w14:textId="77777777" w:rsidR="004C1B36" w:rsidRPr="004C1B36" w:rsidRDefault="004C1B36" w:rsidP="00F04B84">
            <w:pPr>
              <w:jc w:val="right"/>
              <w:rPr>
                <w:rFonts w:cstheme="minorHAnsi"/>
                <w:sz w:val="18"/>
                <w:szCs w:val="18"/>
              </w:rPr>
            </w:pPr>
            <w:r w:rsidRPr="004C1B36">
              <w:rPr>
                <w:rFonts w:cstheme="minorHAnsi"/>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DCFAC16" w14:textId="77777777" w:rsidR="004C1B36" w:rsidRPr="004C1B36" w:rsidRDefault="004C1B36" w:rsidP="00F04B84">
            <w:pPr>
              <w:jc w:val="right"/>
              <w:rPr>
                <w:rFonts w:cstheme="minorHAnsi"/>
                <w:sz w:val="18"/>
                <w:szCs w:val="18"/>
              </w:rPr>
            </w:pPr>
            <w:r w:rsidRPr="004C1B36">
              <w:rPr>
                <w:rFonts w:cstheme="minorHAnsi"/>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30995D8" w14:textId="77777777" w:rsidR="004C1B36" w:rsidRPr="004C1B36" w:rsidRDefault="004C1B36" w:rsidP="00F04B84">
            <w:pPr>
              <w:jc w:val="right"/>
              <w:rPr>
                <w:rFonts w:cstheme="minorHAnsi"/>
                <w:sz w:val="18"/>
                <w:szCs w:val="18"/>
              </w:rPr>
            </w:pPr>
            <w:r w:rsidRPr="004C1B36">
              <w:rPr>
                <w:rFonts w:cstheme="minorHAnsi"/>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64EBE" w14:textId="77777777" w:rsidR="004C1B36" w:rsidRPr="004C1B36" w:rsidRDefault="004C1B36" w:rsidP="00F04B84">
            <w:pPr>
              <w:jc w:val="right"/>
              <w:rPr>
                <w:rFonts w:cstheme="minorHAnsi"/>
                <w:sz w:val="18"/>
                <w:szCs w:val="18"/>
                <w:highlight w:val="yellow"/>
              </w:rPr>
            </w:pPr>
            <w:r w:rsidRPr="004C1B36">
              <w:rPr>
                <w:rFonts w:cstheme="minorHAnsi"/>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C7AF9C" w14:textId="77777777" w:rsidR="004C1B36" w:rsidRPr="004C1B36" w:rsidRDefault="004C1B36" w:rsidP="00F04B84">
            <w:pPr>
              <w:jc w:val="right"/>
              <w:rPr>
                <w:rFonts w:cstheme="minorHAnsi"/>
                <w:sz w:val="18"/>
                <w:szCs w:val="18"/>
                <w:highlight w:val="yellow"/>
              </w:rPr>
            </w:pPr>
            <w:r w:rsidRPr="004C1B36">
              <w:rPr>
                <w:rFonts w:cstheme="minorHAnsi"/>
                <w:sz w:val="18"/>
                <w:szCs w:val="18"/>
              </w:rPr>
              <w:t>0,00</w:t>
            </w:r>
          </w:p>
        </w:tc>
      </w:tr>
      <w:tr w:rsidR="004C1B36" w:rsidRPr="004C1B36" w14:paraId="1040E604"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33E7858E" w14:textId="77777777" w:rsidR="004C1B36" w:rsidRPr="004C1B36" w:rsidRDefault="004C1B36" w:rsidP="00F04B84">
            <w:pPr>
              <w:ind w:firstLineChars="200" w:firstLine="360"/>
              <w:rPr>
                <w:rFonts w:cstheme="minorHAnsi"/>
                <w:sz w:val="18"/>
                <w:szCs w:val="18"/>
              </w:rPr>
            </w:pPr>
            <w:r w:rsidRPr="004C1B36">
              <w:rPr>
                <w:rFonts w:cstheme="minorHAnsi"/>
                <w:sz w:val="18"/>
                <w:szCs w:val="18"/>
              </w:rPr>
              <w:t>E. Inne</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3FB623D" w14:textId="77777777" w:rsidR="004C1B36" w:rsidRPr="004C1B36" w:rsidRDefault="004C1B36" w:rsidP="00F04B84">
            <w:pPr>
              <w:jc w:val="right"/>
              <w:rPr>
                <w:rFonts w:cstheme="minorHAnsi"/>
                <w:sz w:val="18"/>
                <w:szCs w:val="18"/>
              </w:rPr>
            </w:pPr>
            <w:r w:rsidRPr="004C1B36">
              <w:rPr>
                <w:rFonts w:cstheme="minorHAnsi"/>
                <w:sz w:val="18"/>
                <w:szCs w:val="18"/>
              </w:rPr>
              <w:t>2,06</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DF4AD34" w14:textId="77777777" w:rsidR="004C1B36" w:rsidRPr="004C1B36" w:rsidRDefault="004C1B36" w:rsidP="00F04B84">
            <w:pPr>
              <w:jc w:val="right"/>
              <w:rPr>
                <w:rFonts w:cstheme="minorHAnsi"/>
                <w:sz w:val="18"/>
                <w:szCs w:val="18"/>
              </w:rPr>
            </w:pPr>
            <w:r w:rsidRPr="004C1B36">
              <w:rPr>
                <w:rFonts w:cstheme="minorHAnsi"/>
                <w:sz w:val="18"/>
                <w:szCs w:val="18"/>
              </w:rPr>
              <w:t>2,69</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EA58512" w14:textId="77777777" w:rsidR="004C1B36" w:rsidRPr="004C1B36" w:rsidRDefault="004C1B36" w:rsidP="00F04B84">
            <w:pPr>
              <w:jc w:val="right"/>
              <w:rPr>
                <w:rFonts w:cstheme="minorHAnsi"/>
                <w:sz w:val="18"/>
                <w:szCs w:val="18"/>
              </w:rPr>
            </w:pPr>
            <w:r w:rsidRPr="004C1B36">
              <w:rPr>
                <w:rFonts w:cstheme="minorHAnsi"/>
                <w:sz w:val="18"/>
                <w:szCs w:val="18"/>
              </w:rPr>
              <w:t>2,80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EF402" w14:textId="77777777" w:rsidR="004C1B36" w:rsidRPr="004C1B36" w:rsidRDefault="004C1B36" w:rsidP="00F04B84">
            <w:pPr>
              <w:jc w:val="right"/>
              <w:rPr>
                <w:rFonts w:cstheme="minorHAnsi"/>
                <w:sz w:val="18"/>
                <w:szCs w:val="18"/>
                <w:highlight w:val="yellow"/>
              </w:rPr>
            </w:pPr>
            <w:r w:rsidRPr="004C1B36">
              <w:rPr>
                <w:rFonts w:cstheme="minorHAnsi"/>
                <w:sz w:val="18"/>
                <w:szCs w:val="18"/>
              </w:rPr>
              <w:t>3,24</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13BCDC" w14:textId="77777777" w:rsidR="004C1B36" w:rsidRPr="004C1B36" w:rsidRDefault="004C1B36" w:rsidP="00F04B84">
            <w:pPr>
              <w:jc w:val="right"/>
              <w:rPr>
                <w:rFonts w:cstheme="minorHAnsi"/>
                <w:sz w:val="18"/>
                <w:szCs w:val="18"/>
                <w:highlight w:val="yellow"/>
              </w:rPr>
            </w:pPr>
            <w:r w:rsidRPr="004C1B36">
              <w:rPr>
                <w:rFonts w:cstheme="minorHAnsi"/>
                <w:sz w:val="18"/>
                <w:szCs w:val="18"/>
              </w:rPr>
              <w:t>3,09</w:t>
            </w:r>
          </w:p>
        </w:tc>
      </w:tr>
    </w:tbl>
    <w:p w14:paraId="261D8DF6" w14:textId="77777777" w:rsidR="004C1B36" w:rsidRPr="0035160C" w:rsidRDefault="004C1B36" w:rsidP="00390E4B">
      <w:pPr>
        <w:spacing w:after="120"/>
        <w:jc w:val="both"/>
      </w:pPr>
    </w:p>
    <w:p w14:paraId="7C918765" w14:textId="23347BA6" w:rsidR="002679B8" w:rsidRPr="0035160C" w:rsidRDefault="004C1B36" w:rsidP="00390E4B">
      <w:pPr>
        <w:spacing w:before="120" w:after="240"/>
        <w:jc w:val="center"/>
      </w:pPr>
      <w:r w:rsidRPr="00FB5743">
        <w:rPr>
          <w:noProof/>
          <w:lang w:eastAsia="pl-PL"/>
        </w:rPr>
        <w:lastRenderedPageBreak/>
        <w:drawing>
          <wp:inline distT="0" distB="0" distL="0" distR="0" wp14:anchorId="2F785703" wp14:editId="3320E6BA">
            <wp:extent cx="3578225" cy="2389632"/>
            <wp:effectExtent l="0" t="0" r="3175" b="0"/>
            <wp:docPr id="247" name="Obraz 247" descr="1A1 Przemysły energetyczne 3%&#10;1A2 Przemysł wytwórczy i budownictwo 12%&#10;1A3 transport 8%&#10;1A4 Inne sektory 41%&#10;1B Emisja lotna z paliw 4%&#10;2 Procesy przemysłowe 16%&#10;3 Rolnictwo 14%&#10;5 Odpady 2%" title="Wykres kołowy Udział poszczególnych sektorów w emisji pyłu PM10 w roku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591545" cy="2398527"/>
                    </a:xfrm>
                    <a:prstGeom prst="rect">
                      <a:avLst/>
                    </a:prstGeom>
                    <a:noFill/>
                    <a:ln>
                      <a:noFill/>
                    </a:ln>
                  </pic:spPr>
                </pic:pic>
              </a:graphicData>
            </a:graphic>
          </wp:inline>
        </w:drawing>
      </w:r>
    </w:p>
    <w:p w14:paraId="7BA35164" w14:textId="5F1F5793" w:rsidR="002679B8" w:rsidRPr="0035160C" w:rsidRDefault="002679B8" w:rsidP="002679B8">
      <w:pPr>
        <w:jc w:val="center"/>
        <w:rPr>
          <w:sz w:val="20"/>
          <w:szCs w:val="20"/>
        </w:rPr>
      </w:pPr>
      <w:r w:rsidRPr="0035160C">
        <w:rPr>
          <w:sz w:val="20"/>
          <w:szCs w:val="20"/>
        </w:rPr>
        <w:t xml:space="preserve">Rysunek </w:t>
      </w:r>
      <w:r w:rsidR="004C1B36">
        <w:rPr>
          <w:sz w:val="20"/>
          <w:szCs w:val="20"/>
        </w:rPr>
        <w:t>50</w:t>
      </w:r>
      <w:r w:rsidRPr="0035160C">
        <w:rPr>
          <w:sz w:val="20"/>
          <w:szCs w:val="20"/>
        </w:rPr>
        <w:t>. Udział istotnych sektorów w emisji pyłu PM10 w 201</w:t>
      </w:r>
      <w:r w:rsidR="004C1B36">
        <w:rPr>
          <w:sz w:val="20"/>
          <w:szCs w:val="20"/>
        </w:rPr>
        <w:t>9</w:t>
      </w:r>
      <w:r w:rsidRPr="0035160C">
        <w:rPr>
          <w:sz w:val="20"/>
          <w:szCs w:val="20"/>
        </w:rPr>
        <w:t xml:space="preserve"> r.</w:t>
      </w:r>
    </w:p>
    <w:p w14:paraId="58F16BFE" w14:textId="3CB10223" w:rsidR="004C1B36" w:rsidRPr="004C1B36" w:rsidRDefault="004C1B36" w:rsidP="004C1B36">
      <w:pPr>
        <w:spacing w:before="120" w:after="0" w:line="240" w:lineRule="auto"/>
        <w:jc w:val="both"/>
        <w:rPr>
          <w:rFonts w:eastAsia="Times New Roman" w:cs="Calibri"/>
          <w:b/>
          <w:bCs/>
          <w:color w:val="2F5496" w:themeColor="accent1" w:themeShade="BF"/>
          <w:lang w:eastAsia="pl-PL"/>
        </w:rPr>
      </w:pPr>
      <w:bookmarkStart w:id="50" w:name="_Hlk62322140"/>
      <w:r w:rsidRPr="004C1B36">
        <w:rPr>
          <w:rFonts w:eastAsia="Times New Roman" w:cs="Calibri"/>
          <w:b/>
          <w:bCs/>
          <w:color w:val="2F5496" w:themeColor="accent1" w:themeShade="BF"/>
          <w:lang w:eastAsia="pl-PL"/>
        </w:rPr>
        <w:t>Emisj</w:t>
      </w:r>
      <w:r w:rsidR="008C3236">
        <w:rPr>
          <w:rFonts w:eastAsia="Times New Roman" w:cs="Calibri"/>
          <w:b/>
          <w:bCs/>
          <w:color w:val="2F5496" w:themeColor="accent1" w:themeShade="BF"/>
          <w:lang w:eastAsia="pl-PL"/>
        </w:rPr>
        <w:t>a</w:t>
      </w:r>
      <w:r w:rsidRPr="004C1B36">
        <w:rPr>
          <w:rFonts w:eastAsia="Times New Roman" w:cs="Calibri"/>
          <w:b/>
          <w:bCs/>
          <w:color w:val="2F5496" w:themeColor="accent1" w:themeShade="BF"/>
          <w:lang w:eastAsia="pl-PL"/>
        </w:rPr>
        <w:t xml:space="preserve"> tlenków azotu </w:t>
      </w:r>
    </w:p>
    <w:p w14:paraId="039A9E34" w14:textId="53FD7140" w:rsidR="004C1B36" w:rsidRPr="004C1B36" w:rsidRDefault="004C1B36" w:rsidP="004C1B36">
      <w:pPr>
        <w:spacing w:before="120"/>
        <w:jc w:val="both"/>
        <w:rPr>
          <w:rFonts w:cs="Calibri"/>
        </w:rPr>
      </w:pPr>
      <w:r w:rsidRPr="004C1B36">
        <w:rPr>
          <w:rStyle w:val="Przypisdolny"/>
          <w:rFonts w:cs="Calibri"/>
          <w:b/>
          <w:bCs/>
          <w:color w:val="2F5496" w:themeColor="accent1" w:themeShade="BF"/>
          <w:sz w:val="22"/>
        </w:rPr>
        <w:t>Największym źródłem emisji tlenków azotu w roku 2019 było spalanie paliw w sektorach: 1A3. </w:t>
      </w:r>
      <w:r w:rsidRPr="004C1B36">
        <w:rPr>
          <w:rStyle w:val="Przypisdolny"/>
          <w:rFonts w:cs="Calibri"/>
          <w:b/>
          <w:bCs/>
          <w:i/>
          <w:iCs/>
          <w:color w:val="2F5496" w:themeColor="accent1" w:themeShade="BF"/>
          <w:sz w:val="22"/>
        </w:rPr>
        <w:t xml:space="preserve">Transport – </w:t>
      </w:r>
      <w:r w:rsidRPr="004C1B36">
        <w:rPr>
          <w:rStyle w:val="Przypisdolny"/>
          <w:rFonts w:cs="Calibri"/>
          <w:b/>
          <w:bCs/>
          <w:color w:val="2F5496" w:themeColor="accent1" w:themeShade="BF"/>
          <w:sz w:val="22"/>
        </w:rPr>
        <w:t xml:space="preserve">41%, z którego za większość emisji odpowiada transport drogowy oraz 1A1. </w:t>
      </w:r>
      <w:r w:rsidRPr="004C1B36">
        <w:rPr>
          <w:rStyle w:val="Przypisdolny"/>
          <w:rFonts w:cs="Calibri"/>
          <w:b/>
          <w:bCs/>
          <w:i/>
          <w:iCs/>
          <w:color w:val="2F5496" w:themeColor="accent1" w:themeShade="BF"/>
          <w:sz w:val="22"/>
        </w:rPr>
        <w:t>Przemysły energetyczne</w:t>
      </w:r>
      <w:r w:rsidRPr="004C1B36">
        <w:rPr>
          <w:rStyle w:val="Przypisdolny"/>
          <w:rFonts w:cs="Calibri"/>
          <w:b/>
          <w:bCs/>
          <w:color w:val="2F5496" w:themeColor="accent1" w:themeShade="BF"/>
          <w:sz w:val="22"/>
        </w:rPr>
        <w:t xml:space="preserve"> - 20% i 1A4. </w:t>
      </w:r>
      <w:r w:rsidRPr="004C1B36">
        <w:rPr>
          <w:rStyle w:val="Przypisdolny"/>
          <w:rFonts w:cs="Calibri"/>
          <w:b/>
          <w:bCs/>
          <w:i/>
          <w:iCs/>
          <w:color w:val="2F5496" w:themeColor="accent1" w:themeShade="BF"/>
          <w:sz w:val="22"/>
        </w:rPr>
        <w:t>Inne sektory</w:t>
      </w:r>
      <w:r w:rsidRPr="004C1B36">
        <w:rPr>
          <w:rStyle w:val="Przypisdolny"/>
          <w:rFonts w:cs="Calibri"/>
          <w:b/>
          <w:bCs/>
          <w:color w:val="2F5496" w:themeColor="accent1" w:themeShade="BF"/>
          <w:sz w:val="22"/>
        </w:rPr>
        <w:t xml:space="preserve"> (m.in. emisja z gospodarstw domowych) - 17%  emisji</w:t>
      </w:r>
      <w:r w:rsidRPr="004C1B36">
        <w:rPr>
          <w:rStyle w:val="Przypisdolny"/>
          <w:rFonts w:cs="Calibri"/>
          <w:sz w:val="22"/>
        </w:rPr>
        <w:t>.</w:t>
      </w:r>
      <w:r w:rsidRPr="004C1B36">
        <w:rPr>
          <w:rFonts w:cs="Calibri"/>
        </w:rPr>
        <w:t xml:space="preserve"> Udziały sektorów w krajowej emisji NOx w roku 2019 pokazano na rysunku </w:t>
      </w:r>
      <w:r w:rsidR="00CA5A67">
        <w:rPr>
          <w:rFonts w:cs="Calibri"/>
        </w:rPr>
        <w:t>51</w:t>
      </w:r>
      <w:r w:rsidRPr="004C1B36">
        <w:rPr>
          <w:rFonts w:cs="Calibri"/>
        </w:rPr>
        <w:t>.</w:t>
      </w:r>
    </w:p>
    <w:p w14:paraId="5DB3D23B" w14:textId="7046EAF5" w:rsidR="004C1B36" w:rsidRPr="004C1B36" w:rsidRDefault="004C1B36" w:rsidP="004C1B36">
      <w:pPr>
        <w:pStyle w:val="Tekstpodstawowy3"/>
        <w:spacing w:before="120" w:after="0"/>
        <w:rPr>
          <w:rStyle w:val="Przypisdolny"/>
          <w:rFonts w:cs="Calibri"/>
          <w:sz w:val="22"/>
          <w:szCs w:val="22"/>
          <w:highlight w:val="yellow"/>
        </w:rPr>
      </w:pPr>
      <w:r w:rsidRPr="004C1B36">
        <w:rPr>
          <w:rFonts w:cs="Calibri"/>
          <w:sz w:val="22"/>
          <w:szCs w:val="22"/>
        </w:rPr>
        <w:t xml:space="preserve">Wielkość emisji tlenków azotu zmniejszyła się o 39% od 1990 roku. Podobnie jak w przypadku dwutlenku siarki, zmiany zapoczątkowane były przez załamanie się przemysłu ciężkiego w końcu lat 80-tych i na początku lat 90-tych XX w. </w:t>
      </w:r>
      <w:r w:rsidRPr="004C1B36">
        <w:rPr>
          <w:rFonts w:cs="Calibri"/>
          <w:b/>
          <w:bCs/>
          <w:color w:val="2F5496" w:themeColor="accent1" w:themeShade="BF"/>
          <w:sz w:val="22"/>
          <w:szCs w:val="22"/>
        </w:rPr>
        <w:t>Od końca lat 90-tych największym źródłem emisji tlenków azotu jest spalanie paliw w transporcie drogowym, z którego emisja systematycznie rośnie. Spowodowane jest to głównie zwiększeniem liczby pojazdów o 287% od roku 1990 i  co za tym idzie  zużycia paliwa</w:t>
      </w:r>
      <w:r w:rsidRPr="004C1B36">
        <w:rPr>
          <w:rFonts w:cs="Calibri"/>
          <w:color w:val="2F5496" w:themeColor="accent1" w:themeShade="BF"/>
          <w:sz w:val="22"/>
          <w:szCs w:val="22"/>
        </w:rPr>
        <w:t xml:space="preserve"> </w:t>
      </w:r>
      <w:r w:rsidRPr="004C1B36">
        <w:rPr>
          <w:rFonts w:cs="Calibri"/>
          <w:sz w:val="22"/>
          <w:szCs w:val="22"/>
        </w:rPr>
        <w:t>(w tym benzyny, oleju napędowego, LPG i CNG) o 248%. Wzrost emisji z transportu drogowego może stanowić znaczne utrudnienie w</w:t>
      </w:r>
      <w:r w:rsidR="006C0E3B">
        <w:rPr>
          <w:rFonts w:cs="Calibri"/>
          <w:sz w:val="22"/>
          <w:szCs w:val="22"/>
        </w:rPr>
        <w:t xml:space="preserve"> </w:t>
      </w:r>
      <w:r w:rsidRPr="004C1B36">
        <w:rPr>
          <w:rFonts w:cs="Calibri"/>
          <w:sz w:val="22"/>
          <w:szCs w:val="22"/>
        </w:rPr>
        <w:t>realizacji celów redukcyjnych dotyczących tlenków azotu, wynikających z dyrektywy 2016/2284</w:t>
      </w:r>
      <w:r w:rsidR="001B6192">
        <w:rPr>
          <w:rFonts w:cs="Calibri"/>
          <w:sz w:val="22"/>
          <w:szCs w:val="22"/>
        </w:rPr>
        <w:t>/WE</w:t>
      </w:r>
      <w:r w:rsidRPr="004C1B36">
        <w:rPr>
          <w:rFonts w:cs="Calibri"/>
          <w:sz w:val="22"/>
          <w:szCs w:val="22"/>
        </w:rPr>
        <w:t>.</w:t>
      </w:r>
      <w:r w:rsidRPr="004C1B36">
        <w:rPr>
          <w:rStyle w:val="Przypisdolny"/>
          <w:rFonts w:cs="Calibri"/>
          <w:sz w:val="22"/>
          <w:szCs w:val="22"/>
        </w:rPr>
        <w:t xml:space="preserve"> </w:t>
      </w:r>
    </w:p>
    <w:p w14:paraId="56951B1E" w14:textId="73D29C78" w:rsidR="004C1B36" w:rsidRPr="004C1B36" w:rsidRDefault="004C1B36" w:rsidP="004C1B36">
      <w:pPr>
        <w:pStyle w:val="Tekstpodstawowy3"/>
        <w:spacing w:before="120" w:after="0"/>
        <w:rPr>
          <w:rStyle w:val="Przypisdolny"/>
          <w:sz w:val="22"/>
          <w:szCs w:val="22"/>
        </w:rPr>
      </w:pPr>
      <w:r w:rsidRPr="004C1B36">
        <w:rPr>
          <w:rStyle w:val="Przypisdolny"/>
          <w:sz w:val="22"/>
          <w:szCs w:val="22"/>
        </w:rPr>
        <w:t>Sumaryczna wielkość emisji tlenków azotu w roku 2019 zmalała o 6% w stosunku do roku 2018. Największy spadek emisji zaobserwowano w sektorze energetyki zawodowej - o 10%, co wynikało z wdrożenia przez operatorów zaostrzonych standardów emisyjnych. Dane o emisji tlenków azotu przedstawiono w tabeli </w:t>
      </w:r>
      <w:r w:rsidR="00F81318">
        <w:rPr>
          <w:rStyle w:val="Przypisdolny"/>
          <w:sz w:val="22"/>
          <w:szCs w:val="22"/>
        </w:rPr>
        <w:t>3</w:t>
      </w:r>
      <w:r w:rsidRPr="004C1B36">
        <w:rPr>
          <w:rStyle w:val="Przypisdolny"/>
          <w:sz w:val="22"/>
          <w:szCs w:val="22"/>
        </w:rPr>
        <w:t xml:space="preserve">. </w:t>
      </w:r>
    </w:p>
    <w:p w14:paraId="0ACDD0AC" w14:textId="361A466A" w:rsidR="005E1512" w:rsidRPr="0035160C" w:rsidRDefault="005E1512" w:rsidP="00FB3EBA">
      <w:pPr>
        <w:spacing w:before="120" w:after="120"/>
        <w:rPr>
          <w:rStyle w:val="Hipercze"/>
          <w:color w:val="auto"/>
          <w:sz w:val="20"/>
          <w:szCs w:val="20"/>
          <w:u w:val="none"/>
        </w:rPr>
      </w:pPr>
      <w:r w:rsidRPr="0035160C">
        <w:rPr>
          <w:rStyle w:val="Hipercze"/>
          <w:color w:val="auto"/>
          <w:sz w:val="20"/>
          <w:szCs w:val="20"/>
          <w:u w:val="none"/>
        </w:rPr>
        <w:t>Tabe</w:t>
      </w:r>
      <w:r w:rsidR="00EE1451" w:rsidRPr="0035160C">
        <w:rPr>
          <w:rStyle w:val="Hipercze"/>
          <w:color w:val="auto"/>
          <w:sz w:val="20"/>
          <w:szCs w:val="20"/>
          <w:u w:val="none"/>
        </w:rPr>
        <w:t>la 3.</w:t>
      </w:r>
      <w:r w:rsidR="00FB3EBA" w:rsidRPr="0035160C">
        <w:rPr>
          <w:rStyle w:val="Hipercze"/>
          <w:color w:val="auto"/>
          <w:sz w:val="20"/>
          <w:szCs w:val="20"/>
          <w:u w:val="none"/>
        </w:rPr>
        <w:t xml:space="preserve"> </w:t>
      </w:r>
      <w:r w:rsidR="00FB3EBA" w:rsidRPr="0035160C">
        <w:rPr>
          <w:rFonts w:eastAsia="Times New Roman" w:cs="Calibri"/>
          <w:szCs w:val="24"/>
          <w:lang w:eastAsia="pl-PL"/>
        </w:rPr>
        <w:t>Emisja tlenków azotu w Polsce w wybranych latach</w:t>
      </w:r>
    </w:p>
    <w:tbl>
      <w:tblPr>
        <w:tblW w:w="9060" w:type="dxa"/>
        <w:tblLayout w:type="fixed"/>
        <w:tblCellMar>
          <w:left w:w="70" w:type="dxa"/>
          <w:right w:w="70" w:type="dxa"/>
        </w:tblCellMar>
        <w:tblLook w:val="04A0" w:firstRow="1" w:lastRow="0" w:firstColumn="1" w:lastColumn="0" w:noHBand="0" w:noVBand="1"/>
      </w:tblPr>
      <w:tblGrid>
        <w:gridCol w:w="4390"/>
        <w:gridCol w:w="934"/>
        <w:gridCol w:w="934"/>
        <w:gridCol w:w="934"/>
        <w:gridCol w:w="934"/>
        <w:gridCol w:w="934"/>
      </w:tblGrid>
      <w:tr w:rsidR="00F81318" w:rsidRPr="0006560B" w14:paraId="4FF44F83" w14:textId="77777777" w:rsidTr="00F04B84">
        <w:trPr>
          <w:trHeight w:val="300"/>
          <w:tblHeader/>
        </w:trPr>
        <w:tc>
          <w:tcPr>
            <w:tcW w:w="4390" w:type="dxa"/>
            <w:vMerge w:val="restart"/>
            <w:tcBorders>
              <w:top w:val="single" w:sz="4" w:space="0" w:color="auto"/>
              <w:left w:val="single" w:sz="4" w:space="0" w:color="auto"/>
              <w:bottom w:val="single" w:sz="4" w:space="0" w:color="auto"/>
              <w:right w:val="single" w:sz="4" w:space="0" w:color="auto"/>
            </w:tcBorders>
            <w:shd w:val="clear" w:color="auto" w:fill="99CCFF"/>
            <w:vAlign w:val="center"/>
            <w:hideMark/>
          </w:tcPr>
          <w:p w14:paraId="52899E76" w14:textId="77777777" w:rsidR="00F81318" w:rsidRPr="00BB0A93" w:rsidRDefault="00F81318" w:rsidP="00F04B84">
            <w:pPr>
              <w:autoSpaceDE w:val="0"/>
              <w:autoSpaceDN w:val="0"/>
              <w:adjustRightInd w:val="0"/>
              <w:jc w:val="center"/>
              <w:rPr>
                <w:b/>
                <w:sz w:val="18"/>
                <w:szCs w:val="18"/>
              </w:rPr>
            </w:pPr>
            <w:r w:rsidRPr="353DE84B">
              <w:rPr>
                <w:b/>
                <w:bCs/>
                <w:sz w:val="18"/>
                <w:szCs w:val="18"/>
              </w:rPr>
              <w:t>Źródło emisji wg kategorii NFR</w:t>
            </w:r>
          </w:p>
        </w:tc>
        <w:tc>
          <w:tcPr>
            <w:tcW w:w="934" w:type="dxa"/>
            <w:tcBorders>
              <w:top w:val="single" w:sz="4" w:space="0" w:color="auto"/>
              <w:left w:val="nil"/>
              <w:bottom w:val="single" w:sz="4" w:space="0" w:color="auto"/>
              <w:right w:val="single" w:sz="4" w:space="0" w:color="auto"/>
            </w:tcBorders>
            <w:shd w:val="clear" w:color="auto" w:fill="99CCFF"/>
            <w:vAlign w:val="center"/>
          </w:tcPr>
          <w:p w14:paraId="0490FD2C" w14:textId="77777777" w:rsidR="00F81318" w:rsidRPr="00BB0A93" w:rsidRDefault="00F81318" w:rsidP="00F04B84">
            <w:pPr>
              <w:autoSpaceDE w:val="0"/>
              <w:autoSpaceDN w:val="0"/>
              <w:adjustRightInd w:val="0"/>
              <w:jc w:val="center"/>
              <w:rPr>
                <w:b/>
                <w:sz w:val="18"/>
                <w:szCs w:val="18"/>
              </w:rPr>
            </w:pPr>
            <w:r w:rsidRPr="353DE84B">
              <w:rPr>
                <w:b/>
                <w:bCs/>
                <w:sz w:val="18"/>
                <w:szCs w:val="18"/>
              </w:rPr>
              <w:t>1990</w:t>
            </w:r>
          </w:p>
        </w:tc>
        <w:tc>
          <w:tcPr>
            <w:tcW w:w="934" w:type="dxa"/>
            <w:tcBorders>
              <w:top w:val="single" w:sz="4" w:space="0" w:color="auto"/>
              <w:left w:val="single" w:sz="4" w:space="0" w:color="auto"/>
              <w:bottom w:val="single" w:sz="4" w:space="0" w:color="auto"/>
              <w:right w:val="single" w:sz="4" w:space="0" w:color="auto"/>
            </w:tcBorders>
            <w:shd w:val="clear" w:color="auto" w:fill="99CCFF"/>
            <w:vAlign w:val="center"/>
          </w:tcPr>
          <w:p w14:paraId="494D2E77" w14:textId="77777777" w:rsidR="00F81318" w:rsidRPr="00BB0A93" w:rsidRDefault="00F81318" w:rsidP="00F04B84">
            <w:pPr>
              <w:autoSpaceDE w:val="0"/>
              <w:autoSpaceDN w:val="0"/>
              <w:adjustRightInd w:val="0"/>
              <w:jc w:val="center"/>
              <w:rPr>
                <w:b/>
                <w:sz w:val="18"/>
                <w:szCs w:val="18"/>
              </w:rPr>
            </w:pPr>
            <w:r w:rsidRPr="353DE84B">
              <w:rPr>
                <w:b/>
                <w:bCs/>
                <w:sz w:val="18"/>
                <w:szCs w:val="18"/>
              </w:rPr>
              <w:t>2005</w:t>
            </w:r>
          </w:p>
        </w:tc>
        <w:tc>
          <w:tcPr>
            <w:tcW w:w="934" w:type="dxa"/>
            <w:tcBorders>
              <w:top w:val="single" w:sz="4" w:space="0" w:color="auto"/>
              <w:left w:val="single" w:sz="4" w:space="0" w:color="auto"/>
              <w:bottom w:val="single" w:sz="4" w:space="0" w:color="auto"/>
              <w:right w:val="single" w:sz="4" w:space="0" w:color="auto"/>
            </w:tcBorders>
            <w:shd w:val="clear" w:color="auto" w:fill="99CCFF"/>
            <w:vAlign w:val="center"/>
          </w:tcPr>
          <w:p w14:paraId="30FC6EE3" w14:textId="77777777" w:rsidR="00F81318" w:rsidRPr="00BB0A93" w:rsidRDefault="00F81318" w:rsidP="00F04B84">
            <w:pPr>
              <w:autoSpaceDE w:val="0"/>
              <w:autoSpaceDN w:val="0"/>
              <w:adjustRightInd w:val="0"/>
              <w:jc w:val="center"/>
              <w:rPr>
                <w:b/>
                <w:sz w:val="18"/>
                <w:szCs w:val="18"/>
              </w:rPr>
            </w:pPr>
            <w:r w:rsidRPr="353DE84B">
              <w:rPr>
                <w:b/>
                <w:bCs/>
                <w:sz w:val="18"/>
                <w:szCs w:val="18"/>
              </w:rPr>
              <w:t>2010</w:t>
            </w:r>
          </w:p>
        </w:tc>
        <w:tc>
          <w:tcPr>
            <w:tcW w:w="934" w:type="dxa"/>
            <w:tcBorders>
              <w:top w:val="single" w:sz="4" w:space="0" w:color="auto"/>
              <w:left w:val="single" w:sz="4" w:space="0" w:color="auto"/>
              <w:bottom w:val="single" w:sz="4" w:space="0" w:color="auto"/>
              <w:right w:val="single" w:sz="4" w:space="0" w:color="auto"/>
            </w:tcBorders>
            <w:shd w:val="clear" w:color="auto" w:fill="99CCFF"/>
            <w:vAlign w:val="center"/>
          </w:tcPr>
          <w:p w14:paraId="5F36C445" w14:textId="77777777" w:rsidR="00F81318" w:rsidRPr="00BB0A93" w:rsidRDefault="00F81318" w:rsidP="00F04B84">
            <w:pPr>
              <w:autoSpaceDE w:val="0"/>
              <w:autoSpaceDN w:val="0"/>
              <w:adjustRightInd w:val="0"/>
              <w:jc w:val="center"/>
              <w:rPr>
                <w:b/>
                <w:sz w:val="18"/>
                <w:szCs w:val="18"/>
              </w:rPr>
            </w:pPr>
            <w:r w:rsidRPr="353DE84B">
              <w:rPr>
                <w:b/>
                <w:bCs/>
                <w:sz w:val="18"/>
                <w:szCs w:val="18"/>
              </w:rPr>
              <w:t>2018</w:t>
            </w:r>
          </w:p>
        </w:tc>
        <w:tc>
          <w:tcPr>
            <w:tcW w:w="934" w:type="dxa"/>
            <w:tcBorders>
              <w:top w:val="single" w:sz="4" w:space="0" w:color="auto"/>
              <w:left w:val="nil"/>
              <w:bottom w:val="single" w:sz="4" w:space="0" w:color="auto"/>
              <w:right w:val="single" w:sz="4" w:space="0" w:color="auto"/>
            </w:tcBorders>
            <w:shd w:val="clear" w:color="auto" w:fill="99CCFF"/>
            <w:vAlign w:val="center"/>
          </w:tcPr>
          <w:p w14:paraId="531461AF" w14:textId="77777777" w:rsidR="00F81318" w:rsidRPr="00BB0A93" w:rsidRDefault="00F81318" w:rsidP="00F04B84">
            <w:pPr>
              <w:autoSpaceDE w:val="0"/>
              <w:autoSpaceDN w:val="0"/>
              <w:adjustRightInd w:val="0"/>
              <w:jc w:val="center"/>
              <w:rPr>
                <w:b/>
                <w:sz w:val="18"/>
                <w:szCs w:val="18"/>
              </w:rPr>
            </w:pPr>
            <w:r w:rsidRPr="353DE84B">
              <w:rPr>
                <w:b/>
                <w:bCs/>
                <w:sz w:val="18"/>
                <w:szCs w:val="18"/>
              </w:rPr>
              <w:t>2019</w:t>
            </w:r>
          </w:p>
        </w:tc>
      </w:tr>
      <w:tr w:rsidR="00F81318" w:rsidRPr="0006560B" w14:paraId="780F6119" w14:textId="77777777" w:rsidTr="00F04B84">
        <w:trPr>
          <w:trHeight w:val="300"/>
          <w:tblHeader/>
        </w:trPr>
        <w:tc>
          <w:tcPr>
            <w:tcW w:w="4390" w:type="dxa"/>
            <w:vMerge/>
            <w:tcBorders>
              <w:top w:val="single" w:sz="4" w:space="0" w:color="auto"/>
              <w:left w:val="single" w:sz="4" w:space="0" w:color="auto"/>
              <w:bottom w:val="single" w:sz="4" w:space="0" w:color="auto"/>
              <w:right w:val="single" w:sz="4" w:space="0" w:color="auto"/>
            </w:tcBorders>
            <w:shd w:val="clear" w:color="auto" w:fill="99CCFF"/>
            <w:vAlign w:val="center"/>
            <w:hideMark/>
          </w:tcPr>
          <w:p w14:paraId="6A9B45BB" w14:textId="77777777" w:rsidR="00F81318" w:rsidRPr="0006560B" w:rsidRDefault="00F81318" w:rsidP="00F04B84">
            <w:pPr>
              <w:autoSpaceDE w:val="0"/>
              <w:autoSpaceDN w:val="0"/>
              <w:adjustRightInd w:val="0"/>
              <w:jc w:val="center"/>
              <w:rPr>
                <w:rFonts w:cstheme="minorHAnsi"/>
                <w:b/>
                <w:bCs/>
                <w:sz w:val="18"/>
                <w:szCs w:val="18"/>
              </w:rPr>
            </w:pPr>
          </w:p>
        </w:tc>
        <w:tc>
          <w:tcPr>
            <w:tcW w:w="934" w:type="dxa"/>
            <w:tcBorders>
              <w:top w:val="single" w:sz="4" w:space="0" w:color="auto"/>
              <w:left w:val="nil"/>
              <w:bottom w:val="single" w:sz="4" w:space="0" w:color="auto"/>
              <w:right w:val="single" w:sz="4" w:space="0" w:color="auto"/>
            </w:tcBorders>
            <w:shd w:val="clear" w:color="auto" w:fill="99CCFF"/>
            <w:vAlign w:val="center"/>
          </w:tcPr>
          <w:p w14:paraId="61CEFB69" w14:textId="77777777" w:rsidR="00F81318" w:rsidRPr="00BB0A93" w:rsidRDefault="00F81318" w:rsidP="00F04B84">
            <w:pPr>
              <w:autoSpaceDE w:val="0"/>
              <w:autoSpaceDN w:val="0"/>
              <w:adjustRightInd w:val="0"/>
              <w:jc w:val="center"/>
              <w:rPr>
                <w:b/>
                <w:sz w:val="18"/>
                <w:szCs w:val="18"/>
              </w:rPr>
            </w:pPr>
            <w:r w:rsidRPr="353DE84B">
              <w:rPr>
                <w:b/>
                <w:bCs/>
                <w:sz w:val="18"/>
                <w:szCs w:val="18"/>
              </w:rPr>
              <w:t>Gg</w:t>
            </w:r>
          </w:p>
        </w:tc>
        <w:tc>
          <w:tcPr>
            <w:tcW w:w="934" w:type="dxa"/>
            <w:tcBorders>
              <w:top w:val="single" w:sz="4" w:space="0" w:color="auto"/>
              <w:left w:val="single" w:sz="4" w:space="0" w:color="auto"/>
              <w:bottom w:val="single" w:sz="4" w:space="0" w:color="auto"/>
              <w:right w:val="single" w:sz="4" w:space="0" w:color="auto"/>
            </w:tcBorders>
            <w:shd w:val="clear" w:color="auto" w:fill="99CCFF"/>
            <w:vAlign w:val="center"/>
          </w:tcPr>
          <w:p w14:paraId="5C8FDB3C" w14:textId="77777777" w:rsidR="00F81318" w:rsidRPr="00BB0A93" w:rsidRDefault="00F81318" w:rsidP="00F04B84">
            <w:pPr>
              <w:autoSpaceDE w:val="0"/>
              <w:autoSpaceDN w:val="0"/>
              <w:adjustRightInd w:val="0"/>
              <w:jc w:val="center"/>
              <w:rPr>
                <w:b/>
                <w:sz w:val="18"/>
                <w:szCs w:val="18"/>
              </w:rPr>
            </w:pPr>
            <w:r w:rsidRPr="353DE84B">
              <w:rPr>
                <w:b/>
                <w:bCs/>
                <w:sz w:val="18"/>
                <w:szCs w:val="18"/>
              </w:rPr>
              <w:t>Gg</w:t>
            </w:r>
          </w:p>
        </w:tc>
        <w:tc>
          <w:tcPr>
            <w:tcW w:w="934" w:type="dxa"/>
            <w:tcBorders>
              <w:top w:val="nil"/>
              <w:left w:val="single" w:sz="4" w:space="0" w:color="auto"/>
              <w:bottom w:val="single" w:sz="4" w:space="0" w:color="auto"/>
              <w:right w:val="single" w:sz="4" w:space="0" w:color="auto"/>
            </w:tcBorders>
            <w:shd w:val="clear" w:color="auto" w:fill="99CCFF"/>
            <w:vAlign w:val="center"/>
          </w:tcPr>
          <w:p w14:paraId="15DA82D0" w14:textId="77777777" w:rsidR="00F81318" w:rsidRPr="00BB0A93" w:rsidRDefault="00F81318" w:rsidP="00F04B84">
            <w:pPr>
              <w:autoSpaceDE w:val="0"/>
              <w:autoSpaceDN w:val="0"/>
              <w:adjustRightInd w:val="0"/>
              <w:jc w:val="center"/>
              <w:rPr>
                <w:b/>
                <w:sz w:val="18"/>
                <w:szCs w:val="18"/>
              </w:rPr>
            </w:pPr>
            <w:r w:rsidRPr="353DE84B">
              <w:rPr>
                <w:b/>
                <w:bCs/>
                <w:sz w:val="18"/>
                <w:szCs w:val="18"/>
              </w:rPr>
              <w:t>Gg</w:t>
            </w:r>
          </w:p>
        </w:tc>
        <w:tc>
          <w:tcPr>
            <w:tcW w:w="934" w:type="dxa"/>
            <w:tcBorders>
              <w:top w:val="nil"/>
              <w:left w:val="single" w:sz="4" w:space="0" w:color="auto"/>
              <w:bottom w:val="single" w:sz="4" w:space="0" w:color="auto"/>
              <w:right w:val="single" w:sz="4" w:space="0" w:color="auto"/>
            </w:tcBorders>
            <w:shd w:val="clear" w:color="auto" w:fill="99CCFF"/>
            <w:vAlign w:val="center"/>
          </w:tcPr>
          <w:p w14:paraId="7AD91C42" w14:textId="77777777" w:rsidR="00F81318" w:rsidRPr="00BB0A93" w:rsidRDefault="00F81318" w:rsidP="00F04B84">
            <w:pPr>
              <w:autoSpaceDE w:val="0"/>
              <w:autoSpaceDN w:val="0"/>
              <w:adjustRightInd w:val="0"/>
              <w:jc w:val="center"/>
              <w:rPr>
                <w:b/>
                <w:sz w:val="18"/>
                <w:szCs w:val="18"/>
              </w:rPr>
            </w:pPr>
            <w:r w:rsidRPr="353DE84B">
              <w:rPr>
                <w:b/>
                <w:bCs/>
                <w:sz w:val="18"/>
                <w:szCs w:val="18"/>
              </w:rPr>
              <w:t>Gg</w:t>
            </w:r>
          </w:p>
        </w:tc>
        <w:tc>
          <w:tcPr>
            <w:tcW w:w="934" w:type="dxa"/>
            <w:tcBorders>
              <w:top w:val="nil"/>
              <w:left w:val="nil"/>
              <w:bottom w:val="single" w:sz="4" w:space="0" w:color="auto"/>
              <w:right w:val="single" w:sz="4" w:space="0" w:color="auto"/>
            </w:tcBorders>
            <w:shd w:val="clear" w:color="auto" w:fill="99CCFF"/>
            <w:vAlign w:val="center"/>
          </w:tcPr>
          <w:p w14:paraId="761E00BE" w14:textId="77777777" w:rsidR="00F81318" w:rsidRPr="00BB0A93" w:rsidRDefault="00F81318" w:rsidP="00F04B84">
            <w:pPr>
              <w:autoSpaceDE w:val="0"/>
              <w:autoSpaceDN w:val="0"/>
              <w:adjustRightInd w:val="0"/>
              <w:jc w:val="center"/>
              <w:rPr>
                <w:b/>
                <w:sz w:val="18"/>
                <w:szCs w:val="18"/>
              </w:rPr>
            </w:pPr>
            <w:r w:rsidRPr="353DE84B">
              <w:rPr>
                <w:b/>
                <w:bCs/>
                <w:sz w:val="18"/>
                <w:szCs w:val="18"/>
              </w:rPr>
              <w:t>Gg</w:t>
            </w:r>
          </w:p>
        </w:tc>
      </w:tr>
      <w:tr w:rsidR="00F81318" w:rsidRPr="0006560B" w14:paraId="32FD7629" w14:textId="77777777" w:rsidTr="00F04B84">
        <w:trPr>
          <w:trHeight w:val="313"/>
        </w:trPr>
        <w:tc>
          <w:tcPr>
            <w:tcW w:w="439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10CE177" w14:textId="77777777" w:rsidR="00F81318" w:rsidRPr="00BB0A93" w:rsidRDefault="00F81318" w:rsidP="00F04B84">
            <w:pPr>
              <w:rPr>
                <w:b/>
                <w:sz w:val="18"/>
                <w:szCs w:val="18"/>
              </w:rPr>
            </w:pPr>
            <w:r w:rsidRPr="353DE84B">
              <w:rPr>
                <w:b/>
                <w:bCs/>
                <w:sz w:val="18"/>
                <w:szCs w:val="18"/>
              </w:rPr>
              <w:t>Ogółem</w:t>
            </w:r>
          </w:p>
        </w:tc>
        <w:tc>
          <w:tcPr>
            <w:tcW w:w="934" w:type="dxa"/>
            <w:tcBorders>
              <w:top w:val="single" w:sz="4" w:space="0" w:color="auto"/>
              <w:left w:val="single" w:sz="4" w:space="0" w:color="auto"/>
              <w:bottom w:val="single" w:sz="4" w:space="0" w:color="auto"/>
              <w:right w:val="single" w:sz="4" w:space="0" w:color="auto"/>
            </w:tcBorders>
            <w:shd w:val="clear" w:color="auto" w:fill="D0CECE"/>
            <w:vAlign w:val="center"/>
          </w:tcPr>
          <w:p w14:paraId="66323C90" w14:textId="77777777" w:rsidR="00F81318" w:rsidRPr="00BB0A93" w:rsidRDefault="00F81318" w:rsidP="00F04B84">
            <w:pPr>
              <w:jc w:val="right"/>
              <w:rPr>
                <w:b/>
                <w:sz w:val="18"/>
                <w:szCs w:val="18"/>
              </w:rPr>
            </w:pPr>
            <w:r w:rsidRPr="353DE84B">
              <w:rPr>
                <w:rFonts w:cs="Arial"/>
                <w:b/>
                <w:bCs/>
                <w:sz w:val="18"/>
                <w:szCs w:val="18"/>
              </w:rPr>
              <w:t>1116,85</w:t>
            </w:r>
          </w:p>
        </w:tc>
        <w:tc>
          <w:tcPr>
            <w:tcW w:w="934" w:type="dxa"/>
            <w:tcBorders>
              <w:top w:val="single" w:sz="4" w:space="0" w:color="auto"/>
              <w:left w:val="single" w:sz="4" w:space="0" w:color="auto"/>
              <w:bottom w:val="single" w:sz="4" w:space="0" w:color="auto"/>
              <w:right w:val="single" w:sz="4" w:space="0" w:color="auto"/>
            </w:tcBorders>
            <w:shd w:val="clear" w:color="auto" w:fill="D0CECE"/>
            <w:vAlign w:val="center"/>
          </w:tcPr>
          <w:p w14:paraId="304A5235" w14:textId="77777777" w:rsidR="00F81318" w:rsidRPr="00BB0A93" w:rsidRDefault="00F81318" w:rsidP="00F04B84">
            <w:pPr>
              <w:jc w:val="right"/>
              <w:rPr>
                <w:b/>
                <w:sz w:val="18"/>
                <w:szCs w:val="18"/>
              </w:rPr>
            </w:pPr>
            <w:r w:rsidRPr="353DE84B">
              <w:rPr>
                <w:rFonts w:cs="Arial"/>
                <w:b/>
                <w:bCs/>
                <w:sz w:val="18"/>
                <w:szCs w:val="18"/>
              </w:rPr>
              <w:t>886,20</w:t>
            </w:r>
          </w:p>
        </w:tc>
        <w:tc>
          <w:tcPr>
            <w:tcW w:w="934" w:type="dxa"/>
            <w:tcBorders>
              <w:top w:val="single" w:sz="4" w:space="0" w:color="auto"/>
              <w:left w:val="single" w:sz="4" w:space="0" w:color="auto"/>
              <w:bottom w:val="single" w:sz="4" w:space="0" w:color="auto"/>
              <w:right w:val="single" w:sz="4" w:space="0" w:color="auto"/>
            </w:tcBorders>
            <w:shd w:val="clear" w:color="auto" w:fill="D0CECE"/>
            <w:vAlign w:val="center"/>
          </w:tcPr>
          <w:p w14:paraId="2E407DCB" w14:textId="77777777" w:rsidR="00F81318" w:rsidRPr="00BB0A93" w:rsidRDefault="00F81318" w:rsidP="00F04B84">
            <w:pPr>
              <w:jc w:val="right"/>
              <w:rPr>
                <w:b/>
                <w:sz w:val="18"/>
                <w:szCs w:val="18"/>
              </w:rPr>
            </w:pPr>
            <w:r w:rsidRPr="353DE84B">
              <w:rPr>
                <w:rFonts w:cs="Arial"/>
                <w:b/>
                <w:bCs/>
                <w:sz w:val="18"/>
                <w:szCs w:val="18"/>
              </w:rPr>
              <w:t>877,46</w:t>
            </w:r>
          </w:p>
        </w:tc>
        <w:tc>
          <w:tcPr>
            <w:tcW w:w="934" w:type="dxa"/>
            <w:tcBorders>
              <w:top w:val="single" w:sz="4" w:space="0" w:color="auto"/>
              <w:left w:val="single" w:sz="4" w:space="0" w:color="auto"/>
              <w:bottom w:val="single" w:sz="4" w:space="0" w:color="auto"/>
              <w:right w:val="single" w:sz="4" w:space="0" w:color="auto"/>
            </w:tcBorders>
            <w:shd w:val="clear" w:color="auto" w:fill="D0CECE"/>
            <w:noWrap/>
            <w:vAlign w:val="center"/>
          </w:tcPr>
          <w:p w14:paraId="7B26939C" w14:textId="77777777" w:rsidR="00F81318" w:rsidRPr="00BB0A93" w:rsidRDefault="00F81318" w:rsidP="00F04B84">
            <w:pPr>
              <w:jc w:val="right"/>
              <w:rPr>
                <w:b/>
                <w:sz w:val="18"/>
                <w:szCs w:val="18"/>
              </w:rPr>
            </w:pPr>
            <w:r w:rsidRPr="353DE84B">
              <w:rPr>
                <w:rFonts w:cs="Arial"/>
                <w:b/>
                <w:bCs/>
                <w:sz w:val="18"/>
                <w:szCs w:val="18"/>
              </w:rPr>
              <w:t>725,37</w:t>
            </w:r>
          </w:p>
        </w:tc>
        <w:tc>
          <w:tcPr>
            <w:tcW w:w="934" w:type="dxa"/>
            <w:tcBorders>
              <w:top w:val="single" w:sz="4" w:space="0" w:color="auto"/>
              <w:left w:val="single" w:sz="4" w:space="0" w:color="auto"/>
              <w:bottom w:val="single" w:sz="4" w:space="0" w:color="auto"/>
              <w:right w:val="single" w:sz="4" w:space="0" w:color="auto"/>
            </w:tcBorders>
            <w:shd w:val="clear" w:color="auto" w:fill="D0CECE"/>
            <w:noWrap/>
            <w:vAlign w:val="center"/>
          </w:tcPr>
          <w:p w14:paraId="11F9B0B9" w14:textId="77777777" w:rsidR="00F81318" w:rsidRPr="00BB0A93" w:rsidRDefault="00F81318" w:rsidP="00F04B84">
            <w:pPr>
              <w:jc w:val="right"/>
              <w:rPr>
                <w:b/>
                <w:sz w:val="18"/>
                <w:szCs w:val="18"/>
              </w:rPr>
            </w:pPr>
            <w:r w:rsidRPr="353DE84B">
              <w:rPr>
                <w:rFonts w:cs="Arial"/>
                <w:b/>
                <w:bCs/>
                <w:sz w:val="18"/>
                <w:szCs w:val="18"/>
              </w:rPr>
              <w:t>681,52</w:t>
            </w:r>
          </w:p>
        </w:tc>
      </w:tr>
      <w:tr w:rsidR="00F81318" w:rsidRPr="0006560B" w14:paraId="47A4729E" w14:textId="77777777" w:rsidTr="00F04B84">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ACB47" w14:textId="77777777" w:rsidR="00F81318" w:rsidRPr="00BB0A93" w:rsidRDefault="00F81318" w:rsidP="00F04B84">
            <w:pPr>
              <w:rPr>
                <w:b/>
                <w:sz w:val="18"/>
                <w:szCs w:val="18"/>
              </w:rPr>
            </w:pPr>
            <w:r w:rsidRPr="353DE84B">
              <w:rPr>
                <w:b/>
                <w:bCs/>
                <w:sz w:val="18"/>
                <w:szCs w:val="18"/>
              </w:rPr>
              <w:t>1. Energia</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73452819" w14:textId="77777777" w:rsidR="00F81318" w:rsidRPr="00BB0A93" w:rsidRDefault="00F81318" w:rsidP="00F04B84">
            <w:pPr>
              <w:jc w:val="right"/>
              <w:rPr>
                <w:sz w:val="18"/>
                <w:szCs w:val="18"/>
              </w:rPr>
            </w:pPr>
            <w:r w:rsidRPr="353DE84B">
              <w:rPr>
                <w:rFonts w:cs="Arial"/>
                <w:b/>
                <w:bCs/>
                <w:sz w:val="18"/>
                <w:szCs w:val="18"/>
              </w:rPr>
              <w:t>1001,68</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3F2047F6" w14:textId="77777777" w:rsidR="00F81318" w:rsidRPr="00BB0A93" w:rsidRDefault="00F81318" w:rsidP="00F04B84">
            <w:pPr>
              <w:jc w:val="right"/>
              <w:rPr>
                <w:sz w:val="18"/>
                <w:szCs w:val="18"/>
              </w:rPr>
            </w:pPr>
            <w:r w:rsidRPr="353DE84B">
              <w:rPr>
                <w:rFonts w:cs="Arial"/>
                <w:b/>
                <w:bCs/>
                <w:sz w:val="18"/>
                <w:szCs w:val="18"/>
              </w:rPr>
              <w:t>802,97</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4756C07" w14:textId="77777777" w:rsidR="00F81318" w:rsidRPr="00BB0A93" w:rsidRDefault="00F81318" w:rsidP="00F04B84">
            <w:pPr>
              <w:jc w:val="right"/>
              <w:rPr>
                <w:sz w:val="18"/>
                <w:szCs w:val="18"/>
              </w:rPr>
            </w:pPr>
            <w:r w:rsidRPr="353DE84B">
              <w:rPr>
                <w:rFonts w:cs="Arial"/>
                <w:b/>
                <w:bCs/>
                <w:sz w:val="18"/>
                <w:szCs w:val="18"/>
              </w:rPr>
              <w:t>790,96</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E2335" w14:textId="77777777" w:rsidR="00F81318" w:rsidRPr="00BB0A93" w:rsidRDefault="00F81318" w:rsidP="00F04B84">
            <w:pPr>
              <w:jc w:val="right"/>
              <w:rPr>
                <w:sz w:val="18"/>
                <w:szCs w:val="18"/>
              </w:rPr>
            </w:pPr>
            <w:r w:rsidRPr="353DE84B">
              <w:rPr>
                <w:rFonts w:cs="Arial"/>
                <w:b/>
                <w:bCs/>
                <w:sz w:val="18"/>
                <w:szCs w:val="18"/>
              </w:rPr>
              <w:t>628,82</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979DB" w14:textId="77777777" w:rsidR="00F81318" w:rsidRPr="00BB0A93" w:rsidRDefault="00F81318" w:rsidP="00F04B84">
            <w:pPr>
              <w:jc w:val="right"/>
              <w:rPr>
                <w:sz w:val="18"/>
                <w:szCs w:val="18"/>
              </w:rPr>
            </w:pPr>
            <w:r w:rsidRPr="353DE84B">
              <w:rPr>
                <w:rFonts w:cs="Arial"/>
                <w:b/>
                <w:bCs/>
                <w:sz w:val="18"/>
                <w:szCs w:val="18"/>
              </w:rPr>
              <w:t>592,77</w:t>
            </w:r>
          </w:p>
        </w:tc>
      </w:tr>
      <w:tr w:rsidR="00F81318" w:rsidRPr="0006560B" w14:paraId="6A8717C1"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0ACDE9C0" w14:textId="77777777" w:rsidR="00F81318" w:rsidRPr="00BB0A93" w:rsidRDefault="00F81318" w:rsidP="00F04B84">
            <w:pPr>
              <w:ind w:firstLineChars="200" w:firstLine="360"/>
              <w:rPr>
                <w:sz w:val="18"/>
                <w:szCs w:val="18"/>
              </w:rPr>
            </w:pPr>
            <w:r w:rsidRPr="353DE84B">
              <w:rPr>
                <w:sz w:val="18"/>
                <w:szCs w:val="18"/>
              </w:rPr>
              <w:t>A. Spalanie paliw</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88D0FC4" w14:textId="77777777" w:rsidR="00F81318" w:rsidRPr="00BB0A93" w:rsidRDefault="00F81318" w:rsidP="00F04B84">
            <w:pPr>
              <w:jc w:val="right"/>
              <w:rPr>
                <w:sz w:val="18"/>
                <w:szCs w:val="18"/>
              </w:rPr>
            </w:pPr>
            <w:r w:rsidRPr="353DE84B">
              <w:rPr>
                <w:rFonts w:cs="Arial"/>
                <w:sz w:val="18"/>
                <w:szCs w:val="18"/>
              </w:rPr>
              <w:t>997,78</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76A2A1B3" w14:textId="77777777" w:rsidR="00F81318" w:rsidRPr="00BB0A93" w:rsidRDefault="00F81318" w:rsidP="00F04B84">
            <w:pPr>
              <w:jc w:val="right"/>
              <w:rPr>
                <w:sz w:val="18"/>
                <w:szCs w:val="18"/>
              </w:rPr>
            </w:pPr>
            <w:r w:rsidRPr="353DE84B">
              <w:rPr>
                <w:rFonts w:cs="Arial"/>
                <w:sz w:val="18"/>
                <w:szCs w:val="18"/>
              </w:rPr>
              <w:t>797,46</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8224584" w14:textId="77777777" w:rsidR="00F81318" w:rsidRPr="00BB0A93" w:rsidRDefault="00F81318" w:rsidP="00F04B84">
            <w:pPr>
              <w:jc w:val="right"/>
              <w:rPr>
                <w:sz w:val="18"/>
                <w:szCs w:val="18"/>
              </w:rPr>
            </w:pPr>
            <w:r w:rsidRPr="353DE84B">
              <w:rPr>
                <w:rFonts w:cs="Arial"/>
                <w:sz w:val="18"/>
                <w:szCs w:val="18"/>
              </w:rPr>
              <w:t>786,02</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D1AB9A" w14:textId="77777777" w:rsidR="00F81318" w:rsidRPr="00BB0A93" w:rsidRDefault="00F81318" w:rsidP="00F04B84">
            <w:pPr>
              <w:jc w:val="right"/>
              <w:rPr>
                <w:sz w:val="18"/>
                <w:szCs w:val="18"/>
              </w:rPr>
            </w:pPr>
            <w:r w:rsidRPr="353DE84B">
              <w:rPr>
                <w:rFonts w:cs="Arial"/>
                <w:sz w:val="18"/>
                <w:szCs w:val="18"/>
              </w:rPr>
              <w:t>625,02</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0F3D5" w14:textId="77777777" w:rsidR="00F81318" w:rsidRPr="00BB0A93" w:rsidRDefault="00F81318" w:rsidP="00F04B84">
            <w:pPr>
              <w:jc w:val="right"/>
              <w:rPr>
                <w:sz w:val="18"/>
                <w:szCs w:val="18"/>
              </w:rPr>
            </w:pPr>
            <w:r w:rsidRPr="353DE84B">
              <w:rPr>
                <w:rFonts w:cs="Arial"/>
                <w:sz w:val="18"/>
                <w:szCs w:val="18"/>
              </w:rPr>
              <w:t>589,15</w:t>
            </w:r>
          </w:p>
        </w:tc>
      </w:tr>
      <w:tr w:rsidR="00F81318" w:rsidRPr="005179A1" w14:paraId="7F377C27"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5BA73E19" w14:textId="77777777" w:rsidR="00F81318" w:rsidRPr="00BB0A93" w:rsidRDefault="00F81318" w:rsidP="00CA3BB7">
            <w:pPr>
              <w:pStyle w:val="Akapitzlist"/>
              <w:numPr>
                <w:ilvl w:val="0"/>
                <w:numId w:val="14"/>
              </w:numPr>
              <w:spacing w:after="0" w:line="240" w:lineRule="auto"/>
              <w:ind w:hanging="215"/>
              <w:rPr>
                <w:sz w:val="18"/>
                <w:szCs w:val="18"/>
              </w:rPr>
            </w:pPr>
            <w:r w:rsidRPr="353DE84B">
              <w:rPr>
                <w:sz w:val="18"/>
                <w:szCs w:val="18"/>
              </w:rPr>
              <w:t>Przemysły energetyczne</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3A063001" w14:textId="77777777" w:rsidR="00F81318" w:rsidRPr="00BB0A93" w:rsidRDefault="00F81318" w:rsidP="00F04B84">
            <w:pPr>
              <w:jc w:val="right"/>
              <w:rPr>
                <w:sz w:val="18"/>
                <w:szCs w:val="18"/>
              </w:rPr>
            </w:pPr>
            <w:r w:rsidRPr="353DE84B">
              <w:rPr>
                <w:rFonts w:cs="Arial"/>
                <w:sz w:val="18"/>
                <w:szCs w:val="18"/>
              </w:rPr>
              <w:t>579,02</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A6C77EC" w14:textId="77777777" w:rsidR="00F81318" w:rsidRPr="00BB0A93" w:rsidRDefault="00F81318" w:rsidP="00F04B84">
            <w:pPr>
              <w:jc w:val="right"/>
              <w:rPr>
                <w:sz w:val="18"/>
                <w:szCs w:val="18"/>
              </w:rPr>
            </w:pPr>
            <w:r w:rsidRPr="353DE84B">
              <w:rPr>
                <w:rFonts w:cs="Arial"/>
                <w:sz w:val="18"/>
                <w:szCs w:val="18"/>
              </w:rPr>
              <w:t>304,05</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E415F3E" w14:textId="77777777" w:rsidR="00F81318" w:rsidRPr="00BB0A93" w:rsidRDefault="00F81318" w:rsidP="00F04B84">
            <w:pPr>
              <w:jc w:val="right"/>
              <w:rPr>
                <w:sz w:val="18"/>
                <w:szCs w:val="18"/>
              </w:rPr>
            </w:pPr>
            <w:r w:rsidRPr="353DE84B">
              <w:rPr>
                <w:rFonts w:cs="Arial"/>
                <w:sz w:val="18"/>
                <w:szCs w:val="18"/>
              </w:rPr>
              <w:t>280,19</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EFA471" w14:textId="77777777" w:rsidR="00F81318" w:rsidRPr="00BB0A93" w:rsidRDefault="00F81318" w:rsidP="00F04B84">
            <w:pPr>
              <w:jc w:val="right"/>
              <w:rPr>
                <w:sz w:val="18"/>
                <w:szCs w:val="18"/>
              </w:rPr>
            </w:pPr>
            <w:r w:rsidRPr="353DE84B">
              <w:rPr>
                <w:rFonts w:cs="Arial"/>
                <w:sz w:val="18"/>
                <w:szCs w:val="18"/>
              </w:rPr>
              <w:t>155,60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845180" w14:textId="77777777" w:rsidR="00F81318" w:rsidRPr="00BB0A93" w:rsidRDefault="00F81318" w:rsidP="00F04B84">
            <w:pPr>
              <w:jc w:val="right"/>
              <w:rPr>
                <w:sz w:val="18"/>
                <w:szCs w:val="18"/>
              </w:rPr>
            </w:pPr>
            <w:r w:rsidRPr="353DE84B">
              <w:rPr>
                <w:rFonts w:cs="Arial"/>
                <w:sz w:val="18"/>
                <w:szCs w:val="18"/>
              </w:rPr>
              <w:t>139,47</w:t>
            </w:r>
          </w:p>
        </w:tc>
      </w:tr>
      <w:tr w:rsidR="00F81318" w:rsidRPr="0006560B" w14:paraId="782B6186"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0EA2F083" w14:textId="77777777" w:rsidR="00F81318" w:rsidRPr="00BB0A93" w:rsidRDefault="00F81318" w:rsidP="00CA3BB7">
            <w:pPr>
              <w:pStyle w:val="Akapitzlist"/>
              <w:numPr>
                <w:ilvl w:val="0"/>
                <w:numId w:val="14"/>
              </w:numPr>
              <w:spacing w:after="0" w:line="240" w:lineRule="auto"/>
              <w:ind w:left="856" w:hanging="227"/>
              <w:rPr>
                <w:sz w:val="18"/>
                <w:szCs w:val="18"/>
              </w:rPr>
            </w:pPr>
            <w:r w:rsidRPr="353DE84B">
              <w:rPr>
                <w:sz w:val="18"/>
                <w:szCs w:val="18"/>
              </w:rPr>
              <w:t>Przemysł wytwórczy</w:t>
            </w:r>
            <w:r>
              <w:rPr>
                <w:sz w:val="18"/>
                <w:szCs w:val="18"/>
              </w:rPr>
              <w:t xml:space="preserve"> i </w:t>
            </w:r>
            <w:r w:rsidRPr="353DE84B">
              <w:rPr>
                <w:sz w:val="18"/>
                <w:szCs w:val="18"/>
              </w:rPr>
              <w:t>budownictwo</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BF18D4F" w14:textId="77777777" w:rsidR="00F81318" w:rsidRPr="00BB0A93" w:rsidRDefault="00F81318" w:rsidP="00F04B84">
            <w:pPr>
              <w:jc w:val="right"/>
              <w:rPr>
                <w:sz w:val="18"/>
                <w:szCs w:val="18"/>
              </w:rPr>
            </w:pPr>
            <w:r w:rsidRPr="353DE84B">
              <w:rPr>
                <w:rFonts w:cs="Arial"/>
                <w:sz w:val="18"/>
                <w:szCs w:val="18"/>
              </w:rPr>
              <w:t>69,09</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CC6E0A0" w14:textId="77777777" w:rsidR="00F81318" w:rsidRPr="00BB0A93" w:rsidRDefault="00F81318" w:rsidP="00F04B84">
            <w:pPr>
              <w:jc w:val="right"/>
              <w:rPr>
                <w:sz w:val="18"/>
                <w:szCs w:val="18"/>
              </w:rPr>
            </w:pPr>
            <w:r w:rsidRPr="353DE84B">
              <w:rPr>
                <w:rFonts w:cs="Arial"/>
                <w:sz w:val="18"/>
                <w:szCs w:val="18"/>
              </w:rPr>
              <w:t>64,16</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4A41433" w14:textId="77777777" w:rsidR="00F81318" w:rsidRPr="00BB0A93" w:rsidRDefault="00F81318" w:rsidP="00F04B84">
            <w:pPr>
              <w:jc w:val="right"/>
              <w:rPr>
                <w:sz w:val="18"/>
                <w:szCs w:val="18"/>
              </w:rPr>
            </w:pPr>
            <w:r w:rsidRPr="353DE84B">
              <w:rPr>
                <w:rFonts w:cs="Arial"/>
                <w:sz w:val="18"/>
                <w:szCs w:val="18"/>
              </w:rPr>
              <w:t>54,08</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7933C" w14:textId="77777777" w:rsidR="00F81318" w:rsidRPr="00BB0A93" w:rsidRDefault="00F81318" w:rsidP="00F04B84">
            <w:pPr>
              <w:jc w:val="right"/>
              <w:rPr>
                <w:sz w:val="18"/>
                <w:szCs w:val="18"/>
              </w:rPr>
            </w:pPr>
            <w:r w:rsidRPr="353DE84B">
              <w:rPr>
                <w:rFonts w:cs="Arial"/>
                <w:sz w:val="18"/>
                <w:szCs w:val="18"/>
              </w:rPr>
              <w:t>53,45</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C8532B" w14:textId="77777777" w:rsidR="00F81318" w:rsidRPr="00BB0A93" w:rsidRDefault="00F81318" w:rsidP="00F04B84">
            <w:pPr>
              <w:jc w:val="right"/>
              <w:rPr>
                <w:sz w:val="18"/>
                <w:szCs w:val="18"/>
              </w:rPr>
            </w:pPr>
            <w:r w:rsidRPr="353DE84B">
              <w:rPr>
                <w:rFonts w:cs="Arial"/>
                <w:sz w:val="18"/>
                <w:szCs w:val="18"/>
              </w:rPr>
              <w:t>53,35</w:t>
            </w:r>
          </w:p>
        </w:tc>
      </w:tr>
      <w:tr w:rsidR="00F81318" w:rsidRPr="0006560B" w14:paraId="7AFC5276"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334947C5" w14:textId="77777777" w:rsidR="00F81318" w:rsidRPr="00BB0A93" w:rsidRDefault="00F81318" w:rsidP="00CA3BB7">
            <w:pPr>
              <w:pStyle w:val="Akapitzlist"/>
              <w:numPr>
                <w:ilvl w:val="0"/>
                <w:numId w:val="14"/>
              </w:numPr>
              <w:spacing w:after="0" w:line="240" w:lineRule="auto"/>
              <w:ind w:left="856" w:hanging="227"/>
              <w:rPr>
                <w:sz w:val="18"/>
                <w:szCs w:val="18"/>
              </w:rPr>
            </w:pPr>
            <w:r w:rsidRPr="353DE84B">
              <w:rPr>
                <w:sz w:val="18"/>
                <w:szCs w:val="18"/>
              </w:rPr>
              <w:t>Transport</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D530E3C" w14:textId="77777777" w:rsidR="00F81318" w:rsidRPr="00BB0A93" w:rsidRDefault="00F81318" w:rsidP="00F04B84">
            <w:pPr>
              <w:jc w:val="right"/>
              <w:rPr>
                <w:sz w:val="18"/>
                <w:szCs w:val="18"/>
              </w:rPr>
            </w:pPr>
            <w:r w:rsidRPr="353DE84B">
              <w:rPr>
                <w:rFonts w:cs="Arial"/>
                <w:sz w:val="18"/>
                <w:szCs w:val="18"/>
              </w:rPr>
              <w:t>214,62</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655DA15" w14:textId="77777777" w:rsidR="00F81318" w:rsidRPr="00BB0A93" w:rsidRDefault="00F81318" w:rsidP="00F04B84">
            <w:pPr>
              <w:jc w:val="right"/>
              <w:rPr>
                <w:sz w:val="18"/>
                <w:szCs w:val="18"/>
              </w:rPr>
            </w:pPr>
            <w:r w:rsidRPr="353DE84B">
              <w:rPr>
                <w:rFonts w:cs="Arial"/>
                <w:sz w:val="18"/>
                <w:szCs w:val="18"/>
              </w:rPr>
              <w:t>249,39</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769C19A3" w14:textId="77777777" w:rsidR="00F81318" w:rsidRPr="00BB0A93" w:rsidRDefault="00F81318" w:rsidP="00F04B84">
            <w:pPr>
              <w:jc w:val="right"/>
              <w:rPr>
                <w:sz w:val="18"/>
                <w:szCs w:val="18"/>
              </w:rPr>
            </w:pPr>
            <w:r w:rsidRPr="353DE84B">
              <w:rPr>
                <w:rFonts w:cs="Arial"/>
                <w:sz w:val="18"/>
                <w:szCs w:val="18"/>
              </w:rPr>
              <w:t>295,54</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908364" w14:textId="77777777" w:rsidR="00F81318" w:rsidRPr="00BB0A93" w:rsidRDefault="00F81318" w:rsidP="00F04B84">
            <w:pPr>
              <w:jc w:val="right"/>
              <w:rPr>
                <w:sz w:val="18"/>
                <w:szCs w:val="18"/>
              </w:rPr>
            </w:pPr>
            <w:r w:rsidRPr="353DE84B">
              <w:rPr>
                <w:rFonts w:cs="Arial"/>
                <w:sz w:val="18"/>
                <w:szCs w:val="18"/>
              </w:rPr>
              <w:t>291,25</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0D72DD" w14:textId="77777777" w:rsidR="00F81318" w:rsidRPr="00BB0A93" w:rsidRDefault="00F81318" w:rsidP="00F04B84">
            <w:pPr>
              <w:jc w:val="right"/>
              <w:rPr>
                <w:sz w:val="18"/>
                <w:szCs w:val="18"/>
              </w:rPr>
            </w:pPr>
            <w:r w:rsidRPr="353DE84B">
              <w:rPr>
                <w:rFonts w:cs="Arial"/>
                <w:sz w:val="18"/>
                <w:szCs w:val="18"/>
              </w:rPr>
              <w:t>281,64</w:t>
            </w:r>
          </w:p>
        </w:tc>
      </w:tr>
      <w:tr w:rsidR="00F81318" w:rsidRPr="0006560B" w14:paraId="038BEFC1"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3CF47254" w14:textId="77777777" w:rsidR="00F81318" w:rsidRPr="00BB0A93" w:rsidRDefault="00F81318" w:rsidP="00CA3BB7">
            <w:pPr>
              <w:pStyle w:val="Akapitzlist"/>
              <w:numPr>
                <w:ilvl w:val="0"/>
                <w:numId w:val="14"/>
              </w:numPr>
              <w:spacing w:after="0" w:line="240" w:lineRule="auto"/>
              <w:ind w:left="856" w:hanging="227"/>
              <w:rPr>
                <w:sz w:val="18"/>
                <w:szCs w:val="18"/>
              </w:rPr>
            </w:pPr>
            <w:r w:rsidRPr="353DE84B">
              <w:rPr>
                <w:sz w:val="18"/>
                <w:szCs w:val="18"/>
              </w:rPr>
              <w:t>Inne sektory</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08D2C4EE" w14:textId="77777777" w:rsidR="00F81318" w:rsidRPr="00BB0A93" w:rsidRDefault="00F81318" w:rsidP="00F04B84">
            <w:pPr>
              <w:jc w:val="right"/>
              <w:rPr>
                <w:sz w:val="18"/>
                <w:szCs w:val="18"/>
              </w:rPr>
            </w:pPr>
            <w:r w:rsidRPr="353DE84B">
              <w:rPr>
                <w:rFonts w:cs="Arial"/>
                <w:sz w:val="18"/>
                <w:szCs w:val="18"/>
              </w:rPr>
              <w:t>135,05</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8D98BB8" w14:textId="77777777" w:rsidR="00F81318" w:rsidRPr="00BB0A93" w:rsidRDefault="00F81318" w:rsidP="00F04B84">
            <w:pPr>
              <w:jc w:val="right"/>
              <w:rPr>
                <w:sz w:val="18"/>
                <w:szCs w:val="18"/>
              </w:rPr>
            </w:pPr>
            <w:r w:rsidRPr="353DE84B">
              <w:rPr>
                <w:rFonts w:cs="Arial"/>
                <w:sz w:val="18"/>
                <w:szCs w:val="18"/>
              </w:rPr>
              <w:t>179,85</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CD1E097" w14:textId="77777777" w:rsidR="00F81318" w:rsidRPr="00BB0A93" w:rsidRDefault="00F81318" w:rsidP="00F04B84">
            <w:pPr>
              <w:jc w:val="right"/>
              <w:rPr>
                <w:sz w:val="18"/>
                <w:szCs w:val="18"/>
              </w:rPr>
            </w:pPr>
            <w:r w:rsidRPr="353DE84B">
              <w:rPr>
                <w:rFonts w:cs="Arial"/>
                <w:sz w:val="18"/>
                <w:szCs w:val="18"/>
              </w:rPr>
              <w:t>156,22</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1FD63" w14:textId="77777777" w:rsidR="00F81318" w:rsidRPr="00BB0A93" w:rsidRDefault="00F81318" w:rsidP="00F04B84">
            <w:pPr>
              <w:jc w:val="right"/>
              <w:rPr>
                <w:sz w:val="18"/>
                <w:szCs w:val="18"/>
              </w:rPr>
            </w:pPr>
            <w:r w:rsidRPr="353DE84B">
              <w:rPr>
                <w:rFonts w:cs="Arial"/>
                <w:sz w:val="18"/>
                <w:szCs w:val="18"/>
              </w:rPr>
              <w:t>124,72</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2949C" w14:textId="77777777" w:rsidR="00F81318" w:rsidRPr="00BB0A93" w:rsidRDefault="00F81318" w:rsidP="00F04B84">
            <w:pPr>
              <w:jc w:val="right"/>
              <w:rPr>
                <w:sz w:val="18"/>
                <w:szCs w:val="18"/>
              </w:rPr>
            </w:pPr>
            <w:r w:rsidRPr="353DE84B">
              <w:rPr>
                <w:rFonts w:cs="Arial"/>
                <w:sz w:val="18"/>
                <w:szCs w:val="18"/>
              </w:rPr>
              <w:t>114,69</w:t>
            </w:r>
          </w:p>
        </w:tc>
      </w:tr>
      <w:tr w:rsidR="00F81318" w:rsidRPr="0006560B" w14:paraId="5166694D"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2A7972BE" w14:textId="77777777" w:rsidR="00F81318" w:rsidRPr="00BB0A93" w:rsidRDefault="00F81318" w:rsidP="00F04B84">
            <w:pPr>
              <w:ind w:firstLineChars="200" w:firstLine="360"/>
              <w:rPr>
                <w:sz w:val="18"/>
                <w:szCs w:val="18"/>
              </w:rPr>
            </w:pPr>
            <w:r w:rsidRPr="353DE84B">
              <w:rPr>
                <w:sz w:val="18"/>
                <w:szCs w:val="18"/>
              </w:rPr>
              <w:lastRenderedPageBreak/>
              <w:t>B. Emisja lotna</w:t>
            </w:r>
            <w:r>
              <w:rPr>
                <w:sz w:val="18"/>
                <w:szCs w:val="18"/>
              </w:rPr>
              <w:t xml:space="preserve"> z </w:t>
            </w:r>
            <w:r w:rsidRPr="353DE84B">
              <w:rPr>
                <w:sz w:val="18"/>
                <w:szCs w:val="18"/>
              </w:rPr>
              <w:t>paliw</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0339C46" w14:textId="77777777" w:rsidR="00F81318" w:rsidRPr="00BB0A93" w:rsidRDefault="00F81318" w:rsidP="00F04B84">
            <w:pPr>
              <w:jc w:val="right"/>
              <w:rPr>
                <w:sz w:val="18"/>
                <w:szCs w:val="18"/>
              </w:rPr>
            </w:pPr>
            <w:r w:rsidRPr="353DE84B">
              <w:rPr>
                <w:rFonts w:cs="Arial"/>
                <w:sz w:val="18"/>
                <w:szCs w:val="18"/>
              </w:rPr>
              <w:t>3,90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26FED437" w14:textId="77777777" w:rsidR="00F81318" w:rsidRPr="00BB0A93" w:rsidRDefault="00F81318" w:rsidP="00F04B84">
            <w:pPr>
              <w:jc w:val="right"/>
              <w:rPr>
                <w:sz w:val="18"/>
                <w:szCs w:val="18"/>
              </w:rPr>
            </w:pPr>
            <w:r w:rsidRPr="353DE84B">
              <w:rPr>
                <w:rFonts w:cs="Arial"/>
                <w:sz w:val="18"/>
                <w:szCs w:val="18"/>
              </w:rPr>
              <w:t>5,51</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92010F5" w14:textId="77777777" w:rsidR="00F81318" w:rsidRPr="00BB0A93" w:rsidRDefault="00F81318" w:rsidP="00F04B84">
            <w:pPr>
              <w:jc w:val="right"/>
              <w:rPr>
                <w:sz w:val="18"/>
                <w:szCs w:val="18"/>
              </w:rPr>
            </w:pPr>
            <w:r w:rsidRPr="353DE84B">
              <w:rPr>
                <w:rFonts w:cs="Arial"/>
                <w:sz w:val="18"/>
                <w:szCs w:val="18"/>
              </w:rPr>
              <w:t>4,94</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74BB6" w14:textId="77777777" w:rsidR="00F81318" w:rsidRPr="00BB0A93" w:rsidRDefault="00F81318" w:rsidP="00F04B84">
            <w:pPr>
              <w:jc w:val="right"/>
              <w:rPr>
                <w:sz w:val="18"/>
                <w:szCs w:val="18"/>
              </w:rPr>
            </w:pPr>
            <w:r w:rsidRPr="353DE84B">
              <w:rPr>
                <w:rFonts w:cs="Arial"/>
                <w:sz w:val="18"/>
                <w:szCs w:val="18"/>
              </w:rPr>
              <w:t>3,80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60749D" w14:textId="77777777" w:rsidR="00F81318" w:rsidRPr="00BB0A93" w:rsidRDefault="00F81318" w:rsidP="00F04B84">
            <w:pPr>
              <w:jc w:val="right"/>
              <w:rPr>
                <w:sz w:val="18"/>
                <w:szCs w:val="18"/>
              </w:rPr>
            </w:pPr>
            <w:r w:rsidRPr="353DE84B">
              <w:rPr>
                <w:rFonts w:cs="Arial"/>
                <w:sz w:val="18"/>
                <w:szCs w:val="18"/>
              </w:rPr>
              <w:t>3,62</w:t>
            </w:r>
          </w:p>
        </w:tc>
      </w:tr>
      <w:tr w:rsidR="00F81318" w:rsidRPr="0006560B" w14:paraId="13D1A015"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60E286A3" w14:textId="77777777" w:rsidR="00F81318" w:rsidRPr="00BB0A93" w:rsidRDefault="00F81318" w:rsidP="00CA3BB7">
            <w:pPr>
              <w:pStyle w:val="Akapitzlist"/>
              <w:numPr>
                <w:ilvl w:val="0"/>
                <w:numId w:val="15"/>
              </w:numPr>
              <w:spacing w:after="0" w:line="240" w:lineRule="auto"/>
              <w:ind w:hanging="215"/>
              <w:rPr>
                <w:sz w:val="18"/>
                <w:szCs w:val="18"/>
              </w:rPr>
            </w:pPr>
            <w:r w:rsidRPr="353DE84B">
              <w:rPr>
                <w:sz w:val="18"/>
                <w:szCs w:val="18"/>
              </w:rPr>
              <w:t>Lotna emisja</w:t>
            </w:r>
            <w:r>
              <w:rPr>
                <w:sz w:val="18"/>
                <w:szCs w:val="18"/>
              </w:rPr>
              <w:t xml:space="preserve"> z </w:t>
            </w:r>
            <w:r w:rsidRPr="353DE84B">
              <w:rPr>
                <w:sz w:val="18"/>
                <w:szCs w:val="18"/>
              </w:rPr>
              <w:t>paliw stałych</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D5408FB" w14:textId="77777777" w:rsidR="00F81318" w:rsidRPr="00BB0A93" w:rsidRDefault="00F81318" w:rsidP="00F04B84">
            <w:pPr>
              <w:jc w:val="right"/>
              <w:rPr>
                <w:sz w:val="18"/>
                <w:szCs w:val="18"/>
              </w:rPr>
            </w:pPr>
            <w:r w:rsidRPr="353DE84B">
              <w:rPr>
                <w:rFonts w:cs="Arial"/>
                <w:sz w:val="18"/>
                <w:szCs w:val="18"/>
              </w:rPr>
              <w:t>0,01</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BE9895B" w14:textId="77777777" w:rsidR="00F81318" w:rsidRPr="00BB0A93" w:rsidRDefault="00F81318" w:rsidP="00F04B84">
            <w:pPr>
              <w:jc w:val="right"/>
              <w:rPr>
                <w:sz w:val="18"/>
                <w:szCs w:val="18"/>
              </w:rPr>
            </w:pPr>
            <w:r w:rsidRPr="353DE84B">
              <w:rPr>
                <w:rFonts w:cs="Arial"/>
                <w:sz w:val="18"/>
                <w:szCs w:val="18"/>
              </w:rPr>
              <w:t>0,01</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94751C8" w14:textId="77777777" w:rsidR="00F81318" w:rsidRPr="00BB0A93" w:rsidRDefault="00F81318" w:rsidP="00F04B84">
            <w:pPr>
              <w:jc w:val="right"/>
              <w:rPr>
                <w:sz w:val="18"/>
                <w:szCs w:val="18"/>
              </w:rPr>
            </w:pPr>
            <w:r w:rsidRPr="353DE84B">
              <w:rPr>
                <w:rFonts w:cs="Arial"/>
                <w:sz w:val="18"/>
                <w:szCs w:val="18"/>
              </w:rPr>
              <w:t>0,01</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194AD0" w14:textId="77777777" w:rsidR="00F81318" w:rsidRPr="00BB0A93" w:rsidRDefault="00F81318" w:rsidP="00F04B84">
            <w:pPr>
              <w:jc w:val="right"/>
              <w:rPr>
                <w:sz w:val="18"/>
                <w:szCs w:val="18"/>
              </w:rPr>
            </w:pPr>
            <w:r w:rsidRPr="353DE84B">
              <w:rPr>
                <w:rFonts w:cs="Arial"/>
                <w:sz w:val="18"/>
                <w:szCs w:val="18"/>
              </w:rPr>
              <w:t>0,01</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7C949" w14:textId="77777777" w:rsidR="00F81318" w:rsidRPr="00BB0A93" w:rsidRDefault="00F81318" w:rsidP="00F04B84">
            <w:pPr>
              <w:jc w:val="right"/>
              <w:rPr>
                <w:sz w:val="18"/>
                <w:szCs w:val="18"/>
              </w:rPr>
            </w:pPr>
            <w:r w:rsidRPr="353DE84B">
              <w:rPr>
                <w:rFonts w:cs="Arial"/>
                <w:sz w:val="18"/>
                <w:szCs w:val="18"/>
              </w:rPr>
              <w:t>0,01</w:t>
            </w:r>
          </w:p>
        </w:tc>
      </w:tr>
      <w:tr w:rsidR="00F81318" w:rsidRPr="0006560B" w14:paraId="300E587E"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6BF6FFB2" w14:textId="77777777" w:rsidR="00F81318" w:rsidRPr="00BB0A93" w:rsidRDefault="00F81318" w:rsidP="00CA3BB7">
            <w:pPr>
              <w:pStyle w:val="Akapitzlist"/>
              <w:numPr>
                <w:ilvl w:val="0"/>
                <w:numId w:val="15"/>
              </w:numPr>
              <w:spacing w:after="0" w:line="240" w:lineRule="auto"/>
              <w:ind w:left="856" w:hanging="227"/>
              <w:rPr>
                <w:sz w:val="18"/>
                <w:szCs w:val="18"/>
              </w:rPr>
            </w:pPr>
            <w:r w:rsidRPr="353DE84B">
              <w:rPr>
                <w:sz w:val="18"/>
                <w:szCs w:val="18"/>
              </w:rPr>
              <w:t>Lotna emisja</w:t>
            </w:r>
            <w:r>
              <w:rPr>
                <w:sz w:val="18"/>
                <w:szCs w:val="18"/>
              </w:rPr>
              <w:t xml:space="preserve"> z </w:t>
            </w:r>
            <w:r w:rsidRPr="353DE84B">
              <w:rPr>
                <w:sz w:val="18"/>
                <w:szCs w:val="18"/>
              </w:rPr>
              <w:t>systemu gazu ziemnego</w:t>
            </w:r>
            <w:r>
              <w:rPr>
                <w:sz w:val="18"/>
                <w:szCs w:val="18"/>
              </w:rPr>
              <w:t xml:space="preserve"> i </w:t>
            </w:r>
            <w:r w:rsidRPr="353DE84B">
              <w:rPr>
                <w:sz w:val="18"/>
                <w:szCs w:val="18"/>
              </w:rPr>
              <w:t>ropy naftowej</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7DBC4719" w14:textId="77777777" w:rsidR="00F81318" w:rsidRPr="00BB0A93" w:rsidRDefault="00F81318" w:rsidP="00F04B84">
            <w:pPr>
              <w:jc w:val="right"/>
              <w:rPr>
                <w:sz w:val="18"/>
                <w:szCs w:val="18"/>
              </w:rPr>
            </w:pPr>
            <w:r w:rsidRPr="353DE84B">
              <w:rPr>
                <w:rFonts w:cs="Arial"/>
                <w:sz w:val="18"/>
                <w:szCs w:val="18"/>
              </w:rPr>
              <w:t>3,89</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3B00789A" w14:textId="77777777" w:rsidR="00F81318" w:rsidRPr="00BB0A93" w:rsidRDefault="00F81318" w:rsidP="00F04B84">
            <w:pPr>
              <w:jc w:val="right"/>
              <w:rPr>
                <w:sz w:val="18"/>
                <w:szCs w:val="18"/>
              </w:rPr>
            </w:pPr>
            <w:r w:rsidRPr="353DE84B">
              <w:rPr>
                <w:rFonts w:cs="Arial"/>
                <w:sz w:val="18"/>
                <w:szCs w:val="18"/>
              </w:rPr>
              <w:t>5,51</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C1F82CA" w14:textId="77777777" w:rsidR="00F81318" w:rsidRPr="00BB0A93" w:rsidRDefault="00F81318" w:rsidP="00F04B84">
            <w:pPr>
              <w:jc w:val="right"/>
              <w:rPr>
                <w:sz w:val="18"/>
                <w:szCs w:val="18"/>
              </w:rPr>
            </w:pPr>
            <w:r w:rsidRPr="353DE84B">
              <w:rPr>
                <w:rFonts w:cs="Arial"/>
                <w:sz w:val="18"/>
                <w:szCs w:val="18"/>
              </w:rPr>
              <w:t>4,93</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E946DC" w14:textId="77777777" w:rsidR="00F81318" w:rsidRPr="00BB0A93" w:rsidRDefault="00F81318" w:rsidP="00F04B84">
            <w:pPr>
              <w:jc w:val="right"/>
              <w:rPr>
                <w:sz w:val="18"/>
                <w:szCs w:val="18"/>
              </w:rPr>
            </w:pPr>
            <w:r w:rsidRPr="353DE84B">
              <w:rPr>
                <w:rFonts w:cs="Arial"/>
                <w:sz w:val="18"/>
                <w:szCs w:val="18"/>
              </w:rPr>
              <w:t>3,79</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07111" w14:textId="77777777" w:rsidR="00F81318" w:rsidRPr="00BB0A93" w:rsidRDefault="00F81318" w:rsidP="00F04B84">
            <w:pPr>
              <w:jc w:val="right"/>
              <w:rPr>
                <w:sz w:val="18"/>
                <w:szCs w:val="18"/>
              </w:rPr>
            </w:pPr>
            <w:r w:rsidRPr="353DE84B">
              <w:rPr>
                <w:rFonts w:cs="Arial"/>
                <w:sz w:val="18"/>
                <w:szCs w:val="18"/>
              </w:rPr>
              <w:t>3,62</w:t>
            </w:r>
          </w:p>
        </w:tc>
      </w:tr>
      <w:tr w:rsidR="00F81318" w:rsidRPr="0006560B" w14:paraId="093723DA"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31659FE8" w14:textId="77777777" w:rsidR="00F81318" w:rsidRPr="00BB0A93" w:rsidRDefault="00F81318" w:rsidP="00F04B84">
            <w:pPr>
              <w:rPr>
                <w:b/>
                <w:sz w:val="18"/>
                <w:szCs w:val="18"/>
              </w:rPr>
            </w:pPr>
            <w:r w:rsidRPr="353DE84B">
              <w:rPr>
                <w:b/>
                <w:bCs/>
                <w:sz w:val="18"/>
                <w:szCs w:val="18"/>
              </w:rPr>
              <w:t>2. Procesy przemysłowe</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22B461B9" w14:textId="77777777" w:rsidR="00F81318" w:rsidRPr="00BB0A93" w:rsidRDefault="00F81318" w:rsidP="00F04B84">
            <w:pPr>
              <w:jc w:val="right"/>
              <w:rPr>
                <w:sz w:val="18"/>
                <w:szCs w:val="18"/>
              </w:rPr>
            </w:pPr>
            <w:r w:rsidRPr="353DE84B">
              <w:rPr>
                <w:rFonts w:cs="Arial"/>
                <w:b/>
                <w:bCs/>
                <w:sz w:val="18"/>
                <w:szCs w:val="18"/>
              </w:rPr>
              <w:t>12,93</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7D15B2E5" w14:textId="77777777" w:rsidR="00F81318" w:rsidRPr="00BB0A93" w:rsidRDefault="00F81318" w:rsidP="00F04B84">
            <w:pPr>
              <w:jc w:val="right"/>
              <w:rPr>
                <w:sz w:val="18"/>
                <w:szCs w:val="18"/>
              </w:rPr>
            </w:pPr>
            <w:r w:rsidRPr="353DE84B">
              <w:rPr>
                <w:rFonts w:cs="Arial"/>
                <w:b/>
                <w:bCs/>
                <w:sz w:val="18"/>
                <w:szCs w:val="18"/>
              </w:rPr>
              <w:t>15,95</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47D0057" w14:textId="77777777" w:rsidR="00F81318" w:rsidRPr="00BB0A93" w:rsidRDefault="00F81318" w:rsidP="00F04B84">
            <w:pPr>
              <w:jc w:val="right"/>
              <w:rPr>
                <w:sz w:val="18"/>
                <w:szCs w:val="18"/>
              </w:rPr>
            </w:pPr>
            <w:r w:rsidRPr="353DE84B">
              <w:rPr>
                <w:rFonts w:cs="Arial"/>
                <w:b/>
                <w:bCs/>
                <w:sz w:val="18"/>
                <w:szCs w:val="18"/>
              </w:rPr>
              <w:t>15,39</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82DAE8" w14:textId="77777777" w:rsidR="00F81318" w:rsidRPr="00BB0A93" w:rsidRDefault="00F81318" w:rsidP="00F04B84">
            <w:pPr>
              <w:jc w:val="right"/>
              <w:rPr>
                <w:sz w:val="18"/>
                <w:szCs w:val="18"/>
              </w:rPr>
            </w:pPr>
            <w:r w:rsidRPr="353DE84B">
              <w:rPr>
                <w:rFonts w:cs="Arial"/>
                <w:b/>
                <w:bCs/>
                <w:sz w:val="18"/>
                <w:szCs w:val="18"/>
              </w:rPr>
              <w:t>17,53</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4ACD4" w14:textId="77777777" w:rsidR="00F81318" w:rsidRPr="00BB0A93" w:rsidRDefault="00F81318" w:rsidP="00F04B84">
            <w:pPr>
              <w:jc w:val="right"/>
              <w:rPr>
                <w:sz w:val="18"/>
                <w:szCs w:val="18"/>
              </w:rPr>
            </w:pPr>
            <w:r w:rsidRPr="353DE84B">
              <w:rPr>
                <w:rFonts w:cs="Arial"/>
                <w:b/>
                <w:bCs/>
                <w:sz w:val="18"/>
                <w:szCs w:val="18"/>
              </w:rPr>
              <w:t>17,27</w:t>
            </w:r>
          </w:p>
        </w:tc>
      </w:tr>
      <w:tr w:rsidR="00F81318" w:rsidRPr="0006560B" w14:paraId="4C980525"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236705B7" w14:textId="77777777" w:rsidR="00F81318" w:rsidRPr="00BB0A93" w:rsidRDefault="00F81318" w:rsidP="00F04B84">
            <w:pPr>
              <w:ind w:firstLineChars="200" w:firstLine="360"/>
              <w:rPr>
                <w:sz w:val="18"/>
                <w:szCs w:val="18"/>
              </w:rPr>
            </w:pPr>
            <w:r w:rsidRPr="353DE84B">
              <w:rPr>
                <w:sz w:val="18"/>
                <w:szCs w:val="18"/>
              </w:rPr>
              <w:t>A. Produkty mineralne</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252F4B4" w14:textId="77777777" w:rsidR="00F81318" w:rsidRPr="00BB0A93" w:rsidRDefault="00F81318" w:rsidP="00F04B84">
            <w:pPr>
              <w:jc w:val="right"/>
              <w:rPr>
                <w:sz w:val="18"/>
                <w:szCs w:val="18"/>
              </w:rPr>
            </w:pPr>
            <w:r w:rsidRPr="353DE84B">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03827237" w14:textId="77777777" w:rsidR="00F81318" w:rsidRPr="00BB0A93" w:rsidRDefault="00F81318" w:rsidP="00F04B84">
            <w:pPr>
              <w:jc w:val="right"/>
              <w:rPr>
                <w:sz w:val="18"/>
                <w:szCs w:val="18"/>
              </w:rPr>
            </w:pPr>
            <w:r w:rsidRPr="353DE84B">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3E644CC5" w14:textId="77777777" w:rsidR="00F81318" w:rsidRPr="00BB0A93" w:rsidRDefault="00F81318" w:rsidP="00F04B84">
            <w:pPr>
              <w:jc w:val="right"/>
              <w:rPr>
                <w:sz w:val="18"/>
                <w:szCs w:val="18"/>
              </w:rPr>
            </w:pPr>
            <w:r w:rsidRPr="353DE84B">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E20286" w14:textId="77777777" w:rsidR="00F81318" w:rsidRPr="00BB0A93" w:rsidRDefault="00F81318" w:rsidP="00F04B84">
            <w:pPr>
              <w:jc w:val="right"/>
              <w:rPr>
                <w:sz w:val="18"/>
                <w:szCs w:val="18"/>
              </w:rPr>
            </w:pPr>
            <w:r w:rsidRPr="353DE84B">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7AA2C" w14:textId="77777777" w:rsidR="00F81318" w:rsidRPr="00BB0A93" w:rsidRDefault="00F81318" w:rsidP="00F04B84">
            <w:pPr>
              <w:jc w:val="right"/>
              <w:rPr>
                <w:sz w:val="18"/>
                <w:szCs w:val="18"/>
              </w:rPr>
            </w:pPr>
            <w:r w:rsidRPr="353DE84B">
              <w:rPr>
                <w:rFonts w:cs="Arial"/>
                <w:sz w:val="18"/>
                <w:szCs w:val="18"/>
              </w:rPr>
              <w:t>0,00</w:t>
            </w:r>
          </w:p>
        </w:tc>
      </w:tr>
      <w:tr w:rsidR="00F81318" w:rsidRPr="0006560B" w14:paraId="6F838BAC"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7F0A27E4" w14:textId="77777777" w:rsidR="00F81318" w:rsidRPr="00BB0A93" w:rsidRDefault="00F81318" w:rsidP="00F04B84">
            <w:pPr>
              <w:ind w:firstLineChars="200" w:firstLine="360"/>
              <w:rPr>
                <w:sz w:val="18"/>
                <w:szCs w:val="18"/>
              </w:rPr>
            </w:pPr>
            <w:r w:rsidRPr="353DE84B">
              <w:rPr>
                <w:sz w:val="18"/>
                <w:szCs w:val="18"/>
              </w:rPr>
              <w:t>B. Przemysł chemiczny</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3A95E1F" w14:textId="77777777" w:rsidR="00F81318" w:rsidRPr="00BB0A93" w:rsidRDefault="00F81318" w:rsidP="00F04B84">
            <w:pPr>
              <w:jc w:val="right"/>
              <w:rPr>
                <w:sz w:val="18"/>
                <w:szCs w:val="18"/>
              </w:rPr>
            </w:pPr>
            <w:r w:rsidRPr="353DE84B">
              <w:rPr>
                <w:rFonts w:cs="Arial"/>
                <w:sz w:val="18"/>
                <w:szCs w:val="18"/>
              </w:rPr>
              <w:t>8,00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38CB4AF" w14:textId="77777777" w:rsidR="00F81318" w:rsidRPr="00BB0A93" w:rsidRDefault="00F81318" w:rsidP="00F04B84">
            <w:pPr>
              <w:jc w:val="right"/>
              <w:rPr>
                <w:sz w:val="18"/>
                <w:szCs w:val="18"/>
              </w:rPr>
            </w:pPr>
            <w:r w:rsidRPr="353DE84B">
              <w:rPr>
                <w:rFonts w:cs="Arial"/>
                <w:sz w:val="18"/>
                <w:szCs w:val="18"/>
              </w:rPr>
              <w:t>13,63</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7FC8D37" w14:textId="77777777" w:rsidR="00F81318" w:rsidRPr="00BB0A93" w:rsidRDefault="00F81318" w:rsidP="00F04B84">
            <w:pPr>
              <w:jc w:val="right"/>
              <w:rPr>
                <w:sz w:val="18"/>
                <w:szCs w:val="18"/>
              </w:rPr>
            </w:pPr>
            <w:r w:rsidRPr="353DE84B">
              <w:rPr>
                <w:rFonts w:cs="Arial"/>
                <w:sz w:val="18"/>
                <w:szCs w:val="18"/>
              </w:rPr>
              <w:t>13,04</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C2698D" w14:textId="77777777" w:rsidR="00F81318" w:rsidRPr="00BB0A93" w:rsidRDefault="00F81318" w:rsidP="00F04B84">
            <w:pPr>
              <w:jc w:val="right"/>
              <w:rPr>
                <w:sz w:val="18"/>
                <w:szCs w:val="18"/>
              </w:rPr>
            </w:pPr>
            <w:r w:rsidRPr="353DE84B">
              <w:rPr>
                <w:rFonts w:cs="Arial"/>
                <w:sz w:val="18"/>
                <w:szCs w:val="18"/>
              </w:rPr>
              <w:t>14,62</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57EF48" w14:textId="77777777" w:rsidR="00F81318" w:rsidRPr="00BB0A93" w:rsidRDefault="00F81318" w:rsidP="00F04B84">
            <w:pPr>
              <w:jc w:val="right"/>
              <w:rPr>
                <w:sz w:val="18"/>
                <w:szCs w:val="18"/>
              </w:rPr>
            </w:pPr>
            <w:r w:rsidRPr="353DE84B">
              <w:rPr>
                <w:rFonts w:cs="Arial"/>
                <w:sz w:val="18"/>
                <w:szCs w:val="18"/>
              </w:rPr>
              <w:t>14,64</w:t>
            </w:r>
          </w:p>
        </w:tc>
      </w:tr>
      <w:tr w:rsidR="00F81318" w:rsidRPr="0006560B" w14:paraId="65A495E9"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2492429E" w14:textId="77777777" w:rsidR="00F81318" w:rsidRPr="00BB0A93" w:rsidRDefault="00F81318" w:rsidP="00F04B84">
            <w:pPr>
              <w:ind w:firstLineChars="200" w:firstLine="360"/>
              <w:rPr>
                <w:sz w:val="18"/>
                <w:szCs w:val="18"/>
              </w:rPr>
            </w:pPr>
            <w:r w:rsidRPr="353DE84B">
              <w:rPr>
                <w:sz w:val="18"/>
                <w:szCs w:val="18"/>
              </w:rPr>
              <w:t>C. Produkcja metali</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A126810" w14:textId="77777777" w:rsidR="00F81318" w:rsidRPr="00BB0A93" w:rsidRDefault="00F81318" w:rsidP="00F04B84">
            <w:pPr>
              <w:jc w:val="right"/>
              <w:rPr>
                <w:sz w:val="18"/>
                <w:szCs w:val="18"/>
              </w:rPr>
            </w:pPr>
            <w:r w:rsidRPr="353DE84B">
              <w:rPr>
                <w:rFonts w:cs="Arial"/>
                <w:sz w:val="18"/>
                <w:szCs w:val="18"/>
              </w:rPr>
              <w:t>4,28</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F2EFE49" w14:textId="77777777" w:rsidR="00F81318" w:rsidRPr="00BB0A93" w:rsidRDefault="00F81318" w:rsidP="00F04B84">
            <w:pPr>
              <w:jc w:val="right"/>
              <w:rPr>
                <w:sz w:val="18"/>
                <w:szCs w:val="18"/>
              </w:rPr>
            </w:pPr>
            <w:r w:rsidRPr="353DE84B">
              <w:rPr>
                <w:rFonts w:cs="Arial"/>
                <w:sz w:val="18"/>
                <w:szCs w:val="18"/>
              </w:rPr>
              <w:t>1,42</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8DE1381" w14:textId="77777777" w:rsidR="00F81318" w:rsidRPr="00BB0A93" w:rsidRDefault="00F81318" w:rsidP="00F04B84">
            <w:pPr>
              <w:jc w:val="right"/>
              <w:rPr>
                <w:sz w:val="18"/>
                <w:szCs w:val="18"/>
              </w:rPr>
            </w:pPr>
            <w:r w:rsidRPr="353DE84B">
              <w:rPr>
                <w:rFonts w:cs="Arial"/>
                <w:sz w:val="18"/>
                <w:szCs w:val="18"/>
              </w:rPr>
              <w:t>1,39</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F25A9" w14:textId="77777777" w:rsidR="00F81318" w:rsidRPr="00BB0A93" w:rsidRDefault="00F81318" w:rsidP="00F04B84">
            <w:pPr>
              <w:jc w:val="right"/>
              <w:rPr>
                <w:sz w:val="18"/>
                <w:szCs w:val="18"/>
              </w:rPr>
            </w:pPr>
            <w:r w:rsidRPr="353DE84B">
              <w:rPr>
                <w:rFonts w:cs="Arial"/>
                <w:sz w:val="18"/>
                <w:szCs w:val="18"/>
              </w:rPr>
              <w:t>1,90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74B085" w14:textId="77777777" w:rsidR="00F81318" w:rsidRPr="00BB0A93" w:rsidRDefault="00F81318" w:rsidP="00F04B84">
            <w:pPr>
              <w:jc w:val="right"/>
              <w:rPr>
                <w:sz w:val="18"/>
                <w:szCs w:val="18"/>
              </w:rPr>
            </w:pPr>
            <w:r w:rsidRPr="353DE84B">
              <w:rPr>
                <w:rFonts w:cs="Arial"/>
                <w:sz w:val="18"/>
                <w:szCs w:val="18"/>
              </w:rPr>
              <w:t>1,63</w:t>
            </w:r>
          </w:p>
        </w:tc>
      </w:tr>
      <w:tr w:rsidR="00F81318" w:rsidRPr="0006560B" w14:paraId="024BEED6"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7618034D" w14:textId="77777777" w:rsidR="00F81318" w:rsidRPr="00BB0A93" w:rsidRDefault="00F81318" w:rsidP="00F04B84">
            <w:pPr>
              <w:ind w:firstLineChars="200" w:firstLine="360"/>
              <w:rPr>
                <w:sz w:val="18"/>
                <w:szCs w:val="18"/>
              </w:rPr>
            </w:pPr>
            <w:r w:rsidRPr="353DE84B">
              <w:rPr>
                <w:sz w:val="18"/>
                <w:szCs w:val="18"/>
              </w:rPr>
              <w:t>D. Stosowanie rozpuszczalników</w:t>
            </w:r>
            <w:r>
              <w:rPr>
                <w:sz w:val="18"/>
                <w:szCs w:val="18"/>
              </w:rPr>
              <w:t xml:space="preserve"> i </w:t>
            </w:r>
            <w:r w:rsidRPr="353DE84B">
              <w:rPr>
                <w:sz w:val="18"/>
                <w:szCs w:val="18"/>
              </w:rPr>
              <w:t>innych produktów</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243A440" w14:textId="77777777" w:rsidR="00F81318" w:rsidRPr="00BB0A93" w:rsidRDefault="00F81318" w:rsidP="00F04B84">
            <w:pPr>
              <w:jc w:val="right"/>
              <w:rPr>
                <w:sz w:val="18"/>
                <w:szCs w:val="18"/>
              </w:rPr>
            </w:pPr>
            <w:r w:rsidRPr="353DE84B">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800E7B8" w14:textId="77777777" w:rsidR="00F81318" w:rsidRPr="00BB0A93" w:rsidRDefault="00F81318" w:rsidP="00F04B84">
            <w:pPr>
              <w:jc w:val="right"/>
              <w:rPr>
                <w:sz w:val="18"/>
                <w:szCs w:val="18"/>
              </w:rPr>
            </w:pPr>
            <w:r w:rsidRPr="353DE84B">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5C647B9" w14:textId="77777777" w:rsidR="00F81318" w:rsidRPr="00BB0A93" w:rsidRDefault="00F81318" w:rsidP="00F04B84">
            <w:pPr>
              <w:jc w:val="right"/>
              <w:rPr>
                <w:sz w:val="18"/>
                <w:szCs w:val="18"/>
              </w:rPr>
            </w:pPr>
            <w:r w:rsidRPr="353DE84B">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A61CC" w14:textId="77777777" w:rsidR="00F81318" w:rsidRPr="00BB0A93" w:rsidRDefault="00F81318" w:rsidP="00F04B84">
            <w:pPr>
              <w:jc w:val="right"/>
              <w:rPr>
                <w:sz w:val="18"/>
                <w:szCs w:val="18"/>
              </w:rPr>
            </w:pPr>
            <w:r w:rsidRPr="353DE84B">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467D91" w14:textId="77777777" w:rsidR="00F81318" w:rsidRPr="00BB0A93" w:rsidRDefault="00F81318" w:rsidP="00F04B84">
            <w:pPr>
              <w:jc w:val="right"/>
              <w:rPr>
                <w:sz w:val="18"/>
                <w:szCs w:val="18"/>
              </w:rPr>
            </w:pPr>
            <w:r w:rsidRPr="353DE84B">
              <w:rPr>
                <w:rFonts w:cs="Arial"/>
                <w:sz w:val="18"/>
                <w:szCs w:val="18"/>
              </w:rPr>
              <w:t>0,00</w:t>
            </w:r>
          </w:p>
        </w:tc>
      </w:tr>
      <w:tr w:rsidR="00F81318" w:rsidRPr="0006560B" w14:paraId="782C0601"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361632FA" w14:textId="77777777" w:rsidR="00F81318" w:rsidRPr="00BB0A93" w:rsidRDefault="00F81318" w:rsidP="00F04B84">
            <w:pPr>
              <w:ind w:firstLineChars="200" w:firstLine="360"/>
              <w:rPr>
                <w:sz w:val="18"/>
                <w:szCs w:val="18"/>
              </w:rPr>
            </w:pPr>
            <w:r w:rsidRPr="353DE84B">
              <w:rPr>
                <w:sz w:val="18"/>
                <w:szCs w:val="18"/>
              </w:rPr>
              <w:t>G. – L. Inne</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0CAE733F" w14:textId="77777777" w:rsidR="00F81318" w:rsidRPr="00BB0A93" w:rsidRDefault="00F81318" w:rsidP="00F04B84">
            <w:pPr>
              <w:jc w:val="right"/>
              <w:rPr>
                <w:sz w:val="18"/>
                <w:szCs w:val="18"/>
              </w:rPr>
            </w:pPr>
            <w:r w:rsidRPr="353DE84B">
              <w:rPr>
                <w:rFonts w:cs="Arial"/>
                <w:sz w:val="18"/>
                <w:szCs w:val="18"/>
              </w:rPr>
              <w:t>0,65</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B87FAE0" w14:textId="77777777" w:rsidR="00F81318" w:rsidRPr="00BB0A93" w:rsidRDefault="00F81318" w:rsidP="00F04B84">
            <w:pPr>
              <w:jc w:val="right"/>
              <w:rPr>
                <w:sz w:val="18"/>
                <w:szCs w:val="18"/>
              </w:rPr>
            </w:pPr>
            <w:r w:rsidRPr="353DE84B">
              <w:rPr>
                <w:rFonts w:cs="Arial"/>
                <w:sz w:val="18"/>
                <w:szCs w:val="18"/>
              </w:rPr>
              <w:t>0,90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AB025B0" w14:textId="77777777" w:rsidR="00F81318" w:rsidRPr="00BB0A93" w:rsidRDefault="00F81318" w:rsidP="00F04B84">
            <w:pPr>
              <w:jc w:val="right"/>
              <w:rPr>
                <w:sz w:val="18"/>
                <w:szCs w:val="18"/>
              </w:rPr>
            </w:pPr>
            <w:r w:rsidRPr="353DE84B">
              <w:rPr>
                <w:rFonts w:cs="Arial"/>
                <w:sz w:val="18"/>
                <w:szCs w:val="18"/>
              </w:rPr>
              <w:t>0,97</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A2A142" w14:textId="77777777" w:rsidR="00F81318" w:rsidRPr="00BB0A93" w:rsidRDefault="00F81318" w:rsidP="00F04B84">
            <w:pPr>
              <w:jc w:val="right"/>
              <w:rPr>
                <w:sz w:val="18"/>
                <w:szCs w:val="18"/>
              </w:rPr>
            </w:pPr>
            <w:r w:rsidRPr="353DE84B">
              <w:rPr>
                <w:rFonts w:cs="Arial"/>
                <w:sz w:val="18"/>
                <w:szCs w:val="18"/>
              </w:rPr>
              <w:t>1,02</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115664" w14:textId="77777777" w:rsidR="00F81318" w:rsidRPr="00BB0A93" w:rsidRDefault="00F81318" w:rsidP="00F04B84">
            <w:pPr>
              <w:jc w:val="right"/>
              <w:rPr>
                <w:sz w:val="18"/>
                <w:szCs w:val="18"/>
              </w:rPr>
            </w:pPr>
            <w:r w:rsidRPr="353DE84B">
              <w:rPr>
                <w:rFonts w:cs="Arial"/>
                <w:sz w:val="18"/>
                <w:szCs w:val="18"/>
              </w:rPr>
              <w:t>1,00</w:t>
            </w:r>
          </w:p>
        </w:tc>
      </w:tr>
      <w:tr w:rsidR="00F81318" w:rsidRPr="0006560B" w14:paraId="261AB260"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4BEF3FBC" w14:textId="77777777" w:rsidR="00F81318" w:rsidRPr="00BB0A93" w:rsidRDefault="00F81318" w:rsidP="00F04B84">
            <w:pPr>
              <w:rPr>
                <w:b/>
                <w:sz w:val="18"/>
                <w:szCs w:val="18"/>
              </w:rPr>
            </w:pPr>
            <w:r w:rsidRPr="353DE84B">
              <w:rPr>
                <w:b/>
                <w:bCs/>
                <w:sz w:val="18"/>
                <w:szCs w:val="18"/>
              </w:rPr>
              <w:t>3. Rolnictwo</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346CF460" w14:textId="77777777" w:rsidR="00F81318" w:rsidRPr="00BB0A93" w:rsidRDefault="00F81318" w:rsidP="00F04B84">
            <w:pPr>
              <w:jc w:val="right"/>
              <w:rPr>
                <w:sz w:val="18"/>
                <w:szCs w:val="18"/>
              </w:rPr>
            </w:pPr>
            <w:r w:rsidRPr="353DE84B">
              <w:rPr>
                <w:rFonts w:cs="Arial"/>
                <w:b/>
                <w:bCs/>
                <w:sz w:val="18"/>
                <w:szCs w:val="18"/>
              </w:rPr>
              <w:t>100,63</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2E7E1FD" w14:textId="77777777" w:rsidR="00F81318" w:rsidRPr="00BB0A93" w:rsidRDefault="00F81318" w:rsidP="00F04B84">
            <w:pPr>
              <w:jc w:val="right"/>
              <w:rPr>
                <w:sz w:val="18"/>
                <w:szCs w:val="18"/>
              </w:rPr>
            </w:pPr>
            <w:r w:rsidRPr="353DE84B">
              <w:rPr>
                <w:rFonts w:cs="Arial"/>
                <w:b/>
                <w:bCs/>
                <w:sz w:val="18"/>
                <w:szCs w:val="18"/>
              </w:rPr>
              <w:t>65,84</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24D57BF5" w14:textId="77777777" w:rsidR="00F81318" w:rsidRPr="00BB0A93" w:rsidRDefault="00F81318" w:rsidP="00F04B84">
            <w:pPr>
              <w:jc w:val="right"/>
              <w:rPr>
                <w:sz w:val="18"/>
                <w:szCs w:val="18"/>
              </w:rPr>
            </w:pPr>
            <w:r w:rsidRPr="353DE84B">
              <w:rPr>
                <w:rFonts w:cs="Arial"/>
                <w:b/>
                <w:bCs/>
                <w:sz w:val="18"/>
                <w:szCs w:val="18"/>
              </w:rPr>
              <w:t>69,57</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011FB3" w14:textId="77777777" w:rsidR="00F81318" w:rsidRPr="00BB0A93" w:rsidRDefault="00F81318" w:rsidP="00F04B84">
            <w:pPr>
              <w:jc w:val="right"/>
              <w:rPr>
                <w:sz w:val="18"/>
                <w:szCs w:val="18"/>
              </w:rPr>
            </w:pPr>
            <w:r w:rsidRPr="353DE84B">
              <w:rPr>
                <w:rFonts w:cs="Arial"/>
                <w:b/>
                <w:bCs/>
                <w:sz w:val="18"/>
                <w:szCs w:val="18"/>
              </w:rPr>
              <w:t>76,90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9EAA0" w14:textId="77777777" w:rsidR="00F81318" w:rsidRPr="00BB0A93" w:rsidRDefault="00F81318" w:rsidP="00F04B84">
            <w:pPr>
              <w:jc w:val="right"/>
              <w:rPr>
                <w:sz w:val="18"/>
                <w:szCs w:val="18"/>
              </w:rPr>
            </w:pPr>
            <w:r w:rsidRPr="353DE84B">
              <w:rPr>
                <w:rFonts w:cs="Arial"/>
                <w:b/>
                <w:bCs/>
                <w:sz w:val="18"/>
                <w:szCs w:val="18"/>
              </w:rPr>
              <w:t>69,59</w:t>
            </w:r>
          </w:p>
        </w:tc>
      </w:tr>
      <w:tr w:rsidR="00F81318" w:rsidRPr="0006560B" w14:paraId="06951933"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6939D3D4" w14:textId="77777777" w:rsidR="00F81318" w:rsidRPr="00BB0A93" w:rsidRDefault="00F81318" w:rsidP="00F04B84">
            <w:pPr>
              <w:ind w:firstLineChars="200" w:firstLine="360"/>
              <w:rPr>
                <w:sz w:val="18"/>
                <w:szCs w:val="18"/>
              </w:rPr>
            </w:pPr>
            <w:r w:rsidRPr="353DE84B">
              <w:rPr>
                <w:sz w:val="18"/>
                <w:szCs w:val="18"/>
              </w:rPr>
              <w:t>B. Nawozy naturalne</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A806CBD" w14:textId="77777777" w:rsidR="00F81318" w:rsidRPr="00BB0A93" w:rsidRDefault="00F81318" w:rsidP="00F04B84">
            <w:pPr>
              <w:jc w:val="right"/>
              <w:rPr>
                <w:sz w:val="18"/>
                <w:szCs w:val="18"/>
              </w:rPr>
            </w:pPr>
            <w:r w:rsidRPr="353DE84B">
              <w:rPr>
                <w:rFonts w:cs="Arial"/>
                <w:sz w:val="18"/>
                <w:szCs w:val="18"/>
              </w:rPr>
              <w:t>8,46</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BD8911C" w14:textId="77777777" w:rsidR="00F81318" w:rsidRPr="00BB0A93" w:rsidRDefault="00F81318" w:rsidP="00F04B84">
            <w:pPr>
              <w:jc w:val="right"/>
              <w:rPr>
                <w:sz w:val="18"/>
                <w:szCs w:val="18"/>
              </w:rPr>
            </w:pPr>
            <w:r w:rsidRPr="353DE84B">
              <w:rPr>
                <w:rFonts w:cs="Arial"/>
                <w:sz w:val="18"/>
                <w:szCs w:val="18"/>
              </w:rPr>
              <w:t>5,18</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E43C214" w14:textId="77777777" w:rsidR="00F81318" w:rsidRPr="00BB0A93" w:rsidRDefault="00F81318" w:rsidP="00F04B84">
            <w:pPr>
              <w:jc w:val="right"/>
              <w:rPr>
                <w:sz w:val="18"/>
                <w:szCs w:val="18"/>
              </w:rPr>
            </w:pPr>
            <w:r w:rsidRPr="353DE84B">
              <w:rPr>
                <w:rFonts w:cs="Arial"/>
                <w:sz w:val="18"/>
                <w:szCs w:val="18"/>
              </w:rPr>
              <w:t>4,42</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794A1D" w14:textId="77777777" w:rsidR="00F81318" w:rsidRPr="00BB0A93" w:rsidRDefault="00F81318" w:rsidP="00F04B84">
            <w:pPr>
              <w:jc w:val="right"/>
              <w:rPr>
                <w:sz w:val="18"/>
                <w:szCs w:val="18"/>
              </w:rPr>
            </w:pPr>
            <w:r w:rsidRPr="353DE84B">
              <w:rPr>
                <w:rFonts w:cs="Arial"/>
                <w:sz w:val="18"/>
                <w:szCs w:val="18"/>
              </w:rPr>
              <w:t>4,89</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D1400" w14:textId="77777777" w:rsidR="00F81318" w:rsidRPr="00BB0A93" w:rsidRDefault="00F81318" w:rsidP="00F04B84">
            <w:pPr>
              <w:jc w:val="right"/>
              <w:rPr>
                <w:sz w:val="18"/>
                <w:szCs w:val="18"/>
              </w:rPr>
            </w:pPr>
            <w:r w:rsidRPr="353DE84B">
              <w:rPr>
                <w:rFonts w:cs="Arial"/>
                <w:sz w:val="18"/>
                <w:szCs w:val="18"/>
              </w:rPr>
              <w:t>4,93</w:t>
            </w:r>
          </w:p>
        </w:tc>
      </w:tr>
      <w:tr w:rsidR="00F81318" w:rsidRPr="0006560B" w14:paraId="151517D0"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20F45ACC" w14:textId="77777777" w:rsidR="00F81318" w:rsidRPr="00BB0A93" w:rsidRDefault="00F81318" w:rsidP="00F04B84">
            <w:pPr>
              <w:ind w:firstLineChars="200" w:firstLine="360"/>
              <w:rPr>
                <w:sz w:val="18"/>
                <w:szCs w:val="18"/>
              </w:rPr>
            </w:pPr>
            <w:r w:rsidRPr="353DE84B">
              <w:rPr>
                <w:sz w:val="18"/>
                <w:szCs w:val="18"/>
              </w:rPr>
              <w:t>D. Gleby rolne</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94C1076" w14:textId="77777777" w:rsidR="00F81318" w:rsidRPr="00BB0A93" w:rsidRDefault="00F81318" w:rsidP="00F04B84">
            <w:pPr>
              <w:jc w:val="right"/>
              <w:rPr>
                <w:sz w:val="18"/>
                <w:szCs w:val="18"/>
              </w:rPr>
            </w:pPr>
            <w:r w:rsidRPr="353DE84B">
              <w:rPr>
                <w:rFonts w:cs="Arial"/>
                <w:sz w:val="18"/>
                <w:szCs w:val="18"/>
              </w:rPr>
              <w:t>92,09</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6205C3A" w14:textId="77777777" w:rsidR="00F81318" w:rsidRPr="00BB0A93" w:rsidRDefault="00F81318" w:rsidP="00F04B84">
            <w:pPr>
              <w:jc w:val="right"/>
              <w:rPr>
                <w:sz w:val="18"/>
                <w:szCs w:val="18"/>
              </w:rPr>
            </w:pPr>
            <w:r w:rsidRPr="353DE84B">
              <w:rPr>
                <w:rFonts w:cs="Arial"/>
                <w:sz w:val="18"/>
                <w:szCs w:val="18"/>
              </w:rPr>
              <w:t>60,60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327F0359" w14:textId="77777777" w:rsidR="00F81318" w:rsidRPr="00BB0A93" w:rsidRDefault="00F81318" w:rsidP="00F04B84">
            <w:pPr>
              <w:jc w:val="right"/>
              <w:rPr>
                <w:sz w:val="18"/>
                <w:szCs w:val="18"/>
              </w:rPr>
            </w:pPr>
            <w:r w:rsidRPr="353DE84B">
              <w:rPr>
                <w:rFonts w:cs="Arial"/>
                <w:sz w:val="18"/>
                <w:szCs w:val="18"/>
              </w:rPr>
              <w:t>65,13</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B044D9" w14:textId="77777777" w:rsidR="00F81318" w:rsidRPr="00BB0A93" w:rsidRDefault="00F81318" w:rsidP="00F04B84">
            <w:pPr>
              <w:jc w:val="right"/>
              <w:rPr>
                <w:sz w:val="18"/>
                <w:szCs w:val="18"/>
              </w:rPr>
            </w:pPr>
            <w:r w:rsidRPr="353DE84B">
              <w:rPr>
                <w:rFonts w:cs="Arial"/>
                <w:sz w:val="18"/>
                <w:szCs w:val="18"/>
              </w:rPr>
              <w:t>71,98</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E18A9" w14:textId="77777777" w:rsidR="00F81318" w:rsidRPr="00BB0A93" w:rsidRDefault="00F81318" w:rsidP="00F04B84">
            <w:pPr>
              <w:jc w:val="right"/>
              <w:rPr>
                <w:sz w:val="18"/>
                <w:szCs w:val="18"/>
              </w:rPr>
            </w:pPr>
            <w:r w:rsidRPr="353DE84B">
              <w:rPr>
                <w:rFonts w:cs="Arial"/>
                <w:sz w:val="18"/>
                <w:szCs w:val="18"/>
              </w:rPr>
              <w:t>64,63</w:t>
            </w:r>
          </w:p>
        </w:tc>
      </w:tr>
      <w:tr w:rsidR="00F81318" w:rsidRPr="0006560B" w14:paraId="21E2F2BC"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653F4952" w14:textId="77777777" w:rsidR="00F81318" w:rsidRPr="00BB0A93" w:rsidRDefault="00F81318" w:rsidP="00F04B84">
            <w:pPr>
              <w:ind w:firstLineChars="200" w:firstLine="360"/>
              <w:rPr>
                <w:sz w:val="18"/>
                <w:szCs w:val="18"/>
              </w:rPr>
            </w:pPr>
            <w:r w:rsidRPr="353DE84B">
              <w:rPr>
                <w:sz w:val="18"/>
                <w:szCs w:val="18"/>
              </w:rPr>
              <w:t>F. Spalanie resztek roślinnych</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7ECC8EC" w14:textId="77777777" w:rsidR="00F81318" w:rsidRPr="00BB0A93" w:rsidRDefault="00F81318" w:rsidP="00F04B84">
            <w:pPr>
              <w:jc w:val="right"/>
              <w:rPr>
                <w:sz w:val="18"/>
                <w:szCs w:val="18"/>
              </w:rPr>
            </w:pPr>
            <w:r w:rsidRPr="353DE84B">
              <w:rPr>
                <w:rFonts w:cs="Arial"/>
                <w:sz w:val="18"/>
                <w:szCs w:val="18"/>
              </w:rPr>
              <w:t>0,08</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1E4E26B" w14:textId="77777777" w:rsidR="00F81318" w:rsidRPr="00BB0A93" w:rsidRDefault="00F81318" w:rsidP="00F04B84">
            <w:pPr>
              <w:jc w:val="right"/>
              <w:rPr>
                <w:sz w:val="18"/>
                <w:szCs w:val="18"/>
              </w:rPr>
            </w:pPr>
            <w:r w:rsidRPr="353DE84B">
              <w:rPr>
                <w:rFonts w:cs="Arial"/>
                <w:sz w:val="18"/>
                <w:szCs w:val="18"/>
              </w:rPr>
              <w:t>0,07</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24CF1729" w14:textId="77777777" w:rsidR="00F81318" w:rsidRPr="00BB0A93" w:rsidRDefault="00F81318" w:rsidP="00F04B84">
            <w:pPr>
              <w:jc w:val="right"/>
              <w:rPr>
                <w:sz w:val="18"/>
                <w:szCs w:val="18"/>
              </w:rPr>
            </w:pPr>
            <w:r w:rsidRPr="353DE84B">
              <w:rPr>
                <w:rFonts w:cs="Arial"/>
                <w:sz w:val="18"/>
                <w:szCs w:val="18"/>
              </w:rPr>
              <w:t>0,02</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85623" w14:textId="77777777" w:rsidR="00F81318" w:rsidRPr="00BB0A93" w:rsidRDefault="00F81318" w:rsidP="00F04B84">
            <w:pPr>
              <w:jc w:val="right"/>
              <w:rPr>
                <w:sz w:val="18"/>
                <w:szCs w:val="18"/>
              </w:rPr>
            </w:pPr>
            <w:r w:rsidRPr="353DE84B">
              <w:rPr>
                <w:rFonts w:cs="Arial"/>
                <w:sz w:val="18"/>
                <w:szCs w:val="18"/>
              </w:rPr>
              <w:t>0,02</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CD592D" w14:textId="77777777" w:rsidR="00F81318" w:rsidRPr="00BB0A93" w:rsidRDefault="00F81318" w:rsidP="00F04B84">
            <w:pPr>
              <w:jc w:val="right"/>
              <w:rPr>
                <w:sz w:val="18"/>
                <w:szCs w:val="18"/>
              </w:rPr>
            </w:pPr>
            <w:r w:rsidRPr="353DE84B">
              <w:rPr>
                <w:rFonts w:cs="Arial"/>
                <w:sz w:val="18"/>
                <w:szCs w:val="18"/>
              </w:rPr>
              <w:t>0,03</w:t>
            </w:r>
          </w:p>
        </w:tc>
      </w:tr>
      <w:tr w:rsidR="00F81318" w:rsidRPr="0006560B" w14:paraId="118DD88C"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1A86D28B" w14:textId="77777777" w:rsidR="00F81318" w:rsidRPr="00BB0A93" w:rsidRDefault="00F81318" w:rsidP="00F04B84">
            <w:pPr>
              <w:rPr>
                <w:b/>
                <w:sz w:val="18"/>
                <w:szCs w:val="18"/>
              </w:rPr>
            </w:pPr>
            <w:r w:rsidRPr="353DE84B">
              <w:rPr>
                <w:b/>
                <w:bCs/>
                <w:sz w:val="18"/>
                <w:szCs w:val="18"/>
              </w:rPr>
              <w:t>5. Odpady</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147D378" w14:textId="77777777" w:rsidR="00F81318" w:rsidRPr="00BB0A93" w:rsidRDefault="00F81318" w:rsidP="00F04B84">
            <w:pPr>
              <w:jc w:val="right"/>
              <w:rPr>
                <w:sz w:val="18"/>
                <w:szCs w:val="18"/>
              </w:rPr>
            </w:pPr>
            <w:r w:rsidRPr="353DE84B">
              <w:rPr>
                <w:rFonts w:cs="Arial"/>
                <w:b/>
                <w:bCs/>
                <w:sz w:val="18"/>
                <w:szCs w:val="18"/>
              </w:rPr>
              <w:t>1,62</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7B888C8A" w14:textId="77777777" w:rsidR="00F81318" w:rsidRPr="00BB0A93" w:rsidRDefault="00F81318" w:rsidP="00F04B84">
            <w:pPr>
              <w:jc w:val="right"/>
              <w:rPr>
                <w:sz w:val="18"/>
                <w:szCs w:val="18"/>
              </w:rPr>
            </w:pPr>
            <w:r w:rsidRPr="353DE84B">
              <w:rPr>
                <w:rFonts w:cs="Arial"/>
                <w:b/>
                <w:bCs/>
                <w:sz w:val="18"/>
                <w:szCs w:val="18"/>
              </w:rPr>
              <w:t>1,44</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0848431" w14:textId="77777777" w:rsidR="00F81318" w:rsidRPr="00BB0A93" w:rsidRDefault="00F81318" w:rsidP="00F04B84">
            <w:pPr>
              <w:jc w:val="right"/>
              <w:rPr>
                <w:sz w:val="18"/>
                <w:szCs w:val="18"/>
              </w:rPr>
            </w:pPr>
            <w:r w:rsidRPr="353DE84B">
              <w:rPr>
                <w:rFonts w:cs="Arial"/>
                <w:b/>
                <w:bCs/>
                <w:sz w:val="18"/>
                <w:szCs w:val="18"/>
              </w:rPr>
              <w:t>1,53</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02198" w14:textId="77777777" w:rsidR="00F81318" w:rsidRPr="00BB0A93" w:rsidRDefault="00F81318" w:rsidP="00F04B84">
            <w:pPr>
              <w:jc w:val="right"/>
              <w:rPr>
                <w:sz w:val="18"/>
                <w:szCs w:val="18"/>
              </w:rPr>
            </w:pPr>
            <w:r w:rsidRPr="353DE84B">
              <w:rPr>
                <w:rFonts w:cs="Arial"/>
                <w:b/>
                <w:bCs/>
                <w:sz w:val="18"/>
                <w:szCs w:val="18"/>
              </w:rPr>
              <w:t>2,12</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A59D3B" w14:textId="77777777" w:rsidR="00F81318" w:rsidRPr="00BB0A93" w:rsidRDefault="00F81318" w:rsidP="00F04B84">
            <w:pPr>
              <w:jc w:val="right"/>
              <w:rPr>
                <w:sz w:val="18"/>
                <w:szCs w:val="18"/>
              </w:rPr>
            </w:pPr>
            <w:r w:rsidRPr="353DE84B">
              <w:rPr>
                <w:rFonts w:cs="Arial"/>
                <w:b/>
                <w:bCs/>
                <w:sz w:val="18"/>
                <w:szCs w:val="18"/>
              </w:rPr>
              <w:t>1,89</w:t>
            </w:r>
          </w:p>
        </w:tc>
      </w:tr>
      <w:tr w:rsidR="00F81318" w:rsidRPr="0006560B" w14:paraId="43123DD8" w14:textId="77777777" w:rsidTr="00F04B84">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92CDC" w14:textId="77777777" w:rsidR="00F81318" w:rsidRPr="00BB0A93" w:rsidRDefault="00F81318" w:rsidP="00F04B84">
            <w:pPr>
              <w:ind w:firstLineChars="200" w:firstLine="360"/>
              <w:rPr>
                <w:sz w:val="18"/>
                <w:szCs w:val="18"/>
              </w:rPr>
            </w:pPr>
            <w:r w:rsidRPr="353DE84B">
              <w:rPr>
                <w:sz w:val="18"/>
                <w:szCs w:val="18"/>
              </w:rPr>
              <w:t>A. Składowiska odpadów stałych</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FFA97AA" w14:textId="77777777" w:rsidR="00F81318" w:rsidRPr="00BB0A93" w:rsidRDefault="00F81318" w:rsidP="00F04B84">
            <w:pPr>
              <w:jc w:val="right"/>
              <w:rPr>
                <w:sz w:val="18"/>
                <w:szCs w:val="18"/>
              </w:rPr>
            </w:pPr>
            <w:r w:rsidRPr="353DE84B">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B9920E2" w14:textId="77777777" w:rsidR="00F81318" w:rsidRPr="00BB0A93" w:rsidRDefault="00F81318" w:rsidP="00F04B84">
            <w:pPr>
              <w:jc w:val="right"/>
              <w:rPr>
                <w:sz w:val="18"/>
                <w:szCs w:val="18"/>
              </w:rPr>
            </w:pPr>
            <w:r w:rsidRPr="353DE84B">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C8F6CEB" w14:textId="77777777" w:rsidR="00F81318" w:rsidRPr="00BB0A93" w:rsidRDefault="00F81318" w:rsidP="00F04B84">
            <w:pPr>
              <w:jc w:val="right"/>
              <w:rPr>
                <w:sz w:val="18"/>
                <w:szCs w:val="18"/>
              </w:rPr>
            </w:pPr>
            <w:r w:rsidRPr="353DE84B">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526616" w14:textId="77777777" w:rsidR="00F81318" w:rsidRPr="00BB0A93" w:rsidRDefault="00F81318" w:rsidP="00F04B84">
            <w:pPr>
              <w:jc w:val="right"/>
              <w:rPr>
                <w:sz w:val="18"/>
                <w:szCs w:val="18"/>
              </w:rPr>
            </w:pPr>
            <w:r w:rsidRPr="353DE84B">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3376D" w14:textId="77777777" w:rsidR="00F81318" w:rsidRPr="00BB0A93" w:rsidRDefault="00F81318" w:rsidP="00F04B84">
            <w:pPr>
              <w:jc w:val="right"/>
              <w:rPr>
                <w:sz w:val="18"/>
                <w:szCs w:val="18"/>
              </w:rPr>
            </w:pPr>
            <w:r w:rsidRPr="353DE84B">
              <w:rPr>
                <w:rFonts w:cs="Arial"/>
                <w:sz w:val="18"/>
                <w:szCs w:val="18"/>
              </w:rPr>
              <w:t>0,00</w:t>
            </w:r>
          </w:p>
        </w:tc>
      </w:tr>
      <w:tr w:rsidR="00F81318" w:rsidRPr="0006560B" w14:paraId="0E650B8D"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2DDB5ADE" w14:textId="77777777" w:rsidR="00F81318" w:rsidRPr="00BB0A93" w:rsidRDefault="00F81318" w:rsidP="00F04B84">
            <w:pPr>
              <w:ind w:firstLineChars="200" w:firstLine="360"/>
              <w:rPr>
                <w:sz w:val="18"/>
                <w:szCs w:val="18"/>
              </w:rPr>
            </w:pPr>
            <w:r w:rsidRPr="353DE84B">
              <w:rPr>
                <w:sz w:val="18"/>
                <w:szCs w:val="18"/>
              </w:rPr>
              <w:t>C. Spopielanie</w:t>
            </w:r>
            <w:r>
              <w:rPr>
                <w:sz w:val="18"/>
                <w:szCs w:val="18"/>
              </w:rPr>
              <w:t xml:space="preserve"> i </w:t>
            </w:r>
            <w:r w:rsidRPr="353DE84B">
              <w:rPr>
                <w:sz w:val="18"/>
                <w:szCs w:val="18"/>
              </w:rPr>
              <w:t>otwarte spalanie odpadów</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339B07E" w14:textId="77777777" w:rsidR="00F81318" w:rsidRPr="00BB0A93" w:rsidRDefault="00F81318" w:rsidP="00F04B84">
            <w:pPr>
              <w:jc w:val="right"/>
              <w:rPr>
                <w:sz w:val="18"/>
                <w:szCs w:val="18"/>
              </w:rPr>
            </w:pPr>
            <w:r w:rsidRPr="353DE84B">
              <w:rPr>
                <w:rFonts w:cs="Arial"/>
                <w:sz w:val="18"/>
                <w:szCs w:val="18"/>
              </w:rPr>
              <w:t>1,62</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734B44D" w14:textId="77777777" w:rsidR="00F81318" w:rsidRPr="00BB0A93" w:rsidRDefault="00F81318" w:rsidP="00F04B84">
            <w:pPr>
              <w:jc w:val="right"/>
              <w:rPr>
                <w:sz w:val="18"/>
                <w:szCs w:val="18"/>
              </w:rPr>
            </w:pPr>
            <w:r w:rsidRPr="353DE84B">
              <w:rPr>
                <w:rFonts w:cs="Arial"/>
                <w:sz w:val="18"/>
                <w:szCs w:val="18"/>
              </w:rPr>
              <w:t>1,44</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BF5E8B4" w14:textId="77777777" w:rsidR="00F81318" w:rsidRPr="00BB0A93" w:rsidRDefault="00F81318" w:rsidP="00F04B84">
            <w:pPr>
              <w:jc w:val="right"/>
              <w:rPr>
                <w:sz w:val="18"/>
                <w:szCs w:val="18"/>
              </w:rPr>
            </w:pPr>
            <w:r w:rsidRPr="353DE84B">
              <w:rPr>
                <w:rFonts w:cs="Arial"/>
                <w:sz w:val="18"/>
                <w:szCs w:val="18"/>
              </w:rPr>
              <w:t>1,53</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D2F76" w14:textId="77777777" w:rsidR="00F81318" w:rsidRPr="00BB0A93" w:rsidRDefault="00F81318" w:rsidP="00F04B84">
            <w:pPr>
              <w:jc w:val="right"/>
              <w:rPr>
                <w:sz w:val="18"/>
                <w:szCs w:val="18"/>
              </w:rPr>
            </w:pPr>
            <w:r w:rsidRPr="353DE84B">
              <w:rPr>
                <w:rFonts w:cs="Arial"/>
                <w:sz w:val="18"/>
                <w:szCs w:val="18"/>
              </w:rPr>
              <w:t>2,12</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29543" w14:textId="77777777" w:rsidR="00F81318" w:rsidRPr="00BB0A93" w:rsidRDefault="00F81318" w:rsidP="00F04B84">
            <w:pPr>
              <w:jc w:val="right"/>
              <w:rPr>
                <w:sz w:val="18"/>
                <w:szCs w:val="18"/>
              </w:rPr>
            </w:pPr>
            <w:r w:rsidRPr="353DE84B">
              <w:rPr>
                <w:rFonts w:cs="Arial"/>
                <w:sz w:val="18"/>
                <w:szCs w:val="18"/>
              </w:rPr>
              <w:t>1,89</w:t>
            </w:r>
          </w:p>
        </w:tc>
      </w:tr>
      <w:tr w:rsidR="00F81318" w:rsidRPr="0006560B" w14:paraId="160736A5"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5578DC64" w14:textId="77777777" w:rsidR="00F81318" w:rsidRPr="00BB0A93" w:rsidRDefault="00F81318" w:rsidP="00F04B84">
            <w:pPr>
              <w:ind w:firstLineChars="200" w:firstLine="360"/>
              <w:rPr>
                <w:sz w:val="18"/>
                <w:szCs w:val="18"/>
              </w:rPr>
            </w:pPr>
            <w:r w:rsidRPr="353DE84B">
              <w:rPr>
                <w:sz w:val="18"/>
                <w:szCs w:val="18"/>
              </w:rPr>
              <w:t>D. Gospodarka ściekami</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8ABBCB3" w14:textId="77777777" w:rsidR="00F81318" w:rsidRPr="00BB0A93" w:rsidRDefault="00F81318" w:rsidP="00F04B84">
            <w:pPr>
              <w:jc w:val="right"/>
              <w:rPr>
                <w:sz w:val="18"/>
                <w:szCs w:val="18"/>
              </w:rPr>
            </w:pPr>
            <w:r w:rsidRPr="353DE84B">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0F72E6BD" w14:textId="77777777" w:rsidR="00F81318" w:rsidRPr="00BB0A93" w:rsidRDefault="00F81318" w:rsidP="00F04B84">
            <w:pPr>
              <w:jc w:val="right"/>
              <w:rPr>
                <w:sz w:val="18"/>
                <w:szCs w:val="18"/>
              </w:rPr>
            </w:pPr>
            <w:r w:rsidRPr="353DE84B">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60A8D9E" w14:textId="77777777" w:rsidR="00F81318" w:rsidRPr="00BB0A93" w:rsidRDefault="00F81318" w:rsidP="00F04B84">
            <w:pPr>
              <w:jc w:val="right"/>
              <w:rPr>
                <w:sz w:val="18"/>
                <w:szCs w:val="18"/>
              </w:rPr>
            </w:pPr>
            <w:r w:rsidRPr="353DE84B">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7BFA4" w14:textId="77777777" w:rsidR="00F81318" w:rsidRPr="00BB0A93" w:rsidRDefault="00F81318" w:rsidP="00F04B84">
            <w:pPr>
              <w:jc w:val="right"/>
              <w:rPr>
                <w:sz w:val="18"/>
                <w:szCs w:val="18"/>
              </w:rPr>
            </w:pPr>
            <w:r w:rsidRPr="353DE84B">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AFB6DD" w14:textId="77777777" w:rsidR="00F81318" w:rsidRPr="00BB0A93" w:rsidRDefault="00F81318" w:rsidP="00F04B84">
            <w:pPr>
              <w:jc w:val="right"/>
              <w:rPr>
                <w:sz w:val="18"/>
                <w:szCs w:val="18"/>
              </w:rPr>
            </w:pPr>
            <w:r w:rsidRPr="353DE84B">
              <w:rPr>
                <w:rFonts w:cs="Arial"/>
                <w:sz w:val="18"/>
                <w:szCs w:val="18"/>
              </w:rPr>
              <w:t>0,00</w:t>
            </w:r>
          </w:p>
        </w:tc>
      </w:tr>
      <w:tr w:rsidR="00F81318" w:rsidRPr="0006560B" w14:paraId="4F84A710"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2DC8232C" w14:textId="77777777" w:rsidR="00F81318" w:rsidRPr="00BB0A93" w:rsidRDefault="00F81318" w:rsidP="00F04B84">
            <w:pPr>
              <w:ind w:firstLineChars="200" w:firstLine="360"/>
              <w:rPr>
                <w:sz w:val="18"/>
                <w:szCs w:val="18"/>
              </w:rPr>
            </w:pPr>
            <w:r w:rsidRPr="353DE84B">
              <w:rPr>
                <w:sz w:val="18"/>
                <w:szCs w:val="18"/>
              </w:rPr>
              <w:t>E. Inne</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71FA108B" w14:textId="77777777" w:rsidR="00F81318" w:rsidRPr="00BB0A93" w:rsidRDefault="00F81318" w:rsidP="00F04B84">
            <w:pPr>
              <w:jc w:val="right"/>
              <w:rPr>
                <w:sz w:val="18"/>
                <w:szCs w:val="18"/>
              </w:rPr>
            </w:pPr>
            <w:r w:rsidRPr="353DE84B">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2159A23A" w14:textId="77777777" w:rsidR="00F81318" w:rsidRPr="00BB0A93" w:rsidRDefault="00F81318" w:rsidP="00F04B84">
            <w:pPr>
              <w:jc w:val="right"/>
              <w:rPr>
                <w:sz w:val="18"/>
                <w:szCs w:val="18"/>
              </w:rPr>
            </w:pPr>
            <w:r w:rsidRPr="353DE84B">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06B15D1F" w14:textId="77777777" w:rsidR="00F81318" w:rsidRPr="00BB0A93" w:rsidRDefault="00F81318" w:rsidP="00F04B84">
            <w:pPr>
              <w:jc w:val="right"/>
              <w:rPr>
                <w:sz w:val="18"/>
                <w:szCs w:val="18"/>
              </w:rPr>
            </w:pPr>
            <w:r w:rsidRPr="353DE84B">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E1DC4" w14:textId="77777777" w:rsidR="00F81318" w:rsidRPr="00BB0A93" w:rsidRDefault="00F81318" w:rsidP="00F04B84">
            <w:pPr>
              <w:jc w:val="right"/>
              <w:rPr>
                <w:sz w:val="18"/>
                <w:szCs w:val="18"/>
              </w:rPr>
            </w:pPr>
            <w:r w:rsidRPr="353DE84B">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D8C830" w14:textId="77777777" w:rsidR="00F81318" w:rsidRPr="00BB0A93" w:rsidRDefault="00F81318" w:rsidP="00F04B84">
            <w:pPr>
              <w:jc w:val="right"/>
              <w:rPr>
                <w:sz w:val="18"/>
                <w:szCs w:val="18"/>
              </w:rPr>
            </w:pPr>
            <w:r w:rsidRPr="353DE84B">
              <w:rPr>
                <w:rFonts w:cs="Arial"/>
                <w:sz w:val="18"/>
                <w:szCs w:val="18"/>
              </w:rPr>
              <w:t>0,00</w:t>
            </w:r>
          </w:p>
        </w:tc>
      </w:tr>
    </w:tbl>
    <w:p w14:paraId="39BC678C" w14:textId="3C84673F" w:rsidR="00B13C6E" w:rsidRDefault="00B13C6E" w:rsidP="005E1512">
      <w:pPr>
        <w:rPr>
          <w:i/>
          <w:iCs/>
          <w:sz w:val="20"/>
          <w:szCs w:val="20"/>
        </w:rPr>
      </w:pPr>
    </w:p>
    <w:p w14:paraId="0281D77D" w14:textId="0823AF0F" w:rsidR="007C4B63" w:rsidRPr="00F81318" w:rsidRDefault="00F81318" w:rsidP="00F81318">
      <w:pPr>
        <w:jc w:val="center"/>
        <w:rPr>
          <w:i/>
          <w:iCs/>
          <w:sz w:val="20"/>
          <w:szCs w:val="20"/>
        </w:rPr>
      </w:pPr>
      <w:r w:rsidRPr="007A0F16">
        <w:rPr>
          <w:noProof/>
          <w:lang w:eastAsia="pl-PL"/>
        </w:rPr>
        <w:drawing>
          <wp:inline distT="0" distB="0" distL="0" distR="0" wp14:anchorId="7358DA8A" wp14:editId="5B79256A">
            <wp:extent cx="3883025" cy="2401824"/>
            <wp:effectExtent l="0" t="0" r="3175" b="0"/>
            <wp:docPr id="249" name="Obraz 249" descr="1A1 Przemysły energetyczne 20%&#10;1A2 Przemysł wytwórczy i budownictwo 8%&#10;1A3 transport 41%&#10;1A4 Inne sektory 17%&#10;1B Emisja lotna z paliw 1%&#10;2 Procesy przemysłowe 3%&#10;3 Rolnictwo 10%&#10;5 Odpady 0,28%" title="Wykres kołowy Udział poszczególnych sektorów w emisji NOx w roku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892383" cy="2407613"/>
                    </a:xfrm>
                    <a:prstGeom prst="rect">
                      <a:avLst/>
                    </a:prstGeom>
                    <a:noFill/>
                    <a:ln>
                      <a:noFill/>
                    </a:ln>
                  </pic:spPr>
                </pic:pic>
              </a:graphicData>
            </a:graphic>
          </wp:inline>
        </w:drawing>
      </w:r>
      <w:bookmarkEnd w:id="50"/>
    </w:p>
    <w:p w14:paraId="6CCF5EDA" w14:textId="5E4E97D5" w:rsidR="00B20F28" w:rsidRPr="0035160C" w:rsidRDefault="007C4B63" w:rsidP="00CD6FB1">
      <w:pPr>
        <w:jc w:val="center"/>
        <w:rPr>
          <w:sz w:val="20"/>
          <w:szCs w:val="20"/>
        </w:rPr>
      </w:pPr>
      <w:r w:rsidRPr="0035160C">
        <w:rPr>
          <w:sz w:val="20"/>
          <w:szCs w:val="20"/>
        </w:rPr>
        <w:t xml:space="preserve">Rysunek </w:t>
      </w:r>
      <w:r w:rsidR="00F81318">
        <w:rPr>
          <w:sz w:val="20"/>
          <w:szCs w:val="20"/>
        </w:rPr>
        <w:t>51</w:t>
      </w:r>
      <w:r w:rsidR="00CD6FB1" w:rsidRPr="0035160C">
        <w:rPr>
          <w:sz w:val="20"/>
          <w:szCs w:val="20"/>
        </w:rPr>
        <w:t>.</w:t>
      </w:r>
      <w:r w:rsidRPr="0035160C">
        <w:rPr>
          <w:sz w:val="20"/>
          <w:szCs w:val="20"/>
        </w:rPr>
        <w:t xml:space="preserve"> Udział istotnych sektorów w emisji NOx w 201</w:t>
      </w:r>
      <w:r w:rsidR="00F81318">
        <w:rPr>
          <w:sz w:val="20"/>
          <w:szCs w:val="20"/>
        </w:rPr>
        <w:t>9</w:t>
      </w:r>
      <w:r w:rsidR="00B20F28" w:rsidRPr="0035160C">
        <w:rPr>
          <w:sz w:val="20"/>
          <w:szCs w:val="20"/>
        </w:rPr>
        <w:t xml:space="preserve"> r.</w:t>
      </w:r>
    </w:p>
    <w:p w14:paraId="2152A6D8" w14:textId="77777777" w:rsidR="00F81318" w:rsidRDefault="00F81318" w:rsidP="00F81318">
      <w:pPr>
        <w:pStyle w:val="Tekstpodstawowy"/>
        <w:tabs>
          <w:tab w:val="left" w:pos="7740"/>
        </w:tabs>
        <w:spacing w:before="120" w:line="240" w:lineRule="auto"/>
        <w:jc w:val="both"/>
        <w:rPr>
          <w:rFonts w:eastAsia="Times New Roman" w:cs="Calibri"/>
          <w:b/>
          <w:bCs/>
          <w:color w:val="2F5496" w:themeColor="accent1" w:themeShade="BF"/>
          <w:lang w:eastAsia="pl-PL"/>
        </w:rPr>
      </w:pPr>
    </w:p>
    <w:p w14:paraId="490618BC" w14:textId="77777777" w:rsidR="00F81318" w:rsidRDefault="00F81318" w:rsidP="00F81318">
      <w:pPr>
        <w:pStyle w:val="Tekstpodstawowy"/>
        <w:tabs>
          <w:tab w:val="left" w:pos="7740"/>
        </w:tabs>
        <w:spacing w:before="120" w:line="240" w:lineRule="auto"/>
        <w:jc w:val="both"/>
        <w:rPr>
          <w:rFonts w:eastAsia="Times New Roman" w:cs="Calibri"/>
          <w:b/>
          <w:bCs/>
          <w:color w:val="2F5496" w:themeColor="accent1" w:themeShade="BF"/>
          <w:lang w:eastAsia="pl-PL"/>
        </w:rPr>
      </w:pPr>
    </w:p>
    <w:p w14:paraId="48B0B032" w14:textId="6289A8DC" w:rsidR="00F81318" w:rsidRPr="00F81318" w:rsidRDefault="00F81318" w:rsidP="00F81318">
      <w:pPr>
        <w:pStyle w:val="Tekstpodstawowy"/>
        <w:tabs>
          <w:tab w:val="left" w:pos="7740"/>
        </w:tabs>
        <w:spacing w:before="120" w:line="240" w:lineRule="auto"/>
        <w:jc w:val="both"/>
        <w:rPr>
          <w:rFonts w:eastAsia="Times New Roman" w:cs="Calibri"/>
          <w:b/>
          <w:bCs/>
          <w:i/>
          <w:iCs/>
          <w:color w:val="2F5496" w:themeColor="accent1" w:themeShade="BF"/>
          <w:lang w:eastAsia="pl-PL"/>
        </w:rPr>
      </w:pPr>
      <w:r w:rsidRPr="00F81318">
        <w:rPr>
          <w:rFonts w:eastAsia="Times New Roman" w:cs="Calibri"/>
          <w:b/>
          <w:bCs/>
          <w:i/>
          <w:iCs/>
          <w:color w:val="2F5496" w:themeColor="accent1" w:themeShade="BF"/>
          <w:lang w:eastAsia="pl-PL"/>
        </w:rPr>
        <w:lastRenderedPageBreak/>
        <w:t>Emisj</w:t>
      </w:r>
      <w:r w:rsidR="008C3236">
        <w:rPr>
          <w:rFonts w:eastAsia="Times New Roman" w:cs="Calibri"/>
          <w:b/>
          <w:bCs/>
          <w:i/>
          <w:iCs/>
          <w:color w:val="2F5496" w:themeColor="accent1" w:themeShade="BF"/>
          <w:lang w:eastAsia="pl-PL"/>
        </w:rPr>
        <w:t>a</w:t>
      </w:r>
      <w:r w:rsidRPr="00F81318">
        <w:rPr>
          <w:rFonts w:eastAsia="Times New Roman" w:cs="Calibri"/>
          <w:b/>
          <w:bCs/>
          <w:i/>
          <w:iCs/>
          <w:color w:val="2F5496" w:themeColor="accent1" w:themeShade="BF"/>
          <w:lang w:eastAsia="pl-PL"/>
        </w:rPr>
        <w:t xml:space="preserve"> pyłu zawieszonego PM2,5</w:t>
      </w:r>
    </w:p>
    <w:p w14:paraId="407C2269" w14:textId="1C26DD91" w:rsidR="00F81318" w:rsidRPr="00F81318" w:rsidRDefault="00DD0683" w:rsidP="00F81318">
      <w:pPr>
        <w:pStyle w:val="Tekstpodstawowy"/>
        <w:tabs>
          <w:tab w:val="left" w:pos="7740"/>
        </w:tabs>
        <w:spacing w:before="120" w:line="240" w:lineRule="auto"/>
        <w:jc w:val="both"/>
        <w:rPr>
          <w:rFonts w:cs="Calibri"/>
          <w:b/>
          <w:bCs/>
          <w:color w:val="2F5496" w:themeColor="accent1" w:themeShade="BF"/>
        </w:rPr>
      </w:pPr>
      <w:r w:rsidRPr="00F81318">
        <w:rPr>
          <w:rFonts w:eastAsia="Times New Roman" w:cs="Calibri"/>
          <w:b/>
          <w:bCs/>
          <w:color w:val="2F5496" w:themeColor="accent1" w:themeShade="BF"/>
          <w:lang w:eastAsia="pl-PL"/>
        </w:rPr>
        <w:t>Podstawowym źródłem emisji pyłu zawieszonego PM2,5 są źródła należące do kategorii</w:t>
      </w:r>
      <w:r w:rsidR="00F81318" w:rsidRPr="00F81318">
        <w:rPr>
          <w:rFonts w:eastAsia="Times New Roman" w:cs="Calibri"/>
          <w:b/>
          <w:bCs/>
          <w:color w:val="2F5496" w:themeColor="accent1" w:themeShade="BF"/>
          <w:lang w:eastAsia="pl-PL"/>
        </w:rPr>
        <w:t xml:space="preserve"> </w:t>
      </w:r>
      <w:r w:rsidR="00F81318" w:rsidRPr="00F81318">
        <w:rPr>
          <w:rFonts w:cs="Calibri"/>
          <w:color w:val="2F5496" w:themeColor="accent1" w:themeShade="BF"/>
        </w:rPr>
        <w:t xml:space="preserve">1A. </w:t>
      </w:r>
      <w:r w:rsidR="00F81318" w:rsidRPr="00F81318">
        <w:rPr>
          <w:rFonts w:cs="Calibri"/>
          <w:b/>
          <w:bCs/>
          <w:i/>
          <w:iCs/>
          <w:color w:val="2F5496" w:themeColor="accent1" w:themeShade="BF"/>
        </w:rPr>
        <w:t>Spalanie paliw</w:t>
      </w:r>
      <w:r w:rsidR="00F81318" w:rsidRPr="00F81318">
        <w:rPr>
          <w:rFonts w:cs="Calibri"/>
          <w:b/>
          <w:bCs/>
          <w:color w:val="2F5496" w:themeColor="accent1" w:themeShade="BF"/>
        </w:rPr>
        <w:t>, z</w:t>
      </w:r>
      <w:r w:rsidR="00AA351D">
        <w:rPr>
          <w:rFonts w:cs="Calibri"/>
          <w:b/>
          <w:bCs/>
          <w:color w:val="2F5496" w:themeColor="accent1" w:themeShade="BF"/>
        </w:rPr>
        <w:t xml:space="preserve"> </w:t>
      </w:r>
      <w:r w:rsidR="00F81318" w:rsidRPr="00F81318">
        <w:rPr>
          <w:rFonts w:cs="Calibri"/>
          <w:b/>
          <w:bCs/>
          <w:color w:val="2F5496" w:themeColor="accent1" w:themeShade="BF"/>
        </w:rPr>
        <w:t>której w</w:t>
      </w:r>
      <w:r w:rsidR="00AA351D">
        <w:rPr>
          <w:rFonts w:cs="Calibri"/>
          <w:b/>
          <w:bCs/>
          <w:color w:val="2F5496" w:themeColor="accent1" w:themeShade="BF"/>
        </w:rPr>
        <w:t xml:space="preserve"> </w:t>
      </w:r>
      <w:r w:rsidR="00F81318" w:rsidRPr="00F81318">
        <w:rPr>
          <w:rFonts w:cs="Calibri"/>
          <w:b/>
          <w:bCs/>
          <w:color w:val="2F5496" w:themeColor="accent1" w:themeShade="BF"/>
        </w:rPr>
        <w:t>2019 roku pochodzi 84% całkowitej emisji tego zanieczyszczenia. Największa część emisji pochodzi z</w:t>
      </w:r>
      <w:r w:rsidR="00AA351D">
        <w:rPr>
          <w:rFonts w:cs="Calibri"/>
          <w:b/>
          <w:bCs/>
          <w:color w:val="2F5496" w:themeColor="accent1" w:themeShade="BF"/>
        </w:rPr>
        <w:t xml:space="preserve"> </w:t>
      </w:r>
      <w:r w:rsidR="00F81318" w:rsidRPr="00F81318">
        <w:rPr>
          <w:rFonts w:cs="Calibri"/>
          <w:b/>
          <w:bCs/>
          <w:color w:val="2F5496" w:themeColor="accent1" w:themeShade="BF"/>
        </w:rPr>
        <w:t xml:space="preserve">sektora 1A4. </w:t>
      </w:r>
      <w:r w:rsidR="00F81318" w:rsidRPr="00F81318">
        <w:rPr>
          <w:rFonts w:cs="Calibri"/>
          <w:b/>
          <w:bCs/>
          <w:i/>
          <w:iCs/>
          <w:color w:val="2F5496" w:themeColor="accent1" w:themeShade="BF"/>
        </w:rPr>
        <w:t xml:space="preserve">Inne sektory </w:t>
      </w:r>
      <w:r w:rsidR="00F81318" w:rsidRPr="00F81318">
        <w:rPr>
          <w:rFonts w:cs="Calibri"/>
          <w:b/>
          <w:bCs/>
          <w:color w:val="2F5496" w:themeColor="accent1" w:themeShade="BF"/>
        </w:rPr>
        <w:t>(49%) i</w:t>
      </w:r>
      <w:r w:rsidR="00AA351D">
        <w:rPr>
          <w:rFonts w:cs="Calibri"/>
          <w:b/>
          <w:bCs/>
          <w:color w:val="2F5496" w:themeColor="accent1" w:themeShade="BF"/>
        </w:rPr>
        <w:t xml:space="preserve"> </w:t>
      </w:r>
      <w:r w:rsidR="00F81318" w:rsidRPr="00F81318">
        <w:rPr>
          <w:rFonts w:cs="Calibri"/>
          <w:b/>
          <w:bCs/>
          <w:color w:val="2F5496" w:themeColor="accent1" w:themeShade="BF"/>
        </w:rPr>
        <w:t>jest związana głównie ze spalaniem węgla kamiennego i</w:t>
      </w:r>
      <w:r w:rsidR="00AA351D">
        <w:rPr>
          <w:rFonts w:cs="Calibri"/>
          <w:b/>
          <w:bCs/>
          <w:color w:val="2F5496" w:themeColor="accent1" w:themeShade="BF"/>
        </w:rPr>
        <w:t xml:space="preserve"> </w:t>
      </w:r>
      <w:r w:rsidR="00F81318" w:rsidRPr="00F81318">
        <w:rPr>
          <w:rFonts w:cs="Calibri"/>
          <w:b/>
          <w:bCs/>
          <w:color w:val="2F5496" w:themeColor="accent1" w:themeShade="BF"/>
        </w:rPr>
        <w:t>drewna w</w:t>
      </w:r>
      <w:r w:rsidR="00AA351D">
        <w:rPr>
          <w:rFonts w:cs="Calibri"/>
          <w:b/>
          <w:bCs/>
          <w:color w:val="2F5496" w:themeColor="accent1" w:themeShade="BF"/>
        </w:rPr>
        <w:t xml:space="preserve"> </w:t>
      </w:r>
      <w:r w:rsidR="00F81318" w:rsidRPr="00F81318">
        <w:rPr>
          <w:rFonts w:cs="Calibri"/>
          <w:b/>
          <w:bCs/>
          <w:color w:val="2F5496" w:themeColor="accent1" w:themeShade="BF"/>
        </w:rPr>
        <w:t xml:space="preserve">gospodarstwach domowych. </w:t>
      </w:r>
    </w:p>
    <w:p w14:paraId="7540EA49" w14:textId="561FD9AF" w:rsidR="00F81318" w:rsidRPr="00F81318" w:rsidRDefault="00F81318" w:rsidP="00F81318">
      <w:pPr>
        <w:spacing w:before="120"/>
        <w:jc w:val="both"/>
        <w:rPr>
          <w:rFonts w:cs="Calibri"/>
        </w:rPr>
      </w:pPr>
      <w:r w:rsidRPr="00F81318">
        <w:rPr>
          <w:rFonts w:cs="Calibri"/>
          <w:b/>
          <w:bCs/>
          <w:color w:val="2F5496" w:themeColor="accent1" w:themeShade="BF"/>
        </w:rPr>
        <w:t>Pozostałe istotne źródła emisji pyłu tej frakcji w</w:t>
      </w:r>
      <w:r w:rsidR="00AA351D">
        <w:rPr>
          <w:rFonts w:cs="Calibri"/>
          <w:b/>
          <w:bCs/>
          <w:color w:val="2F5496" w:themeColor="accent1" w:themeShade="BF"/>
        </w:rPr>
        <w:t xml:space="preserve"> </w:t>
      </w:r>
      <w:r w:rsidRPr="00F81318">
        <w:rPr>
          <w:rFonts w:cs="Calibri"/>
          <w:b/>
          <w:bCs/>
          <w:color w:val="2F5496" w:themeColor="accent1" w:themeShade="BF"/>
        </w:rPr>
        <w:t xml:space="preserve">roku 2019 to sektory: 1A2. </w:t>
      </w:r>
      <w:r w:rsidRPr="00F81318">
        <w:rPr>
          <w:rFonts w:cs="Calibri"/>
          <w:b/>
          <w:bCs/>
          <w:i/>
          <w:iCs/>
          <w:color w:val="2F5496" w:themeColor="accent1" w:themeShade="BF"/>
        </w:rPr>
        <w:t xml:space="preserve">Przemysł wytwórczy i budownictwo </w:t>
      </w:r>
      <w:r w:rsidRPr="00F81318">
        <w:rPr>
          <w:rFonts w:cs="Calibri"/>
          <w:b/>
          <w:bCs/>
          <w:color w:val="2F5496" w:themeColor="accent1" w:themeShade="BF"/>
        </w:rPr>
        <w:t xml:space="preserve">(20%) oraz 1A3. </w:t>
      </w:r>
      <w:r w:rsidRPr="00F81318">
        <w:rPr>
          <w:rFonts w:cs="Calibri"/>
          <w:b/>
          <w:bCs/>
          <w:i/>
          <w:iCs/>
          <w:color w:val="2F5496" w:themeColor="accent1" w:themeShade="BF"/>
        </w:rPr>
        <w:t xml:space="preserve">Transport </w:t>
      </w:r>
      <w:r w:rsidRPr="00F81318">
        <w:rPr>
          <w:rFonts w:cs="Calibri"/>
          <w:b/>
          <w:bCs/>
          <w:color w:val="2F5496" w:themeColor="accent1" w:themeShade="BF"/>
        </w:rPr>
        <w:t>(11%)</w:t>
      </w:r>
      <w:r w:rsidRPr="00F81318">
        <w:rPr>
          <w:rFonts w:cs="Calibri"/>
        </w:rPr>
        <w:t>. Udziały sektorów w krajowej emisji pyłu PM2</w:t>
      </w:r>
      <w:r w:rsidR="00AA27BB">
        <w:rPr>
          <w:rFonts w:cs="Calibri"/>
        </w:rPr>
        <w:t>,</w:t>
      </w:r>
      <w:r w:rsidRPr="00F81318">
        <w:rPr>
          <w:rFonts w:cs="Calibri"/>
        </w:rPr>
        <w:t xml:space="preserve">5 w roku 2019 pokazano na rysunku </w:t>
      </w:r>
      <w:r w:rsidR="00CA5A67">
        <w:rPr>
          <w:rFonts w:cs="Calibri"/>
        </w:rPr>
        <w:t>52</w:t>
      </w:r>
      <w:r w:rsidRPr="00F81318">
        <w:rPr>
          <w:rFonts w:cs="Calibri"/>
        </w:rPr>
        <w:t>.</w:t>
      </w:r>
    </w:p>
    <w:p w14:paraId="5668F20C" w14:textId="1EEEFFA5" w:rsidR="00F81318" w:rsidRPr="00F81318" w:rsidRDefault="00F81318" w:rsidP="00F81318">
      <w:pPr>
        <w:keepNext/>
        <w:keepLines/>
        <w:tabs>
          <w:tab w:val="left" w:pos="5360"/>
          <w:tab w:val="left" w:pos="6300"/>
          <w:tab w:val="left" w:pos="7300"/>
        </w:tabs>
        <w:spacing w:before="120"/>
        <w:jc w:val="both"/>
        <w:rPr>
          <w:rFonts w:cs="Calibri"/>
        </w:rPr>
      </w:pPr>
      <w:r w:rsidRPr="00F81318">
        <w:rPr>
          <w:rFonts w:cs="Calibri"/>
        </w:rPr>
        <w:t>Emisja pyłu PM2</w:t>
      </w:r>
      <w:r>
        <w:rPr>
          <w:rFonts w:cs="Calibri"/>
        </w:rPr>
        <w:t>,</w:t>
      </w:r>
      <w:r w:rsidRPr="00F81318">
        <w:rPr>
          <w:rFonts w:cs="Calibri"/>
        </w:rPr>
        <w:t>5 w 2019 r. zmniejszyła się o</w:t>
      </w:r>
      <w:r>
        <w:rPr>
          <w:rFonts w:cs="Calibri"/>
        </w:rPr>
        <w:t xml:space="preserve"> </w:t>
      </w:r>
      <w:r w:rsidRPr="00F81318">
        <w:rPr>
          <w:rFonts w:cs="Calibri"/>
        </w:rPr>
        <w:t>67% od 1990 roku. W</w:t>
      </w:r>
      <w:r>
        <w:rPr>
          <w:rFonts w:cs="Calibri"/>
        </w:rPr>
        <w:t xml:space="preserve"> </w:t>
      </w:r>
      <w:r w:rsidRPr="00F81318">
        <w:rPr>
          <w:rFonts w:cs="Calibri"/>
        </w:rPr>
        <w:t>2019 r</w:t>
      </w:r>
      <w:r>
        <w:rPr>
          <w:rFonts w:cs="Calibri"/>
        </w:rPr>
        <w:t xml:space="preserve">. </w:t>
      </w:r>
      <w:r w:rsidRPr="00F81318">
        <w:rPr>
          <w:rFonts w:cs="Calibri"/>
        </w:rPr>
        <w:t>zanotowano ponad 6% spadek emisji pyłu PM2</w:t>
      </w:r>
      <w:r>
        <w:rPr>
          <w:rFonts w:cs="Calibri"/>
        </w:rPr>
        <w:t>,</w:t>
      </w:r>
      <w:r w:rsidRPr="00F81318">
        <w:rPr>
          <w:rFonts w:cs="Calibri"/>
        </w:rPr>
        <w:t>5 w</w:t>
      </w:r>
      <w:r w:rsidR="00AA351D">
        <w:rPr>
          <w:rFonts w:cs="Calibri"/>
        </w:rPr>
        <w:t xml:space="preserve"> </w:t>
      </w:r>
      <w:r w:rsidRPr="00F81318">
        <w:rPr>
          <w:rFonts w:cs="Calibri"/>
        </w:rPr>
        <w:t>porównaniu z</w:t>
      </w:r>
      <w:r>
        <w:rPr>
          <w:rFonts w:cs="Calibri"/>
        </w:rPr>
        <w:t xml:space="preserve"> </w:t>
      </w:r>
      <w:r w:rsidRPr="00F81318">
        <w:rPr>
          <w:rFonts w:cs="Calibri"/>
        </w:rPr>
        <w:t xml:space="preserve">rokiem poprzednim. Największy wpływ na tę zmianę miał </w:t>
      </w:r>
      <w:r w:rsidRPr="00F81318">
        <w:rPr>
          <w:rStyle w:val="Przypisdolny"/>
          <w:rFonts w:cs="Calibri"/>
          <w:sz w:val="22"/>
        </w:rPr>
        <w:t>spadek zużycia węgla kamiennego i</w:t>
      </w:r>
      <w:r>
        <w:rPr>
          <w:rStyle w:val="Przypisdolny"/>
          <w:rFonts w:cs="Calibri"/>
          <w:sz w:val="22"/>
        </w:rPr>
        <w:t xml:space="preserve"> </w:t>
      </w:r>
      <w:r w:rsidRPr="00F81318">
        <w:rPr>
          <w:rStyle w:val="Przypisdolny"/>
          <w:rFonts w:cs="Calibri"/>
          <w:sz w:val="22"/>
        </w:rPr>
        <w:t>drewna w</w:t>
      </w:r>
      <w:r>
        <w:rPr>
          <w:rStyle w:val="Przypisdolny"/>
          <w:rFonts w:cs="Calibri"/>
          <w:sz w:val="22"/>
        </w:rPr>
        <w:t xml:space="preserve"> </w:t>
      </w:r>
      <w:r w:rsidRPr="00F81318">
        <w:rPr>
          <w:rStyle w:val="Przypisdolny"/>
          <w:rFonts w:cs="Calibri"/>
          <w:sz w:val="22"/>
        </w:rPr>
        <w:t>sektorze bytow</w:t>
      </w:r>
      <w:r>
        <w:rPr>
          <w:rStyle w:val="Przypisdolny"/>
          <w:rFonts w:cs="Calibri"/>
          <w:sz w:val="22"/>
        </w:rPr>
        <w:t>o-komunalnym</w:t>
      </w:r>
      <w:r w:rsidRPr="00F81318">
        <w:rPr>
          <w:rStyle w:val="Przypisdolny"/>
          <w:rFonts w:cs="Calibri"/>
          <w:sz w:val="22"/>
        </w:rPr>
        <w:t xml:space="preserve">. </w:t>
      </w:r>
      <w:r w:rsidRPr="00F81318">
        <w:rPr>
          <w:rFonts w:cs="Calibri"/>
        </w:rPr>
        <w:t>Dane o</w:t>
      </w:r>
      <w:r w:rsidR="00AA27BB">
        <w:rPr>
          <w:rFonts w:cs="Calibri"/>
        </w:rPr>
        <w:t xml:space="preserve"> </w:t>
      </w:r>
      <w:r w:rsidRPr="00F81318">
        <w:rPr>
          <w:rFonts w:cs="Calibri"/>
        </w:rPr>
        <w:t>emisji pyłu PM2</w:t>
      </w:r>
      <w:r>
        <w:rPr>
          <w:rFonts w:cs="Calibri"/>
        </w:rPr>
        <w:t>,</w:t>
      </w:r>
      <w:r w:rsidRPr="00F81318">
        <w:rPr>
          <w:rFonts w:cs="Calibri"/>
        </w:rPr>
        <w:t>5 przedstawiono w</w:t>
      </w:r>
      <w:r w:rsidR="00AA351D">
        <w:rPr>
          <w:rFonts w:cs="Calibri"/>
        </w:rPr>
        <w:t xml:space="preserve"> </w:t>
      </w:r>
      <w:r w:rsidRPr="00F81318">
        <w:rPr>
          <w:rFonts w:cs="Calibri"/>
        </w:rPr>
        <w:t xml:space="preserve">tabeli </w:t>
      </w:r>
      <w:r>
        <w:rPr>
          <w:rFonts w:cs="Calibri"/>
        </w:rPr>
        <w:t>4</w:t>
      </w:r>
      <w:r w:rsidRPr="00F81318">
        <w:rPr>
          <w:rFonts w:cs="Calibri"/>
        </w:rPr>
        <w:t xml:space="preserve">. </w:t>
      </w:r>
    </w:p>
    <w:p w14:paraId="49032EF3" w14:textId="7E30602C" w:rsidR="00D048DE" w:rsidRDefault="00E94854" w:rsidP="00B20F28">
      <w:pPr>
        <w:jc w:val="both"/>
        <w:rPr>
          <w:sz w:val="20"/>
          <w:szCs w:val="20"/>
        </w:rPr>
      </w:pPr>
      <w:r w:rsidRPr="0035160C">
        <w:rPr>
          <w:sz w:val="20"/>
          <w:szCs w:val="20"/>
        </w:rPr>
        <w:t xml:space="preserve">Tabela </w:t>
      </w:r>
      <w:r w:rsidR="00EE1451" w:rsidRPr="0035160C">
        <w:rPr>
          <w:sz w:val="20"/>
          <w:szCs w:val="20"/>
        </w:rPr>
        <w:t>4</w:t>
      </w:r>
      <w:r w:rsidRPr="0035160C">
        <w:rPr>
          <w:sz w:val="20"/>
          <w:szCs w:val="20"/>
        </w:rPr>
        <w:t>. Emisja pyłu PM2,5 w Polsce w wybranych latach</w:t>
      </w:r>
    </w:p>
    <w:tbl>
      <w:tblPr>
        <w:tblW w:w="9060" w:type="dxa"/>
        <w:tblLayout w:type="fixed"/>
        <w:tblCellMar>
          <w:left w:w="70" w:type="dxa"/>
          <w:right w:w="70" w:type="dxa"/>
        </w:tblCellMar>
        <w:tblLook w:val="04A0" w:firstRow="1" w:lastRow="0" w:firstColumn="1" w:lastColumn="0" w:noHBand="0" w:noVBand="1"/>
      </w:tblPr>
      <w:tblGrid>
        <w:gridCol w:w="4390"/>
        <w:gridCol w:w="934"/>
        <w:gridCol w:w="934"/>
        <w:gridCol w:w="934"/>
        <w:gridCol w:w="934"/>
        <w:gridCol w:w="934"/>
      </w:tblGrid>
      <w:tr w:rsidR="00F81318" w:rsidRPr="00F81318" w14:paraId="515E8F21" w14:textId="77777777" w:rsidTr="00F04B84">
        <w:trPr>
          <w:trHeight w:val="300"/>
          <w:tblHeader/>
        </w:trPr>
        <w:tc>
          <w:tcPr>
            <w:tcW w:w="4390" w:type="dxa"/>
            <w:vMerge w:val="restart"/>
            <w:tcBorders>
              <w:top w:val="single" w:sz="4" w:space="0" w:color="auto"/>
              <w:left w:val="single" w:sz="4" w:space="0" w:color="auto"/>
              <w:bottom w:val="single" w:sz="4" w:space="0" w:color="auto"/>
              <w:right w:val="single" w:sz="4" w:space="0" w:color="auto"/>
            </w:tcBorders>
            <w:shd w:val="clear" w:color="auto" w:fill="99CCFF"/>
            <w:vAlign w:val="center"/>
            <w:hideMark/>
          </w:tcPr>
          <w:p w14:paraId="4CA3AE3C" w14:textId="77777777" w:rsidR="00F81318" w:rsidRPr="00F81318" w:rsidRDefault="00F81318" w:rsidP="00F81318">
            <w:pPr>
              <w:autoSpaceDE w:val="0"/>
              <w:autoSpaceDN w:val="0"/>
              <w:adjustRightInd w:val="0"/>
              <w:spacing w:after="0" w:line="240" w:lineRule="auto"/>
              <w:jc w:val="center"/>
              <w:rPr>
                <w:rFonts w:ascii="Calibri" w:eastAsia="Times New Roman" w:hAnsi="Calibri" w:cs="Times New Roman"/>
                <w:b/>
                <w:sz w:val="18"/>
                <w:szCs w:val="18"/>
                <w:lang w:eastAsia="pl-PL"/>
              </w:rPr>
            </w:pPr>
            <w:r w:rsidRPr="00F81318">
              <w:rPr>
                <w:rFonts w:ascii="Calibri" w:eastAsia="Times New Roman" w:hAnsi="Calibri" w:cs="Times New Roman"/>
                <w:b/>
                <w:bCs/>
                <w:sz w:val="18"/>
                <w:szCs w:val="18"/>
                <w:lang w:eastAsia="pl-PL"/>
              </w:rPr>
              <w:t>Źródło emisji wg kategorii NFR</w:t>
            </w:r>
          </w:p>
        </w:tc>
        <w:tc>
          <w:tcPr>
            <w:tcW w:w="934" w:type="dxa"/>
            <w:tcBorders>
              <w:top w:val="single" w:sz="4" w:space="0" w:color="auto"/>
              <w:left w:val="nil"/>
              <w:bottom w:val="single" w:sz="4" w:space="0" w:color="auto"/>
              <w:right w:val="single" w:sz="4" w:space="0" w:color="auto"/>
            </w:tcBorders>
            <w:shd w:val="clear" w:color="auto" w:fill="99CCFF"/>
            <w:vAlign w:val="center"/>
          </w:tcPr>
          <w:p w14:paraId="3E60023F" w14:textId="77777777" w:rsidR="00F81318" w:rsidRPr="00F81318" w:rsidRDefault="00F81318" w:rsidP="00F81318">
            <w:pPr>
              <w:autoSpaceDE w:val="0"/>
              <w:autoSpaceDN w:val="0"/>
              <w:adjustRightInd w:val="0"/>
              <w:spacing w:after="0" w:line="240" w:lineRule="auto"/>
              <w:jc w:val="center"/>
              <w:rPr>
                <w:rFonts w:ascii="Calibri" w:eastAsia="Times New Roman" w:hAnsi="Calibri" w:cs="Times New Roman"/>
                <w:b/>
                <w:sz w:val="18"/>
                <w:szCs w:val="18"/>
                <w:lang w:eastAsia="pl-PL"/>
              </w:rPr>
            </w:pPr>
            <w:r w:rsidRPr="00F81318">
              <w:rPr>
                <w:rFonts w:ascii="Calibri" w:eastAsia="Times New Roman" w:hAnsi="Calibri" w:cs="Times New Roman"/>
                <w:b/>
                <w:bCs/>
                <w:sz w:val="18"/>
                <w:szCs w:val="18"/>
                <w:lang w:eastAsia="pl-PL"/>
              </w:rPr>
              <w:t>1990</w:t>
            </w:r>
          </w:p>
        </w:tc>
        <w:tc>
          <w:tcPr>
            <w:tcW w:w="934" w:type="dxa"/>
            <w:tcBorders>
              <w:top w:val="single" w:sz="4" w:space="0" w:color="auto"/>
              <w:left w:val="single" w:sz="4" w:space="0" w:color="auto"/>
              <w:bottom w:val="single" w:sz="4" w:space="0" w:color="auto"/>
              <w:right w:val="single" w:sz="4" w:space="0" w:color="auto"/>
            </w:tcBorders>
            <w:shd w:val="clear" w:color="auto" w:fill="99CCFF"/>
            <w:vAlign w:val="center"/>
          </w:tcPr>
          <w:p w14:paraId="04430B8C" w14:textId="77777777" w:rsidR="00F81318" w:rsidRPr="00F81318" w:rsidRDefault="00F81318" w:rsidP="00F81318">
            <w:pPr>
              <w:autoSpaceDE w:val="0"/>
              <w:autoSpaceDN w:val="0"/>
              <w:adjustRightInd w:val="0"/>
              <w:spacing w:after="0" w:line="240" w:lineRule="auto"/>
              <w:jc w:val="center"/>
              <w:rPr>
                <w:rFonts w:ascii="Calibri" w:eastAsia="Times New Roman" w:hAnsi="Calibri" w:cs="Times New Roman"/>
                <w:b/>
                <w:sz w:val="18"/>
                <w:szCs w:val="18"/>
                <w:lang w:eastAsia="pl-PL"/>
              </w:rPr>
            </w:pPr>
            <w:r w:rsidRPr="00F81318">
              <w:rPr>
                <w:rFonts w:ascii="Calibri" w:eastAsia="Times New Roman" w:hAnsi="Calibri" w:cs="Times New Roman"/>
                <w:b/>
                <w:bCs/>
                <w:sz w:val="18"/>
                <w:szCs w:val="18"/>
                <w:lang w:eastAsia="pl-PL"/>
              </w:rPr>
              <w:t>2005</w:t>
            </w:r>
          </w:p>
        </w:tc>
        <w:tc>
          <w:tcPr>
            <w:tcW w:w="934" w:type="dxa"/>
            <w:tcBorders>
              <w:top w:val="single" w:sz="4" w:space="0" w:color="auto"/>
              <w:left w:val="single" w:sz="4" w:space="0" w:color="auto"/>
              <w:bottom w:val="single" w:sz="4" w:space="0" w:color="auto"/>
              <w:right w:val="single" w:sz="4" w:space="0" w:color="auto"/>
            </w:tcBorders>
            <w:shd w:val="clear" w:color="auto" w:fill="99CCFF"/>
            <w:vAlign w:val="center"/>
          </w:tcPr>
          <w:p w14:paraId="1B1EB97A" w14:textId="77777777" w:rsidR="00F81318" w:rsidRPr="00F81318" w:rsidRDefault="00F81318" w:rsidP="00F81318">
            <w:pPr>
              <w:autoSpaceDE w:val="0"/>
              <w:autoSpaceDN w:val="0"/>
              <w:adjustRightInd w:val="0"/>
              <w:spacing w:after="0" w:line="240" w:lineRule="auto"/>
              <w:jc w:val="center"/>
              <w:rPr>
                <w:rFonts w:ascii="Calibri" w:eastAsia="Times New Roman" w:hAnsi="Calibri" w:cs="Times New Roman"/>
                <w:b/>
                <w:sz w:val="18"/>
                <w:szCs w:val="18"/>
                <w:lang w:eastAsia="pl-PL"/>
              </w:rPr>
            </w:pPr>
            <w:r w:rsidRPr="00F81318">
              <w:rPr>
                <w:rFonts w:ascii="Calibri" w:eastAsia="Times New Roman" w:hAnsi="Calibri" w:cs="Times New Roman"/>
                <w:b/>
                <w:bCs/>
                <w:sz w:val="18"/>
                <w:szCs w:val="18"/>
                <w:lang w:eastAsia="pl-PL"/>
              </w:rPr>
              <w:t>2010</w:t>
            </w:r>
          </w:p>
        </w:tc>
        <w:tc>
          <w:tcPr>
            <w:tcW w:w="934" w:type="dxa"/>
            <w:tcBorders>
              <w:top w:val="single" w:sz="4" w:space="0" w:color="auto"/>
              <w:left w:val="single" w:sz="4" w:space="0" w:color="auto"/>
              <w:bottom w:val="single" w:sz="4" w:space="0" w:color="auto"/>
              <w:right w:val="single" w:sz="4" w:space="0" w:color="auto"/>
            </w:tcBorders>
            <w:shd w:val="clear" w:color="auto" w:fill="99CCFF"/>
            <w:vAlign w:val="center"/>
          </w:tcPr>
          <w:p w14:paraId="04BE38F8" w14:textId="77777777" w:rsidR="00F81318" w:rsidRPr="00F81318" w:rsidRDefault="00F81318" w:rsidP="00F81318">
            <w:pPr>
              <w:autoSpaceDE w:val="0"/>
              <w:autoSpaceDN w:val="0"/>
              <w:adjustRightInd w:val="0"/>
              <w:spacing w:after="0" w:line="240" w:lineRule="auto"/>
              <w:jc w:val="center"/>
              <w:rPr>
                <w:rFonts w:ascii="Calibri" w:eastAsia="Times New Roman" w:hAnsi="Calibri" w:cs="Times New Roman"/>
                <w:b/>
                <w:sz w:val="18"/>
                <w:szCs w:val="18"/>
                <w:lang w:eastAsia="pl-PL"/>
              </w:rPr>
            </w:pPr>
            <w:r w:rsidRPr="00F81318">
              <w:rPr>
                <w:rFonts w:ascii="Calibri" w:eastAsia="Times New Roman" w:hAnsi="Calibri" w:cs="Times New Roman"/>
                <w:b/>
                <w:bCs/>
                <w:sz w:val="18"/>
                <w:szCs w:val="18"/>
                <w:lang w:eastAsia="pl-PL"/>
              </w:rPr>
              <w:t>2018</w:t>
            </w:r>
          </w:p>
        </w:tc>
        <w:tc>
          <w:tcPr>
            <w:tcW w:w="934" w:type="dxa"/>
            <w:tcBorders>
              <w:top w:val="single" w:sz="4" w:space="0" w:color="auto"/>
              <w:left w:val="nil"/>
              <w:bottom w:val="single" w:sz="4" w:space="0" w:color="auto"/>
              <w:right w:val="single" w:sz="4" w:space="0" w:color="auto"/>
            </w:tcBorders>
            <w:shd w:val="clear" w:color="auto" w:fill="99CCFF"/>
            <w:vAlign w:val="center"/>
          </w:tcPr>
          <w:p w14:paraId="109C25B0" w14:textId="77777777" w:rsidR="00F81318" w:rsidRPr="00F81318" w:rsidRDefault="00F81318" w:rsidP="00F81318">
            <w:pPr>
              <w:autoSpaceDE w:val="0"/>
              <w:autoSpaceDN w:val="0"/>
              <w:adjustRightInd w:val="0"/>
              <w:spacing w:after="0" w:line="240" w:lineRule="auto"/>
              <w:jc w:val="center"/>
              <w:rPr>
                <w:rFonts w:ascii="Calibri" w:eastAsia="Times New Roman" w:hAnsi="Calibri" w:cs="Times New Roman"/>
                <w:b/>
                <w:sz w:val="18"/>
                <w:szCs w:val="18"/>
                <w:lang w:eastAsia="pl-PL"/>
              </w:rPr>
            </w:pPr>
            <w:r w:rsidRPr="00F81318">
              <w:rPr>
                <w:rFonts w:ascii="Calibri" w:eastAsia="Times New Roman" w:hAnsi="Calibri" w:cs="Times New Roman"/>
                <w:b/>
                <w:bCs/>
                <w:sz w:val="18"/>
                <w:szCs w:val="18"/>
                <w:lang w:eastAsia="pl-PL"/>
              </w:rPr>
              <w:t>2019</w:t>
            </w:r>
          </w:p>
        </w:tc>
      </w:tr>
      <w:tr w:rsidR="00F81318" w:rsidRPr="00F81318" w14:paraId="51A16820" w14:textId="77777777" w:rsidTr="00F04B84">
        <w:trPr>
          <w:trHeight w:val="300"/>
          <w:tblHeader/>
        </w:trPr>
        <w:tc>
          <w:tcPr>
            <w:tcW w:w="4390" w:type="dxa"/>
            <w:vMerge/>
            <w:tcBorders>
              <w:top w:val="single" w:sz="4" w:space="0" w:color="auto"/>
              <w:left w:val="single" w:sz="4" w:space="0" w:color="auto"/>
              <w:bottom w:val="single" w:sz="4" w:space="0" w:color="auto"/>
              <w:right w:val="single" w:sz="4" w:space="0" w:color="auto"/>
            </w:tcBorders>
            <w:shd w:val="clear" w:color="auto" w:fill="99CCFF"/>
            <w:vAlign w:val="center"/>
            <w:hideMark/>
          </w:tcPr>
          <w:p w14:paraId="33A5B5B0" w14:textId="77777777" w:rsidR="00F81318" w:rsidRPr="00F81318" w:rsidRDefault="00F81318" w:rsidP="00F81318">
            <w:pPr>
              <w:autoSpaceDE w:val="0"/>
              <w:autoSpaceDN w:val="0"/>
              <w:adjustRightInd w:val="0"/>
              <w:spacing w:after="0" w:line="240" w:lineRule="auto"/>
              <w:jc w:val="center"/>
              <w:rPr>
                <w:rFonts w:ascii="Calibri" w:eastAsia="Times New Roman" w:hAnsi="Calibri" w:cs="Calibri"/>
                <w:b/>
                <w:bCs/>
                <w:sz w:val="18"/>
                <w:szCs w:val="18"/>
                <w:lang w:eastAsia="pl-PL"/>
              </w:rPr>
            </w:pPr>
          </w:p>
        </w:tc>
        <w:tc>
          <w:tcPr>
            <w:tcW w:w="934" w:type="dxa"/>
            <w:tcBorders>
              <w:top w:val="single" w:sz="4" w:space="0" w:color="auto"/>
              <w:left w:val="nil"/>
              <w:bottom w:val="single" w:sz="4" w:space="0" w:color="auto"/>
              <w:right w:val="single" w:sz="4" w:space="0" w:color="auto"/>
            </w:tcBorders>
            <w:shd w:val="clear" w:color="auto" w:fill="99CCFF"/>
            <w:vAlign w:val="center"/>
          </w:tcPr>
          <w:p w14:paraId="7737EC76" w14:textId="77777777" w:rsidR="00F81318" w:rsidRPr="00F81318" w:rsidRDefault="00F81318" w:rsidP="00F81318">
            <w:pPr>
              <w:autoSpaceDE w:val="0"/>
              <w:autoSpaceDN w:val="0"/>
              <w:adjustRightInd w:val="0"/>
              <w:spacing w:after="0" w:line="240" w:lineRule="auto"/>
              <w:jc w:val="center"/>
              <w:rPr>
                <w:rFonts w:ascii="Calibri" w:eastAsia="Times New Roman" w:hAnsi="Calibri" w:cs="Times New Roman"/>
                <w:b/>
                <w:sz w:val="18"/>
                <w:szCs w:val="18"/>
                <w:lang w:eastAsia="pl-PL"/>
              </w:rPr>
            </w:pPr>
            <w:r w:rsidRPr="00F81318">
              <w:rPr>
                <w:rFonts w:ascii="Calibri" w:eastAsia="Times New Roman" w:hAnsi="Calibri" w:cs="Times New Roman"/>
                <w:b/>
                <w:bCs/>
                <w:sz w:val="18"/>
                <w:szCs w:val="18"/>
                <w:lang w:eastAsia="pl-PL"/>
              </w:rPr>
              <w:t>Gg</w:t>
            </w:r>
          </w:p>
        </w:tc>
        <w:tc>
          <w:tcPr>
            <w:tcW w:w="934" w:type="dxa"/>
            <w:tcBorders>
              <w:top w:val="single" w:sz="4" w:space="0" w:color="auto"/>
              <w:left w:val="single" w:sz="4" w:space="0" w:color="auto"/>
              <w:bottom w:val="single" w:sz="4" w:space="0" w:color="auto"/>
              <w:right w:val="single" w:sz="4" w:space="0" w:color="auto"/>
            </w:tcBorders>
            <w:shd w:val="clear" w:color="auto" w:fill="99CCFF"/>
            <w:vAlign w:val="center"/>
          </w:tcPr>
          <w:p w14:paraId="37776EAB" w14:textId="77777777" w:rsidR="00F81318" w:rsidRPr="00F81318" w:rsidRDefault="00F81318" w:rsidP="00F81318">
            <w:pPr>
              <w:autoSpaceDE w:val="0"/>
              <w:autoSpaceDN w:val="0"/>
              <w:adjustRightInd w:val="0"/>
              <w:spacing w:after="0" w:line="240" w:lineRule="auto"/>
              <w:jc w:val="center"/>
              <w:rPr>
                <w:rFonts w:ascii="Calibri" w:eastAsia="Times New Roman" w:hAnsi="Calibri" w:cs="Times New Roman"/>
                <w:b/>
                <w:sz w:val="18"/>
                <w:szCs w:val="18"/>
                <w:lang w:eastAsia="pl-PL"/>
              </w:rPr>
            </w:pPr>
            <w:r w:rsidRPr="00F81318">
              <w:rPr>
                <w:rFonts w:ascii="Calibri" w:eastAsia="Times New Roman" w:hAnsi="Calibri" w:cs="Times New Roman"/>
                <w:b/>
                <w:bCs/>
                <w:sz w:val="18"/>
                <w:szCs w:val="18"/>
                <w:lang w:eastAsia="pl-PL"/>
              </w:rPr>
              <w:t>Gg</w:t>
            </w:r>
          </w:p>
        </w:tc>
        <w:tc>
          <w:tcPr>
            <w:tcW w:w="934" w:type="dxa"/>
            <w:tcBorders>
              <w:top w:val="nil"/>
              <w:left w:val="single" w:sz="4" w:space="0" w:color="auto"/>
              <w:bottom w:val="single" w:sz="4" w:space="0" w:color="auto"/>
              <w:right w:val="single" w:sz="4" w:space="0" w:color="auto"/>
            </w:tcBorders>
            <w:shd w:val="clear" w:color="auto" w:fill="99CCFF"/>
            <w:vAlign w:val="center"/>
          </w:tcPr>
          <w:p w14:paraId="7BDD5D13" w14:textId="77777777" w:rsidR="00F81318" w:rsidRPr="00F81318" w:rsidRDefault="00F81318" w:rsidP="00F81318">
            <w:pPr>
              <w:autoSpaceDE w:val="0"/>
              <w:autoSpaceDN w:val="0"/>
              <w:adjustRightInd w:val="0"/>
              <w:spacing w:after="0" w:line="240" w:lineRule="auto"/>
              <w:jc w:val="center"/>
              <w:rPr>
                <w:rFonts w:ascii="Calibri" w:eastAsia="Times New Roman" w:hAnsi="Calibri" w:cs="Times New Roman"/>
                <w:b/>
                <w:sz w:val="18"/>
                <w:szCs w:val="18"/>
                <w:lang w:eastAsia="pl-PL"/>
              </w:rPr>
            </w:pPr>
            <w:r w:rsidRPr="00F81318">
              <w:rPr>
                <w:rFonts w:ascii="Calibri" w:eastAsia="Times New Roman" w:hAnsi="Calibri" w:cs="Times New Roman"/>
                <w:b/>
                <w:bCs/>
                <w:sz w:val="18"/>
                <w:szCs w:val="18"/>
                <w:lang w:eastAsia="pl-PL"/>
              </w:rPr>
              <w:t>Gg</w:t>
            </w:r>
          </w:p>
        </w:tc>
        <w:tc>
          <w:tcPr>
            <w:tcW w:w="934" w:type="dxa"/>
            <w:tcBorders>
              <w:top w:val="nil"/>
              <w:left w:val="single" w:sz="4" w:space="0" w:color="auto"/>
              <w:bottom w:val="single" w:sz="4" w:space="0" w:color="auto"/>
              <w:right w:val="single" w:sz="4" w:space="0" w:color="auto"/>
            </w:tcBorders>
            <w:shd w:val="clear" w:color="auto" w:fill="99CCFF"/>
            <w:vAlign w:val="center"/>
          </w:tcPr>
          <w:p w14:paraId="7648A2A0" w14:textId="77777777" w:rsidR="00F81318" w:rsidRPr="00F81318" w:rsidRDefault="00F81318" w:rsidP="00F81318">
            <w:pPr>
              <w:autoSpaceDE w:val="0"/>
              <w:autoSpaceDN w:val="0"/>
              <w:adjustRightInd w:val="0"/>
              <w:spacing w:after="0" w:line="240" w:lineRule="auto"/>
              <w:jc w:val="center"/>
              <w:rPr>
                <w:rFonts w:ascii="Calibri" w:eastAsia="Times New Roman" w:hAnsi="Calibri" w:cs="Times New Roman"/>
                <w:b/>
                <w:sz w:val="18"/>
                <w:szCs w:val="18"/>
                <w:lang w:eastAsia="pl-PL"/>
              </w:rPr>
            </w:pPr>
            <w:r w:rsidRPr="00F81318">
              <w:rPr>
                <w:rFonts w:ascii="Calibri" w:eastAsia="Times New Roman" w:hAnsi="Calibri" w:cs="Times New Roman"/>
                <w:b/>
                <w:bCs/>
                <w:sz w:val="18"/>
                <w:szCs w:val="18"/>
                <w:lang w:eastAsia="pl-PL"/>
              </w:rPr>
              <w:t>Gg</w:t>
            </w:r>
          </w:p>
        </w:tc>
        <w:tc>
          <w:tcPr>
            <w:tcW w:w="934" w:type="dxa"/>
            <w:tcBorders>
              <w:top w:val="nil"/>
              <w:left w:val="nil"/>
              <w:bottom w:val="single" w:sz="4" w:space="0" w:color="auto"/>
              <w:right w:val="single" w:sz="4" w:space="0" w:color="auto"/>
            </w:tcBorders>
            <w:shd w:val="clear" w:color="auto" w:fill="99CCFF"/>
            <w:vAlign w:val="center"/>
          </w:tcPr>
          <w:p w14:paraId="5B93D6B9" w14:textId="77777777" w:rsidR="00F81318" w:rsidRPr="00F81318" w:rsidRDefault="00F81318" w:rsidP="00F81318">
            <w:pPr>
              <w:autoSpaceDE w:val="0"/>
              <w:autoSpaceDN w:val="0"/>
              <w:adjustRightInd w:val="0"/>
              <w:spacing w:after="0" w:line="240" w:lineRule="auto"/>
              <w:jc w:val="center"/>
              <w:rPr>
                <w:rFonts w:ascii="Calibri" w:eastAsia="Times New Roman" w:hAnsi="Calibri" w:cs="Times New Roman"/>
                <w:b/>
                <w:sz w:val="18"/>
                <w:szCs w:val="18"/>
                <w:lang w:eastAsia="pl-PL"/>
              </w:rPr>
            </w:pPr>
            <w:r w:rsidRPr="00F81318">
              <w:rPr>
                <w:rFonts w:ascii="Calibri" w:eastAsia="Times New Roman" w:hAnsi="Calibri" w:cs="Times New Roman"/>
                <w:b/>
                <w:bCs/>
                <w:sz w:val="18"/>
                <w:szCs w:val="18"/>
                <w:lang w:eastAsia="pl-PL"/>
              </w:rPr>
              <w:t>Gg</w:t>
            </w:r>
          </w:p>
        </w:tc>
      </w:tr>
      <w:tr w:rsidR="00F81318" w:rsidRPr="00F81318" w14:paraId="15105373" w14:textId="77777777" w:rsidTr="00F81318">
        <w:trPr>
          <w:trHeight w:val="313"/>
        </w:trPr>
        <w:tc>
          <w:tcPr>
            <w:tcW w:w="4390" w:type="dxa"/>
            <w:tcBorders>
              <w:top w:val="nil"/>
              <w:left w:val="single" w:sz="4" w:space="0" w:color="auto"/>
              <w:bottom w:val="single" w:sz="4" w:space="0" w:color="auto"/>
              <w:right w:val="single" w:sz="4" w:space="0" w:color="auto"/>
            </w:tcBorders>
            <w:shd w:val="clear" w:color="auto" w:fill="D9D9D9"/>
            <w:noWrap/>
            <w:vAlign w:val="center"/>
            <w:hideMark/>
          </w:tcPr>
          <w:p w14:paraId="38246333" w14:textId="77777777" w:rsidR="00F81318" w:rsidRPr="00F81318" w:rsidRDefault="00F81318" w:rsidP="00F81318">
            <w:pPr>
              <w:spacing w:after="0" w:line="240" w:lineRule="auto"/>
              <w:rPr>
                <w:rFonts w:ascii="Calibri" w:eastAsia="Times New Roman" w:hAnsi="Calibri" w:cs="Times New Roman"/>
                <w:b/>
                <w:sz w:val="18"/>
                <w:szCs w:val="18"/>
                <w:lang w:eastAsia="pl-PL"/>
              </w:rPr>
            </w:pPr>
            <w:r w:rsidRPr="00F81318">
              <w:rPr>
                <w:rFonts w:ascii="Calibri" w:eastAsia="Times New Roman" w:hAnsi="Calibri" w:cs="Times New Roman"/>
                <w:b/>
                <w:bCs/>
                <w:sz w:val="18"/>
                <w:szCs w:val="18"/>
                <w:lang w:eastAsia="pl-PL"/>
              </w:rPr>
              <w:t>Ogółem</w:t>
            </w:r>
          </w:p>
        </w:tc>
        <w:tc>
          <w:tcPr>
            <w:tcW w:w="934" w:type="dxa"/>
            <w:tcBorders>
              <w:top w:val="single" w:sz="4" w:space="0" w:color="auto"/>
              <w:left w:val="single" w:sz="4" w:space="0" w:color="auto"/>
              <w:bottom w:val="single" w:sz="4" w:space="0" w:color="auto"/>
              <w:right w:val="single" w:sz="4" w:space="0" w:color="auto"/>
            </w:tcBorders>
            <w:shd w:val="clear" w:color="auto" w:fill="D0CECE"/>
            <w:vAlign w:val="center"/>
          </w:tcPr>
          <w:p w14:paraId="66FE719E" w14:textId="77777777" w:rsidR="00F81318" w:rsidRPr="00F81318" w:rsidRDefault="00F81318" w:rsidP="00F81318">
            <w:pPr>
              <w:spacing w:after="0" w:line="240" w:lineRule="auto"/>
              <w:jc w:val="right"/>
              <w:rPr>
                <w:rFonts w:ascii="Calibri" w:eastAsia="Times New Roman" w:hAnsi="Calibri" w:cs="Times New Roman"/>
                <w:b/>
                <w:sz w:val="18"/>
                <w:szCs w:val="18"/>
                <w:lang w:eastAsia="pl-PL"/>
              </w:rPr>
            </w:pPr>
            <w:r w:rsidRPr="00F81318">
              <w:rPr>
                <w:rFonts w:ascii="Calibri" w:eastAsia="Times New Roman" w:hAnsi="Calibri" w:cs="Arial"/>
                <w:b/>
                <w:bCs/>
                <w:sz w:val="18"/>
                <w:szCs w:val="18"/>
                <w:lang w:eastAsia="pl-PL"/>
              </w:rPr>
              <w:t>366,04</w:t>
            </w:r>
          </w:p>
        </w:tc>
        <w:tc>
          <w:tcPr>
            <w:tcW w:w="934" w:type="dxa"/>
            <w:tcBorders>
              <w:top w:val="single" w:sz="4" w:space="0" w:color="auto"/>
              <w:left w:val="single" w:sz="4" w:space="0" w:color="auto"/>
              <w:bottom w:val="single" w:sz="4" w:space="0" w:color="auto"/>
              <w:right w:val="single" w:sz="4" w:space="0" w:color="auto"/>
            </w:tcBorders>
            <w:shd w:val="clear" w:color="auto" w:fill="D0CECE"/>
            <w:vAlign w:val="center"/>
          </w:tcPr>
          <w:p w14:paraId="4A59AF49" w14:textId="77777777" w:rsidR="00F81318" w:rsidRPr="00F81318" w:rsidRDefault="00F81318" w:rsidP="00F81318">
            <w:pPr>
              <w:spacing w:after="0" w:line="240" w:lineRule="auto"/>
              <w:jc w:val="right"/>
              <w:rPr>
                <w:rFonts w:ascii="Calibri" w:eastAsia="Times New Roman" w:hAnsi="Calibri" w:cs="Times New Roman"/>
                <w:b/>
                <w:sz w:val="18"/>
                <w:szCs w:val="18"/>
                <w:lang w:eastAsia="pl-PL"/>
              </w:rPr>
            </w:pPr>
            <w:r w:rsidRPr="00F81318">
              <w:rPr>
                <w:rFonts w:ascii="Calibri" w:eastAsia="Times New Roman" w:hAnsi="Calibri" w:cs="Arial"/>
                <w:b/>
                <w:bCs/>
                <w:sz w:val="18"/>
                <w:szCs w:val="18"/>
                <w:lang w:eastAsia="pl-PL"/>
              </w:rPr>
              <w:t>154,54</w:t>
            </w:r>
          </w:p>
        </w:tc>
        <w:tc>
          <w:tcPr>
            <w:tcW w:w="934" w:type="dxa"/>
            <w:tcBorders>
              <w:top w:val="single" w:sz="4" w:space="0" w:color="auto"/>
              <w:left w:val="single" w:sz="4" w:space="0" w:color="auto"/>
              <w:bottom w:val="single" w:sz="4" w:space="0" w:color="auto"/>
              <w:right w:val="single" w:sz="4" w:space="0" w:color="auto"/>
            </w:tcBorders>
            <w:shd w:val="clear" w:color="auto" w:fill="D0CECE"/>
            <w:vAlign w:val="center"/>
          </w:tcPr>
          <w:p w14:paraId="6DA66B25" w14:textId="77777777" w:rsidR="00F81318" w:rsidRPr="00F81318" w:rsidRDefault="00F81318" w:rsidP="00F81318">
            <w:pPr>
              <w:spacing w:after="0" w:line="240" w:lineRule="auto"/>
              <w:jc w:val="right"/>
              <w:rPr>
                <w:rFonts w:ascii="Calibri" w:eastAsia="Times New Roman" w:hAnsi="Calibri" w:cs="Times New Roman"/>
                <w:b/>
                <w:sz w:val="18"/>
                <w:szCs w:val="18"/>
                <w:lang w:eastAsia="pl-PL"/>
              </w:rPr>
            </w:pPr>
            <w:r w:rsidRPr="00F81318">
              <w:rPr>
                <w:rFonts w:ascii="Calibri" w:eastAsia="Times New Roman" w:hAnsi="Calibri" w:cs="Arial"/>
                <w:b/>
                <w:bCs/>
                <w:sz w:val="18"/>
                <w:szCs w:val="18"/>
                <w:lang w:eastAsia="pl-PL"/>
              </w:rPr>
              <w:t>151,51</w:t>
            </w:r>
          </w:p>
        </w:tc>
        <w:tc>
          <w:tcPr>
            <w:tcW w:w="934" w:type="dxa"/>
            <w:tcBorders>
              <w:top w:val="single" w:sz="4" w:space="0" w:color="auto"/>
              <w:left w:val="single" w:sz="4" w:space="0" w:color="auto"/>
              <w:bottom w:val="single" w:sz="4" w:space="0" w:color="auto"/>
              <w:right w:val="single" w:sz="4" w:space="0" w:color="auto"/>
            </w:tcBorders>
            <w:shd w:val="clear" w:color="auto" w:fill="D0CECE"/>
            <w:noWrap/>
            <w:vAlign w:val="center"/>
          </w:tcPr>
          <w:p w14:paraId="24694C4D" w14:textId="77777777" w:rsidR="00F81318" w:rsidRPr="00F81318" w:rsidRDefault="00F81318" w:rsidP="00F81318">
            <w:pPr>
              <w:spacing w:after="0" w:line="240" w:lineRule="auto"/>
              <w:jc w:val="right"/>
              <w:rPr>
                <w:rFonts w:ascii="Calibri" w:eastAsia="Times New Roman" w:hAnsi="Calibri" w:cs="Times New Roman"/>
                <w:b/>
                <w:sz w:val="18"/>
                <w:szCs w:val="18"/>
                <w:lang w:eastAsia="pl-PL"/>
              </w:rPr>
            </w:pPr>
            <w:r w:rsidRPr="00F81318">
              <w:rPr>
                <w:rFonts w:ascii="Calibri" w:eastAsia="Times New Roman" w:hAnsi="Calibri" w:cs="Arial"/>
                <w:b/>
                <w:bCs/>
                <w:sz w:val="18"/>
                <w:szCs w:val="18"/>
                <w:lang w:eastAsia="pl-PL"/>
              </w:rPr>
              <w:t>130,19</w:t>
            </w:r>
          </w:p>
        </w:tc>
        <w:tc>
          <w:tcPr>
            <w:tcW w:w="934" w:type="dxa"/>
            <w:tcBorders>
              <w:top w:val="single" w:sz="4" w:space="0" w:color="auto"/>
              <w:left w:val="single" w:sz="4" w:space="0" w:color="auto"/>
              <w:bottom w:val="single" w:sz="4" w:space="0" w:color="auto"/>
              <w:right w:val="single" w:sz="4" w:space="0" w:color="auto"/>
            </w:tcBorders>
            <w:shd w:val="clear" w:color="auto" w:fill="D0CECE"/>
            <w:noWrap/>
            <w:vAlign w:val="center"/>
          </w:tcPr>
          <w:p w14:paraId="76A0E223" w14:textId="77777777" w:rsidR="00F81318" w:rsidRPr="00F81318" w:rsidRDefault="00F81318" w:rsidP="00F81318">
            <w:pPr>
              <w:spacing w:after="0" w:line="240" w:lineRule="auto"/>
              <w:jc w:val="right"/>
              <w:rPr>
                <w:rFonts w:ascii="Calibri" w:eastAsia="Times New Roman" w:hAnsi="Calibri" w:cs="Times New Roman"/>
                <w:b/>
                <w:sz w:val="18"/>
                <w:szCs w:val="18"/>
                <w:lang w:eastAsia="pl-PL"/>
              </w:rPr>
            </w:pPr>
            <w:r w:rsidRPr="00F81318">
              <w:rPr>
                <w:rFonts w:ascii="Calibri" w:eastAsia="Times New Roman" w:hAnsi="Calibri" w:cs="Arial"/>
                <w:b/>
                <w:bCs/>
                <w:sz w:val="18"/>
                <w:szCs w:val="18"/>
                <w:lang w:eastAsia="pl-PL"/>
              </w:rPr>
              <w:t>121,70</w:t>
            </w:r>
          </w:p>
        </w:tc>
      </w:tr>
      <w:tr w:rsidR="00F81318" w:rsidRPr="00F81318" w14:paraId="4A357ECF" w14:textId="77777777" w:rsidTr="00F04B84">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E2AA3" w14:textId="77777777" w:rsidR="00F81318" w:rsidRPr="00F81318" w:rsidRDefault="00F81318" w:rsidP="00F81318">
            <w:pPr>
              <w:spacing w:after="0" w:line="240" w:lineRule="auto"/>
              <w:jc w:val="both"/>
              <w:rPr>
                <w:rFonts w:ascii="Calibri" w:eastAsia="Times New Roman" w:hAnsi="Calibri" w:cs="Times New Roman"/>
                <w:b/>
                <w:sz w:val="18"/>
                <w:szCs w:val="18"/>
                <w:lang w:eastAsia="pl-PL"/>
              </w:rPr>
            </w:pPr>
            <w:r w:rsidRPr="00F81318">
              <w:rPr>
                <w:rFonts w:ascii="Calibri" w:eastAsia="Times New Roman" w:hAnsi="Calibri" w:cs="Times New Roman"/>
                <w:b/>
                <w:bCs/>
                <w:sz w:val="18"/>
                <w:szCs w:val="18"/>
                <w:lang w:eastAsia="pl-PL"/>
              </w:rPr>
              <w:t>1. Energia</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D966A1B" w14:textId="77777777" w:rsidR="00F81318" w:rsidRPr="00F81318" w:rsidRDefault="00F81318" w:rsidP="00F81318">
            <w:pPr>
              <w:spacing w:after="0" w:line="240" w:lineRule="auto"/>
              <w:jc w:val="right"/>
              <w:rPr>
                <w:rFonts w:ascii="Calibri" w:eastAsia="Times New Roman" w:hAnsi="Calibri" w:cs="Times New Roman"/>
                <w:b/>
                <w:sz w:val="18"/>
                <w:szCs w:val="18"/>
                <w:lang w:eastAsia="pl-PL"/>
              </w:rPr>
            </w:pPr>
            <w:r w:rsidRPr="00F81318">
              <w:rPr>
                <w:rFonts w:ascii="Calibri" w:eastAsia="Times New Roman" w:hAnsi="Calibri" w:cs="Arial"/>
                <w:b/>
                <w:bCs/>
                <w:sz w:val="18"/>
                <w:szCs w:val="18"/>
                <w:lang w:eastAsia="pl-PL"/>
              </w:rPr>
              <w:t>345,45</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3E71852B" w14:textId="77777777" w:rsidR="00F81318" w:rsidRPr="00F81318" w:rsidRDefault="00F81318" w:rsidP="00F81318">
            <w:pPr>
              <w:spacing w:after="0" w:line="240" w:lineRule="auto"/>
              <w:jc w:val="right"/>
              <w:rPr>
                <w:rFonts w:ascii="Calibri" w:eastAsia="Times New Roman" w:hAnsi="Calibri" w:cs="Times New Roman"/>
                <w:b/>
                <w:sz w:val="18"/>
                <w:szCs w:val="18"/>
                <w:lang w:eastAsia="pl-PL"/>
              </w:rPr>
            </w:pPr>
            <w:r w:rsidRPr="00F81318">
              <w:rPr>
                <w:rFonts w:ascii="Calibri" w:eastAsia="Times New Roman" w:hAnsi="Calibri" w:cs="Arial"/>
                <w:b/>
                <w:bCs/>
                <w:sz w:val="18"/>
                <w:szCs w:val="18"/>
                <w:lang w:eastAsia="pl-PL"/>
              </w:rPr>
              <w:t>139,46</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240EAA19" w14:textId="77777777" w:rsidR="00F81318" w:rsidRPr="00F81318" w:rsidRDefault="00F81318" w:rsidP="00F81318">
            <w:pPr>
              <w:spacing w:after="0" w:line="240" w:lineRule="auto"/>
              <w:jc w:val="right"/>
              <w:rPr>
                <w:rFonts w:ascii="Calibri" w:eastAsia="Times New Roman" w:hAnsi="Calibri" w:cs="Times New Roman"/>
                <w:b/>
                <w:sz w:val="18"/>
                <w:szCs w:val="18"/>
                <w:lang w:eastAsia="pl-PL"/>
              </w:rPr>
            </w:pPr>
            <w:r w:rsidRPr="00F81318">
              <w:rPr>
                <w:rFonts w:ascii="Calibri" w:eastAsia="Times New Roman" w:hAnsi="Calibri" w:cs="Arial"/>
                <w:b/>
                <w:bCs/>
                <w:sz w:val="18"/>
                <w:szCs w:val="18"/>
                <w:lang w:eastAsia="pl-PL"/>
              </w:rPr>
              <w:t>135,57</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A05500" w14:textId="77777777" w:rsidR="00F81318" w:rsidRPr="00F81318" w:rsidRDefault="00F81318" w:rsidP="00F81318">
            <w:pPr>
              <w:spacing w:after="0" w:line="240" w:lineRule="auto"/>
              <w:jc w:val="right"/>
              <w:rPr>
                <w:rFonts w:ascii="Calibri" w:eastAsia="Times New Roman" w:hAnsi="Calibri" w:cs="Times New Roman"/>
                <w:b/>
                <w:sz w:val="18"/>
                <w:szCs w:val="18"/>
                <w:highlight w:val="yellow"/>
                <w:lang w:eastAsia="pl-PL"/>
              </w:rPr>
            </w:pPr>
            <w:r w:rsidRPr="00F81318">
              <w:rPr>
                <w:rFonts w:ascii="Calibri" w:eastAsia="Times New Roman" w:hAnsi="Calibri" w:cs="Arial"/>
                <w:b/>
                <w:bCs/>
                <w:sz w:val="18"/>
                <w:szCs w:val="18"/>
                <w:lang w:eastAsia="pl-PL"/>
              </w:rPr>
              <w:t>111,83</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E9CB9F" w14:textId="77777777" w:rsidR="00F81318" w:rsidRPr="00F81318" w:rsidRDefault="00F81318" w:rsidP="00F81318">
            <w:pPr>
              <w:spacing w:after="0" w:line="240" w:lineRule="auto"/>
              <w:jc w:val="right"/>
              <w:rPr>
                <w:rFonts w:ascii="Calibri" w:eastAsia="Times New Roman" w:hAnsi="Calibri" w:cs="Times New Roman"/>
                <w:b/>
                <w:sz w:val="18"/>
                <w:szCs w:val="18"/>
                <w:highlight w:val="yellow"/>
                <w:lang w:eastAsia="pl-PL"/>
              </w:rPr>
            </w:pPr>
            <w:r w:rsidRPr="00F81318">
              <w:rPr>
                <w:rFonts w:ascii="Calibri" w:eastAsia="Times New Roman" w:hAnsi="Calibri" w:cs="Arial"/>
                <w:b/>
                <w:bCs/>
                <w:sz w:val="18"/>
                <w:szCs w:val="18"/>
                <w:lang w:eastAsia="pl-PL"/>
              </w:rPr>
              <w:t>103,42</w:t>
            </w:r>
          </w:p>
        </w:tc>
      </w:tr>
      <w:tr w:rsidR="00F81318" w:rsidRPr="00F81318" w14:paraId="1C52AF74"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014EA232" w14:textId="77777777" w:rsidR="00F81318" w:rsidRPr="00F81318" w:rsidRDefault="00F81318" w:rsidP="00F81318">
            <w:pPr>
              <w:spacing w:after="0" w:line="240" w:lineRule="auto"/>
              <w:ind w:firstLineChars="200" w:firstLine="360"/>
              <w:rPr>
                <w:rFonts w:ascii="Calibri" w:eastAsia="Times New Roman" w:hAnsi="Calibri" w:cs="Times New Roman"/>
                <w:sz w:val="18"/>
                <w:szCs w:val="18"/>
                <w:lang w:eastAsia="pl-PL"/>
              </w:rPr>
            </w:pPr>
            <w:r w:rsidRPr="00F81318">
              <w:rPr>
                <w:rFonts w:ascii="Calibri" w:eastAsia="Times New Roman" w:hAnsi="Calibri" w:cs="Times New Roman"/>
                <w:sz w:val="18"/>
                <w:szCs w:val="18"/>
                <w:lang w:eastAsia="pl-PL"/>
              </w:rPr>
              <w:t>A. Spalanie paliw</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0B10738"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342,48</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26ECBE1"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137,39</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F90688E"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133,65</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07E60D" w14:textId="77777777" w:rsidR="00F81318" w:rsidRPr="00F81318" w:rsidRDefault="00F81318" w:rsidP="00F81318">
            <w:pPr>
              <w:spacing w:after="0" w:line="240" w:lineRule="auto"/>
              <w:jc w:val="right"/>
              <w:rPr>
                <w:rFonts w:ascii="Calibri" w:eastAsia="Times New Roman" w:hAnsi="Calibri" w:cs="Times New Roman"/>
                <w:sz w:val="18"/>
                <w:szCs w:val="18"/>
                <w:highlight w:val="yellow"/>
                <w:lang w:eastAsia="pl-PL"/>
              </w:rPr>
            </w:pPr>
            <w:r w:rsidRPr="00F81318">
              <w:rPr>
                <w:rFonts w:ascii="Calibri" w:eastAsia="Times New Roman" w:hAnsi="Calibri" w:cs="Arial"/>
                <w:sz w:val="18"/>
                <w:szCs w:val="18"/>
                <w:lang w:eastAsia="pl-PL"/>
              </w:rPr>
              <w:t>110,04</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117217" w14:textId="77777777" w:rsidR="00F81318" w:rsidRPr="00F81318" w:rsidRDefault="00F81318" w:rsidP="00F81318">
            <w:pPr>
              <w:spacing w:after="0" w:line="240" w:lineRule="auto"/>
              <w:jc w:val="right"/>
              <w:rPr>
                <w:rFonts w:ascii="Calibri" w:eastAsia="Times New Roman" w:hAnsi="Calibri" w:cs="Times New Roman"/>
                <w:sz w:val="18"/>
                <w:szCs w:val="18"/>
                <w:highlight w:val="yellow"/>
                <w:lang w:eastAsia="pl-PL"/>
              </w:rPr>
            </w:pPr>
            <w:r w:rsidRPr="00F81318">
              <w:rPr>
                <w:rFonts w:ascii="Calibri" w:eastAsia="Times New Roman" w:hAnsi="Calibri" w:cs="Arial"/>
                <w:sz w:val="18"/>
                <w:szCs w:val="18"/>
                <w:lang w:eastAsia="pl-PL"/>
              </w:rPr>
              <w:t>101,80</w:t>
            </w:r>
          </w:p>
        </w:tc>
      </w:tr>
      <w:tr w:rsidR="00F81318" w:rsidRPr="00F81318" w14:paraId="6A6FC26D"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2B21B97A" w14:textId="77777777" w:rsidR="00F81318" w:rsidRPr="00F81318" w:rsidRDefault="00F81318" w:rsidP="00CA3BB7">
            <w:pPr>
              <w:numPr>
                <w:ilvl w:val="0"/>
                <w:numId w:val="16"/>
              </w:numPr>
              <w:spacing w:after="0" w:line="240" w:lineRule="auto"/>
              <w:ind w:hanging="215"/>
              <w:contextualSpacing/>
              <w:jc w:val="both"/>
              <w:rPr>
                <w:rFonts w:ascii="Calibri" w:eastAsia="Times New Roman" w:hAnsi="Calibri" w:cs="Times New Roman"/>
                <w:sz w:val="18"/>
                <w:szCs w:val="18"/>
              </w:rPr>
            </w:pPr>
            <w:r w:rsidRPr="00F81318">
              <w:rPr>
                <w:rFonts w:ascii="Calibri" w:eastAsia="Times New Roman" w:hAnsi="Calibri" w:cs="Times New Roman"/>
                <w:sz w:val="18"/>
                <w:szCs w:val="18"/>
              </w:rPr>
              <w:t>Przemysły energetyczne</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7D549F9"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229,98</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C83A854"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17,58</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1DD744F"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10,67</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3D3B6" w14:textId="77777777" w:rsidR="00F81318" w:rsidRPr="00F81318" w:rsidRDefault="00F81318" w:rsidP="00F81318">
            <w:pPr>
              <w:spacing w:after="0" w:line="240" w:lineRule="auto"/>
              <w:jc w:val="right"/>
              <w:rPr>
                <w:rFonts w:ascii="Calibri" w:eastAsia="Times New Roman" w:hAnsi="Calibri" w:cs="Times New Roman"/>
                <w:sz w:val="18"/>
                <w:szCs w:val="18"/>
                <w:highlight w:val="yellow"/>
                <w:lang w:eastAsia="pl-PL"/>
              </w:rPr>
            </w:pPr>
            <w:r w:rsidRPr="00F81318">
              <w:rPr>
                <w:rFonts w:ascii="Calibri" w:eastAsia="Times New Roman" w:hAnsi="Calibri" w:cs="Arial"/>
                <w:sz w:val="18"/>
                <w:szCs w:val="18"/>
                <w:lang w:eastAsia="pl-PL"/>
              </w:rPr>
              <w:t>4,52</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9DE53A" w14:textId="77777777" w:rsidR="00F81318" w:rsidRPr="00F81318" w:rsidRDefault="00F81318" w:rsidP="00F81318">
            <w:pPr>
              <w:spacing w:after="0" w:line="240" w:lineRule="auto"/>
              <w:jc w:val="right"/>
              <w:rPr>
                <w:rFonts w:ascii="Calibri" w:eastAsia="Times New Roman" w:hAnsi="Calibri" w:cs="Times New Roman"/>
                <w:sz w:val="18"/>
                <w:szCs w:val="18"/>
                <w:highlight w:val="yellow"/>
                <w:lang w:eastAsia="pl-PL"/>
              </w:rPr>
            </w:pPr>
            <w:r w:rsidRPr="00F81318">
              <w:rPr>
                <w:rFonts w:ascii="Calibri" w:eastAsia="Times New Roman" w:hAnsi="Calibri" w:cs="Arial"/>
                <w:sz w:val="18"/>
                <w:szCs w:val="18"/>
                <w:lang w:eastAsia="pl-PL"/>
              </w:rPr>
              <w:t>3,89</w:t>
            </w:r>
          </w:p>
        </w:tc>
      </w:tr>
      <w:tr w:rsidR="00F81318" w:rsidRPr="00F81318" w14:paraId="57EB42D4"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5C82C010" w14:textId="77777777" w:rsidR="00F81318" w:rsidRPr="00F81318" w:rsidRDefault="00F81318" w:rsidP="00CA3BB7">
            <w:pPr>
              <w:numPr>
                <w:ilvl w:val="0"/>
                <w:numId w:val="16"/>
              </w:numPr>
              <w:spacing w:after="0" w:line="240" w:lineRule="auto"/>
              <w:ind w:left="856" w:hanging="227"/>
              <w:contextualSpacing/>
              <w:jc w:val="both"/>
              <w:rPr>
                <w:rFonts w:ascii="Calibri" w:eastAsia="Times New Roman" w:hAnsi="Calibri" w:cs="Times New Roman"/>
                <w:sz w:val="18"/>
                <w:szCs w:val="18"/>
              </w:rPr>
            </w:pPr>
            <w:r w:rsidRPr="00F81318">
              <w:rPr>
                <w:rFonts w:ascii="Calibri" w:eastAsia="Times New Roman" w:hAnsi="Calibri" w:cs="Times New Roman"/>
                <w:sz w:val="18"/>
                <w:szCs w:val="18"/>
              </w:rPr>
              <w:t>Przemysł wytwórczy i budownictwo</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F0F184E"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23,56</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212430CB"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23,09</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0470A807"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20,98</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AC492" w14:textId="77777777" w:rsidR="00F81318" w:rsidRPr="00F81318" w:rsidRDefault="00F81318" w:rsidP="00F81318">
            <w:pPr>
              <w:spacing w:after="0" w:line="240" w:lineRule="auto"/>
              <w:jc w:val="right"/>
              <w:rPr>
                <w:rFonts w:ascii="Calibri" w:eastAsia="Times New Roman" w:hAnsi="Calibri" w:cs="Times New Roman"/>
                <w:sz w:val="18"/>
                <w:szCs w:val="18"/>
                <w:highlight w:val="yellow"/>
                <w:lang w:eastAsia="pl-PL"/>
              </w:rPr>
            </w:pPr>
            <w:r w:rsidRPr="00F81318">
              <w:rPr>
                <w:rFonts w:ascii="Calibri" w:eastAsia="Times New Roman" w:hAnsi="Calibri" w:cs="Arial"/>
                <w:sz w:val="18"/>
                <w:szCs w:val="18"/>
                <w:lang w:eastAsia="pl-PL"/>
              </w:rPr>
              <w:t>24,29</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3FF6F" w14:textId="77777777" w:rsidR="00F81318" w:rsidRPr="00F81318" w:rsidRDefault="00F81318" w:rsidP="00F81318">
            <w:pPr>
              <w:spacing w:after="0" w:line="240" w:lineRule="auto"/>
              <w:jc w:val="right"/>
              <w:rPr>
                <w:rFonts w:ascii="Calibri" w:eastAsia="Times New Roman" w:hAnsi="Calibri" w:cs="Times New Roman"/>
                <w:sz w:val="18"/>
                <w:szCs w:val="18"/>
                <w:highlight w:val="yellow"/>
                <w:lang w:eastAsia="pl-PL"/>
              </w:rPr>
            </w:pPr>
            <w:r w:rsidRPr="00F81318">
              <w:rPr>
                <w:rFonts w:ascii="Calibri" w:eastAsia="Times New Roman" w:hAnsi="Calibri" w:cs="Arial"/>
                <w:sz w:val="18"/>
                <w:szCs w:val="18"/>
                <w:lang w:eastAsia="pl-PL"/>
              </w:rPr>
              <w:t>24,34</w:t>
            </w:r>
          </w:p>
        </w:tc>
      </w:tr>
      <w:tr w:rsidR="00F81318" w:rsidRPr="00F81318" w14:paraId="63E07BEC"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776FA271" w14:textId="77777777" w:rsidR="00F81318" w:rsidRPr="00F81318" w:rsidRDefault="00F81318" w:rsidP="00CA3BB7">
            <w:pPr>
              <w:numPr>
                <w:ilvl w:val="0"/>
                <w:numId w:val="16"/>
              </w:numPr>
              <w:spacing w:after="0" w:line="240" w:lineRule="auto"/>
              <w:ind w:left="856" w:hanging="227"/>
              <w:contextualSpacing/>
              <w:jc w:val="both"/>
              <w:rPr>
                <w:rFonts w:ascii="Calibri" w:eastAsia="Times New Roman" w:hAnsi="Calibri" w:cs="Times New Roman"/>
                <w:sz w:val="18"/>
                <w:szCs w:val="18"/>
              </w:rPr>
            </w:pPr>
            <w:r w:rsidRPr="00F81318">
              <w:rPr>
                <w:rFonts w:ascii="Calibri" w:eastAsia="Times New Roman" w:hAnsi="Calibri" w:cs="Times New Roman"/>
                <w:sz w:val="18"/>
                <w:szCs w:val="18"/>
              </w:rPr>
              <w:t>Transport</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0B7CAAE"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11,53</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75E731FA"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11,04</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1752993"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14,05</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C8B9A7" w14:textId="77777777" w:rsidR="00F81318" w:rsidRPr="00F81318" w:rsidRDefault="00F81318" w:rsidP="00F81318">
            <w:pPr>
              <w:spacing w:after="0" w:line="240" w:lineRule="auto"/>
              <w:jc w:val="right"/>
              <w:rPr>
                <w:rFonts w:ascii="Calibri" w:eastAsia="Times New Roman" w:hAnsi="Calibri" w:cs="Times New Roman"/>
                <w:sz w:val="18"/>
                <w:szCs w:val="18"/>
                <w:highlight w:val="yellow"/>
                <w:lang w:eastAsia="pl-PL"/>
              </w:rPr>
            </w:pPr>
            <w:r w:rsidRPr="00F81318">
              <w:rPr>
                <w:rFonts w:ascii="Calibri" w:eastAsia="Times New Roman" w:hAnsi="Calibri" w:cs="Arial"/>
                <w:sz w:val="18"/>
                <w:szCs w:val="18"/>
                <w:lang w:eastAsia="pl-PL"/>
              </w:rPr>
              <w:t>14,05</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71FED" w14:textId="77777777" w:rsidR="00F81318" w:rsidRPr="00F81318" w:rsidRDefault="00F81318" w:rsidP="00F81318">
            <w:pPr>
              <w:spacing w:after="0" w:line="240" w:lineRule="auto"/>
              <w:jc w:val="right"/>
              <w:rPr>
                <w:rFonts w:ascii="Calibri" w:eastAsia="Times New Roman" w:hAnsi="Calibri" w:cs="Times New Roman"/>
                <w:sz w:val="18"/>
                <w:szCs w:val="18"/>
                <w:highlight w:val="yellow"/>
                <w:lang w:eastAsia="pl-PL"/>
              </w:rPr>
            </w:pPr>
            <w:r w:rsidRPr="00F81318">
              <w:rPr>
                <w:rFonts w:ascii="Calibri" w:eastAsia="Times New Roman" w:hAnsi="Calibri" w:cs="Arial"/>
                <w:sz w:val="18"/>
                <w:szCs w:val="18"/>
                <w:lang w:eastAsia="pl-PL"/>
              </w:rPr>
              <w:t>13,71</w:t>
            </w:r>
          </w:p>
        </w:tc>
      </w:tr>
      <w:tr w:rsidR="00F81318" w:rsidRPr="00F81318" w14:paraId="6CC7C114"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35FEE8BF" w14:textId="77777777" w:rsidR="00F81318" w:rsidRPr="00F81318" w:rsidRDefault="00F81318" w:rsidP="00CA3BB7">
            <w:pPr>
              <w:numPr>
                <w:ilvl w:val="0"/>
                <w:numId w:val="16"/>
              </w:numPr>
              <w:spacing w:after="0" w:line="240" w:lineRule="auto"/>
              <w:ind w:left="856" w:hanging="227"/>
              <w:contextualSpacing/>
              <w:jc w:val="both"/>
              <w:rPr>
                <w:rFonts w:ascii="Calibri" w:eastAsia="Times New Roman" w:hAnsi="Calibri" w:cs="Times New Roman"/>
                <w:sz w:val="18"/>
                <w:szCs w:val="18"/>
              </w:rPr>
            </w:pPr>
            <w:r w:rsidRPr="00F81318">
              <w:rPr>
                <w:rFonts w:ascii="Calibri" w:eastAsia="Times New Roman" w:hAnsi="Calibri" w:cs="Times New Roman"/>
                <w:sz w:val="18"/>
                <w:szCs w:val="18"/>
              </w:rPr>
              <w:t>Inne sektory</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0F33C354"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77,42</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FD91C1F"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85,69</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718AA5A"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87,96</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4C1769" w14:textId="77777777" w:rsidR="00F81318" w:rsidRPr="00F81318" w:rsidRDefault="00F81318" w:rsidP="00F81318">
            <w:pPr>
              <w:spacing w:after="0" w:line="240" w:lineRule="auto"/>
              <w:jc w:val="right"/>
              <w:rPr>
                <w:rFonts w:ascii="Calibri" w:eastAsia="Times New Roman" w:hAnsi="Calibri" w:cs="Times New Roman"/>
                <w:sz w:val="18"/>
                <w:szCs w:val="18"/>
                <w:highlight w:val="yellow"/>
                <w:lang w:eastAsia="pl-PL"/>
              </w:rPr>
            </w:pPr>
            <w:r w:rsidRPr="00F81318">
              <w:rPr>
                <w:rFonts w:ascii="Calibri" w:eastAsia="Times New Roman" w:hAnsi="Calibri" w:cs="Arial"/>
                <w:sz w:val="18"/>
                <w:szCs w:val="18"/>
                <w:lang w:eastAsia="pl-PL"/>
              </w:rPr>
              <w:t>67,18</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2AF362" w14:textId="77777777" w:rsidR="00F81318" w:rsidRPr="00F81318" w:rsidRDefault="00F81318" w:rsidP="00F81318">
            <w:pPr>
              <w:spacing w:after="0" w:line="240" w:lineRule="auto"/>
              <w:jc w:val="right"/>
              <w:rPr>
                <w:rFonts w:ascii="Calibri" w:eastAsia="Times New Roman" w:hAnsi="Calibri" w:cs="Times New Roman"/>
                <w:sz w:val="18"/>
                <w:szCs w:val="18"/>
                <w:highlight w:val="yellow"/>
                <w:lang w:eastAsia="pl-PL"/>
              </w:rPr>
            </w:pPr>
            <w:r w:rsidRPr="00F81318">
              <w:rPr>
                <w:rFonts w:ascii="Calibri" w:eastAsia="Times New Roman" w:hAnsi="Calibri" w:cs="Arial"/>
                <w:sz w:val="18"/>
                <w:szCs w:val="18"/>
                <w:lang w:eastAsia="pl-PL"/>
              </w:rPr>
              <w:t>59,85</w:t>
            </w:r>
          </w:p>
        </w:tc>
      </w:tr>
      <w:tr w:rsidR="00F81318" w:rsidRPr="00F81318" w14:paraId="6DFFEF58"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46470B3C" w14:textId="77777777" w:rsidR="00F81318" w:rsidRPr="00F81318" w:rsidRDefault="00F81318" w:rsidP="00F81318">
            <w:pPr>
              <w:spacing w:after="0" w:line="240" w:lineRule="auto"/>
              <w:ind w:firstLineChars="200" w:firstLine="360"/>
              <w:rPr>
                <w:rFonts w:ascii="Calibri" w:eastAsia="Times New Roman" w:hAnsi="Calibri" w:cs="Times New Roman"/>
                <w:sz w:val="18"/>
                <w:szCs w:val="18"/>
                <w:lang w:eastAsia="pl-PL"/>
              </w:rPr>
            </w:pPr>
            <w:r w:rsidRPr="00F81318">
              <w:rPr>
                <w:rFonts w:ascii="Calibri" w:eastAsia="Times New Roman" w:hAnsi="Calibri" w:cs="Times New Roman"/>
                <w:sz w:val="18"/>
                <w:szCs w:val="18"/>
                <w:lang w:eastAsia="pl-PL"/>
              </w:rPr>
              <w:t>B. Emisja lotna z paliw</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2E86D716"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2,97</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05F63C1D"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2,07</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26CE533"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1,92</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A1A600" w14:textId="77777777" w:rsidR="00F81318" w:rsidRPr="00F81318" w:rsidRDefault="00F81318" w:rsidP="00F81318">
            <w:pPr>
              <w:spacing w:after="0" w:line="240" w:lineRule="auto"/>
              <w:jc w:val="right"/>
              <w:rPr>
                <w:rFonts w:ascii="Calibri" w:eastAsia="Times New Roman" w:hAnsi="Calibri" w:cs="Times New Roman"/>
                <w:sz w:val="18"/>
                <w:szCs w:val="18"/>
                <w:highlight w:val="yellow"/>
                <w:lang w:eastAsia="pl-PL"/>
              </w:rPr>
            </w:pPr>
            <w:r w:rsidRPr="00F81318">
              <w:rPr>
                <w:rFonts w:ascii="Calibri" w:eastAsia="Times New Roman" w:hAnsi="Calibri" w:cs="Arial"/>
                <w:sz w:val="18"/>
                <w:szCs w:val="18"/>
                <w:lang w:eastAsia="pl-PL"/>
              </w:rPr>
              <w:t>1,78</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6A2AFC" w14:textId="77777777" w:rsidR="00F81318" w:rsidRPr="00F81318" w:rsidRDefault="00F81318" w:rsidP="00F81318">
            <w:pPr>
              <w:spacing w:after="0" w:line="240" w:lineRule="auto"/>
              <w:jc w:val="right"/>
              <w:rPr>
                <w:rFonts w:ascii="Calibri" w:eastAsia="Times New Roman" w:hAnsi="Calibri" w:cs="Times New Roman"/>
                <w:sz w:val="18"/>
                <w:szCs w:val="18"/>
                <w:highlight w:val="yellow"/>
                <w:lang w:eastAsia="pl-PL"/>
              </w:rPr>
            </w:pPr>
            <w:r w:rsidRPr="00F81318">
              <w:rPr>
                <w:rFonts w:ascii="Calibri" w:eastAsia="Times New Roman" w:hAnsi="Calibri" w:cs="Arial"/>
                <w:sz w:val="18"/>
                <w:szCs w:val="18"/>
                <w:lang w:eastAsia="pl-PL"/>
              </w:rPr>
              <w:t>1,62</w:t>
            </w:r>
          </w:p>
        </w:tc>
      </w:tr>
      <w:tr w:rsidR="00F81318" w:rsidRPr="00F81318" w14:paraId="2566D176"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0E8DEF18" w14:textId="77777777" w:rsidR="00F81318" w:rsidRPr="00F81318" w:rsidRDefault="00F81318" w:rsidP="00CA3BB7">
            <w:pPr>
              <w:numPr>
                <w:ilvl w:val="0"/>
                <w:numId w:val="17"/>
              </w:numPr>
              <w:spacing w:after="0" w:line="240" w:lineRule="auto"/>
              <w:ind w:hanging="215"/>
              <w:contextualSpacing/>
              <w:jc w:val="both"/>
              <w:rPr>
                <w:rFonts w:ascii="Calibri" w:eastAsia="Times New Roman" w:hAnsi="Calibri" w:cs="Times New Roman"/>
                <w:sz w:val="18"/>
                <w:szCs w:val="18"/>
              </w:rPr>
            </w:pPr>
            <w:r w:rsidRPr="00F81318">
              <w:rPr>
                <w:rFonts w:ascii="Calibri" w:eastAsia="Times New Roman" w:hAnsi="Calibri" w:cs="Times New Roman"/>
                <w:sz w:val="18"/>
                <w:szCs w:val="18"/>
              </w:rPr>
              <w:t>Lotna emisja z paliw stałych</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761A2363"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2,91</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3CC8B98"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1,99</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39141F29"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1,82</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FC32AC" w14:textId="77777777" w:rsidR="00F81318" w:rsidRPr="00F81318" w:rsidRDefault="00F81318" w:rsidP="00F81318">
            <w:pPr>
              <w:spacing w:after="0" w:line="240" w:lineRule="auto"/>
              <w:jc w:val="right"/>
              <w:rPr>
                <w:rFonts w:ascii="Calibri" w:eastAsia="Times New Roman" w:hAnsi="Calibri" w:cs="Times New Roman"/>
                <w:sz w:val="18"/>
                <w:szCs w:val="18"/>
                <w:highlight w:val="yellow"/>
                <w:lang w:eastAsia="pl-PL"/>
              </w:rPr>
            </w:pPr>
            <w:r w:rsidRPr="00F81318">
              <w:rPr>
                <w:rFonts w:ascii="Calibri" w:eastAsia="Times New Roman" w:hAnsi="Calibri" w:cs="Arial"/>
                <w:sz w:val="18"/>
                <w:szCs w:val="18"/>
                <w:lang w:eastAsia="pl-PL"/>
              </w:rPr>
              <w:t>1,67</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30D4F7" w14:textId="77777777" w:rsidR="00F81318" w:rsidRPr="00F81318" w:rsidRDefault="00F81318" w:rsidP="00F81318">
            <w:pPr>
              <w:spacing w:after="0" w:line="240" w:lineRule="auto"/>
              <w:jc w:val="right"/>
              <w:rPr>
                <w:rFonts w:ascii="Calibri" w:eastAsia="Times New Roman" w:hAnsi="Calibri" w:cs="Times New Roman"/>
                <w:sz w:val="18"/>
                <w:szCs w:val="18"/>
                <w:highlight w:val="yellow"/>
                <w:lang w:eastAsia="pl-PL"/>
              </w:rPr>
            </w:pPr>
            <w:r w:rsidRPr="00F81318">
              <w:rPr>
                <w:rFonts w:ascii="Calibri" w:eastAsia="Times New Roman" w:hAnsi="Calibri" w:cs="Arial"/>
                <w:sz w:val="18"/>
                <w:szCs w:val="18"/>
                <w:lang w:eastAsia="pl-PL"/>
              </w:rPr>
              <w:t>1,51</w:t>
            </w:r>
          </w:p>
        </w:tc>
      </w:tr>
      <w:tr w:rsidR="00F81318" w:rsidRPr="00F81318" w14:paraId="35A10496"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747E6B83" w14:textId="77777777" w:rsidR="00F81318" w:rsidRPr="00F81318" w:rsidRDefault="00F81318" w:rsidP="00CA3BB7">
            <w:pPr>
              <w:numPr>
                <w:ilvl w:val="0"/>
                <w:numId w:val="17"/>
              </w:numPr>
              <w:spacing w:after="0" w:line="240" w:lineRule="auto"/>
              <w:ind w:hanging="215"/>
              <w:contextualSpacing/>
              <w:jc w:val="both"/>
              <w:rPr>
                <w:rFonts w:ascii="Calibri" w:eastAsia="Times New Roman" w:hAnsi="Calibri" w:cs="Times New Roman"/>
                <w:sz w:val="18"/>
                <w:szCs w:val="18"/>
              </w:rPr>
            </w:pPr>
            <w:r w:rsidRPr="00F81318">
              <w:rPr>
                <w:rFonts w:ascii="Calibri" w:eastAsia="Times New Roman" w:hAnsi="Calibri" w:cs="Times New Roman"/>
                <w:sz w:val="18"/>
                <w:szCs w:val="18"/>
              </w:rPr>
              <w:t>Lotna emisja z systemu gazu ziemnego i ropy naftowej</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30EF8404"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0,06</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FA85801"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0,08</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2845144D"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0,10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8A436" w14:textId="77777777" w:rsidR="00F81318" w:rsidRPr="00F81318" w:rsidRDefault="00F81318" w:rsidP="00F81318">
            <w:pPr>
              <w:spacing w:after="0" w:line="240" w:lineRule="auto"/>
              <w:jc w:val="right"/>
              <w:rPr>
                <w:rFonts w:ascii="Calibri" w:eastAsia="Times New Roman" w:hAnsi="Calibri" w:cs="Times New Roman"/>
                <w:sz w:val="18"/>
                <w:szCs w:val="18"/>
                <w:highlight w:val="yellow"/>
                <w:lang w:eastAsia="pl-PL"/>
              </w:rPr>
            </w:pPr>
            <w:r w:rsidRPr="00F81318">
              <w:rPr>
                <w:rFonts w:ascii="Calibri" w:eastAsia="Times New Roman" w:hAnsi="Calibri" w:cs="Arial"/>
                <w:sz w:val="18"/>
                <w:szCs w:val="18"/>
                <w:lang w:eastAsia="pl-PL"/>
              </w:rPr>
              <w:t>0,12</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30AE72" w14:textId="77777777" w:rsidR="00F81318" w:rsidRPr="00F81318" w:rsidRDefault="00F81318" w:rsidP="00F81318">
            <w:pPr>
              <w:spacing w:after="0" w:line="240" w:lineRule="auto"/>
              <w:jc w:val="right"/>
              <w:rPr>
                <w:rFonts w:ascii="Calibri" w:eastAsia="Times New Roman" w:hAnsi="Calibri" w:cs="Times New Roman"/>
                <w:sz w:val="18"/>
                <w:szCs w:val="18"/>
                <w:highlight w:val="yellow"/>
                <w:lang w:eastAsia="pl-PL"/>
              </w:rPr>
            </w:pPr>
            <w:r w:rsidRPr="00F81318">
              <w:rPr>
                <w:rFonts w:ascii="Calibri" w:eastAsia="Times New Roman" w:hAnsi="Calibri" w:cs="Arial"/>
                <w:sz w:val="18"/>
                <w:szCs w:val="18"/>
                <w:lang w:eastAsia="pl-PL"/>
              </w:rPr>
              <w:t>0,12</w:t>
            </w:r>
          </w:p>
        </w:tc>
      </w:tr>
      <w:tr w:rsidR="00F81318" w:rsidRPr="00F81318" w14:paraId="34159FA3"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7D39B8AB" w14:textId="77777777" w:rsidR="00F81318" w:rsidRPr="00F81318" w:rsidRDefault="00F81318" w:rsidP="00F81318">
            <w:pPr>
              <w:spacing w:after="0" w:line="240" w:lineRule="auto"/>
              <w:jc w:val="both"/>
              <w:rPr>
                <w:rFonts w:ascii="Calibri" w:eastAsia="Times New Roman" w:hAnsi="Calibri" w:cs="Times New Roman"/>
                <w:b/>
                <w:sz w:val="18"/>
                <w:szCs w:val="18"/>
                <w:lang w:eastAsia="pl-PL"/>
              </w:rPr>
            </w:pPr>
            <w:r w:rsidRPr="00F81318">
              <w:rPr>
                <w:rFonts w:ascii="Calibri" w:eastAsia="Times New Roman" w:hAnsi="Calibri" w:cs="Times New Roman"/>
                <w:b/>
                <w:bCs/>
                <w:sz w:val="18"/>
                <w:szCs w:val="18"/>
                <w:lang w:eastAsia="pl-PL"/>
              </w:rPr>
              <w:t>2. Procesy przemysłowe</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2A6E7195" w14:textId="77777777" w:rsidR="00F81318" w:rsidRPr="00F81318" w:rsidRDefault="00F81318" w:rsidP="00F81318">
            <w:pPr>
              <w:spacing w:after="0" w:line="240" w:lineRule="auto"/>
              <w:jc w:val="right"/>
              <w:rPr>
                <w:rFonts w:ascii="Calibri" w:eastAsia="Times New Roman" w:hAnsi="Calibri" w:cs="Times New Roman"/>
                <w:b/>
                <w:sz w:val="18"/>
                <w:szCs w:val="18"/>
                <w:lang w:eastAsia="pl-PL"/>
              </w:rPr>
            </w:pPr>
            <w:r w:rsidRPr="00F81318">
              <w:rPr>
                <w:rFonts w:ascii="Calibri" w:eastAsia="Times New Roman" w:hAnsi="Calibri" w:cs="Arial"/>
                <w:b/>
                <w:bCs/>
                <w:sz w:val="18"/>
                <w:szCs w:val="18"/>
                <w:lang w:eastAsia="pl-PL"/>
              </w:rPr>
              <w:t>12,68</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A082589" w14:textId="77777777" w:rsidR="00F81318" w:rsidRPr="00F81318" w:rsidRDefault="00F81318" w:rsidP="00F81318">
            <w:pPr>
              <w:spacing w:after="0" w:line="240" w:lineRule="auto"/>
              <w:jc w:val="right"/>
              <w:rPr>
                <w:rFonts w:ascii="Calibri" w:eastAsia="Times New Roman" w:hAnsi="Calibri" w:cs="Times New Roman"/>
                <w:b/>
                <w:sz w:val="18"/>
                <w:szCs w:val="18"/>
                <w:lang w:eastAsia="pl-PL"/>
              </w:rPr>
            </w:pPr>
            <w:r w:rsidRPr="00F81318">
              <w:rPr>
                <w:rFonts w:ascii="Calibri" w:eastAsia="Times New Roman" w:hAnsi="Calibri" w:cs="Arial"/>
                <w:b/>
                <w:bCs/>
                <w:sz w:val="18"/>
                <w:szCs w:val="18"/>
                <w:lang w:eastAsia="pl-PL"/>
              </w:rPr>
              <w:t>8,23</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594F2C0" w14:textId="77777777" w:rsidR="00F81318" w:rsidRPr="00F81318" w:rsidRDefault="00F81318" w:rsidP="00F81318">
            <w:pPr>
              <w:spacing w:after="0" w:line="240" w:lineRule="auto"/>
              <w:jc w:val="right"/>
              <w:rPr>
                <w:rFonts w:ascii="Calibri" w:eastAsia="Times New Roman" w:hAnsi="Calibri" w:cs="Times New Roman"/>
                <w:b/>
                <w:sz w:val="18"/>
                <w:szCs w:val="18"/>
                <w:lang w:eastAsia="pl-PL"/>
              </w:rPr>
            </w:pPr>
            <w:r w:rsidRPr="00F81318">
              <w:rPr>
                <w:rFonts w:ascii="Calibri" w:eastAsia="Times New Roman" w:hAnsi="Calibri" w:cs="Arial"/>
                <w:b/>
                <w:bCs/>
                <w:sz w:val="18"/>
                <w:szCs w:val="18"/>
                <w:lang w:eastAsia="pl-PL"/>
              </w:rPr>
              <w:t>9,20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31A4DD" w14:textId="77777777" w:rsidR="00F81318" w:rsidRPr="00F81318" w:rsidRDefault="00F81318" w:rsidP="00F81318">
            <w:pPr>
              <w:spacing w:after="0" w:line="240" w:lineRule="auto"/>
              <w:jc w:val="right"/>
              <w:rPr>
                <w:rFonts w:ascii="Calibri" w:eastAsia="Times New Roman" w:hAnsi="Calibri" w:cs="Times New Roman"/>
                <w:b/>
                <w:sz w:val="18"/>
                <w:szCs w:val="18"/>
                <w:highlight w:val="yellow"/>
                <w:lang w:eastAsia="pl-PL"/>
              </w:rPr>
            </w:pPr>
            <w:r w:rsidRPr="00F81318">
              <w:rPr>
                <w:rFonts w:ascii="Calibri" w:eastAsia="Times New Roman" w:hAnsi="Calibri" w:cs="Arial"/>
                <w:b/>
                <w:bCs/>
                <w:sz w:val="18"/>
                <w:szCs w:val="18"/>
                <w:lang w:eastAsia="pl-PL"/>
              </w:rPr>
              <w:t>10,63</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8E8873" w14:textId="77777777" w:rsidR="00F81318" w:rsidRPr="00F81318" w:rsidRDefault="00F81318" w:rsidP="00F81318">
            <w:pPr>
              <w:spacing w:after="0" w:line="240" w:lineRule="auto"/>
              <w:jc w:val="right"/>
              <w:rPr>
                <w:rFonts w:ascii="Calibri" w:eastAsia="Times New Roman" w:hAnsi="Calibri" w:cs="Times New Roman"/>
                <w:b/>
                <w:sz w:val="18"/>
                <w:szCs w:val="18"/>
                <w:highlight w:val="yellow"/>
                <w:lang w:eastAsia="pl-PL"/>
              </w:rPr>
            </w:pPr>
            <w:r w:rsidRPr="00F81318">
              <w:rPr>
                <w:rFonts w:ascii="Calibri" w:eastAsia="Times New Roman" w:hAnsi="Calibri" w:cs="Arial"/>
                <w:b/>
                <w:bCs/>
                <w:sz w:val="18"/>
                <w:szCs w:val="18"/>
                <w:lang w:eastAsia="pl-PL"/>
              </w:rPr>
              <w:t>10,69</w:t>
            </w:r>
          </w:p>
        </w:tc>
      </w:tr>
      <w:tr w:rsidR="00F81318" w:rsidRPr="00F81318" w14:paraId="7122F2C0"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3C99ED5B" w14:textId="77777777" w:rsidR="00F81318" w:rsidRPr="00F81318" w:rsidRDefault="00F81318" w:rsidP="00F81318">
            <w:pPr>
              <w:spacing w:after="0" w:line="240" w:lineRule="auto"/>
              <w:ind w:firstLineChars="200" w:firstLine="360"/>
              <w:rPr>
                <w:rFonts w:ascii="Calibri" w:eastAsia="Times New Roman" w:hAnsi="Calibri" w:cs="Times New Roman"/>
                <w:sz w:val="18"/>
                <w:szCs w:val="18"/>
                <w:lang w:eastAsia="pl-PL"/>
              </w:rPr>
            </w:pPr>
            <w:r w:rsidRPr="00F81318">
              <w:rPr>
                <w:rFonts w:ascii="Calibri" w:eastAsia="Times New Roman" w:hAnsi="Calibri" w:cs="Times New Roman"/>
                <w:sz w:val="18"/>
                <w:szCs w:val="18"/>
                <w:lang w:eastAsia="pl-PL"/>
              </w:rPr>
              <w:t>A. Produkty mineralne</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78339E49"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4,31</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F4C5BBD"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3,08</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F68605D"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4,11</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45AF9E" w14:textId="77777777" w:rsidR="00F81318" w:rsidRPr="00F81318" w:rsidRDefault="00F81318" w:rsidP="00F81318">
            <w:pPr>
              <w:spacing w:after="0" w:line="240" w:lineRule="auto"/>
              <w:jc w:val="right"/>
              <w:rPr>
                <w:rFonts w:ascii="Calibri" w:eastAsia="Times New Roman" w:hAnsi="Calibri" w:cs="Times New Roman"/>
                <w:sz w:val="18"/>
                <w:szCs w:val="18"/>
                <w:highlight w:val="yellow"/>
                <w:lang w:eastAsia="pl-PL"/>
              </w:rPr>
            </w:pPr>
            <w:r w:rsidRPr="00F81318">
              <w:rPr>
                <w:rFonts w:ascii="Calibri" w:eastAsia="Times New Roman" w:hAnsi="Calibri" w:cs="Arial"/>
                <w:sz w:val="18"/>
                <w:szCs w:val="18"/>
                <w:lang w:eastAsia="pl-PL"/>
              </w:rPr>
              <w:t>4,91</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6F2674" w14:textId="77777777" w:rsidR="00F81318" w:rsidRPr="00F81318" w:rsidRDefault="00F81318" w:rsidP="00F81318">
            <w:pPr>
              <w:spacing w:after="0" w:line="240" w:lineRule="auto"/>
              <w:jc w:val="right"/>
              <w:rPr>
                <w:rFonts w:ascii="Calibri" w:eastAsia="Times New Roman" w:hAnsi="Calibri" w:cs="Times New Roman"/>
                <w:sz w:val="18"/>
                <w:szCs w:val="18"/>
                <w:highlight w:val="yellow"/>
                <w:lang w:eastAsia="pl-PL"/>
              </w:rPr>
            </w:pPr>
            <w:r w:rsidRPr="00F81318">
              <w:rPr>
                <w:rFonts w:ascii="Calibri" w:eastAsia="Times New Roman" w:hAnsi="Calibri" w:cs="Arial"/>
                <w:sz w:val="18"/>
                <w:szCs w:val="18"/>
                <w:lang w:eastAsia="pl-PL"/>
              </w:rPr>
              <w:t>5,10</w:t>
            </w:r>
          </w:p>
        </w:tc>
      </w:tr>
      <w:tr w:rsidR="00F81318" w:rsidRPr="00F81318" w14:paraId="2BAF77BA"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64C79BF2" w14:textId="77777777" w:rsidR="00F81318" w:rsidRPr="00F81318" w:rsidRDefault="00F81318" w:rsidP="00F81318">
            <w:pPr>
              <w:spacing w:after="0" w:line="240" w:lineRule="auto"/>
              <w:ind w:firstLineChars="200" w:firstLine="360"/>
              <w:rPr>
                <w:rFonts w:ascii="Calibri" w:eastAsia="Times New Roman" w:hAnsi="Calibri" w:cs="Times New Roman"/>
                <w:sz w:val="18"/>
                <w:szCs w:val="18"/>
                <w:lang w:eastAsia="pl-PL"/>
              </w:rPr>
            </w:pPr>
            <w:r w:rsidRPr="00F81318">
              <w:rPr>
                <w:rFonts w:ascii="Calibri" w:eastAsia="Times New Roman" w:hAnsi="Calibri" w:cs="Times New Roman"/>
                <w:sz w:val="18"/>
                <w:szCs w:val="18"/>
                <w:lang w:eastAsia="pl-PL"/>
              </w:rPr>
              <w:t>B. Przemysł chemiczny</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8B677D7"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1,92</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B2066A5"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1,62</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50EA53A"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1,58</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E58175" w14:textId="77777777" w:rsidR="00F81318" w:rsidRPr="00F81318" w:rsidRDefault="00F81318" w:rsidP="00F81318">
            <w:pPr>
              <w:spacing w:after="0" w:line="240" w:lineRule="auto"/>
              <w:jc w:val="right"/>
              <w:rPr>
                <w:rFonts w:ascii="Calibri" w:eastAsia="Times New Roman" w:hAnsi="Calibri" w:cs="Times New Roman"/>
                <w:sz w:val="18"/>
                <w:szCs w:val="18"/>
                <w:highlight w:val="yellow"/>
                <w:lang w:eastAsia="pl-PL"/>
              </w:rPr>
            </w:pPr>
            <w:r w:rsidRPr="00F81318">
              <w:rPr>
                <w:rFonts w:ascii="Calibri" w:eastAsia="Times New Roman" w:hAnsi="Calibri" w:cs="Arial"/>
                <w:sz w:val="18"/>
                <w:szCs w:val="18"/>
                <w:lang w:eastAsia="pl-PL"/>
              </w:rPr>
              <w:t>2,33</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A421BF" w14:textId="77777777" w:rsidR="00F81318" w:rsidRPr="00F81318" w:rsidRDefault="00F81318" w:rsidP="00F81318">
            <w:pPr>
              <w:spacing w:after="0" w:line="240" w:lineRule="auto"/>
              <w:jc w:val="right"/>
              <w:rPr>
                <w:rFonts w:ascii="Calibri" w:eastAsia="Times New Roman" w:hAnsi="Calibri" w:cs="Times New Roman"/>
                <w:sz w:val="18"/>
                <w:szCs w:val="18"/>
                <w:highlight w:val="yellow"/>
                <w:lang w:eastAsia="pl-PL"/>
              </w:rPr>
            </w:pPr>
            <w:r w:rsidRPr="00F81318">
              <w:rPr>
                <w:rFonts w:ascii="Calibri" w:eastAsia="Times New Roman" w:hAnsi="Calibri" w:cs="Arial"/>
                <w:sz w:val="18"/>
                <w:szCs w:val="18"/>
                <w:lang w:eastAsia="pl-PL"/>
              </w:rPr>
              <w:t>2,23</w:t>
            </w:r>
          </w:p>
        </w:tc>
      </w:tr>
      <w:tr w:rsidR="00F81318" w:rsidRPr="00F81318" w14:paraId="590A48A0"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0590DE29" w14:textId="77777777" w:rsidR="00F81318" w:rsidRPr="00F81318" w:rsidRDefault="00F81318" w:rsidP="00F81318">
            <w:pPr>
              <w:spacing w:after="0" w:line="240" w:lineRule="auto"/>
              <w:ind w:firstLineChars="200" w:firstLine="360"/>
              <w:rPr>
                <w:rFonts w:ascii="Calibri" w:eastAsia="Times New Roman" w:hAnsi="Calibri" w:cs="Times New Roman"/>
                <w:sz w:val="18"/>
                <w:szCs w:val="18"/>
                <w:lang w:eastAsia="pl-PL"/>
              </w:rPr>
            </w:pPr>
            <w:r w:rsidRPr="00F81318">
              <w:rPr>
                <w:rFonts w:ascii="Calibri" w:eastAsia="Times New Roman" w:hAnsi="Calibri" w:cs="Times New Roman"/>
                <w:sz w:val="18"/>
                <w:szCs w:val="18"/>
                <w:lang w:eastAsia="pl-PL"/>
              </w:rPr>
              <w:t>C. Produkcja metali</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21A7783A"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4,00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30BC1ECA"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1,17</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3BF5FD6E"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1,04</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083AD4" w14:textId="77777777" w:rsidR="00F81318" w:rsidRPr="00F81318" w:rsidRDefault="00F81318" w:rsidP="00F81318">
            <w:pPr>
              <w:spacing w:after="0" w:line="240" w:lineRule="auto"/>
              <w:jc w:val="right"/>
              <w:rPr>
                <w:rFonts w:ascii="Calibri" w:eastAsia="Times New Roman" w:hAnsi="Calibri" w:cs="Times New Roman"/>
                <w:sz w:val="18"/>
                <w:szCs w:val="18"/>
                <w:highlight w:val="yellow"/>
                <w:lang w:eastAsia="pl-PL"/>
              </w:rPr>
            </w:pPr>
            <w:r w:rsidRPr="00F81318">
              <w:rPr>
                <w:rFonts w:ascii="Calibri" w:eastAsia="Times New Roman" w:hAnsi="Calibri" w:cs="Arial"/>
                <w:sz w:val="18"/>
                <w:szCs w:val="18"/>
                <w:lang w:eastAsia="pl-PL"/>
              </w:rPr>
              <w:t>1,37</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5B700" w14:textId="77777777" w:rsidR="00F81318" w:rsidRPr="00F81318" w:rsidRDefault="00F81318" w:rsidP="00F81318">
            <w:pPr>
              <w:spacing w:after="0" w:line="240" w:lineRule="auto"/>
              <w:jc w:val="right"/>
              <w:rPr>
                <w:rFonts w:ascii="Calibri" w:eastAsia="Times New Roman" w:hAnsi="Calibri" w:cs="Times New Roman"/>
                <w:sz w:val="18"/>
                <w:szCs w:val="18"/>
                <w:highlight w:val="yellow"/>
                <w:lang w:eastAsia="pl-PL"/>
              </w:rPr>
            </w:pPr>
            <w:r w:rsidRPr="00F81318">
              <w:rPr>
                <w:rFonts w:ascii="Calibri" w:eastAsia="Times New Roman" w:hAnsi="Calibri" w:cs="Arial"/>
                <w:sz w:val="18"/>
                <w:szCs w:val="18"/>
                <w:lang w:eastAsia="pl-PL"/>
              </w:rPr>
              <w:t>1,27</w:t>
            </w:r>
          </w:p>
        </w:tc>
      </w:tr>
      <w:tr w:rsidR="00F81318" w:rsidRPr="00F81318" w14:paraId="74C0F02F"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7A9102DB" w14:textId="77777777" w:rsidR="00F81318" w:rsidRPr="00F81318" w:rsidRDefault="00F81318" w:rsidP="00F81318">
            <w:pPr>
              <w:spacing w:after="0" w:line="240" w:lineRule="auto"/>
              <w:ind w:firstLineChars="200" w:firstLine="360"/>
              <w:rPr>
                <w:rFonts w:ascii="Calibri" w:eastAsia="Times New Roman" w:hAnsi="Calibri" w:cs="Times New Roman"/>
                <w:sz w:val="18"/>
                <w:szCs w:val="18"/>
                <w:lang w:eastAsia="pl-PL"/>
              </w:rPr>
            </w:pPr>
            <w:r w:rsidRPr="00F81318">
              <w:rPr>
                <w:rFonts w:ascii="Calibri" w:eastAsia="Times New Roman" w:hAnsi="Calibri" w:cs="Times New Roman"/>
                <w:sz w:val="18"/>
                <w:szCs w:val="18"/>
                <w:lang w:eastAsia="pl-PL"/>
              </w:rPr>
              <w:t>D. Stosowanie rozpuszczalników i innych produktów</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28277882"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0,24</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0D46CAE7"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0,46</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FE2B1D1"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0,63</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C9E14" w14:textId="77777777" w:rsidR="00F81318" w:rsidRPr="00F81318" w:rsidRDefault="00F81318" w:rsidP="00F81318">
            <w:pPr>
              <w:spacing w:after="0" w:line="240" w:lineRule="auto"/>
              <w:jc w:val="right"/>
              <w:rPr>
                <w:rFonts w:ascii="Calibri" w:eastAsia="Times New Roman" w:hAnsi="Calibri" w:cs="Times New Roman"/>
                <w:sz w:val="18"/>
                <w:szCs w:val="18"/>
                <w:highlight w:val="yellow"/>
                <w:lang w:eastAsia="pl-PL"/>
              </w:rPr>
            </w:pPr>
            <w:r w:rsidRPr="00F81318">
              <w:rPr>
                <w:rFonts w:ascii="Calibri" w:eastAsia="Times New Roman" w:hAnsi="Calibri" w:cs="Arial"/>
                <w:sz w:val="18"/>
                <w:szCs w:val="18"/>
                <w:lang w:eastAsia="pl-PL"/>
              </w:rPr>
              <w:t>0,60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9488B" w14:textId="77777777" w:rsidR="00F81318" w:rsidRPr="00F81318" w:rsidRDefault="00F81318" w:rsidP="00F81318">
            <w:pPr>
              <w:spacing w:after="0" w:line="240" w:lineRule="auto"/>
              <w:jc w:val="right"/>
              <w:rPr>
                <w:rFonts w:ascii="Calibri" w:eastAsia="Times New Roman" w:hAnsi="Calibri" w:cs="Times New Roman"/>
                <w:sz w:val="18"/>
                <w:szCs w:val="18"/>
                <w:highlight w:val="yellow"/>
                <w:lang w:eastAsia="pl-PL"/>
              </w:rPr>
            </w:pPr>
            <w:r w:rsidRPr="00F81318">
              <w:rPr>
                <w:rFonts w:ascii="Calibri" w:eastAsia="Times New Roman" w:hAnsi="Calibri" w:cs="Arial"/>
                <w:sz w:val="18"/>
                <w:szCs w:val="18"/>
                <w:lang w:eastAsia="pl-PL"/>
              </w:rPr>
              <w:t>0,59</w:t>
            </w:r>
          </w:p>
        </w:tc>
      </w:tr>
      <w:tr w:rsidR="00F81318" w:rsidRPr="00F81318" w14:paraId="516C99D6"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28CB264C" w14:textId="77777777" w:rsidR="00F81318" w:rsidRPr="00F81318" w:rsidRDefault="00F81318" w:rsidP="00F81318">
            <w:pPr>
              <w:spacing w:after="0" w:line="240" w:lineRule="auto"/>
              <w:ind w:firstLineChars="200" w:firstLine="360"/>
              <w:rPr>
                <w:rFonts w:ascii="Calibri" w:eastAsia="Times New Roman" w:hAnsi="Calibri" w:cs="Times New Roman"/>
                <w:sz w:val="18"/>
                <w:szCs w:val="18"/>
                <w:lang w:eastAsia="pl-PL"/>
              </w:rPr>
            </w:pPr>
            <w:r w:rsidRPr="00F81318">
              <w:rPr>
                <w:rFonts w:ascii="Calibri" w:eastAsia="Times New Roman" w:hAnsi="Calibri" w:cs="Times New Roman"/>
                <w:sz w:val="18"/>
                <w:szCs w:val="18"/>
                <w:lang w:eastAsia="pl-PL"/>
              </w:rPr>
              <w:t>G. – L. Inne</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48908C1"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2,22</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821911A"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1,91</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AC88D1A"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1,84</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DA058C" w14:textId="77777777" w:rsidR="00F81318" w:rsidRPr="00F81318" w:rsidRDefault="00F81318" w:rsidP="00F81318">
            <w:pPr>
              <w:spacing w:after="0" w:line="240" w:lineRule="auto"/>
              <w:jc w:val="right"/>
              <w:rPr>
                <w:rFonts w:ascii="Calibri" w:eastAsia="Times New Roman" w:hAnsi="Calibri" w:cs="Times New Roman"/>
                <w:sz w:val="18"/>
                <w:szCs w:val="18"/>
                <w:highlight w:val="yellow"/>
                <w:lang w:eastAsia="pl-PL"/>
              </w:rPr>
            </w:pPr>
            <w:r w:rsidRPr="00F81318">
              <w:rPr>
                <w:rFonts w:ascii="Calibri" w:eastAsia="Times New Roman" w:hAnsi="Calibri" w:cs="Arial"/>
                <w:sz w:val="18"/>
                <w:szCs w:val="18"/>
                <w:lang w:eastAsia="pl-PL"/>
              </w:rPr>
              <w:t>1,42</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3A34E" w14:textId="77777777" w:rsidR="00F81318" w:rsidRPr="00F81318" w:rsidRDefault="00F81318" w:rsidP="00F81318">
            <w:pPr>
              <w:spacing w:after="0" w:line="240" w:lineRule="auto"/>
              <w:jc w:val="right"/>
              <w:rPr>
                <w:rFonts w:ascii="Calibri" w:eastAsia="Times New Roman" w:hAnsi="Calibri" w:cs="Times New Roman"/>
                <w:sz w:val="18"/>
                <w:szCs w:val="18"/>
                <w:highlight w:val="yellow"/>
                <w:lang w:eastAsia="pl-PL"/>
              </w:rPr>
            </w:pPr>
            <w:r w:rsidRPr="00F81318">
              <w:rPr>
                <w:rFonts w:ascii="Calibri" w:eastAsia="Times New Roman" w:hAnsi="Calibri" w:cs="Arial"/>
                <w:sz w:val="18"/>
                <w:szCs w:val="18"/>
                <w:lang w:eastAsia="pl-PL"/>
              </w:rPr>
              <w:t>1,49</w:t>
            </w:r>
          </w:p>
        </w:tc>
      </w:tr>
      <w:tr w:rsidR="00F81318" w:rsidRPr="00F81318" w14:paraId="50601C40"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4E5690EA" w14:textId="77777777" w:rsidR="00F81318" w:rsidRPr="00F81318" w:rsidRDefault="00F81318" w:rsidP="00F81318">
            <w:pPr>
              <w:spacing w:after="0" w:line="240" w:lineRule="auto"/>
              <w:jc w:val="both"/>
              <w:rPr>
                <w:rFonts w:ascii="Calibri" w:eastAsia="Times New Roman" w:hAnsi="Calibri" w:cs="Times New Roman"/>
                <w:b/>
                <w:sz w:val="18"/>
                <w:szCs w:val="18"/>
                <w:lang w:eastAsia="pl-PL"/>
              </w:rPr>
            </w:pPr>
            <w:r w:rsidRPr="00F81318">
              <w:rPr>
                <w:rFonts w:ascii="Calibri" w:eastAsia="Times New Roman" w:hAnsi="Calibri" w:cs="Times New Roman"/>
                <w:b/>
                <w:bCs/>
                <w:sz w:val="18"/>
                <w:szCs w:val="18"/>
                <w:lang w:eastAsia="pl-PL"/>
              </w:rPr>
              <w:t>3. Rolnictwo</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A02499B" w14:textId="77777777" w:rsidR="00F81318" w:rsidRPr="00F81318" w:rsidRDefault="00F81318" w:rsidP="00F81318">
            <w:pPr>
              <w:spacing w:after="0" w:line="240" w:lineRule="auto"/>
              <w:jc w:val="right"/>
              <w:rPr>
                <w:rFonts w:ascii="Calibri" w:eastAsia="Times New Roman" w:hAnsi="Calibri" w:cs="Times New Roman"/>
                <w:b/>
                <w:sz w:val="18"/>
                <w:szCs w:val="18"/>
                <w:lang w:eastAsia="pl-PL"/>
              </w:rPr>
            </w:pPr>
            <w:r w:rsidRPr="00F81318">
              <w:rPr>
                <w:rFonts w:ascii="Calibri" w:eastAsia="Times New Roman" w:hAnsi="Calibri" w:cs="Arial"/>
                <w:b/>
                <w:bCs/>
                <w:sz w:val="18"/>
                <w:szCs w:val="18"/>
                <w:lang w:eastAsia="pl-PL"/>
              </w:rPr>
              <w:t>4,73</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74CEAF06" w14:textId="77777777" w:rsidR="00F81318" w:rsidRPr="00F81318" w:rsidRDefault="00F81318" w:rsidP="00F81318">
            <w:pPr>
              <w:spacing w:after="0" w:line="240" w:lineRule="auto"/>
              <w:jc w:val="right"/>
              <w:rPr>
                <w:rFonts w:ascii="Calibri" w:eastAsia="Times New Roman" w:hAnsi="Calibri" w:cs="Times New Roman"/>
                <w:b/>
                <w:sz w:val="18"/>
                <w:szCs w:val="18"/>
                <w:lang w:eastAsia="pl-PL"/>
              </w:rPr>
            </w:pPr>
            <w:r w:rsidRPr="00F81318">
              <w:rPr>
                <w:rFonts w:ascii="Calibri" w:eastAsia="Times New Roman" w:hAnsi="Calibri" w:cs="Arial"/>
                <w:b/>
                <w:bCs/>
                <w:sz w:val="18"/>
                <w:szCs w:val="18"/>
                <w:lang w:eastAsia="pl-PL"/>
              </w:rPr>
              <w:t>3,10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381D72B7" w14:textId="77777777" w:rsidR="00F81318" w:rsidRPr="00F81318" w:rsidRDefault="00F81318" w:rsidP="00F81318">
            <w:pPr>
              <w:spacing w:after="0" w:line="240" w:lineRule="auto"/>
              <w:jc w:val="right"/>
              <w:rPr>
                <w:rFonts w:ascii="Calibri" w:eastAsia="Times New Roman" w:hAnsi="Calibri" w:cs="Times New Roman"/>
                <w:b/>
                <w:sz w:val="18"/>
                <w:szCs w:val="18"/>
                <w:lang w:eastAsia="pl-PL"/>
              </w:rPr>
            </w:pPr>
            <w:r w:rsidRPr="00F81318">
              <w:rPr>
                <w:rFonts w:ascii="Calibri" w:eastAsia="Times New Roman" w:hAnsi="Calibri" w:cs="Arial"/>
                <w:b/>
                <w:bCs/>
                <w:sz w:val="18"/>
                <w:szCs w:val="18"/>
                <w:lang w:eastAsia="pl-PL"/>
              </w:rPr>
              <w:t>2,77</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C6A1EF" w14:textId="77777777" w:rsidR="00F81318" w:rsidRPr="00F81318" w:rsidRDefault="00F81318" w:rsidP="00F81318">
            <w:pPr>
              <w:spacing w:after="0" w:line="240" w:lineRule="auto"/>
              <w:jc w:val="right"/>
              <w:rPr>
                <w:rFonts w:ascii="Calibri" w:eastAsia="Times New Roman" w:hAnsi="Calibri" w:cs="Times New Roman"/>
                <w:b/>
                <w:sz w:val="18"/>
                <w:szCs w:val="18"/>
                <w:highlight w:val="yellow"/>
                <w:lang w:eastAsia="pl-PL"/>
              </w:rPr>
            </w:pPr>
            <w:r w:rsidRPr="00F81318">
              <w:rPr>
                <w:rFonts w:ascii="Calibri" w:eastAsia="Times New Roman" w:hAnsi="Calibri" w:cs="Arial"/>
                <w:b/>
                <w:bCs/>
                <w:sz w:val="18"/>
                <w:szCs w:val="18"/>
                <w:lang w:eastAsia="pl-PL"/>
              </w:rPr>
              <w:t>3,13</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3F244B" w14:textId="77777777" w:rsidR="00F81318" w:rsidRPr="00F81318" w:rsidRDefault="00F81318" w:rsidP="00F81318">
            <w:pPr>
              <w:spacing w:after="0" w:line="240" w:lineRule="auto"/>
              <w:jc w:val="right"/>
              <w:rPr>
                <w:rFonts w:ascii="Calibri" w:eastAsia="Times New Roman" w:hAnsi="Calibri" w:cs="Times New Roman"/>
                <w:b/>
                <w:sz w:val="18"/>
                <w:szCs w:val="18"/>
                <w:highlight w:val="yellow"/>
                <w:lang w:eastAsia="pl-PL"/>
              </w:rPr>
            </w:pPr>
            <w:r w:rsidRPr="00F81318">
              <w:rPr>
                <w:rFonts w:ascii="Calibri" w:eastAsia="Times New Roman" w:hAnsi="Calibri" w:cs="Arial"/>
                <w:b/>
                <w:bCs/>
                <w:sz w:val="18"/>
                <w:szCs w:val="18"/>
                <w:lang w:eastAsia="pl-PL"/>
              </w:rPr>
              <w:t>3,25</w:t>
            </w:r>
          </w:p>
        </w:tc>
      </w:tr>
      <w:tr w:rsidR="00F81318" w:rsidRPr="00F81318" w14:paraId="21FFC170"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12289646" w14:textId="77777777" w:rsidR="00F81318" w:rsidRPr="00F81318" w:rsidRDefault="00F81318" w:rsidP="00F81318">
            <w:pPr>
              <w:spacing w:after="0" w:line="240" w:lineRule="auto"/>
              <w:ind w:firstLineChars="200" w:firstLine="360"/>
              <w:rPr>
                <w:rFonts w:ascii="Calibri" w:eastAsia="Times New Roman" w:hAnsi="Calibri" w:cs="Times New Roman"/>
                <w:sz w:val="18"/>
                <w:szCs w:val="18"/>
                <w:lang w:eastAsia="pl-PL"/>
              </w:rPr>
            </w:pPr>
            <w:r w:rsidRPr="00F81318">
              <w:rPr>
                <w:rFonts w:ascii="Calibri" w:eastAsia="Times New Roman" w:hAnsi="Calibri" w:cs="Times New Roman"/>
                <w:sz w:val="18"/>
                <w:szCs w:val="18"/>
                <w:lang w:eastAsia="pl-PL"/>
              </w:rPr>
              <w:t>B. Nawozy naturalne</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3A19B8CC"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3,68</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07D33AE3"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2,22</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D86C299"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2,07</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440E6" w14:textId="77777777" w:rsidR="00F81318" w:rsidRPr="00F81318" w:rsidRDefault="00F81318" w:rsidP="00F81318">
            <w:pPr>
              <w:spacing w:after="0" w:line="240" w:lineRule="auto"/>
              <w:jc w:val="right"/>
              <w:rPr>
                <w:rFonts w:ascii="Calibri" w:eastAsia="Times New Roman" w:hAnsi="Calibri" w:cs="Times New Roman"/>
                <w:sz w:val="18"/>
                <w:szCs w:val="18"/>
                <w:highlight w:val="yellow"/>
                <w:lang w:eastAsia="pl-PL"/>
              </w:rPr>
            </w:pPr>
            <w:r w:rsidRPr="00F81318">
              <w:rPr>
                <w:rFonts w:ascii="Calibri" w:eastAsia="Times New Roman" w:hAnsi="Calibri" w:cs="Arial"/>
                <w:sz w:val="18"/>
                <w:szCs w:val="18"/>
                <w:lang w:eastAsia="pl-PL"/>
              </w:rPr>
              <w:t>2,42</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A7ECF" w14:textId="77777777" w:rsidR="00F81318" w:rsidRPr="00F81318" w:rsidRDefault="00F81318" w:rsidP="00F81318">
            <w:pPr>
              <w:spacing w:after="0" w:line="240" w:lineRule="auto"/>
              <w:jc w:val="right"/>
              <w:rPr>
                <w:rFonts w:ascii="Calibri" w:eastAsia="Times New Roman" w:hAnsi="Calibri" w:cs="Times New Roman"/>
                <w:sz w:val="18"/>
                <w:szCs w:val="18"/>
                <w:highlight w:val="yellow"/>
                <w:lang w:eastAsia="pl-PL"/>
              </w:rPr>
            </w:pPr>
            <w:r w:rsidRPr="00F81318">
              <w:rPr>
                <w:rFonts w:ascii="Calibri" w:eastAsia="Times New Roman" w:hAnsi="Calibri" w:cs="Arial"/>
                <w:sz w:val="18"/>
                <w:szCs w:val="18"/>
                <w:lang w:eastAsia="pl-PL"/>
              </w:rPr>
              <w:t>2,50</w:t>
            </w:r>
          </w:p>
        </w:tc>
      </w:tr>
      <w:tr w:rsidR="00F81318" w:rsidRPr="00F81318" w14:paraId="470BCF15"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6BACB14A" w14:textId="77777777" w:rsidR="00F81318" w:rsidRPr="00F81318" w:rsidRDefault="00F81318" w:rsidP="00F81318">
            <w:pPr>
              <w:spacing w:after="0" w:line="240" w:lineRule="auto"/>
              <w:ind w:firstLineChars="200" w:firstLine="360"/>
              <w:rPr>
                <w:rFonts w:ascii="Calibri" w:eastAsia="Times New Roman" w:hAnsi="Calibri" w:cs="Times New Roman"/>
                <w:sz w:val="18"/>
                <w:szCs w:val="18"/>
                <w:lang w:eastAsia="pl-PL"/>
              </w:rPr>
            </w:pPr>
            <w:r w:rsidRPr="00F81318">
              <w:rPr>
                <w:rFonts w:ascii="Calibri" w:eastAsia="Times New Roman" w:hAnsi="Calibri" w:cs="Times New Roman"/>
                <w:sz w:val="18"/>
                <w:szCs w:val="18"/>
                <w:lang w:eastAsia="pl-PL"/>
              </w:rPr>
              <w:t>D. Gleby rolne</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B1A4849"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0,86</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A5401A6"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0,73</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23CFEAB7"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0,65</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C24CD" w14:textId="77777777" w:rsidR="00F81318" w:rsidRPr="00F81318" w:rsidRDefault="00F81318" w:rsidP="00F81318">
            <w:pPr>
              <w:spacing w:after="0" w:line="240" w:lineRule="auto"/>
              <w:jc w:val="right"/>
              <w:rPr>
                <w:rFonts w:ascii="Calibri" w:eastAsia="Times New Roman" w:hAnsi="Calibri" w:cs="Times New Roman"/>
                <w:sz w:val="18"/>
                <w:szCs w:val="18"/>
                <w:highlight w:val="yellow"/>
                <w:lang w:eastAsia="pl-PL"/>
              </w:rPr>
            </w:pPr>
            <w:r w:rsidRPr="00F81318">
              <w:rPr>
                <w:rFonts w:ascii="Calibri" w:eastAsia="Times New Roman" w:hAnsi="Calibri" w:cs="Arial"/>
                <w:sz w:val="18"/>
                <w:szCs w:val="18"/>
                <w:lang w:eastAsia="pl-PL"/>
              </w:rPr>
              <w:t>0,66</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CC0C3" w14:textId="77777777" w:rsidR="00F81318" w:rsidRPr="00F81318" w:rsidRDefault="00F81318" w:rsidP="00F81318">
            <w:pPr>
              <w:spacing w:after="0" w:line="240" w:lineRule="auto"/>
              <w:jc w:val="right"/>
              <w:rPr>
                <w:rFonts w:ascii="Calibri" w:eastAsia="Times New Roman" w:hAnsi="Calibri" w:cs="Times New Roman"/>
                <w:sz w:val="18"/>
                <w:szCs w:val="18"/>
                <w:highlight w:val="yellow"/>
                <w:lang w:eastAsia="pl-PL"/>
              </w:rPr>
            </w:pPr>
            <w:r w:rsidRPr="00F81318">
              <w:rPr>
                <w:rFonts w:ascii="Calibri" w:eastAsia="Times New Roman" w:hAnsi="Calibri" w:cs="Arial"/>
                <w:sz w:val="18"/>
                <w:szCs w:val="18"/>
                <w:lang w:eastAsia="pl-PL"/>
              </w:rPr>
              <w:t>0,66</w:t>
            </w:r>
          </w:p>
        </w:tc>
      </w:tr>
      <w:tr w:rsidR="00F81318" w:rsidRPr="00F81318" w14:paraId="75FBBB5E"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2B143518" w14:textId="77777777" w:rsidR="00F81318" w:rsidRPr="00F81318" w:rsidRDefault="00F81318" w:rsidP="00F81318">
            <w:pPr>
              <w:spacing w:after="0" w:line="240" w:lineRule="auto"/>
              <w:ind w:firstLineChars="200" w:firstLine="360"/>
              <w:rPr>
                <w:rFonts w:ascii="Calibri" w:eastAsia="Times New Roman" w:hAnsi="Calibri" w:cs="Times New Roman"/>
                <w:sz w:val="18"/>
                <w:szCs w:val="18"/>
                <w:lang w:eastAsia="pl-PL"/>
              </w:rPr>
            </w:pPr>
            <w:r w:rsidRPr="00F81318">
              <w:rPr>
                <w:rFonts w:ascii="Calibri" w:eastAsia="Times New Roman" w:hAnsi="Calibri" w:cs="Times New Roman"/>
                <w:sz w:val="18"/>
                <w:szCs w:val="18"/>
                <w:lang w:eastAsia="pl-PL"/>
              </w:rPr>
              <w:t>F. Spalanie resztek roślinnych</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14592BD"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0,19</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251B3F45"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0,16</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2156EF0B"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0,04</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1D3C95" w14:textId="77777777" w:rsidR="00F81318" w:rsidRPr="00F81318" w:rsidRDefault="00F81318" w:rsidP="00F81318">
            <w:pPr>
              <w:spacing w:after="0" w:line="240" w:lineRule="auto"/>
              <w:jc w:val="right"/>
              <w:rPr>
                <w:rFonts w:ascii="Calibri" w:eastAsia="Times New Roman" w:hAnsi="Calibri" w:cs="Times New Roman"/>
                <w:sz w:val="18"/>
                <w:szCs w:val="18"/>
                <w:highlight w:val="yellow"/>
                <w:lang w:val="en-US" w:eastAsia="pl-PL"/>
              </w:rPr>
            </w:pPr>
            <w:r w:rsidRPr="00F81318">
              <w:rPr>
                <w:rFonts w:ascii="Calibri" w:eastAsia="Times New Roman" w:hAnsi="Calibri" w:cs="Arial"/>
                <w:sz w:val="18"/>
                <w:szCs w:val="18"/>
                <w:lang w:eastAsia="pl-PL"/>
              </w:rPr>
              <w:t>0,06</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A9F3D3" w14:textId="77777777" w:rsidR="00F81318" w:rsidRPr="00F81318" w:rsidRDefault="00F81318" w:rsidP="00F81318">
            <w:pPr>
              <w:spacing w:after="0" w:line="240" w:lineRule="auto"/>
              <w:jc w:val="right"/>
              <w:rPr>
                <w:rFonts w:ascii="Calibri" w:eastAsia="Times New Roman" w:hAnsi="Calibri" w:cs="Times New Roman"/>
                <w:sz w:val="18"/>
                <w:szCs w:val="18"/>
                <w:highlight w:val="yellow"/>
                <w:lang w:val="en-US" w:eastAsia="pl-PL"/>
              </w:rPr>
            </w:pPr>
            <w:r w:rsidRPr="00F81318">
              <w:rPr>
                <w:rFonts w:ascii="Calibri" w:eastAsia="Times New Roman" w:hAnsi="Calibri" w:cs="Arial"/>
                <w:sz w:val="18"/>
                <w:szCs w:val="18"/>
                <w:lang w:eastAsia="pl-PL"/>
              </w:rPr>
              <w:t>0,08</w:t>
            </w:r>
          </w:p>
        </w:tc>
      </w:tr>
      <w:tr w:rsidR="00F81318" w:rsidRPr="00F81318" w14:paraId="534F8148"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554FFD8F" w14:textId="77777777" w:rsidR="00F81318" w:rsidRPr="00F81318" w:rsidRDefault="00F81318" w:rsidP="00F81318">
            <w:pPr>
              <w:spacing w:after="0" w:line="240" w:lineRule="auto"/>
              <w:jc w:val="both"/>
              <w:rPr>
                <w:rFonts w:ascii="Calibri" w:eastAsia="Times New Roman" w:hAnsi="Calibri" w:cs="Times New Roman"/>
                <w:b/>
                <w:sz w:val="18"/>
                <w:szCs w:val="18"/>
                <w:lang w:eastAsia="pl-PL"/>
              </w:rPr>
            </w:pPr>
            <w:r w:rsidRPr="00F81318">
              <w:rPr>
                <w:rFonts w:ascii="Calibri" w:eastAsia="Times New Roman" w:hAnsi="Calibri" w:cs="Times New Roman"/>
                <w:b/>
                <w:bCs/>
                <w:sz w:val="18"/>
                <w:szCs w:val="18"/>
                <w:lang w:eastAsia="pl-PL"/>
              </w:rPr>
              <w:t>5. Odpady</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78BF2CE4" w14:textId="77777777" w:rsidR="00F81318" w:rsidRPr="00F81318" w:rsidRDefault="00F81318" w:rsidP="00F81318">
            <w:pPr>
              <w:spacing w:after="0" w:line="240" w:lineRule="auto"/>
              <w:jc w:val="right"/>
              <w:rPr>
                <w:rFonts w:ascii="Calibri" w:eastAsia="Times New Roman" w:hAnsi="Calibri" w:cs="Times New Roman"/>
                <w:b/>
                <w:sz w:val="18"/>
                <w:szCs w:val="18"/>
                <w:lang w:eastAsia="pl-PL"/>
              </w:rPr>
            </w:pPr>
            <w:r w:rsidRPr="00F81318">
              <w:rPr>
                <w:rFonts w:ascii="Calibri" w:eastAsia="Times New Roman" w:hAnsi="Calibri" w:cs="Arial"/>
                <w:b/>
                <w:bCs/>
                <w:sz w:val="18"/>
                <w:szCs w:val="18"/>
                <w:lang w:eastAsia="pl-PL"/>
              </w:rPr>
              <w:t>3,18</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92A0DC7" w14:textId="77777777" w:rsidR="00F81318" w:rsidRPr="00F81318" w:rsidRDefault="00F81318" w:rsidP="00F81318">
            <w:pPr>
              <w:spacing w:after="0" w:line="240" w:lineRule="auto"/>
              <w:jc w:val="right"/>
              <w:rPr>
                <w:rFonts w:ascii="Calibri" w:eastAsia="Times New Roman" w:hAnsi="Calibri" w:cs="Times New Roman"/>
                <w:b/>
                <w:sz w:val="18"/>
                <w:szCs w:val="18"/>
                <w:lang w:eastAsia="pl-PL"/>
              </w:rPr>
            </w:pPr>
            <w:r w:rsidRPr="00F81318">
              <w:rPr>
                <w:rFonts w:ascii="Calibri" w:eastAsia="Times New Roman" w:hAnsi="Calibri" w:cs="Arial"/>
                <w:b/>
                <w:bCs/>
                <w:sz w:val="18"/>
                <w:szCs w:val="18"/>
                <w:lang w:eastAsia="pl-PL"/>
              </w:rPr>
              <w:t>3,75</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3D5F7B50" w14:textId="77777777" w:rsidR="00F81318" w:rsidRPr="00F81318" w:rsidRDefault="00F81318" w:rsidP="00F81318">
            <w:pPr>
              <w:spacing w:after="0" w:line="240" w:lineRule="auto"/>
              <w:jc w:val="right"/>
              <w:rPr>
                <w:rFonts w:ascii="Calibri" w:eastAsia="Times New Roman" w:hAnsi="Calibri" w:cs="Times New Roman"/>
                <w:b/>
                <w:sz w:val="18"/>
                <w:szCs w:val="18"/>
                <w:lang w:eastAsia="pl-PL"/>
              </w:rPr>
            </w:pPr>
            <w:r w:rsidRPr="00F81318">
              <w:rPr>
                <w:rFonts w:ascii="Calibri" w:eastAsia="Times New Roman" w:hAnsi="Calibri" w:cs="Arial"/>
                <w:b/>
                <w:bCs/>
                <w:sz w:val="18"/>
                <w:szCs w:val="18"/>
                <w:lang w:eastAsia="pl-PL"/>
              </w:rPr>
              <w:t>3,97</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0A74BF" w14:textId="77777777" w:rsidR="00F81318" w:rsidRPr="00F81318" w:rsidRDefault="00F81318" w:rsidP="00F81318">
            <w:pPr>
              <w:spacing w:after="0" w:line="240" w:lineRule="auto"/>
              <w:jc w:val="right"/>
              <w:rPr>
                <w:rFonts w:ascii="Calibri" w:eastAsia="Times New Roman" w:hAnsi="Calibri" w:cs="Times New Roman"/>
                <w:b/>
                <w:sz w:val="18"/>
                <w:szCs w:val="18"/>
                <w:highlight w:val="yellow"/>
                <w:lang w:eastAsia="pl-PL"/>
              </w:rPr>
            </w:pPr>
            <w:r w:rsidRPr="00F81318">
              <w:rPr>
                <w:rFonts w:ascii="Calibri" w:eastAsia="Times New Roman" w:hAnsi="Calibri" w:cs="Arial"/>
                <w:b/>
                <w:bCs/>
                <w:sz w:val="18"/>
                <w:szCs w:val="18"/>
                <w:lang w:eastAsia="pl-PL"/>
              </w:rPr>
              <w:t>4,60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2D7E35" w14:textId="77777777" w:rsidR="00F81318" w:rsidRPr="00F81318" w:rsidRDefault="00F81318" w:rsidP="00F81318">
            <w:pPr>
              <w:spacing w:after="0" w:line="240" w:lineRule="auto"/>
              <w:jc w:val="right"/>
              <w:rPr>
                <w:rFonts w:ascii="Calibri" w:eastAsia="Times New Roman" w:hAnsi="Calibri" w:cs="Times New Roman"/>
                <w:b/>
                <w:sz w:val="18"/>
                <w:szCs w:val="18"/>
                <w:highlight w:val="yellow"/>
                <w:lang w:eastAsia="pl-PL"/>
              </w:rPr>
            </w:pPr>
            <w:r w:rsidRPr="00F81318">
              <w:rPr>
                <w:rFonts w:ascii="Calibri" w:eastAsia="Times New Roman" w:hAnsi="Calibri" w:cs="Arial"/>
                <w:b/>
                <w:bCs/>
                <w:sz w:val="18"/>
                <w:szCs w:val="18"/>
                <w:lang w:eastAsia="pl-PL"/>
              </w:rPr>
              <w:t>4,35</w:t>
            </w:r>
          </w:p>
        </w:tc>
      </w:tr>
      <w:tr w:rsidR="00F81318" w:rsidRPr="00F81318" w14:paraId="4351F5C0" w14:textId="77777777" w:rsidTr="00F04B84">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F92AE" w14:textId="77777777" w:rsidR="00F81318" w:rsidRPr="00F81318" w:rsidRDefault="00F81318" w:rsidP="00F81318">
            <w:pPr>
              <w:spacing w:after="0" w:line="240" w:lineRule="auto"/>
              <w:ind w:firstLineChars="200" w:firstLine="360"/>
              <w:rPr>
                <w:rFonts w:ascii="Calibri" w:eastAsia="Times New Roman" w:hAnsi="Calibri" w:cs="Times New Roman"/>
                <w:sz w:val="18"/>
                <w:szCs w:val="18"/>
                <w:lang w:eastAsia="pl-PL"/>
              </w:rPr>
            </w:pPr>
            <w:r w:rsidRPr="00F81318">
              <w:rPr>
                <w:rFonts w:ascii="Calibri" w:eastAsia="Times New Roman" w:hAnsi="Calibri" w:cs="Times New Roman"/>
                <w:sz w:val="18"/>
                <w:szCs w:val="18"/>
                <w:lang w:eastAsia="pl-PL"/>
              </w:rPr>
              <w:t>A. Składowiska odpadów stałych</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24AE9C9"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0,00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EF7B64A"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0,00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2018E870"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0,00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9C2F6" w14:textId="77777777" w:rsidR="00F81318" w:rsidRPr="00F81318" w:rsidRDefault="00F81318" w:rsidP="00F81318">
            <w:pPr>
              <w:spacing w:after="0" w:line="240" w:lineRule="auto"/>
              <w:jc w:val="right"/>
              <w:rPr>
                <w:rFonts w:ascii="Calibri" w:eastAsia="Times New Roman" w:hAnsi="Calibri" w:cs="Times New Roman"/>
                <w:sz w:val="18"/>
                <w:szCs w:val="18"/>
                <w:highlight w:val="yellow"/>
                <w:lang w:val="en-US" w:eastAsia="pl-PL"/>
              </w:rPr>
            </w:pPr>
            <w:r w:rsidRPr="00F81318">
              <w:rPr>
                <w:rFonts w:ascii="Calibri" w:eastAsia="Times New Roman" w:hAnsi="Calibri" w:cs="Arial"/>
                <w:sz w:val="18"/>
                <w:szCs w:val="18"/>
                <w:lang w:eastAsia="pl-PL"/>
              </w:rPr>
              <w:t>0,00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D95301" w14:textId="77777777" w:rsidR="00F81318" w:rsidRPr="00F81318" w:rsidRDefault="00F81318" w:rsidP="00F81318">
            <w:pPr>
              <w:spacing w:after="0" w:line="240" w:lineRule="auto"/>
              <w:jc w:val="right"/>
              <w:rPr>
                <w:rFonts w:ascii="Calibri" w:eastAsia="Times New Roman" w:hAnsi="Calibri" w:cs="Times New Roman"/>
                <w:sz w:val="18"/>
                <w:szCs w:val="18"/>
                <w:highlight w:val="yellow"/>
                <w:lang w:val="en-US" w:eastAsia="pl-PL"/>
              </w:rPr>
            </w:pPr>
            <w:r w:rsidRPr="00F81318">
              <w:rPr>
                <w:rFonts w:ascii="Calibri" w:eastAsia="Times New Roman" w:hAnsi="Calibri" w:cs="Arial"/>
                <w:sz w:val="18"/>
                <w:szCs w:val="18"/>
                <w:lang w:eastAsia="pl-PL"/>
              </w:rPr>
              <w:t>0,00</w:t>
            </w:r>
          </w:p>
        </w:tc>
      </w:tr>
      <w:tr w:rsidR="00F81318" w:rsidRPr="00F81318" w14:paraId="23625F2B"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3A4D9CEB" w14:textId="77777777" w:rsidR="00F81318" w:rsidRPr="00F81318" w:rsidRDefault="00F81318" w:rsidP="00F81318">
            <w:pPr>
              <w:spacing w:after="0" w:line="240" w:lineRule="auto"/>
              <w:ind w:firstLineChars="200" w:firstLine="360"/>
              <w:rPr>
                <w:rFonts w:ascii="Calibri" w:eastAsia="Times New Roman" w:hAnsi="Calibri" w:cs="Times New Roman"/>
                <w:sz w:val="18"/>
                <w:szCs w:val="18"/>
                <w:lang w:eastAsia="pl-PL"/>
              </w:rPr>
            </w:pPr>
            <w:r w:rsidRPr="00F81318">
              <w:rPr>
                <w:rFonts w:ascii="Calibri" w:eastAsia="Times New Roman" w:hAnsi="Calibri" w:cs="Times New Roman"/>
                <w:sz w:val="18"/>
                <w:szCs w:val="18"/>
                <w:lang w:eastAsia="pl-PL"/>
              </w:rPr>
              <w:t>C. Spopielanie i otwarte spalanie odpadów</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E89B8DD"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1,12</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485D9CB"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1,06</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E00FC9C"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1,17</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E7F1E5" w14:textId="77777777" w:rsidR="00F81318" w:rsidRPr="00F81318" w:rsidRDefault="00F81318" w:rsidP="00F81318">
            <w:pPr>
              <w:spacing w:after="0" w:line="240" w:lineRule="auto"/>
              <w:jc w:val="right"/>
              <w:rPr>
                <w:rFonts w:ascii="Calibri" w:eastAsia="Times New Roman" w:hAnsi="Calibri" w:cs="Times New Roman"/>
                <w:sz w:val="18"/>
                <w:szCs w:val="18"/>
                <w:highlight w:val="yellow"/>
                <w:lang w:eastAsia="pl-PL"/>
              </w:rPr>
            </w:pPr>
            <w:r w:rsidRPr="00F81318">
              <w:rPr>
                <w:rFonts w:ascii="Calibri" w:eastAsia="Times New Roman" w:hAnsi="Calibri" w:cs="Arial"/>
                <w:sz w:val="18"/>
                <w:szCs w:val="18"/>
                <w:lang w:eastAsia="pl-PL"/>
              </w:rPr>
              <w:t>1,36</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7B687" w14:textId="77777777" w:rsidR="00F81318" w:rsidRPr="00F81318" w:rsidRDefault="00F81318" w:rsidP="00F81318">
            <w:pPr>
              <w:spacing w:after="0" w:line="240" w:lineRule="auto"/>
              <w:jc w:val="right"/>
              <w:rPr>
                <w:rFonts w:ascii="Calibri" w:eastAsia="Times New Roman" w:hAnsi="Calibri" w:cs="Times New Roman"/>
                <w:sz w:val="18"/>
                <w:szCs w:val="18"/>
                <w:highlight w:val="yellow"/>
                <w:lang w:eastAsia="pl-PL"/>
              </w:rPr>
            </w:pPr>
            <w:r w:rsidRPr="00F81318">
              <w:rPr>
                <w:rFonts w:ascii="Calibri" w:eastAsia="Times New Roman" w:hAnsi="Calibri" w:cs="Arial"/>
                <w:sz w:val="18"/>
                <w:szCs w:val="18"/>
                <w:lang w:eastAsia="pl-PL"/>
              </w:rPr>
              <w:t>1,26</w:t>
            </w:r>
          </w:p>
        </w:tc>
      </w:tr>
      <w:tr w:rsidR="00F81318" w:rsidRPr="00F81318" w14:paraId="710BCDCE"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0FE9AD7F" w14:textId="77777777" w:rsidR="00F81318" w:rsidRPr="00F81318" w:rsidRDefault="00F81318" w:rsidP="00F81318">
            <w:pPr>
              <w:spacing w:after="0" w:line="240" w:lineRule="auto"/>
              <w:ind w:firstLineChars="200" w:firstLine="360"/>
              <w:rPr>
                <w:rFonts w:ascii="Calibri" w:eastAsia="Times New Roman" w:hAnsi="Calibri" w:cs="Times New Roman"/>
                <w:sz w:val="18"/>
                <w:szCs w:val="18"/>
                <w:lang w:eastAsia="pl-PL"/>
              </w:rPr>
            </w:pPr>
            <w:r w:rsidRPr="00F81318">
              <w:rPr>
                <w:rFonts w:ascii="Calibri" w:eastAsia="Times New Roman" w:hAnsi="Calibri" w:cs="Times New Roman"/>
                <w:sz w:val="18"/>
                <w:szCs w:val="18"/>
                <w:lang w:eastAsia="pl-PL"/>
              </w:rPr>
              <w:t>D. Gospodarka ściekami</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2B18F72"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0,00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0D8C5A1"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0,00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7229AB0"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0,00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52CAC" w14:textId="77777777" w:rsidR="00F81318" w:rsidRPr="00F81318" w:rsidRDefault="00F81318" w:rsidP="00F81318">
            <w:pPr>
              <w:spacing w:after="0" w:line="240" w:lineRule="auto"/>
              <w:jc w:val="right"/>
              <w:rPr>
                <w:rFonts w:ascii="Calibri" w:eastAsia="Times New Roman" w:hAnsi="Calibri" w:cs="Times New Roman"/>
                <w:sz w:val="18"/>
                <w:szCs w:val="18"/>
                <w:highlight w:val="yellow"/>
                <w:lang w:eastAsia="pl-PL"/>
              </w:rPr>
            </w:pPr>
            <w:r w:rsidRPr="00F81318">
              <w:rPr>
                <w:rFonts w:ascii="Calibri" w:eastAsia="Times New Roman" w:hAnsi="Calibri" w:cs="Arial"/>
                <w:sz w:val="18"/>
                <w:szCs w:val="18"/>
                <w:lang w:eastAsia="pl-PL"/>
              </w:rPr>
              <w:t>0,00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FC16A" w14:textId="77777777" w:rsidR="00F81318" w:rsidRPr="00F81318" w:rsidRDefault="00F81318" w:rsidP="00F81318">
            <w:pPr>
              <w:spacing w:after="0" w:line="240" w:lineRule="auto"/>
              <w:jc w:val="right"/>
              <w:rPr>
                <w:rFonts w:ascii="Calibri" w:eastAsia="Times New Roman" w:hAnsi="Calibri" w:cs="Times New Roman"/>
                <w:sz w:val="18"/>
                <w:szCs w:val="18"/>
                <w:highlight w:val="yellow"/>
                <w:lang w:eastAsia="pl-PL"/>
              </w:rPr>
            </w:pPr>
            <w:r w:rsidRPr="00F81318">
              <w:rPr>
                <w:rFonts w:ascii="Calibri" w:eastAsia="Times New Roman" w:hAnsi="Calibri" w:cs="Arial"/>
                <w:sz w:val="18"/>
                <w:szCs w:val="18"/>
                <w:lang w:eastAsia="pl-PL"/>
              </w:rPr>
              <w:t>0,00</w:t>
            </w:r>
          </w:p>
        </w:tc>
      </w:tr>
      <w:tr w:rsidR="00F81318" w:rsidRPr="00F81318" w14:paraId="14AE49EC"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6CE350EB" w14:textId="77777777" w:rsidR="00F81318" w:rsidRPr="00F81318" w:rsidRDefault="00F81318" w:rsidP="00F81318">
            <w:pPr>
              <w:spacing w:after="0" w:line="240" w:lineRule="auto"/>
              <w:ind w:firstLineChars="200" w:firstLine="360"/>
              <w:rPr>
                <w:rFonts w:ascii="Calibri" w:eastAsia="Times New Roman" w:hAnsi="Calibri" w:cs="Times New Roman"/>
                <w:sz w:val="18"/>
                <w:szCs w:val="18"/>
                <w:lang w:eastAsia="pl-PL"/>
              </w:rPr>
            </w:pPr>
            <w:r w:rsidRPr="00F81318">
              <w:rPr>
                <w:rFonts w:ascii="Calibri" w:eastAsia="Times New Roman" w:hAnsi="Calibri" w:cs="Times New Roman"/>
                <w:sz w:val="18"/>
                <w:szCs w:val="18"/>
                <w:lang w:eastAsia="pl-PL"/>
              </w:rPr>
              <w:t>E. Inne</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7A43597"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2,06</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21A8C331"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2,69</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254E067" w14:textId="77777777" w:rsidR="00F81318" w:rsidRPr="00F81318" w:rsidRDefault="00F81318" w:rsidP="00F81318">
            <w:pPr>
              <w:spacing w:after="0" w:line="240" w:lineRule="auto"/>
              <w:jc w:val="right"/>
              <w:rPr>
                <w:rFonts w:ascii="Calibri" w:eastAsia="Times New Roman" w:hAnsi="Calibri" w:cs="Times New Roman"/>
                <w:sz w:val="18"/>
                <w:szCs w:val="18"/>
                <w:lang w:eastAsia="pl-PL"/>
              </w:rPr>
            </w:pPr>
            <w:r w:rsidRPr="00F81318">
              <w:rPr>
                <w:rFonts w:ascii="Calibri" w:eastAsia="Times New Roman" w:hAnsi="Calibri" w:cs="Arial"/>
                <w:sz w:val="18"/>
                <w:szCs w:val="18"/>
                <w:lang w:eastAsia="pl-PL"/>
              </w:rPr>
              <w:t>2,80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1B2B2" w14:textId="77777777" w:rsidR="00F81318" w:rsidRPr="00F81318" w:rsidRDefault="00F81318" w:rsidP="00F81318">
            <w:pPr>
              <w:spacing w:after="0" w:line="240" w:lineRule="auto"/>
              <w:jc w:val="right"/>
              <w:rPr>
                <w:rFonts w:ascii="Calibri" w:eastAsia="Times New Roman" w:hAnsi="Calibri" w:cs="Times New Roman"/>
                <w:sz w:val="18"/>
                <w:szCs w:val="18"/>
                <w:highlight w:val="yellow"/>
                <w:lang w:eastAsia="pl-PL"/>
              </w:rPr>
            </w:pPr>
            <w:r w:rsidRPr="00F81318">
              <w:rPr>
                <w:rFonts w:ascii="Calibri" w:eastAsia="Times New Roman" w:hAnsi="Calibri" w:cs="Arial"/>
                <w:sz w:val="18"/>
                <w:szCs w:val="18"/>
                <w:lang w:eastAsia="pl-PL"/>
              </w:rPr>
              <w:t>3,24</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14A5B" w14:textId="77777777" w:rsidR="00F81318" w:rsidRPr="00F81318" w:rsidRDefault="00F81318" w:rsidP="00F81318">
            <w:pPr>
              <w:spacing w:after="0" w:line="240" w:lineRule="auto"/>
              <w:jc w:val="right"/>
              <w:rPr>
                <w:rFonts w:ascii="Calibri" w:eastAsia="Times New Roman" w:hAnsi="Calibri" w:cs="Times New Roman"/>
                <w:sz w:val="18"/>
                <w:szCs w:val="18"/>
                <w:highlight w:val="yellow"/>
                <w:lang w:eastAsia="pl-PL"/>
              </w:rPr>
            </w:pPr>
            <w:r w:rsidRPr="00F81318">
              <w:rPr>
                <w:rFonts w:ascii="Calibri" w:eastAsia="Times New Roman" w:hAnsi="Calibri" w:cs="Arial"/>
                <w:sz w:val="18"/>
                <w:szCs w:val="18"/>
                <w:lang w:eastAsia="pl-PL"/>
              </w:rPr>
              <w:t>3,09</w:t>
            </w:r>
          </w:p>
        </w:tc>
      </w:tr>
    </w:tbl>
    <w:p w14:paraId="20E671AC" w14:textId="77777777" w:rsidR="00F81318" w:rsidRPr="0035160C" w:rsidRDefault="00F81318" w:rsidP="00B20F28">
      <w:pPr>
        <w:jc w:val="both"/>
        <w:rPr>
          <w:sz w:val="20"/>
          <w:szCs w:val="20"/>
        </w:rPr>
      </w:pPr>
    </w:p>
    <w:p w14:paraId="2C1CEFF3" w14:textId="06CB6DDA" w:rsidR="00B20F28" w:rsidRPr="0035160C" w:rsidRDefault="00F81318" w:rsidP="00DD0683">
      <w:pPr>
        <w:spacing w:before="120" w:after="120"/>
        <w:jc w:val="center"/>
        <w:rPr>
          <w:sz w:val="20"/>
          <w:szCs w:val="20"/>
        </w:rPr>
      </w:pPr>
      <w:r w:rsidRPr="00EB4CD3">
        <w:rPr>
          <w:noProof/>
          <w:lang w:eastAsia="pl-PL"/>
        </w:rPr>
        <w:lastRenderedPageBreak/>
        <w:drawing>
          <wp:inline distT="0" distB="0" distL="0" distR="0" wp14:anchorId="45420A7A" wp14:editId="5BBA5D18">
            <wp:extent cx="4278884" cy="2382886"/>
            <wp:effectExtent l="0" t="0" r="7620" b="0"/>
            <wp:docPr id="250" name="Obraz 250" descr="1A1 Przemysły energetyczne 3%&#10;1A2 Przemysł wytwórczy i budownictwo 20%&#10;1A3 transport 11%&#10;1A4 Inne sektory 49%&#10;1B Emisja lotna z paliw 1%&#10;2 Procesy przemysłowe 9%&#10;3 Rolnictwo 3%&#10;5 Odpady 4%" title="Wykres kołowy Udział poszczególnych sektorów w emisji pyłu PM2.5 w roku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292831" cy="2390653"/>
                    </a:xfrm>
                    <a:prstGeom prst="rect">
                      <a:avLst/>
                    </a:prstGeom>
                    <a:noFill/>
                    <a:ln>
                      <a:noFill/>
                    </a:ln>
                  </pic:spPr>
                </pic:pic>
              </a:graphicData>
            </a:graphic>
          </wp:inline>
        </w:drawing>
      </w:r>
    </w:p>
    <w:p w14:paraId="1ABE3CA5" w14:textId="51D21416" w:rsidR="00B20F28" w:rsidRPr="0035160C" w:rsidRDefault="008900E0" w:rsidP="008900E0">
      <w:pPr>
        <w:jc w:val="center"/>
        <w:rPr>
          <w:sz w:val="20"/>
          <w:szCs w:val="20"/>
        </w:rPr>
      </w:pPr>
      <w:r w:rsidRPr="0035160C">
        <w:rPr>
          <w:sz w:val="20"/>
          <w:szCs w:val="20"/>
        </w:rPr>
        <w:t xml:space="preserve">Rysunek </w:t>
      </w:r>
      <w:r w:rsidR="00F81318">
        <w:rPr>
          <w:sz w:val="20"/>
          <w:szCs w:val="20"/>
        </w:rPr>
        <w:t>52</w:t>
      </w:r>
      <w:r w:rsidRPr="0035160C">
        <w:rPr>
          <w:sz w:val="20"/>
          <w:szCs w:val="20"/>
        </w:rPr>
        <w:t>. Udział istotnych sektorów w emisji pyłu PM2</w:t>
      </w:r>
      <w:r w:rsidR="002172CB">
        <w:rPr>
          <w:sz w:val="20"/>
          <w:szCs w:val="20"/>
        </w:rPr>
        <w:t>,</w:t>
      </w:r>
      <w:r w:rsidR="00F81318">
        <w:rPr>
          <w:sz w:val="20"/>
          <w:szCs w:val="20"/>
        </w:rPr>
        <w:t>5</w:t>
      </w:r>
      <w:r w:rsidRPr="0035160C">
        <w:rPr>
          <w:sz w:val="20"/>
          <w:szCs w:val="20"/>
        </w:rPr>
        <w:t xml:space="preserve"> w 201</w:t>
      </w:r>
      <w:r w:rsidR="00F81318">
        <w:rPr>
          <w:sz w:val="20"/>
          <w:szCs w:val="20"/>
        </w:rPr>
        <w:t>9</w:t>
      </w:r>
      <w:r w:rsidRPr="0035160C">
        <w:rPr>
          <w:sz w:val="20"/>
          <w:szCs w:val="20"/>
        </w:rPr>
        <w:t xml:space="preserve"> r.</w:t>
      </w:r>
    </w:p>
    <w:p w14:paraId="3C89842A" w14:textId="03598436" w:rsidR="00B20F28" w:rsidRPr="00CA5A67" w:rsidRDefault="00F81318" w:rsidP="00B20F28">
      <w:pPr>
        <w:jc w:val="both"/>
        <w:rPr>
          <w:b/>
          <w:bCs/>
          <w:i/>
          <w:iCs/>
          <w:color w:val="2F5496" w:themeColor="accent1" w:themeShade="BF"/>
        </w:rPr>
      </w:pPr>
      <w:r w:rsidRPr="00CA5A67">
        <w:rPr>
          <w:b/>
          <w:bCs/>
          <w:i/>
          <w:iCs/>
          <w:color w:val="2F5496" w:themeColor="accent1" w:themeShade="BF"/>
        </w:rPr>
        <w:t>Emisj</w:t>
      </w:r>
      <w:r w:rsidR="008C3236">
        <w:rPr>
          <w:b/>
          <w:bCs/>
          <w:i/>
          <w:iCs/>
          <w:color w:val="2F5496" w:themeColor="accent1" w:themeShade="BF"/>
        </w:rPr>
        <w:t>a</w:t>
      </w:r>
      <w:r w:rsidRPr="00CA5A67">
        <w:rPr>
          <w:b/>
          <w:bCs/>
          <w:i/>
          <w:iCs/>
          <w:color w:val="2F5496" w:themeColor="accent1" w:themeShade="BF"/>
        </w:rPr>
        <w:t xml:space="preserve"> </w:t>
      </w:r>
      <w:r w:rsidR="008C3236">
        <w:rPr>
          <w:b/>
          <w:bCs/>
          <w:i/>
          <w:iCs/>
          <w:color w:val="2F5496" w:themeColor="accent1" w:themeShade="BF"/>
        </w:rPr>
        <w:t>wielopierścieniowych węglowodorów aromatycznych (</w:t>
      </w:r>
      <w:r w:rsidRPr="00CA5A67">
        <w:rPr>
          <w:b/>
          <w:bCs/>
          <w:i/>
          <w:iCs/>
          <w:color w:val="2F5496" w:themeColor="accent1" w:themeShade="BF"/>
        </w:rPr>
        <w:t>WWA</w:t>
      </w:r>
      <w:r w:rsidR="008C3236">
        <w:rPr>
          <w:b/>
          <w:bCs/>
          <w:i/>
          <w:iCs/>
          <w:color w:val="2F5496" w:themeColor="accent1" w:themeShade="BF"/>
        </w:rPr>
        <w:t>)</w:t>
      </w:r>
    </w:p>
    <w:p w14:paraId="51B7BF52" w14:textId="313D5A44" w:rsidR="00F81318" w:rsidRPr="00F81318" w:rsidRDefault="00F81318" w:rsidP="00F81318">
      <w:pPr>
        <w:spacing w:before="120" w:after="0" w:line="240" w:lineRule="auto"/>
        <w:jc w:val="both"/>
        <w:rPr>
          <w:rFonts w:ascii="Calibri" w:eastAsia="Times New Roman" w:hAnsi="Calibri" w:cs="Calibri"/>
          <w:szCs w:val="24"/>
          <w:lang w:eastAsia="pl-PL"/>
        </w:rPr>
      </w:pPr>
      <w:r w:rsidRPr="00F81318">
        <w:rPr>
          <w:rFonts w:ascii="Calibri" w:eastAsia="Times New Roman" w:hAnsi="Calibri" w:cs="Calibri"/>
          <w:b/>
          <w:bCs/>
          <w:color w:val="2F5496" w:themeColor="accent1" w:themeShade="BF"/>
          <w:szCs w:val="24"/>
          <w:lang w:eastAsia="pl-PL"/>
        </w:rPr>
        <w:t>Decydująca część emisji WWA (91%) pochodzi z</w:t>
      </w:r>
      <w:r w:rsidR="002172CB">
        <w:rPr>
          <w:rFonts w:ascii="Calibri" w:eastAsia="Times New Roman" w:hAnsi="Calibri" w:cs="Calibri"/>
          <w:b/>
          <w:bCs/>
          <w:color w:val="2F5496" w:themeColor="accent1" w:themeShade="BF"/>
          <w:szCs w:val="24"/>
          <w:lang w:eastAsia="pl-PL"/>
        </w:rPr>
        <w:t xml:space="preserve"> </w:t>
      </w:r>
      <w:r w:rsidRPr="00F81318">
        <w:rPr>
          <w:rFonts w:ascii="Calibri" w:eastAsia="Times New Roman" w:hAnsi="Calibri" w:cs="Calibri"/>
          <w:b/>
          <w:bCs/>
          <w:color w:val="2F5496" w:themeColor="accent1" w:themeShade="BF"/>
          <w:szCs w:val="24"/>
          <w:lang w:eastAsia="pl-PL"/>
        </w:rPr>
        <w:t xml:space="preserve">kategorii  1A4. </w:t>
      </w:r>
      <w:r w:rsidRPr="00F81318">
        <w:rPr>
          <w:rFonts w:ascii="Calibri" w:eastAsia="Times New Roman" w:hAnsi="Calibri" w:cs="Calibri"/>
          <w:b/>
          <w:bCs/>
          <w:i/>
          <w:iCs/>
          <w:color w:val="2F5496" w:themeColor="accent1" w:themeShade="BF"/>
          <w:szCs w:val="24"/>
          <w:lang w:eastAsia="pl-PL"/>
        </w:rPr>
        <w:t>Inne sektory</w:t>
      </w:r>
      <w:r w:rsidRPr="00F81318">
        <w:rPr>
          <w:rFonts w:ascii="Calibri" w:eastAsia="Times New Roman" w:hAnsi="Calibri" w:cs="Calibri"/>
          <w:b/>
          <w:bCs/>
          <w:color w:val="2F5496" w:themeColor="accent1" w:themeShade="BF"/>
          <w:szCs w:val="24"/>
          <w:lang w:eastAsia="pl-PL"/>
        </w:rPr>
        <w:t>, przy czym główną część emisji w</w:t>
      </w:r>
      <w:r w:rsidR="002172CB">
        <w:rPr>
          <w:rFonts w:ascii="Calibri" w:eastAsia="Times New Roman" w:hAnsi="Calibri" w:cs="Calibri"/>
          <w:b/>
          <w:bCs/>
          <w:color w:val="2F5496" w:themeColor="accent1" w:themeShade="BF"/>
          <w:szCs w:val="24"/>
          <w:lang w:eastAsia="pl-PL"/>
        </w:rPr>
        <w:t xml:space="preserve"> </w:t>
      </w:r>
      <w:r w:rsidRPr="00F81318">
        <w:rPr>
          <w:rFonts w:ascii="Calibri" w:eastAsia="Times New Roman" w:hAnsi="Calibri" w:cs="Calibri"/>
          <w:b/>
          <w:bCs/>
          <w:color w:val="2F5496" w:themeColor="accent1" w:themeShade="BF"/>
          <w:szCs w:val="24"/>
          <w:lang w:eastAsia="pl-PL"/>
        </w:rPr>
        <w:t>tej kategorii stanowi emisja z</w:t>
      </w:r>
      <w:r w:rsidR="002172CB">
        <w:rPr>
          <w:rFonts w:ascii="Calibri" w:eastAsia="Times New Roman" w:hAnsi="Calibri" w:cs="Calibri"/>
          <w:b/>
          <w:bCs/>
          <w:color w:val="2F5496" w:themeColor="accent1" w:themeShade="BF"/>
          <w:szCs w:val="24"/>
          <w:lang w:eastAsia="pl-PL"/>
        </w:rPr>
        <w:t xml:space="preserve"> </w:t>
      </w:r>
      <w:r w:rsidRPr="00F81318">
        <w:rPr>
          <w:rFonts w:ascii="Calibri" w:eastAsia="Times New Roman" w:hAnsi="Calibri" w:cs="Calibri"/>
          <w:b/>
          <w:bCs/>
          <w:color w:val="2F5496" w:themeColor="accent1" w:themeShade="BF"/>
          <w:szCs w:val="24"/>
          <w:lang w:eastAsia="pl-PL"/>
        </w:rPr>
        <w:t>gospodarstw domowych – aż 89%. Około 3% szacowanej krajowej emisji WWA pochodzi z </w:t>
      </w:r>
      <w:r w:rsidRPr="00F81318">
        <w:rPr>
          <w:rFonts w:ascii="Calibri" w:eastAsia="Times New Roman" w:hAnsi="Calibri" w:cs="Calibri"/>
          <w:b/>
          <w:bCs/>
          <w:i/>
          <w:iCs/>
          <w:color w:val="2F5496" w:themeColor="accent1" w:themeShade="BF"/>
          <w:szCs w:val="24"/>
          <w:lang w:eastAsia="pl-PL"/>
        </w:rPr>
        <w:t>sektora 2. Procesy przemysłowe</w:t>
      </w:r>
      <w:r w:rsidRPr="00F81318">
        <w:rPr>
          <w:rFonts w:ascii="Calibri" w:eastAsia="Times New Roman" w:hAnsi="Calibri" w:cs="Calibri"/>
          <w:b/>
          <w:bCs/>
          <w:color w:val="2F5496" w:themeColor="accent1" w:themeShade="BF"/>
          <w:szCs w:val="24"/>
          <w:lang w:eastAsia="pl-PL"/>
        </w:rPr>
        <w:t xml:space="preserve"> - głównie z wytopu stali w</w:t>
      </w:r>
      <w:r w:rsidR="002172CB">
        <w:rPr>
          <w:rFonts w:ascii="Calibri" w:eastAsia="Times New Roman" w:hAnsi="Calibri" w:cs="Calibri"/>
          <w:b/>
          <w:bCs/>
          <w:color w:val="2F5496" w:themeColor="accent1" w:themeShade="BF"/>
          <w:szCs w:val="24"/>
          <w:lang w:eastAsia="pl-PL"/>
        </w:rPr>
        <w:t xml:space="preserve"> </w:t>
      </w:r>
      <w:r w:rsidRPr="00F81318">
        <w:rPr>
          <w:rFonts w:ascii="Calibri" w:eastAsia="Times New Roman" w:hAnsi="Calibri" w:cs="Calibri"/>
          <w:b/>
          <w:bCs/>
          <w:color w:val="2F5496" w:themeColor="accent1" w:themeShade="BF"/>
          <w:szCs w:val="24"/>
          <w:lang w:eastAsia="pl-PL"/>
        </w:rPr>
        <w:t>piecach elektrycznych oraz produkcji spieku.</w:t>
      </w:r>
      <w:r w:rsidRPr="00F81318">
        <w:rPr>
          <w:rFonts w:ascii="Calibri" w:eastAsia="Times New Roman" w:hAnsi="Calibri" w:cs="Calibri"/>
          <w:szCs w:val="24"/>
          <w:lang w:eastAsia="pl-PL"/>
        </w:rPr>
        <w:t xml:space="preserve"> Procentowy udział poszczególnych sektorów w emisji krajowej przedstawia rysunek</w:t>
      </w:r>
      <w:r w:rsidR="002172CB">
        <w:rPr>
          <w:rFonts w:ascii="Calibri" w:eastAsia="Times New Roman" w:hAnsi="Calibri" w:cs="Calibri"/>
          <w:szCs w:val="24"/>
          <w:lang w:eastAsia="pl-PL"/>
        </w:rPr>
        <w:t xml:space="preserve"> </w:t>
      </w:r>
      <w:r w:rsidR="00CA5A67">
        <w:rPr>
          <w:rFonts w:ascii="Calibri" w:eastAsia="Times New Roman" w:hAnsi="Calibri" w:cs="Calibri"/>
          <w:szCs w:val="24"/>
          <w:lang w:eastAsia="pl-PL"/>
        </w:rPr>
        <w:t>53</w:t>
      </w:r>
      <w:r w:rsidRPr="00F81318">
        <w:rPr>
          <w:rFonts w:ascii="Calibri" w:eastAsia="Times New Roman" w:hAnsi="Calibri" w:cs="Calibri"/>
          <w:szCs w:val="24"/>
          <w:lang w:eastAsia="pl-PL"/>
        </w:rPr>
        <w:t>.</w:t>
      </w:r>
    </w:p>
    <w:p w14:paraId="11337EEA" w14:textId="77777777" w:rsidR="00F81318" w:rsidRPr="00F81318" w:rsidRDefault="00F81318" w:rsidP="00F81318">
      <w:pPr>
        <w:spacing w:before="120" w:after="0" w:line="240" w:lineRule="auto"/>
        <w:jc w:val="both"/>
        <w:rPr>
          <w:rFonts w:ascii="Calibri" w:eastAsia="Times New Roman" w:hAnsi="Calibri" w:cs="Calibri"/>
          <w:szCs w:val="24"/>
          <w:lang w:eastAsia="pl-PL"/>
        </w:rPr>
      </w:pPr>
      <w:r w:rsidRPr="00F81318">
        <w:rPr>
          <w:rFonts w:ascii="Calibri" w:eastAsia="Times New Roman" w:hAnsi="Calibri" w:cs="Calibri"/>
          <w:szCs w:val="24"/>
          <w:lang w:eastAsia="pl-PL"/>
        </w:rPr>
        <w:t xml:space="preserve">Emisja WWA do powietrza, szacowana jest na podstawie oceny wielkości emisji czterech wskaźnikowych związków z tej grupy tj.: benzo(a)pirenu, benzo(b)fluorantenu, benzo(k)fluorantenu, i  indeno(1,2,3cd)pirenu. </w:t>
      </w:r>
    </w:p>
    <w:p w14:paraId="7F988D7A" w14:textId="77777777" w:rsidR="00F81318" w:rsidRPr="00F81318" w:rsidRDefault="00F81318" w:rsidP="00F81318">
      <w:pPr>
        <w:spacing w:before="120" w:after="0" w:line="240" w:lineRule="auto"/>
        <w:jc w:val="both"/>
        <w:rPr>
          <w:rFonts w:ascii="Calibri" w:eastAsia="Times New Roman" w:hAnsi="Calibri" w:cs="Calibri"/>
          <w:szCs w:val="24"/>
          <w:lang w:eastAsia="pl-PL"/>
        </w:rPr>
      </w:pPr>
      <w:r w:rsidRPr="00F81318">
        <w:rPr>
          <w:rFonts w:ascii="Calibri" w:eastAsia="Times New Roman" w:hAnsi="Calibri" w:cs="Calibri"/>
          <w:b/>
          <w:bCs/>
          <w:color w:val="2F5496" w:themeColor="accent1" w:themeShade="BF"/>
          <w:szCs w:val="24"/>
          <w:lang w:eastAsia="pl-PL"/>
        </w:rPr>
        <w:t xml:space="preserve">Emisja WWA w 2019 r. zmniejszyła się o 36% od 1990 roku. Emisja WWA w roku 2019, w stosunku do poziomu emisji z roku 2018, zmniejszyła się o 12%. Różnice w wielkości emisji wynikają ze zmian w aktywnościach źródeł w poszczególnych sektorach. </w:t>
      </w:r>
      <w:r w:rsidRPr="00F81318">
        <w:rPr>
          <w:rFonts w:ascii="Calibri" w:eastAsia="Times New Roman" w:hAnsi="Calibri" w:cs="Calibri"/>
          <w:b/>
          <w:bCs/>
          <w:color w:val="2F5496" w:themeColor="accent1" w:themeShade="BF"/>
          <w:szCs w:val="24"/>
          <w:u w:val="single"/>
          <w:lang w:eastAsia="pl-PL"/>
        </w:rPr>
        <w:t xml:space="preserve">W największym stopniu do zmiany krajowej emisji WWA przyczynił się spadek emisji z sektora </w:t>
      </w:r>
      <w:r w:rsidRPr="00F81318">
        <w:rPr>
          <w:rFonts w:ascii="Calibri" w:eastAsia="Times New Roman" w:hAnsi="Calibri" w:cs="Calibri"/>
          <w:b/>
          <w:bCs/>
          <w:i/>
          <w:iCs/>
          <w:color w:val="2F5496" w:themeColor="accent1" w:themeShade="BF"/>
          <w:szCs w:val="24"/>
          <w:u w:val="single"/>
          <w:lang w:eastAsia="pl-PL"/>
        </w:rPr>
        <w:t>gospodarstw domowych</w:t>
      </w:r>
      <w:r w:rsidRPr="00F81318">
        <w:rPr>
          <w:rFonts w:ascii="Calibri" w:eastAsia="Times New Roman" w:hAnsi="Calibri" w:cs="Calibri"/>
          <w:b/>
          <w:bCs/>
          <w:color w:val="2F5496" w:themeColor="accent1" w:themeShade="BF"/>
          <w:szCs w:val="24"/>
          <w:lang w:eastAsia="pl-PL"/>
        </w:rPr>
        <w:t>, co jest związane ze zmniejszeniem zużycia węgla kamiennego i drewna w tym sektorze</w:t>
      </w:r>
      <w:r w:rsidRPr="00F81318">
        <w:rPr>
          <w:rFonts w:ascii="Calibri" w:eastAsia="Times New Roman" w:hAnsi="Calibri" w:cs="Calibri"/>
          <w:szCs w:val="24"/>
          <w:lang w:eastAsia="pl-PL"/>
        </w:rPr>
        <w:t xml:space="preserve">. </w:t>
      </w:r>
    </w:p>
    <w:p w14:paraId="077A3A77" w14:textId="69B0301A" w:rsidR="00E343EE" w:rsidRPr="0035160C" w:rsidRDefault="00E343EE" w:rsidP="00E343EE">
      <w:pPr>
        <w:tabs>
          <w:tab w:val="left" w:pos="1615"/>
          <w:tab w:val="left" w:pos="3230"/>
          <w:tab w:val="left" w:pos="4845"/>
          <w:tab w:val="left" w:pos="6460"/>
          <w:tab w:val="left" w:pos="7420"/>
          <w:tab w:val="left" w:pos="8380"/>
          <w:tab w:val="left" w:pos="9560"/>
        </w:tabs>
        <w:spacing w:before="240" w:after="60" w:line="240" w:lineRule="auto"/>
        <w:rPr>
          <w:rFonts w:eastAsia="Times New Roman" w:cs="Calibri"/>
          <w:szCs w:val="24"/>
          <w:lang w:eastAsia="pl-PL"/>
        </w:rPr>
      </w:pPr>
      <w:bookmarkStart w:id="51" w:name="_Toc29557269"/>
      <w:r w:rsidRPr="0035160C">
        <w:rPr>
          <w:rFonts w:eastAsia="Times New Roman" w:cs="Calibri"/>
          <w:szCs w:val="24"/>
          <w:lang w:eastAsia="pl-PL"/>
        </w:rPr>
        <w:t xml:space="preserve">Tabela </w:t>
      </w:r>
      <w:r w:rsidR="00EE1451" w:rsidRPr="0035160C">
        <w:rPr>
          <w:rFonts w:eastAsia="Times New Roman" w:cs="Calibri"/>
          <w:szCs w:val="24"/>
          <w:lang w:eastAsia="pl-PL"/>
        </w:rPr>
        <w:t>5.</w:t>
      </w:r>
      <w:r w:rsidRPr="0035160C">
        <w:rPr>
          <w:rFonts w:eastAsia="Times New Roman" w:cs="Calibri"/>
          <w:szCs w:val="24"/>
          <w:lang w:eastAsia="pl-PL"/>
        </w:rPr>
        <w:t xml:space="preserve"> Emisja WWA w</w:t>
      </w:r>
      <w:r w:rsidR="007E5356" w:rsidRPr="0035160C">
        <w:rPr>
          <w:rFonts w:eastAsia="Times New Roman" w:cs="Calibri"/>
          <w:szCs w:val="24"/>
          <w:lang w:eastAsia="pl-PL"/>
        </w:rPr>
        <w:t xml:space="preserve"> </w:t>
      </w:r>
      <w:r w:rsidRPr="0035160C">
        <w:rPr>
          <w:rFonts w:eastAsia="Times New Roman" w:cs="Calibri"/>
          <w:szCs w:val="24"/>
          <w:lang w:eastAsia="pl-PL"/>
        </w:rPr>
        <w:t>wybranych latach</w:t>
      </w:r>
      <w:bookmarkEnd w:id="51"/>
    </w:p>
    <w:tbl>
      <w:tblPr>
        <w:tblW w:w="9060" w:type="dxa"/>
        <w:tblLayout w:type="fixed"/>
        <w:tblCellMar>
          <w:left w:w="70" w:type="dxa"/>
          <w:right w:w="70" w:type="dxa"/>
        </w:tblCellMar>
        <w:tblLook w:val="04A0" w:firstRow="1" w:lastRow="0" w:firstColumn="1" w:lastColumn="0" w:noHBand="0" w:noVBand="1"/>
      </w:tblPr>
      <w:tblGrid>
        <w:gridCol w:w="4390"/>
        <w:gridCol w:w="934"/>
        <w:gridCol w:w="934"/>
        <w:gridCol w:w="934"/>
        <w:gridCol w:w="934"/>
        <w:gridCol w:w="934"/>
      </w:tblGrid>
      <w:tr w:rsidR="00CA5A67" w:rsidRPr="000B19D9" w14:paraId="138FBC36" w14:textId="77777777" w:rsidTr="00F04B84">
        <w:trPr>
          <w:trHeight w:val="300"/>
          <w:tblHeader/>
        </w:trPr>
        <w:tc>
          <w:tcPr>
            <w:tcW w:w="4390" w:type="dxa"/>
            <w:vMerge w:val="restart"/>
            <w:tcBorders>
              <w:top w:val="single" w:sz="4" w:space="0" w:color="auto"/>
              <w:left w:val="single" w:sz="4" w:space="0" w:color="auto"/>
              <w:bottom w:val="single" w:sz="4" w:space="0" w:color="auto"/>
              <w:right w:val="single" w:sz="4" w:space="0" w:color="auto"/>
            </w:tcBorders>
            <w:shd w:val="clear" w:color="auto" w:fill="99CCFF"/>
            <w:vAlign w:val="center"/>
            <w:hideMark/>
          </w:tcPr>
          <w:p w14:paraId="0728F3D8" w14:textId="77777777" w:rsidR="00CA5A67" w:rsidRPr="00BB0A93" w:rsidRDefault="00CA5A67" w:rsidP="00F04B84">
            <w:pPr>
              <w:autoSpaceDE w:val="0"/>
              <w:autoSpaceDN w:val="0"/>
              <w:adjustRightInd w:val="0"/>
              <w:jc w:val="center"/>
              <w:rPr>
                <w:b/>
                <w:sz w:val="18"/>
                <w:szCs w:val="18"/>
              </w:rPr>
            </w:pPr>
            <w:r w:rsidRPr="353DE84B">
              <w:rPr>
                <w:b/>
                <w:bCs/>
                <w:sz w:val="18"/>
                <w:szCs w:val="18"/>
              </w:rPr>
              <w:t>Źródło emisji wg kategorii NFR</w:t>
            </w:r>
          </w:p>
        </w:tc>
        <w:tc>
          <w:tcPr>
            <w:tcW w:w="934" w:type="dxa"/>
            <w:tcBorders>
              <w:top w:val="single" w:sz="4" w:space="0" w:color="auto"/>
              <w:left w:val="nil"/>
              <w:bottom w:val="single" w:sz="4" w:space="0" w:color="auto"/>
              <w:right w:val="single" w:sz="4" w:space="0" w:color="auto"/>
            </w:tcBorders>
            <w:shd w:val="clear" w:color="auto" w:fill="99CCFF"/>
            <w:vAlign w:val="center"/>
          </w:tcPr>
          <w:p w14:paraId="491F5C04" w14:textId="77777777" w:rsidR="00CA5A67" w:rsidRPr="00BB0A93" w:rsidRDefault="00CA5A67" w:rsidP="00F04B84">
            <w:pPr>
              <w:autoSpaceDE w:val="0"/>
              <w:autoSpaceDN w:val="0"/>
              <w:adjustRightInd w:val="0"/>
              <w:jc w:val="center"/>
              <w:rPr>
                <w:b/>
                <w:sz w:val="18"/>
                <w:szCs w:val="18"/>
              </w:rPr>
            </w:pPr>
            <w:r w:rsidRPr="353DE84B">
              <w:rPr>
                <w:b/>
                <w:bCs/>
                <w:color w:val="000000" w:themeColor="text1"/>
                <w:sz w:val="18"/>
                <w:szCs w:val="18"/>
              </w:rPr>
              <w:t>1990</w:t>
            </w:r>
          </w:p>
        </w:tc>
        <w:tc>
          <w:tcPr>
            <w:tcW w:w="934" w:type="dxa"/>
            <w:tcBorders>
              <w:top w:val="single" w:sz="4" w:space="0" w:color="auto"/>
              <w:left w:val="single" w:sz="4" w:space="0" w:color="auto"/>
              <w:bottom w:val="single" w:sz="4" w:space="0" w:color="auto"/>
              <w:right w:val="single" w:sz="4" w:space="0" w:color="auto"/>
            </w:tcBorders>
            <w:shd w:val="clear" w:color="auto" w:fill="99CCFF"/>
            <w:vAlign w:val="center"/>
          </w:tcPr>
          <w:p w14:paraId="5319E848" w14:textId="77777777" w:rsidR="00CA5A67" w:rsidRPr="00BB0A93" w:rsidRDefault="00CA5A67" w:rsidP="00F04B84">
            <w:pPr>
              <w:autoSpaceDE w:val="0"/>
              <w:autoSpaceDN w:val="0"/>
              <w:adjustRightInd w:val="0"/>
              <w:jc w:val="center"/>
              <w:rPr>
                <w:b/>
                <w:sz w:val="18"/>
                <w:szCs w:val="18"/>
              </w:rPr>
            </w:pPr>
            <w:r w:rsidRPr="353DE84B">
              <w:rPr>
                <w:b/>
                <w:bCs/>
                <w:color w:val="000000" w:themeColor="text1"/>
                <w:sz w:val="18"/>
                <w:szCs w:val="18"/>
              </w:rPr>
              <w:t>2005</w:t>
            </w:r>
          </w:p>
        </w:tc>
        <w:tc>
          <w:tcPr>
            <w:tcW w:w="934" w:type="dxa"/>
            <w:tcBorders>
              <w:top w:val="single" w:sz="4" w:space="0" w:color="auto"/>
              <w:left w:val="single" w:sz="4" w:space="0" w:color="auto"/>
              <w:bottom w:val="single" w:sz="4" w:space="0" w:color="auto"/>
              <w:right w:val="single" w:sz="4" w:space="0" w:color="auto"/>
            </w:tcBorders>
            <w:shd w:val="clear" w:color="auto" w:fill="99CCFF"/>
            <w:vAlign w:val="center"/>
          </w:tcPr>
          <w:p w14:paraId="23F10267" w14:textId="77777777" w:rsidR="00CA5A67" w:rsidRPr="00BB0A93" w:rsidRDefault="00CA5A67" w:rsidP="00F04B84">
            <w:pPr>
              <w:autoSpaceDE w:val="0"/>
              <w:autoSpaceDN w:val="0"/>
              <w:adjustRightInd w:val="0"/>
              <w:jc w:val="center"/>
              <w:rPr>
                <w:b/>
                <w:sz w:val="18"/>
                <w:szCs w:val="18"/>
              </w:rPr>
            </w:pPr>
            <w:r w:rsidRPr="353DE84B">
              <w:rPr>
                <w:b/>
                <w:bCs/>
                <w:color w:val="000000" w:themeColor="text1"/>
                <w:sz w:val="18"/>
                <w:szCs w:val="18"/>
              </w:rPr>
              <w:t>2010</w:t>
            </w:r>
          </w:p>
        </w:tc>
        <w:tc>
          <w:tcPr>
            <w:tcW w:w="934" w:type="dxa"/>
            <w:tcBorders>
              <w:top w:val="single" w:sz="4" w:space="0" w:color="auto"/>
              <w:left w:val="single" w:sz="4" w:space="0" w:color="auto"/>
              <w:bottom w:val="single" w:sz="4" w:space="0" w:color="auto"/>
              <w:right w:val="single" w:sz="4" w:space="0" w:color="auto"/>
            </w:tcBorders>
            <w:shd w:val="clear" w:color="auto" w:fill="99CCFF"/>
            <w:vAlign w:val="center"/>
          </w:tcPr>
          <w:p w14:paraId="6FF5E0A3" w14:textId="77777777" w:rsidR="00CA5A67" w:rsidRPr="00BB0A93" w:rsidRDefault="00CA5A67" w:rsidP="00F04B84">
            <w:pPr>
              <w:autoSpaceDE w:val="0"/>
              <w:autoSpaceDN w:val="0"/>
              <w:adjustRightInd w:val="0"/>
              <w:jc w:val="center"/>
              <w:rPr>
                <w:b/>
                <w:sz w:val="18"/>
                <w:szCs w:val="18"/>
              </w:rPr>
            </w:pPr>
            <w:r w:rsidRPr="353DE84B">
              <w:rPr>
                <w:b/>
                <w:bCs/>
                <w:color w:val="000000" w:themeColor="text1"/>
                <w:sz w:val="18"/>
                <w:szCs w:val="18"/>
              </w:rPr>
              <w:t>2018</w:t>
            </w:r>
          </w:p>
        </w:tc>
        <w:tc>
          <w:tcPr>
            <w:tcW w:w="934" w:type="dxa"/>
            <w:tcBorders>
              <w:top w:val="single" w:sz="4" w:space="0" w:color="auto"/>
              <w:left w:val="nil"/>
              <w:bottom w:val="single" w:sz="4" w:space="0" w:color="auto"/>
              <w:right w:val="single" w:sz="4" w:space="0" w:color="auto"/>
            </w:tcBorders>
            <w:shd w:val="clear" w:color="auto" w:fill="99CCFF"/>
            <w:vAlign w:val="center"/>
          </w:tcPr>
          <w:p w14:paraId="46B7C866" w14:textId="77777777" w:rsidR="00CA5A67" w:rsidRPr="00BB0A93" w:rsidRDefault="00CA5A67" w:rsidP="00F04B84">
            <w:pPr>
              <w:autoSpaceDE w:val="0"/>
              <w:autoSpaceDN w:val="0"/>
              <w:adjustRightInd w:val="0"/>
              <w:jc w:val="center"/>
              <w:rPr>
                <w:b/>
                <w:sz w:val="18"/>
                <w:szCs w:val="18"/>
              </w:rPr>
            </w:pPr>
            <w:r w:rsidRPr="353DE84B">
              <w:rPr>
                <w:b/>
                <w:bCs/>
                <w:color w:val="000000" w:themeColor="text1"/>
                <w:sz w:val="18"/>
                <w:szCs w:val="18"/>
              </w:rPr>
              <w:t>2019</w:t>
            </w:r>
          </w:p>
        </w:tc>
      </w:tr>
      <w:tr w:rsidR="00CA5A67" w:rsidRPr="000B19D9" w14:paraId="6A1E8227" w14:textId="77777777" w:rsidTr="00F04B84">
        <w:trPr>
          <w:trHeight w:val="300"/>
          <w:tblHeader/>
        </w:trPr>
        <w:tc>
          <w:tcPr>
            <w:tcW w:w="4390" w:type="dxa"/>
            <w:vMerge/>
            <w:tcBorders>
              <w:top w:val="single" w:sz="4" w:space="0" w:color="auto"/>
              <w:left w:val="single" w:sz="4" w:space="0" w:color="auto"/>
              <w:bottom w:val="single" w:sz="4" w:space="0" w:color="auto"/>
              <w:right w:val="single" w:sz="4" w:space="0" w:color="auto"/>
            </w:tcBorders>
            <w:shd w:val="clear" w:color="auto" w:fill="99CCFF"/>
            <w:vAlign w:val="center"/>
            <w:hideMark/>
          </w:tcPr>
          <w:p w14:paraId="0C341E37" w14:textId="77777777" w:rsidR="00CA5A67" w:rsidRPr="000B19D9" w:rsidRDefault="00CA5A67" w:rsidP="00F04B84">
            <w:pPr>
              <w:autoSpaceDE w:val="0"/>
              <w:autoSpaceDN w:val="0"/>
              <w:adjustRightInd w:val="0"/>
              <w:jc w:val="center"/>
              <w:rPr>
                <w:rFonts w:cstheme="minorHAnsi"/>
                <w:b/>
                <w:bCs/>
                <w:sz w:val="18"/>
                <w:szCs w:val="18"/>
              </w:rPr>
            </w:pPr>
          </w:p>
        </w:tc>
        <w:tc>
          <w:tcPr>
            <w:tcW w:w="934" w:type="dxa"/>
            <w:tcBorders>
              <w:top w:val="single" w:sz="4" w:space="0" w:color="auto"/>
              <w:left w:val="nil"/>
              <w:bottom w:val="single" w:sz="4" w:space="0" w:color="auto"/>
              <w:right w:val="single" w:sz="4" w:space="0" w:color="auto"/>
            </w:tcBorders>
            <w:shd w:val="clear" w:color="auto" w:fill="99CCFF"/>
            <w:vAlign w:val="center"/>
          </w:tcPr>
          <w:p w14:paraId="4677D91B" w14:textId="77777777" w:rsidR="00CA5A67" w:rsidRPr="00BB0A93" w:rsidRDefault="00CA5A67" w:rsidP="00F04B84">
            <w:pPr>
              <w:autoSpaceDE w:val="0"/>
              <w:autoSpaceDN w:val="0"/>
              <w:adjustRightInd w:val="0"/>
              <w:jc w:val="center"/>
              <w:rPr>
                <w:b/>
                <w:sz w:val="18"/>
                <w:szCs w:val="18"/>
              </w:rPr>
            </w:pPr>
            <w:r w:rsidRPr="353DE84B">
              <w:rPr>
                <w:b/>
                <w:bCs/>
                <w:sz w:val="18"/>
                <w:szCs w:val="18"/>
              </w:rPr>
              <w:t>Mg</w:t>
            </w:r>
          </w:p>
        </w:tc>
        <w:tc>
          <w:tcPr>
            <w:tcW w:w="934" w:type="dxa"/>
            <w:tcBorders>
              <w:top w:val="single" w:sz="4" w:space="0" w:color="auto"/>
              <w:left w:val="single" w:sz="4" w:space="0" w:color="auto"/>
              <w:bottom w:val="single" w:sz="4" w:space="0" w:color="auto"/>
              <w:right w:val="single" w:sz="4" w:space="0" w:color="auto"/>
            </w:tcBorders>
            <w:shd w:val="clear" w:color="auto" w:fill="99CCFF"/>
            <w:vAlign w:val="center"/>
          </w:tcPr>
          <w:p w14:paraId="7ED0B254" w14:textId="77777777" w:rsidR="00CA5A67" w:rsidRPr="00BB0A93" w:rsidRDefault="00CA5A67" w:rsidP="00F04B84">
            <w:pPr>
              <w:autoSpaceDE w:val="0"/>
              <w:autoSpaceDN w:val="0"/>
              <w:adjustRightInd w:val="0"/>
              <w:jc w:val="center"/>
              <w:rPr>
                <w:b/>
                <w:sz w:val="18"/>
                <w:szCs w:val="18"/>
              </w:rPr>
            </w:pPr>
            <w:r w:rsidRPr="353DE84B">
              <w:rPr>
                <w:b/>
                <w:bCs/>
                <w:sz w:val="18"/>
                <w:szCs w:val="18"/>
              </w:rPr>
              <w:t>Mg</w:t>
            </w:r>
          </w:p>
        </w:tc>
        <w:tc>
          <w:tcPr>
            <w:tcW w:w="934" w:type="dxa"/>
            <w:tcBorders>
              <w:top w:val="nil"/>
              <w:left w:val="single" w:sz="4" w:space="0" w:color="auto"/>
              <w:bottom w:val="single" w:sz="4" w:space="0" w:color="auto"/>
              <w:right w:val="single" w:sz="4" w:space="0" w:color="auto"/>
            </w:tcBorders>
            <w:shd w:val="clear" w:color="auto" w:fill="99CCFF"/>
            <w:vAlign w:val="center"/>
          </w:tcPr>
          <w:p w14:paraId="27563255" w14:textId="77777777" w:rsidR="00CA5A67" w:rsidRPr="00BB0A93" w:rsidRDefault="00CA5A67" w:rsidP="00F04B84">
            <w:pPr>
              <w:autoSpaceDE w:val="0"/>
              <w:autoSpaceDN w:val="0"/>
              <w:adjustRightInd w:val="0"/>
              <w:jc w:val="center"/>
              <w:rPr>
                <w:b/>
                <w:sz w:val="18"/>
                <w:szCs w:val="18"/>
              </w:rPr>
            </w:pPr>
            <w:r w:rsidRPr="353DE84B">
              <w:rPr>
                <w:b/>
                <w:bCs/>
                <w:sz w:val="18"/>
                <w:szCs w:val="18"/>
              </w:rPr>
              <w:t>Mg</w:t>
            </w:r>
          </w:p>
        </w:tc>
        <w:tc>
          <w:tcPr>
            <w:tcW w:w="934" w:type="dxa"/>
            <w:tcBorders>
              <w:top w:val="nil"/>
              <w:left w:val="single" w:sz="4" w:space="0" w:color="auto"/>
              <w:bottom w:val="single" w:sz="4" w:space="0" w:color="auto"/>
              <w:right w:val="single" w:sz="4" w:space="0" w:color="auto"/>
            </w:tcBorders>
            <w:shd w:val="clear" w:color="auto" w:fill="99CCFF"/>
            <w:vAlign w:val="center"/>
          </w:tcPr>
          <w:p w14:paraId="30D5BD6C" w14:textId="77777777" w:rsidR="00CA5A67" w:rsidRPr="00BB0A93" w:rsidRDefault="00CA5A67" w:rsidP="00F04B84">
            <w:pPr>
              <w:autoSpaceDE w:val="0"/>
              <w:autoSpaceDN w:val="0"/>
              <w:adjustRightInd w:val="0"/>
              <w:jc w:val="center"/>
              <w:rPr>
                <w:b/>
                <w:sz w:val="18"/>
                <w:szCs w:val="18"/>
              </w:rPr>
            </w:pPr>
            <w:r w:rsidRPr="353DE84B">
              <w:rPr>
                <w:b/>
                <w:bCs/>
                <w:color w:val="000000" w:themeColor="text1"/>
                <w:sz w:val="18"/>
                <w:szCs w:val="18"/>
              </w:rPr>
              <w:t>Mg</w:t>
            </w:r>
          </w:p>
        </w:tc>
        <w:tc>
          <w:tcPr>
            <w:tcW w:w="934" w:type="dxa"/>
            <w:tcBorders>
              <w:top w:val="nil"/>
              <w:left w:val="nil"/>
              <w:bottom w:val="single" w:sz="4" w:space="0" w:color="auto"/>
              <w:right w:val="single" w:sz="4" w:space="0" w:color="auto"/>
            </w:tcBorders>
            <w:shd w:val="clear" w:color="auto" w:fill="99CCFF"/>
            <w:vAlign w:val="center"/>
          </w:tcPr>
          <w:p w14:paraId="12D0AA36" w14:textId="77777777" w:rsidR="00CA5A67" w:rsidRPr="00BB0A93" w:rsidRDefault="00CA5A67" w:rsidP="00F04B84">
            <w:pPr>
              <w:autoSpaceDE w:val="0"/>
              <w:autoSpaceDN w:val="0"/>
              <w:adjustRightInd w:val="0"/>
              <w:jc w:val="center"/>
              <w:rPr>
                <w:b/>
                <w:sz w:val="18"/>
                <w:szCs w:val="18"/>
              </w:rPr>
            </w:pPr>
            <w:r w:rsidRPr="353DE84B">
              <w:rPr>
                <w:b/>
                <w:bCs/>
                <w:color w:val="000000" w:themeColor="text1"/>
                <w:sz w:val="18"/>
                <w:szCs w:val="18"/>
              </w:rPr>
              <w:t>Mg</w:t>
            </w:r>
          </w:p>
        </w:tc>
      </w:tr>
      <w:tr w:rsidR="00CA5A67" w:rsidRPr="000B19D9" w14:paraId="110B899B" w14:textId="77777777" w:rsidTr="00F04B84">
        <w:trPr>
          <w:trHeight w:val="313"/>
        </w:trPr>
        <w:tc>
          <w:tcPr>
            <w:tcW w:w="4390" w:type="dxa"/>
            <w:tcBorders>
              <w:top w:val="nil"/>
              <w:left w:val="single" w:sz="4" w:space="0" w:color="auto"/>
              <w:bottom w:val="single" w:sz="4" w:space="0" w:color="auto"/>
              <w:right w:val="single" w:sz="4" w:space="0" w:color="auto"/>
            </w:tcBorders>
            <w:shd w:val="clear" w:color="auto" w:fill="D0CECE"/>
            <w:noWrap/>
            <w:vAlign w:val="center"/>
            <w:hideMark/>
          </w:tcPr>
          <w:p w14:paraId="2F73F646" w14:textId="77777777" w:rsidR="00CA5A67" w:rsidRPr="00BB0A93" w:rsidRDefault="00CA5A67" w:rsidP="00F04B84">
            <w:pPr>
              <w:rPr>
                <w:b/>
                <w:sz w:val="18"/>
                <w:szCs w:val="18"/>
              </w:rPr>
            </w:pPr>
            <w:r w:rsidRPr="353DE84B">
              <w:rPr>
                <w:b/>
                <w:bCs/>
                <w:sz w:val="18"/>
                <w:szCs w:val="18"/>
              </w:rPr>
              <w:t>Ogółem</w:t>
            </w:r>
          </w:p>
        </w:tc>
        <w:tc>
          <w:tcPr>
            <w:tcW w:w="934" w:type="dxa"/>
            <w:tcBorders>
              <w:top w:val="single" w:sz="4" w:space="0" w:color="auto"/>
              <w:left w:val="single" w:sz="4" w:space="0" w:color="auto"/>
              <w:bottom w:val="single" w:sz="4" w:space="0" w:color="auto"/>
              <w:right w:val="single" w:sz="4" w:space="0" w:color="auto"/>
            </w:tcBorders>
            <w:shd w:val="clear" w:color="auto" w:fill="D0CECE"/>
            <w:vAlign w:val="center"/>
          </w:tcPr>
          <w:p w14:paraId="0EBBA8AF" w14:textId="77777777" w:rsidR="00CA5A67" w:rsidRPr="00BB0A93" w:rsidRDefault="00CA5A67" w:rsidP="00F04B84">
            <w:pPr>
              <w:jc w:val="right"/>
              <w:rPr>
                <w:b/>
                <w:sz w:val="18"/>
                <w:szCs w:val="18"/>
              </w:rPr>
            </w:pPr>
            <w:r w:rsidRPr="353DE84B">
              <w:rPr>
                <w:rFonts w:cs="Arial"/>
                <w:b/>
                <w:bCs/>
                <w:sz w:val="18"/>
                <w:szCs w:val="18"/>
              </w:rPr>
              <w:t>305,97</w:t>
            </w:r>
          </w:p>
        </w:tc>
        <w:tc>
          <w:tcPr>
            <w:tcW w:w="934" w:type="dxa"/>
            <w:tcBorders>
              <w:top w:val="single" w:sz="4" w:space="0" w:color="auto"/>
              <w:left w:val="single" w:sz="4" w:space="0" w:color="auto"/>
              <w:bottom w:val="single" w:sz="4" w:space="0" w:color="auto"/>
              <w:right w:val="single" w:sz="4" w:space="0" w:color="auto"/>
            </w:tcBorders>
            <w:shd w:val="clear" w:color="auto" w:fill="D0CECE"/>
            <w:vAlign w:val="center"/>
          </w:tcPr>
          <w:p w14:paraId="5042FF77" w14:textId="77777777" w:rsidR="00CA5A67" w:rsidRPr="00BB0A93" w:rsidRDefault="00CA5A67" w:rsidP="00F04B84">
            <w:pPr>
              <w:jc w:val="right"/>
              <w:rPr>
                <w:b/>
                <w:sz w:val="18"/>
                <w:szCs w:val="18"/>
              </w:rPr>
            </w:pPr>
            <w:r w:rsidRPr="353DE84B">
              <w:rPr>
                <w:rFonts w:cs="Arial"/>
                <w:b/>
                <w:bCs/>
                <w:sz w:val="18"/>
                <w:szCs w:val="18"/>
              </w:rPr>
              <w:t>287,33</w:t>
            </w:r>
          </w:p>
        </w:tc>
        <w:tc>
          <w:tcPr>
            <w:tcW w:w="934" w:type="dxa"/>
            <w:tcBorders>
              <w:top w:val="single" w:sz="4" w:space="0" w:color="auto"/>
              <w:left w:val="single" w:sz="4" w:space="0" w:color="auto"/>
              <w:bottom w:val="single" w:sz="4" w:space="0" w:color="auto"/>
              <w:right w:val="single" w:sz="4" w:space="0" w:color="auto"/>
            </w:tcBorders>
            <w:shd w:val="clear" w:color="auto" w:fill="D0CECE"/>
            <w:vAlign w:val="center"/>
          </w:tcPr>
          <w:p w14:paraId="354F536B" w14:textId="77777777" w:rsidR="00CA5A67" w:rsidRPr="00BB0A93" w:rsidRDefault="00CA5A67" w:rsidP="00F04B84">
            <w:pPr>
              <w:jc w:val="right"/>
              <w:rPr>
                <w:b/>
                <w:sz w:val="18"/>
                <w:szCs w:val="18"/>
              </w:rPr>
            </w:pPr>
            <w:r w:rsidRPr="353DE84B">
              <w:rPr>
                <w:rFonts w:cs="Arial"/>
                <w:b/>
                <w:bCs/>
                <w:sz w:val="18"/>
                <w:szCs w:val="18"/>
              </w:rPr>
              <w:t>306,83</w:t>
            </w:r>
          </w:p>
        </w:tc>
        <w:tc>
          <w:tcPr>
            <w:tcW w:w="934" w:type="dxa"/>
            <w:tcBorders>
              <w:top w:val="single" w:sz="4" w:space="0" w:color="auto"/>
              <w:left w:val="single" w:sz="4" w:space="0" w:color="auto"/>
              <w:bottom w:val="single" w:sz="4" w:space="0" w:color="auto"/>
              <w:right w:val="single" w:sz="4" w:space="0" w:color="auto"/>
            </w:tcBorders>
            <w:shd w:val="clear" w:color="auto" w:fill="D0CECE"/>
            <w:noWrap/>
            <w:vAlign w:val="center"/>
          </w:tcPr>
          <w:p w14:paraId="3F400BE2" w14:textId="77777777" w:rsidR="00CA5A67" w:rsidRPr="00BB0A93" w:rsidRDefault="00CA5A67" w:rsidP="00F04B84">
            <w:pPr>
              <w:jc w:val="right"/>
              <w:rPr>
                <w:b/>
                <w:sz w:val="18"/>
                <w:szCs w:val="18"/>
              </w:rPr>
            </w:pPr>
            <w:r w:rsidRPr="353DE84B">
              <w:rPr>
                <w:rFonts w:cs="Arial"/>
                <w:b/>
                <w:bCs/>
                <w:sz w:val="18"/>
                <w:szCs w:val="18"/>
              </w:rPr>
              <w:t>223,32</w:t>
            </w:r>
          </w:p>
        </w:tc>
        <w:tc>
          <w:tcPr>
            <w:tcW w:w="934" w:type="dxa"/>
            <w:tcBorders>
              <w:top w:val="single" w:sz="4" w:space="0" w:color="auto"/>
              <w:left w:val="single" w:sz="4" w:space="0" w:color="auto"/>
              <w:bottom w:val="single" w:sz="4" w:space="0" w:color="auto"/>
              <w:right w:val="single" w:sz="4" w:space="0" w:color="auto"/>
            </w:tcBorders>
            <w:shd w:val="clear" w:color="auto" w:fill="D0CECE"/>
            <w:noWrap/>
            <w:vAlign w:val="center"/>
          </w:tcPr>
          <w:p w14:paraId="1714B90B" w14:textId="77777777" w:rsidR="00CA5A67" w:rsidRPr="00BB0A93" w:rsidRDefault="00CA5A67" w:rsidP="00F04B84">
            <w:pPr>
              <w:jc w:val="right"/>
              <w:rPr>
                <w:b/>
                <w:sz w:val="18"/>
                <w:szCs w:val="18"/>
              </w:rPr>
            </w:pPr>
            <w:r w:rsidRPr="353DE84B">
              <w:rPr>
                <w:rFonts w:cs="Arial"/>
                <w:b/>
                <w:bCs/>
                <w:sz w:val="18"/>
                <w:szCs w:val="18"/>
              </w:rPr>
              <w:t>197,34</w:t>
            </w:r>
          </w:p>
        </w:tc>
      </w:tr>
      <w:tr w:rsidR="00CA5A67" w:rsidRPr="00E603D9" w14:paraId="4229E478" w14:textId="77777777" w:rsidTr="00F04B84">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AB20A" w14:textId="77777777" w:rsidR="00CA5A67" w:rsidRPr="00BB0A93" w:rsidRDefault="00CA5A67" w:rsidP="00F04B84">
            <w:pPr>
              <w:rPr>
                <w:b/>
                <w:sz w:val="18"/>
                <w:szCs w:val="18"/>
              </w:rPr>
            </w:pPr>
            <w:r w:rsidRPr="353DE84B">
              <w:rPr>
                <w:b/>
                <w:bCs/>
                <w:sz w:val="18"/>
                <w:szCs w:val="18"/>
              </w:rPr>
              <w:t>1. Energia</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97CDBFC" w14:textId="77777777" w:rsidR="00CA5A67" w:rsidRPr="00BB0A93" w:rsidRDefault="00CA5A67" w:rsidP="00F04B84">
            <w:pPr>
              <w:jc w:val="right"/>
              <w:rPr>
                <w:b/>
                <w:sz w:val="18"/>
                <w:szCs w:val="18"/>
              </w:rPr>
            </w:pPr>
            <w:r w:rsidRPr="353DE84B">
              <w:rPr>
                <w:rFonts w:cs="Arial"/>
                <w:b/>
                <w:bCs/>
                <w:sz w:val="18"/>
                <w:szCs w:val="18"/>
              </w:rPr>
              <w:t>295,51</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76102EC8" w14:textId="77777777" w:rsidR="00CA5A67" w:rsidRPr="00BB0A93" w:rsidRDefault="00CA5A67" w:rsidP="00F04B84">
            <w:pPr>
              <w:jc w:val="right"/>
              <w:rPr>
                <w:b/>
                <w:sz w:val="18"/>
                <w:szCs w:val="18"/>
              </w:rPr>
            </w:pPr>
            <w:r w:rsidRPr="353DE84B">
              <w:rPr>
                <w:rFonts w:cs="Arial"/>
                <w:b/>
                <w:bCs/>
                <w:sz w:val="18"/>
                <w:szCs w:val="18"/>
              </w:rPr>
              <w:t>277,29</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5DFB680" w14:textId="77777777" w:rsidR="00CA5A67" w:rsidRPr="00BB0A93" w:rsidRDefault="00CA5A67" w:rsidP="00F04B84">
            <w:pPr>
              <w:jc w:val="right"/>
              <w:rPr>
                <w:b/>
                <w:sz w:val="18"/>
                <w:szCs w:val="18"/>
              </w:rPr>
            </w:pPr>
            <w:r w:rsidRPr="353DE84B">
              <w:rPr>
                <w:rFonts w:cs="Arial"/>
                <w:b/>
                <w:bCs/>
                <w:sz w:val="18"/>
                <w:szCs w:val="18"/>
              </w:rPr>
              <w:t>297,18</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69327A" w14:textId="77777777" w:rsidR="00CA5A67" w:rsidRPr="00BB0A93" w:rsidRDefault="00CA5A67" w:rsidP="00F04B84">
            <w:pPr>
              <w:jc w:val="right"/>
              <w:rPr>
                <w:b/>
                <w:sz w:val="18"/>
                <w:szCs w:val="18"/>
                <w:highlight w:val="yellow"/>
              </w:rPr>
            </w:pPr>
            <w:r w:rsidRPr="353DE84B">
              <w:rPr>
                <w:rFonts w:cs="Arial"/>
                <w:b/>
                <w:bCs/>
                <w:sz w:val="18"/>
                <w:szCs w:val="18"/>
              </w:rPr>
              <w:t>212,60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25454" w14:textId="77777777" w:rsidR="00CA5A67" w:rsidRPr="00BB0A93" w:rsidRDefault="00CA5A67" w:rsidP="00F04B84">
            <w:pPr>
              <w:jc w:val="right"/>
              <w:rPr>
                <w:b/>
                <w:sz w:val="18"/>
                <w:szCs w:val="18"/>
                <w:highlight w:val="yellow"/>
              </w:rPr>
            </w:pPr>
            <w:r w:rsidRPr="353DE84B">
              <w:rPr>
                <w:rFonts w:cs="Arial"/>
                <w:b/>
                <w:bCs/>
                <w:sz w:val="18"/>
                <w:szCs w:val="18"/>
              </w:rPr>
              <w:t>187,08</w:t>
            </w:r>
          </w:p>
        </w:tc>
      </w:tr>
      <w:tr w:rsidR="00CA5A67" w:rsidRPr="000B19D9" w14:paraId="514E1A2C"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5C2EB425" w14:textId="77777777" w:rsidR="00CA5A67" w:rsidRPr="00BB0A93" w:rsidRDefault="00CA5A67" w:rsidP="00F04B84">
            <w:pPr>
              <w:ind w:firstLineChars="200" w:firstLine="360"/>
              <w:rPr>
                <w:sz w:val="18"/>
                <w:szCs w:val="18"/>
              </w:rPr>
            </w:pPr>
            <w:r w:rsidRPr="353DE84B">
              <w:rPr>
                <w:sz w:val="18"/>
                <w:szCs w:val="18"/>
              </w:rPr>
              <w:t>A. Spalanie paliw</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06C1E682" w14:textId="77777777" w:rsidR="00CA5A67" w:rsidRPr="00BB0A93" w:rsidRDefault="00CA5A67" w:rsidP="00F04B84">
            <w:pPr>
              <w:jc w:val="right"/>
              <w:rPr>
                <w:sz w:val="18"/>
                <w:szCs w:val="18"/>
              </w:rPr>
            </w:pPr>
            <w:r w:rsidRPr="353DE84B">
              <w:rPr>
                <w:rFonts w:cs="Arial"/>
                <w:sz w:val="18"/>
                <w:szCs w:val="18"/>
              </w:rPr>
              <w:t>288,34</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7B4AE64" w14:textId="77777777" w:rsidR="00CA5A67" w:rsidRPr="00BB0A93" w:rsidRDefault="00CA5A67" w:rsidP="00F04B84">
            <w:pPr>
              <w:jc w:val="right"/>
              <w:rPr>
                <w:sz w:val="18"/>
                <w:szCs w:val="18"/>
              </w:rPr>
            </w:pPr>
            <w:r w:rsidRPr="353DE84B">
              <w:rPr>
                <w:rFonts w:cs="Arial"/>
                <w:sz w:val="18"/>
                <w:szCs w:val="18"/>
              </w:rPr>
              <w:t>272,84</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9930FC3" w14:textId="77777777" w:rsidR="00CA5A67" w:rsidRPr="00BB0A93" w:rsidRDefault="00CA5A67" w:rsidP="00F04B84">
            <w:pPr>
              <w:jc w:val="right"/>
              <w:rPr>
                <w:sz w:val="18"/>
                <w:szCs w:val="18"/>
              </w:rPr>
            </w:pPr>
            <w:r w:rsidRPr="353DE84B">
              <w:rPr>
                <w:rFonts w:cs="Arial"/>
                <w:sz w:val="18"/>
                <w:szCs w:val="18"/>
              </w:rPr>
              <w:t>291,96</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D09916" w14:textId="77777777" w:rsidR="00CA5A67" w:rsidRPr="00BB0A93" w:rsidRDefault="00CA5A67" w:rsidP="00F04B84">
            <w:pPr>
              <w:jc w:val="right"/>
              <w:rPr>
                <w:sz w:val="18"/>
                <w:szCs w:val="18"/>
                <w:highlight w:val="yellow"/>
              </w:rPr>
            </w:pPr>
            <w:r w:rsidRPr="353DE84B">
              <w:rPr>
                <w:rFonts w:cs="Arial"/>
                <w:sz w:val="18"/>
                <w:szCs w:val="18"/>
              </w:rPr>
              <w:t>207,58</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DB463" w14:textId="77777777" w:rsidR="00CA5A67" w:rsidRPr="00BB0A93" w:rsidRDefault="00CA5A67" w:rsidP="00F04B84">
            <w:pPr>
              <w:jc w:val="right"/>
              <w:rPr>
                <w:sz w:val="18"/>
                <w:szCs w:val="18"/>
                <w:highlight w:val="yellow"/>
              </w:rPr>
            </w:pPr>
            <w:r w:rsidRPr="353DE84B">
              <w:rPr>
                <w:rFonts w:cs="Arial"/>
                <w:sz w:val="18"/>
                <w:szCs w:val="18"/>
              </w:rPr>
              <w:t>182,35</w:t>
            </w:r>
          </w:p>
        </w:tc>
      </w:tr>
      <w:tr w:rsidR="00CA5A67" w:rsidRPr="000B5EA5" w14:paraId="6EA8C9C4"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3C4EEC84" w14:textId="77777777" w:rsidR="00CA5A67" w:rsidRPr="00BB0A93" w:rsidRDefault="00CA5A67" w:rsidP="00CA3BB7">
            <w:pPr>
              <w:pStyle w:val="Akapitzlist"/>
              <w:numPr>
                <w:ilvl w:val="0"/>
                <w:numId w:val="18"/>
              </w:numPr>
              <w:spacing w:after="0" w:line="240" w:lineRule="auto"/>
              <w:ind w:hanging="215"/>
              <w:rPr>
                <w:sz w:val="18"/>
                <w:szCs w:val="18"/>
              </w:rPr>
            </w:pPr>
            <w:r w:rsidRPr="353DE84B">
              <w:rPr>
                <w:sz w:val="18"/>
                <w:szCs w:val="18"/>
              </w:rPr>
              <w:t>Przemysły energetyczne</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3AD45853" w14:textId="77777777" w:rsidR="00CA5A67" w:rsidRPr="00BB0A93" w:rsidRDefault="00CA5A67" w:rsidP="00F04B84">
            <w:pPr>
              <w:jc w:val="right"/>
              <w:rPr>
                <w:sz w:val="18"/>
                <w:szCs w:val="18"/>
              </w:rPr>
            </w:pPr>
            <w:r w:rsidRPr="353DE84B">
              <w:rPr>
                <w:rFonts w:cs="Arial"/>
                <w:sz w:val="18"/>
                <w:szCs w:val="18"/>
              </w:rPr>
              <w:t>1,00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7F4D2FDB" w14:textId="77777777" w:rsidR="00CA5A67" w:rsidRPr="00BB0A93" w:rsidRDefault="00CA5A67" w:rsidP="00F04B84">
            <w:pPr>
              <w:jc w:val="right"/>
              <w:rPr>
                <w:sz w:val="18"/>
                <w:szCs w:val="18"/>
              </w:rPr>
            </w:pPr>
            <w:r w:rsidRPr="353DE84B">
              <w:rPr>
                <w:rFonts w:cs="Arial"/>
                <w:sz w:val="18"/>
                <w:szCs w:val="18"/>
              </w:rPr>
              <w:t>0,28</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F31DE3E" w14:textId="77777777" w:rsidR="00CA5A67" w:rsidRPr="00BB0A93" w:rsidRDefault="00CA5A67" w:rsidP="00F04B84">
            <w:pPr>
              <w:jc w:val="right"/>
              <w:rPr>
                <w:sz w:val="18"/>
                <w:szCs w:val="18"/>
              </w:rPr>
            </w:pPr>
            <w:r w:rsidRPr="353DE84B">
              <w:rPr>
                <w:rFonts w:cs="Arial"/>
                <w:sz w:val="18"/>
                <w:szCs w:val="18"/>
              </w:rPr>
              <w:t>0,29</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27C9C3" w14:textId="77777777" w:rsidR="00CA5A67" w:rsidRPr="00BB0A93" w:rsidRDefault="00CA5A67" w:rsidP="00F04B84">
            <w:pPr>
              <w:jc w:val="right"/>
              <w:rPr>
                <w:sz w:val="18"/>
                <w:szCs w:val="18"/>
                <w:highlight w:val="yellow"/>
              </w:rPr>
            </w:pPr>
            <w:r w:rsidRPr="353DE84B">
              <w:rPr>
                <w:rFonts w:cs="Arial"/>
                <w:sz w:val="18"/>
                <w:szCs w:val="18"/>
              </w:rPr>
              <w:t>0,25</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74247D" w14:textId="77777777" w:rsidR="00CA5A67" w:rsidRPr="00BB0A93" w:rsidRDefault="00CA5A67" w:rsidP="00F04B84">
            <w:pPr>
              <w:jc w:val="right"/>
              <w:rPr>
                <w:sz w:val="18"/>
                <w:szCs w:val="18"/>
                <w:highlight w:val="yellow"/>
              </w:rPr>
            </w:pPr>
            <w:r w:rsidRPr="353DE84B">
              <w:rPr>
                <w:rFonts w:cs="Arial"/>
                <w:sz w:val="18"/>
                <w:szCs w:val="18"/>
              </w:rPr>
              <w:t>0,28</w:t>
            </w:r>
          </w:p>
        </w:tc>
      </w:tr>
      <w:tr w:rsidR="00CA5A67" w:rsidRPr="000B19D9" w14:paraId="1A93F849"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5C5155CB" w14:textId="77777777" w:rsidR="00CA5A67" w:rsidRPr="00BB0A93" w:rsidRDefault="00CA5A67" w:rsidP="00CA3BB7">
            <w:pPr>
              <w:pStyle w:val="Akapitzlist"/>
              <w:numPr>
                <w:ilvl w:val="0"/>
                <w:numId w:val="18"/>
              </w:numPr>
              <w:spacing w:after="0" w:line="240" w:lineRule="auto"/>
              <w:ind w:left="856" w:hanging="227"/>
              <w:rPr>
                <w:sz w:val="18"/>
                <w:szCs w:val="18"/>
              </w:rPr>
            </w:pPr>
            <w:r w:rsidRPr="353DE84B">
              <w:rPr>
                <w:sz w:val="18"/>
                <w:szCs w:val="18"/>
              </w:rPr>
              <w:t>Przemysł wytwórczy</w:t>
            </w:r>
            <w:r>
              <w:rPr>
                <w:sz w:val="18"/>
                <w:szCs w:val="18"/>
              </w:rPr>
              <w:t xml:space="preserve"> i </w:t>
            </w:r>
            <w:r w:rsidRPr="353DE84B">
              <w:rPr>
                <w:sz w:val="18"/>
                <w:szCs w:val="18"/>
              </w:rPr>
              <w:t>budownictwo</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375534AC" w14:textId="77777777" w:rsidR="00CA5A67" w:rsidRPr="00BB0A93" w:rsidRDefault="00CA5A67" w:rsidP="00F04B84">
            <w:pPr>
              <w:jc w:val="right"/>
              <w:rPr>
                <w:sz w:val="18"/>
                <w:szCs w:val="18"/>
              </w:rPr>
            </w:pPr>
            <w:r w:rsidRPr="353DE84B">
              <w:rPr>
                <w:rFonts w:cs="Arial"/>
                <w:sz w:val="18"/>
                <w:szCs w:val="18"/>
              </w:rPr>
              <w:t>0,47</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AD281D9" w14:textId="77777777" w:rsidR="00CA5A67" w:rsidRPr="00BB0A93" w:rsidRDefault="00CA5A67" w:rsidP="00F04B84">
            <w:pPr>
              <w:jc w:val="right"/>
              <w:rPr>
                <w:sz w:val="18"/>
                <w:szCs w:val="18"/>
              </w:rPr>
            </w:pPr>
            <w:r w:rsidRPr="353DE84B">
              <w:rPr>
                <w:rFonts w:cs="Arial"/>
                <w:sz w:val="18"/>
                <w:szCs w:val="18"/>
              </w:rPr>
              <w:t>0,46</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8CC5A17" w14:textId="77777777" w:rsidR="00CA5A67" w:rsidRPr="00BB0A93" w:rsidRDefault="00CA5A67" w:rsidP="00F04B84">
            <w:pPr>
              <w:jc w:val="right"/>
              <w:rPr>
                <w:sz w:val="18"/>
                <w:szCs w:val="18"/>
              </w:rPr>
            </w:pPr>
            <w:r w:rsidRPr="353DE84B">
              <w:rPr>
                <w:rFonts w:cs="Arial"/>
                <w:sz w:val="18"/>
                <w:szCs w:val="18"/>
              </w:rPr>
              <w:t>0,47</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A912A7" w14:textId="77777777" w:rsidR="00CA5A67" w:rsidRPr="00BB0A93" w:rsidRDefault="00CA5A67" w:rsidP="00F04B84">
            <w:pPr>
              <w:jc w:val="right"/>
              <w:rPr>
                <w:sz w:val="18"/>
                <w:szCs w:val="18"/>
                <w:highlight w:val="yellow"/>
              </w:rPr>
            </w:pPr>
            <w:r w:rsidRPr="353DE84B">
              <w:rPr>
                <w:rFonts w:cs="Arial"/>
                <w:sz w:val="18"/>
                <w:szCs w:val="18"/>
              </w:rPr>
              <w:t>0,50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3D5288" w14:textId="77777777" w:rsidR="00CA5A67" w:rsidRPr="00BB0A93" w:rsidRDefault="00CA5A67" w:rsidP="00F04B84">
            <w:pPr>
              <w:jc w:val="right"/>
              <w:rPr>
                <w:sz w:val="18"/>
                <w:szCs w:val="18"/>
                <w:highlight w:val="yellow"/>
              </w:rPr>
            </w:pPr>
            <w:r w:rsidRPr="353DE84B">
              <w:rPr>
                <w:rFonts w:cs="Arial"/>
                <w:sz w:val="18"/>
                <w:szCs w:val="18"/>
              </w:rPr>
              <w:t>0,51</w:t>
            </w:r>
          </w:p>
        </w:tc>
      </w:tr>
      <w:tr w:rsidR="00CA5A67" w:rsidRPr="000B19D9" w14:paraId="329B30E1"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39A8C9EF" w14:textId="77777777" w:rsidR="00CA5A67" w:rsidRPr="00BB0A93" w:rsidRDefault="00CA5A67" w:rsidP="00CA3BB7">
            <w:pPr>
              <w:pStyle w:val="Akapitzlist"/>
              <w:numPr>
                <w:ilvl w:val="0"/>
                <w:numId w:val="18"/>
              </w:numPr>
              <w:spacing w:after="0" w:line="240" w:lineRule="auto"/>
              <w:ind w:left="856" w:hanging="227"/>
              <w:rPr>
                <w:sz w:val="18"/>
                <w:szCs w:val="18"/>
              </w:rPr>
            </w:pPr>
            <w:r w:rsidRPr="353DE84B">
              <w:rPr>
                <w:sz w:val="18"/>
                <w:szCs w:val="18"/>
              </w:rPr>
              <w:t>Transport</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B579F42" w14:textId="77777777" w:rsidR="00CA5A67" w:rsidRPr="00BB0A93" w:rsidRDefault="00CA5A67" w:rsidP="00F04B84">
            <w:pPr>
              <w:jc w:val="right"/>
              <w:rPr>
                <w:sz w:val="18"/>
                <w:szCs w:val="18"/>
              </w:rPr>
            </w:pPr>
            <w:r w:rsidRPr="353DE84B">
              <w:rPr>
                <w:rFonts w:cs="Arial"/>
                <w:sz w:val="18"/>
                <w:szCs w:val="18"/>
              </w:rPr>
              <w:t>0,35</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0B855AC1" w14:textId="77777777" w:rsidR="00CA5A67" w:rsidRPr="00BB0A93" w:rsidRDefault="00CA5A67" w:rsidP="00F04B84">
            <w:pPr>
              <w:jc w:val="right"/>
              <w:rPr>
                <w:sz w:val="18"/>
                <w:szCs w:val="18"/>
              </w:rPr>
            </w:pPr>
            <w:r w:rsidRPr="353DE84B">
              <w:rPr>
                <w:rFonts w:cs="Arial"/>
                <w:sz w:val="18"/>
                <w:szCs w:val="18"/>
              </w:rPr>
              <w:t>0,57</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5F7654C" w14:textId="77777777" w:rsidR="00CA5A67" w:rsidRPr="00BB0A93" w:rsidRDefault="00CA5A67" w:rsidP="00F04B84">
            <w:pPr>
              <w:jc w:val="right"/>
              <w:rPr>
                <w:sz w:val="18"/>
                <w:szCs w:val="18"/>
              </w:rPr>
            </w:pPr>
            <w:r w:rsidRPr="353DE84B">
              <w:rPr>
                <w:rFonts w:cs="Arial"/>
                <w:sz w:val="18"/>
                <w:szCs w:val="18"/>
              </w:rPr>
              <w:t>1,03</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5DD84" w14:textId="77777777" w:rsidR="00CA5A67" w:rsidRPr="00BB0A93" w:rsidRDefault="00CA5A67" w:rsidP="00F04B84">
            <w:pPr>
              <w:jc w:val="right"/>
              <w:rPr>
                <w:sz w:val="18"/>
                <w:szCs w:val="18"/>
                <w:highlight w:val="yellow"/>
              </w:rPr>
            </w:pPr>
            <w:r w:rsidRPr="353DE84B">
              <w:rPr>
                <w:rFonts w:cs="Arial"/>
                <w:sz w:val="18"/>
                <w:szCs w:val="18"/>
              </w:rPr>
              <w:t>1,46</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3FE0AD" w14:textId="77777777" w:rsidR="00CA5A67" w:rsidRPr="00BB0A93" w:rsidRDefault="00CA5A67" w:rsidP="00F04B84">
            <w:pPr>
              <w:jc w:val="right"/>
              <w:rPr>
                <w:sz w:val="18"/>
                <w:szCs w:val="18"/>
                <w:highlight w:val="yellow"/>
              </w:rPr>
            </w:pPr>
            <w:r w:rsidRPr="353DE84B">
              <w:rPr>
                <w:rFonts w:cs="Arial"/>
                <w:sz w:val="18"/>
                <w:szCs w:val="18"/>
              </w:rPr>
              <w:t>1,87</w:t>
            </w:r>
          </w:p>
        </w:tc>
      </w:tr>
      <w:tr w:rsidR="00CA5A67" w:rsidRPr="000B19D9" w14:paraId="3834F147"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06AEEE06" w14:textId="77777777" w:rsidR="00CA5A67" w:rsidRPr="00BB0A93" w:rsidRDefault="00CA5A67" w:rsidP="00CA3BB7">
            <w:pPr>
              <w:pStyle w:val="Akapitzlist"/>
              <w:numPr>
                <w:ilvl w:val="0"/>
                <w:numId w:val="18"/>
              </w:numPr>
              <w:spacing w:after="0" w:line="240" w:lineRule="auto"/>
              <w:ind w:left="856" w:hanging="227"/>
              <w:rPr>
                <w:sz w:val="18"/>
                <w:szCs w:val="18"/>
              </w:rPr>
            </w:pPr>
            <w:r w:rsidRPr="353DE84B">
              <w:rPr>
                <w:sz w:val="18"/>
                <w:szCs w:val="18"/>
              </w:rPr>
              <w:t>Inne sektory</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7FEE1E30" w14:textId="77777777" w:rsidR="00CA5A67" w:rsidRPr="00BB0A93" w:rsidRDefault="00CA5A67" w:rsidP="00F04B84">
            <w:pPr>
              <w:jc w:val="right"/>
              <w:rPr>
                <w:sz w:val="18"/>
                <w:szCs w:val="18"/>
              </w:rPr>
            </w:pPr>
            <w:r w:rsidRPr="353DE84B">
              <w:rPr>
                <w:rFonts w:cs="Arial"/>
                <w:sz w:val="18"/>
                <w:szCs w:val="18"/>
              </w:rPr>
              <w:t>286,52</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D09189D" w14:textId="77777777" w:rsidR="00CA5A67" w:rsidRPr="00BB0A93" w:rsidRDefault="00CA5A67" w:rsidP="00F04B84">
            <w:pPr>
              <w:jc w:val="right"/>
              <w:rPr>
                <w:sz w:val="18"/>
                <w:szCs w:val="18"/>
              </w:rPr>
            </w:pPr>
            <w:r w:rsidRPr="353DE84B">
              <w:rPr>
                <w:rFonts w:cs="Arial"/>
                <w:sz w:val="18"/>
                <w:szCs w:val="18"/>
              </w:rPr>
              <w:t>271,52</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1021E92" w14:textId="77777777" w:rsidR="00CA5A67" w:rsidRPr="00BB0A93" w:rsidRDefault="00CA5A67" w:rsidP="00F04B84">
            <w:pPr>
              <w:jc w:val="right"/>
              <w:rPr>
                <w:sz w:val="18"/>
                <w:szCs w:val="18"/>
              </w:rPr>
            </w:pPr>
            <w:r w:rsidRPr="353DE84B">
              <w:rPr>
                <w:rFonts w:cs="Arial"/>
                <w:sz w:val="18"/>
                <w:szCs w:val="18"/>
              </w:rPr>
              <w:t>290,18</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B914C" w14:textId="77777777" w:rsidR="00CA5A67" w:rsidRPr="00BB0A93" w:rsidRDefault="00CA5A67" w:rsidP="00F04B84">
            <w:pPr>
              <w:jc w:val="right"/>
              <w:rPr>
                <w:sz w:val="18"/>
                <w:szCs w:val="18"/>
                <w:highlight w:val="yellow"/>
              </w:rPr>
            </w:pPr>
            <w:r w:rsidRPr="353DE84B">
              <w:rPr>
                <w:rFonts w:cs="Arial"/>
                <w:sz w:val="18"/>
                <w:szCs w:val="18"/>
              </w:rPr>
              <w:t>205,37</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E1C44F" w14:textId="77777777" w:rsidR="00CA5A67" w:rsidRPr="00BB0A93" w:rsidRDefault="00CA5A67" w:rsidP="00F04B84">
            <w:pPr>
              <w:jc w:val="right"/>
              <w:rPr>
                <w:sz w:val="18"/>
                <w:szCs w:val="18"/>
                <w:highlight w:val="yellow"/>
              </w:rPr>
            </w:pPr>
            <w:r w:rsidRPr="353DE84B">
              <w:rPr>
                <w:rFonts w:cs="Arial"/>
                <w:sz w:val="18"/>
                <w:szCs w:val="18"/>
              </w:rPr>
              <w:t>179,69</w:t>
            </w:r>
          </w:p>
        </w:tc>
      </w:tr>
      <w:tr w:rsidR="00CA5A67" w:rsidRPr="000B19D9" w14:paraId="06D4B7CE"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6218FDD1" w14:textId="77777777" w:rsidR="00CA5A67" w:rsidRPr="00BB0A93" w:rsidRDefault="00CA5A67" w:rsidP="00F04B84">
            <w:pPr>
              <w:ind w:firstLineChars="200" w:firstLine="360"/>
              <w:rPr>
                <w:sz w:val="18"/>
                <w:szCs w:val="18"/>
              </w:rPr>
            </w:pPr>
            <w:r w:rsidRPr="353DE84B">
              <w:rPr>
                <w:sz w:val="18"/>
                <w:szCs w:val="18"/>
              </w:rPr>
              <w:t>B. Emisja lotna</w:t>
            </w:r>
            <w:r>
              <w:rPr>
                <w:sz w:val="18"/>
                <w:szCs w:val="18"/>
              </w:rPr>
              <w:t xml:space="preserve"> z </w:t>
            </w:r>
            <w:r w:rsidRPr="353DE84B">
              <w:rPr>
                <w:sz w:val="18"/>
                <w:szCs w:val="18"/>
              </w:rPr>
              <w:t>paliw</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73CE30A3" w14:textId="77777777" w:rsidR="00CA5A67" w:rsidRPr="00BB0A93" w:rsidRDefault="00CA5A67" w:rsidP="00F04B84">
            <w:pPr>
              <w:jc w:val="right"/>
              <w:rPr>
                <w:sz w:val="18"/>
                <w:szCs w:val="18"/>
              </w:rPr>
            </w:pPr>
            <w:r w:rsidRPr="353DE84B">
              <w:rPr>
                <w:rFonts w:cs="Arial"/>
                <w:sz w:val="18"/>
                <w:szCs w:val="18"/>
              </w:rPr>
              <w:t>7,16</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82CC4C4" w14:textId="77777777" w:rsidR="00CA5A67" w:rsidRPr="00BB0A93" w:rsidRDefault="00CA5A67" w:rsidP="00F04B84">
            <w:pPr>
              <w:jc w:val="right"/>
              <w:rPr>
                <w:sz w:val="18"/>
                <w:szCs w:val="18"/>
              </w:rPr>
            </w:pPr>
            <w:r w:rsidRPr="353DE84B">
              <w:rPr>
                <w:rFonts w:cs="Arial"/>
                <w:sz w:val="18"/>
                <w:szCs w:val="18"/>
              </w:rPr>
              <w:t>4,45</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78856E3D" w14:textId="77777777" w:rsidR="00CA5A67" w:rsidRPr="00BB0A93" w:rsidRDefault="00CA5A67" w:rsidP="00F04B84">
            <w:pPr>
              <w:jc w:val="right"/>
              <w:rPr>
                <w:sz w:val="18"/>
                <w:szCs w:val="18"/>
              </w:rPr>
            </w:pPr>
            <w:r w:rsidRPr="353DE84B">
              <w:rPr>
                <w:rFonts w:cs="Arial"/>
                <w:sz w:val="18"/>
                <w:szCs w:val="18"/>
              </w:rPr>
              <w:t>5,22</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E30E9A" w14:textId="77777777" w:rsidR="00CA5A67" w:rsidRPr="00BB0A93" w:rsidRDefault="00CA5A67" w:rsidP="00F04B84">
            <w:pPr>
              <w:jc w:val="right"/>
              <w:rPr>
                <w:sz w:val="18"/>
                <w:szCs w:val="18"/>
                <w:highlight w:val="yellow"/>
              </w:rPr>
            </w:pPr>
            <w:r w:rsidRPr="353DE84B">
              <w:rPr>
                <w:rFonts w:cs="Arial"/>
                <w:sz w:val="18"/>
                <w:szCs w:val="18"/>
              </w:rPr>
              <w:t>5,02</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B3E7E9" w14:textId="77777777" w:rsidR="00CA5A67" w:rsidRPr="00BB0A93" w:rsidRDefault="00CA5A67" w:rsidP="00F04B84">
            <w:pPr>
              <w:jc w:val="right"/>
              <w:rPr>
                <w:sz w:val="18"/>
                <w:szCs w:val="18"/>
                <w:highlight w:val="yellow"/>
              </w:rPr>
            </w:pPr>
            <w:r w:rsidRPr="353DE84B">
              <w:rPr>
                <w:rFonts w:cs="Arial"/>
                <w:sz w:val="18"/>
                <w:szCs w:val="18"/>
              </w:rPr>
              <w:t>4,73</w:t>
            </w:r>
          </w:p>
        </w:tc>
      </w:tr>
      <w:tr w:rsidR="00CA5A67" w:rsidRPr="000B19D9" w14:paraId="27823139"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299C0B84" w14:textId="77777777" w:rsidR="00CA5A67" w:rsidRPr="00BB0A93" w:rsidRDefault="00CA5A67" w:rsidP="00CA3BB7">
            <w:pPr>
              <w:pStyle w:val="Akapitzlist"/>
              <w:numPr>
                <w:ilvl w:val="0"/>
                <w:numId w:val="19"/>
              </w:numPr>
              <w:spacing w:after="0" w:line="240" w:lineRule="auto"/>
              <w:ind w:hanging="215"/>
              <w:rPr>
                <w:sz w:val="18"/>
                <w:szCs w:val="18"/>
              </w:rPr>
            </w:pPr>
            <w:r w:rsidRPr="353DE84B">
              <w:rPr>
                <w:sz w:val="18"/>
                <w:szCs w:val="18"/>
              </w:rPr>
              <w:t>Lotna emisja</w:t>
            </w:r>
            <w:r>
              <w:rPr>
                <w:sz w:val="18"/>
                <w:szCs w:val="18"/>
              </w:rPr>
              <w:t xml:space="preserve"> z </w:t>
            </w:r>
            <w:r w:rsidRPr="353DE84B">
              <w:rPr>
                <w:sz w:val="18"/>
                <w:szCs w:val="18"/>
              </w:rPr>
              <w:t>paliw stałych</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2728AD6" w14:textId="77777777" w:rsidR="00CA5A67" w:rsidRPr="00BB0A93" w:rsidRDefault="00CA5A67" w:rsidP="00F04B84">
            <w:pPr>
              <w:jc w:val="right"/>
              <w:rPr>
                <w:sz w:val="18"/>
                <w:szCs w:val="18"/>
              </w:rPr>
            </w:pPr>
            <w:r w:rsidRPr="353DE84B">
              <w:rPr>
                <w:rFonts w:cs="Arial"/>
                <w:sz w:val="18"/>
                <w:szCs w:val="18"/>
              </w:rPr>
              <w:t>7,16</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F45234F" w14:textId="77777777" w:rsidR="00CA5A67" w:rsidRPr="00BB0A93" w:rsidRDefault="00CA5A67" w:rsidP="00F04B84">
            <w:pPr>
              <w:jc w:val="right"/>
              <w:rPr>
                <w:sz w:val="18"/>
                <w:szCs w:val="18"/>
              </w:rPr>
            </w:pPr>
            <w:r w:rsidRPr="00E603D9">
              <w:rPr>
                <w:rFonts w:cs="Arial"/>
                <w:sz w:val="18"/>
                <w:szCs w:val="18"/>
              </w:rPr>
              <w:t>4,45</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7A68794B" w14:textId="77777777" w:rsidR="00CA5A67" w:rsidRPr="00BB0A93" w:rsidRDefault="00CA5A67" w:rsidP="00F04B84">
            <w:pPr>
              <w:jc w:val="right"/>
              <w:rPr>
                <w:sz w:val="18"/>
                <w:szCs w:val="18"/>
              </w:rPr>
            </w:pPr>
            <w:r w:rsidRPr="00E603D9">
              <w:rPr>
                <w:rFonts w:cs="Arial"/>
                <w:sz w:val="18"/>
                <w:szCs w:val="18"/>
              </w:rPr>
              <w:t>5,22</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022C28" w14:textId="77777777" w:rsidR="00CA5A67" w:rsidRPr="00BB0A93" w:rsidRDefault="00CA5A67" w:rsidP="00F04B84">
            <w:pPr>
              <w:jc w:val="right"/>
              <w:rPr>
                <w:sz w:val="18"/>
                <w:szCs w:val="18"/>
                <w:highlight w:val="yellow"/>
              </w:rPr>
            </w:pPr>
            <w:r w:rsidRPr="00E603D9">
              <w:rPr>
                <w:rFonts w:cs="Arial"/>
                <w:sz w:val="18"/>
                <w:szCs w:val="18"/>
              </w:rPr>
              <w:t>5,02</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4C264" w14:textId="77777777" w:rsidR="00CA5A67" w:rsidRPr="00BB0A93" w:rsidRDefault="00CA5A67" w:rsidP="00F04B84">
            <w:pPr>
              <w:jc w:val="right"/>
              <w:rPr>
                <w:sz w:val="18"/>
                <w:szCs w:val="18"/>
                <w:highlight w:val="yellow"/>
              </w:rPr>
            </w:pPr>
            <w:r w:rsidRPr="00E603D9">
              <w:rPr>
                <w:rFonts w:cs="Arial"/>
                <w:sz w:val="18"/>
                <w:szCs w:val="18"/>
              </w:rPr>
              <w:t>4,73</w:t>
            </w:r>
          </w:p>
        </w:tc>
      </w:tr>
      <w:tr w:rsidR="00CA5A67" w:rsidRPr="000B19D9" w14:paraId="2E940CB1"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48A728B4" w14:textId="77777777" w:rsidR="00CA5A67" w:rsidRPr="00BB0A93" w:rsidRDefault="00CA5A67" w:rsidP="00CA3BB7">
            <w:pPr>
              <w:pStyle w:val="Akapitzlist"/>
              <w:numPr>
                <w:ilvl w:val="0"/>
                <w:numId w:val="19"/>
              </w:numPr>
              <w:spacing w:after="0" w:line="240" w:lineRule="auto"/>
              <w:ind w:hanging="215"/>
              <w:rPr>
                <w:sz w:val="18"/>
                <w:szCs w:val="18"/>
              </w:rPr>
            </w:pPr>
            <w:r w:rsidRPr="004D5FDE">
              <w:rPr>
                <w:sz w:val="18"/>
                <w:szCs w:val="18"/>
              </w:rPr>
              <w:lastRenderedPageBreak/>
              <w:t>Lotna emisja</w:t>
            </w:r>
            <w:r>
              <w:rPr>
                <w:sz w:val="18"/>
                <w:szCs w:val="18"/>
              </w:rPr>
              <w:t xml:space="preserve"> z </w:t>
            </w:r>
            <w:r w:rsidRPr="004D5FDE">
              <w:rPr>
                <w:sz w:val="18"/>
                <w:szCs w:val="18"/>
              </w:rPr>
              <w:t>systemu gazu ziemnego</w:t>
            </w:r>
            <w:r>
              <w:rPr>
                <w:sz w:val="18"/>
                <w:szCs w:val="18"/>
              </w:rPr>
              <w:t xml:space="preserve"> i </w:t>
            </w:r>
            <w:r w:rsidRPr="004D5FDE">
              <w:rPr>
                <w:sz w:val="18"/>
                <w:szCs w:val="18"/>
              </w:rPr>
              <w:t>ropy naftowej</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FD168CB" w14:textId="77777777" w:rsidR="00CA5A67" w:rsidRPr="00BB0A93" w:rsidRDefault="00CA5A67" w:rsidP="00F04B84">
            <w:pPr>
              <w:jc w:val="right"/>
              <w:rPr>
                <w:sz w:val="18"/>
                <w:szCs w:val="18"/>
              </w:rPr>
            </w:pPr>
            <w:r w:rsidRPr="00E603D9">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2FAE00B3" w14:textId="77777777" w:rsidR="00CA5A67" w:rsidRPr="00BB0A93" w:rsidRDefault="00CA5A67" w:rsidP="00F04B84">
            <w:pPr>
              <w:jc w:val="right"/>
              <w:rPr>
                <w:sz w:val="18"/>
                <w:szCs w:val="18"/>
              </w:rPr>
            </w:pPr>
            <w:r w:rsidRPr="00E603D9">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15D9B69" w14:textId="77777777" w:rsidR="00CA5A67" w:rsidRPr="00BB0A93" w:rsidRDefault="00CA5A67" w:rsidP="00F04B84">
            <w:pPr>
              <w:jc w:val="right"/>
              <w:rPr>
                <w:sz w:val="18"/>
                <w:szCs w:val="18"/>
              </w:rPr>
            </w:pPr>
            <w:r w:rsidRPr="00E603D9">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1FD074" w14:textId="77777777" w:rsidR="00CA5A67" w:rsidRPr="00BB0A93" w:rsidRDefault="00CA5A67" w:rsidP="00F04B84">
            <w:pPr>
              <w:jc w:val="right"/>
              <w:rPr>
                <w:sz w:val="18"/>
                <w:szCs w:val="18"/>
                <w:highlight w:val="yellow"/>
              </w:rPr>
            </w:pPr>
            <w:r w:rsidRPr="00E603D9">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CCCA7" w14:textId="77777777" w:rsidR="00CA5A67" w:rsidRPr="00BB0A93" w:rsidRDefault="00CA5A67" w:rsidP="00F04B84">
            <w:pPr>
              <w:jc w:val="right"/>
              <w:rPr>
                <w:sz w:val="18"/>
                <w:szCs w:val="18"/>
                <w:highlight w:val="yellow"/>
              </w:rPr>
            </w:pPr>
            <w:r w:rsidRPr="00E603D9">
              <w:rPr>
                <w:rFonts w:cs="Arial"/>
                <w:sz w:val="18"/>
                <w:szCs w:val="18"/>
              </w:rPr>
              <w:t>0,00</w:t>
            </w:r>
          </w:p>
        </w:tc>
      </w:tr>
      <w:tr w:rsidR="00CA5A67" w:rsidRPr="00E603D9" w14:paraId="309F3588"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00B7BCF8" w14:textId="77777777" w:rsidR="00CA5A67" w:rsidRPr="00BB0A93" w:rsidRDefault="00CA5A67" w:rsidP="00F04B84">
            <w:pPr>
              <w:rPr>
                <w:b/>
                <w:sz w:val="18"/>
                <w:szCs w:val="18"/>
              </w:rPr>
            </w:pPr>
            <w:r w:rsidRPr="00BB0A93">
              <w:rPr>
                <w:b/>
                <w:sz w:val="18"/>
                <w:szCs w:val="18"/>
              </w:rPr>
              <w:t>2. Procesy przemysłowe</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23D92154" w14:textId="77777777" w:rsidR="00CA5A67" w:rsidRPr="00F75492" w:rsidRDefault="00CA5A67" w:rsidP="00F04B84">
            <w:pPr>
              <w:jc w:val="right"/>
              <w:rPr>
                <w:b/>
                <w:sz w:val="18"/>
                <w:szCs w:val="18"/>
              </w:rPr>
            </w:pPr>
            <w:r w:rsidRPr="7450753D">
              <w:rPr>
                <w:rFonts w:cs="Arial"/>
                <w:b/>
                <w:sz w:val="18"/>
                <w:szCs w:val="18"/>
              </w:rPr>
              <w:t>7,04</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BE065F0" w14:textId="77777777" w:rsidR="00CA5A67" w:rsidRPr="00F75492" w:rsidRDefault="00CA5A67" w:rsidP="00F04B84">
            <w:pPr>
              <w:jc w:val="right"/>
              <w:rPr>
                <w:b/>
                <w:sz w:val="18"/>
                <w:szCs w:val="18"/>
              </w:rPr>
            </w:pPr>
            <w:r w:rsidRPr="7450753D">
              <w:rPr>
                <w:rFonts w:cs="Arial"/>
                <w:b/>
                <w:sz w:val="18"/>
                <w:szCs w:val="18"/>
              </w:rPr>
              <w:t>6,78</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AB38609" w14:textId="77777777" w:rsidR="00CA5A67" w:rsidRPr="00F75492" w:rsidRDefault="00CA5A67" w:rsidP="00F04B84">
            <w:pPr>
              <w:jc w:val="right"/>
              <w:rPr>
                <w:b/>
                <w:sz w:val="18"/>
                <w:szCs w:val="18"/>
              </w:rPr>
            </w:pPr>
            <w:r w:rsidRPr="7450753D">
              <w:rPr>
                <w:rFonts w:cs="Arial"/>
                <w:b/>
                <w:sz w:val="18"/>
                <w:szCs w:val="18"/>
              </w:rPr>
              <w:t>6,11</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29E155" w14:textId="77777777" w:rsidR="00CA5A67" w:rsidRPr="00F75492" w:rsidRDefault="00CA5A67" w:rsidP="00F04B84">
            <w:pPr>
              <w:jc w:val="right"/>
              <w:rPr>
                <w:b/>
                <w:sz w:val="18"/>
                <w:szCs w:val="18"/>
                <w:highlight w:val="yellow"/>
              </w:rPr>
            </w:pPr>
            <w:r w:rsidRPr="7450753D">
              <w:rPr>
                <w:rFonts w:cs="Arial"/>
                <w:b/>
                <w:sz w:val="18"/>
                <w:szCs w:val="18"/>
              </w:rPr>
              <w:t>6,60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B66075" w14:textId="77777777" w:rsidR="00CA5A67" w:rsidRPr="00F75492" w:rsidRDefault="00CA5A67" w:rsidP="00F04B84">
            <w:pPr>
              <w:jc w:val="right"/>
              <w:rPr>
                <w:b/>
                <w:sz w:val="18"/>
                <w:szCs w:val="18"/>
                <w:highlight w:val="yellow"/>
              </w:rPr>
            </w:pPr>
            <w:r w:rsidRPr="7450753D">
              <w:rPr>
                <w:rFonts w:cs="Arial"/>
                <w:b/>
                <w:sz w:val="18"/>
                <w:szCs w:val="18"/>
              </w:rPr>
              <w:t>6,42</w:t>
            </w:r>
          </w:p>
        </w:tc>
      </w:tr>
      <w:tr w:rsidR="00CA5A67" w:rsidRPr="000B19D9" w14:paraId="1D0144C7"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66D571C1" w14:textId="77777777" w:rsidR="00CA5A67" w:rsidRPr="00BB0A93" w:rsidRDefault="00CA5A67" w:rsidP="00F04B84">
            <w:pPr>
              <w:ind w:firstLineChars="200" w:firstLine="360"/>
              <w:rPr>
                <w:sz w:val="18"/>
                <w:szCs w:val="18"/>
              </w:rPr>
            </w:pPr>
            <w:r w:rsidRPr="004D5FDE">
              <w:rPr>
                <w:sz w:val="18"/>
                <w:szCs w:val="18"/>
              </w:rPr>
              <w:t>A. Produkty mineralne</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2579E0AB" w14:textId="77777777" w:rsidR="00CA5A67" w:rsidRPr="00BB0A93" w:rsidRDefault="00CA5A67" w:rsidP="00F04B84">
            <w:pPr>
              <w:jc w:val="right"/>
              <w:rPr>
                <w:sz w:val="18"/>
                <w:szCs w:val="18"/>
              </w:rPr>
            </w:pPr>
            <w:r w:rsidRPr="00E603D9">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FACB4A5" w14:textId="77777777" w:rsidR="00CA5A67" w:rsidRPr="00BB0A93" w:rsidRDefault="00CA5A67" w:rsidP="00F04B84">
            <w:pPr>
              <w:jc w:val="right"/>
              <w:rPr>
                <w:sz w:val="18"/>
                <w:szCs w:val="18"/>
              </w:rPr>
            </w:pPr>
            <w:r w:rsidRPr="00E603D9">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2F9B0472" w14:textId="77777777" w:rsidR="00CA5A67" w:rsidRPr="00BB0A93" w:rsidRDefault="00CA5A67" w:rsidP="00F04B84">
            <w:pPr>
              <w:jc w:val="right"/>
              <w:rPr>
                <w:sz w:val="18"/>
                <w:szCs w:val="18"/>
              </w:rPr>
            </w:pPr>
            <w:r w:rsidRPr="00E603D9">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064F78" w14:textId="77777777" w:rsidR="00CA5A67" w:rsidRPr="00BB0A93" w:rsidRDefault="00CA5A67" w:rsidP="00F04B84">
            <w:pPr>
              <w:jc w:val="right"/>
              <w:rPr>
                <w:sz w:val="18"/>
                <w:szCs w:val="18"/>
                <w:highlight w:val="yellow"/>
              </w:rPr>
            </w:pPr>
            <w:r w:rsidRPr="00E603D9">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23A86E" w14:textId="77777777" w:rsidR="00CA5A67" w:rsidRPr="00BB0A93" w:rsidRDefault="00CA5A67" w:rsidP="00F04B84">
            <w:pPr>
              <w:jc w:val="right"/>
              <w:rPr>
                <w:sz w:val="18"/>
                <w:szCs w:val="18"/>
                <w:highlight w:val="yellow"/>
              </w:rPr>
            </w:pPr>
            <w:r w:rsidRPr="00E603D9">
              <w:rPr>
                <w:rFonts w:cs="Arial"/>
                <w:sz w:val="18"/>
                <w:szCs w:val="18"/>
              </w:rPr>
              <w:t>0,00</w:t>
            </w:r>
          </w:p>
        </w:tc>
      </w:tr>
      <w:tr w:rsidR="00CA5A67" w:rsidRPr="000B19D9" w14:paraId="740B85E7"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54B83E57" w14:textId="77777777" w:rsidR="00CA5A67" w:rsidRPr="00BB0A93" w:rsidRDefault="00CA5A67" w:rsidP="00F04B84">
            <w:pPr>
              <w:ind w:firstLineChars="200" w:firstLine="360"/>
              <w:rPr>
                <w:sz w:val="18"/>
                <w:szCs w:val="18"/>
              </w:rPr>
            </w:pPr>
            <w:r w:rsidRPr="004D5FDE">
              <w:rPr>
                <w:sz w:val="18"/>
                <w:szCs w:val="18"/>
              </w:rPr>
              <w:t>B. Przemysł chemiczny</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3B3C645A" w14:textId="77777777" w:rsidR="00CA5A67" w:rsidRPr="00BB0A93" w:rsidRDefault="00CA5A67" w:rsidP="00F04B84">
            <w:pPr>
              <w:jc w:val="right"/>
              <w:rPr>
                <w:sz w:val="18"/>
                <w:szCs w:val="18"/>
              </w:rPr>
            </w:pPr>
            <w:r w:rsidRPr="00E603D9">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6E294E2" w14:textId="77777777" w:rsidR="00CA5A67" w:rsidRPr="00BB0A93" w:rsidRDefault="00CA5A67" w:rsidP="00F04B84">
            <w:pPr>
              <w:jc w:val="right"/>
              <w:rPr>
                <w:sz w:val="18"/>
                <w:szCs w:val="18"/>
              </w:rPr>
            </w:pPr>
            <w:r w:rsidRPr="00E603D9">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0D7660D2" w14:textId="77777777" w:rsidR="00CA5A67" w:rsidRPr="00BB0A93" w:rsidRDefault="00CA5A67" w:rsidP="00F04B84">
            <w:pPr>
              <w:jc w:val="right"/>
              <w:rPr>
                <w:sz w:val="18"/>
                <w:szCs w:val="18"/>
              </w:rPr>
            </w:pPr>
            <w:r w:rsidRPr="00E603D9">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6D0D0B" w14:textId="77777777" w:rsidR="00CA5A67" w:rsidRPr="00BB0A93" w:rsidRDefault="00CA5A67" w:rsidP="00F04B84">
            <w:pPr>
              <w:jc w:val="right"/>
              <w:rPr>
                <w:sz w:val="18"/>
                <w:szCs w:val="18"/>
                <w:highlight w:val="yellow"/>
              </w:rPr>
            </w:pPr>
            <w:r w:rsidRPr="00E603D9">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9A0DAE" w14:textId="77777777" w:rsidR="00CA5A67" w:rsidRPr="00BB0A93" w:rsidRDefault="00CA5A67" w:rsidP="00F04B84">
            <w:pPr>
              <w:jc w:val="right"/>
              <w:rPr>
                <w:sz w:val="18"/>
                <w:szCs w:val="18"/>
                <w:highlight w:val="yellow"/>
              </w:rPr>
            </w:pPr>
            <w:r w:rsidRPr="00E603D9">
              <w:rPr>
                <w:rFonts w:cs="Arial"/>
                <w:sz w:val="18"/>
                <w:szCs w:val="18"/>
              </w:rPr>
              <w:t>0,00</w:t>
            </w:r>
          </w:p>
        </w:tc>
      </w:tr>
      <w:tr w:rsidR="00CA5A67" w:rsidRPr="000B19D9" w14:paraId="186521BD"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791CE9DF" w14:textId="77777777" w:rsidR="00CA5A67" w:rsidRPr="00BB0A93" w:rsidRDefault="00CA5A67" w:rsidP="00F04B84">
            <w:pPr>
              <w:ind w:firstLineChars="200" w:firstLine="360"/>
              <w:rPr>
                <w:sz w:val="18"/>
                <w:szCs w:val="18"/>
              </w:rPr>
            </w:pPr>
            <w:r w:rsidRPr="004D5FDE">
              <w:rPr>
                <w:sz w:val="18"/>
                <w:szCs w:val="18"/>
              </w:rPr>
              <w:t>C. Produkcja metali</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545130F" w14:textId="77777777" w:rsidR="00CA5A67" w:rsidRPr="00BB0A93" w:rsidRDefault="00CA5A67" w:rsidP="00F04B84">
            <w:pPr>
              <w:jc w:val="right"/>
              <w:rPr>
                <w:sz w:val="18"/>
                <w:szCs w:val="18"/>
              </w:rPr>
            </w:pPr>
            <w:r w:rsidRPr="00E603D9">
              <w:rPr>
                <w:rFonts w:cs="Arial"/>
                <w:sz w:val="18"/>
                <w:szCs w:val="18"/>
              </w:rPr>
              <w:t>6,11</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25F91AD1" w14:textId="77777777" w:rsidR="00CA5A67" w:rsidRPr="00BB0A93" w:rsidRDefault="00CA5A67" w:rsidP="00F04B84">
            <w:pPr>
              <w:jc w:val="right"/>
              <w:rPr>
                <w:sz w:val="18"/>
                <w:szCs w:val="18"/>
              </w:rPr>
            </w:pPr>
            <w:r w:rsidRPr="00E603D9">
              <w:rPr>
                <w:rFonts w:cs="Arial"/>
                <w:sz w:val="18"/>
                <w:szCs w:val="18"/>
              </w:rPr>
              <w:t>5,06</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0867AC6" w14:textId="77777777" w:rsidR="00CA5A67" w:rsidRPr="00BB0A93" w:rsidRDefault="00CA5A67" w:rsidP="00F04B84">
            <w:pPr>
              <w:jc w:val="right"/>
              <w:rPr>
                <w:sz w:val="18"/>
                <w:szCs w:val="18"/>
              </w:rPr>
            </w:pPr>
            <w:r w:rsidRPr="00E603D9">
              <w:rPr>
                <w:rFonts w:cs="Arial"/>
                <w:sz w:val="18"/>
                <w:szCs w:val="18"/>
              </w:rPr>
              <w:t>3,71</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20D646" w14:textId="77777777" w:rsidR="00CA5A67" w:rsidRPr="00BB0A93" w:rsidRDefault="00CA5A67" w:rsidP="00F04B84">
            <w:pPr>
              <w:jc w:val="right"/>
              <w:rPr>
                <w:sz w:val="18"/>
                <w:szCs w:val="18"/>
                <w:highlight w:val="yellow"/>
              </w:rPr>
            </w:pPr>
            <w:r w:rsidRPr="00E603D9">
              <w:rPr>
                <w:rFonts w:cs="Arial"/>
                <w:sz w:val="18"/>
                <w:szCs w:val="18"/>
              </w:rPr>
              <w:t>4,43</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C8F4D3" w14:textId="77777777" w:rsidR="00CA5A67" w:rsidRPr="00BB0A93" w:rsidRDefault="00CA5A67" w:rsidP="00F04B84">
            <w:pPr>
              <w:jc w:val="right"/>
              <w:rPr>
                <w:sz w:val="18"/>
                <w:szCs w:val="18"/>
                <w:highlight w:val="yellow"/>
              </w:rPr>
            </w:pPr>
            <w:r w:rsidRPr="00E603D9">
              <w:rPr>
                <w:rFonts w:cs="Arial"/>
                <w:sz w:val="18"/>
                <w:szCs w:val="18"/>
              </w:rPr>
              <w:t>4,00</w:t>
            </w:r>
          </w:p>
        </w:tc>
      </w:tr>
      <w:tr w:rsidR="00CA5A67" w:rsidRPr="000B19D9" w14:paraId="46618229"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7ACC1664" w14:textId="77777777" w:rsidR="00CA5A67" w:rsidRPr="00BB0A93" w:rsidRDefault="00CA5A67" w:rsidP="00F04B84">
            <w:pPr>
              <w:ind w:firstLineChars="200" w:firstLine="360"/>
              <w:rPr>
                <w:sz w:val="18"/>
                <w:szCs w:val="18"/>
              </w:rPr>
            </w:pPr>
            <w:r w:rsidRPr="004D5FDE">
              <w:rPr>
                <w:sz w:val="18"/>
                <w:szCs w:val="18"/>
              </w:rPr>
              <w:t>D. Stosowanie rozpuszczalników</w:t>
            </w:r>
            <w:r>
              <w:rPr>
                <w:sz w:val="18"/>
                <w:szCs w:val="18"/>
              </w:rPr>
              <w:t xml:space="preserve"> i </w:t>
            </w:r>
            <w:r w:rsidRPr="004D5FDE">
              <w:rPr>
                <w:sz w:val="18"/>
                <w:szCs w:val="18"/>
              </w:rPr>
              <w:t>innych produktów</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0283E627" w14:textId="77777777" w:rsidR="00CA5A67" w:rsidRPr="00BB0A93" w:rsidRDefault="00CA5A67" w:rsidP="00F04B84">
            <w:pPr>
              <w:jc w:val="right"/>
              <w:rPr>
                <w:sz w:val="18"/>
                <w:szCs w:val="18"/>
              </w:rPr>
            </w:pPr>
            <w:r w:rsidRPr="00E603D9">
              <w:rPr>
                <w:rFonts w:cs="Arial"/>
                <w:sz w:val="18"/>
                <w:szCs w:val="18"/>
              </w:rPr>
              <w:t>0,91</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9212855" w14:textId="77777777" w:rsidR="00CA5A67" w:rsidRPr="00BB0A93" w:rsidRDefault="00CA5A67" w:rsidP="00F04B84">
            <w:pPr>
              <w:jc w:val="right"/>
              <w:rPr>
                <w:sz w:val="18"/>
                <w:szCs w:val="18"/>
              </w:rPr>
            </w:pPr>
            <w:r w:rsidRPr="00E603D9">
              <w:rPr>
                <w:rFonts w:cs="Arial"/>
                <w:sz w:val="18"/>
                <w:szCs w:val="18"/>
              </w:rPr>
              <w:t>1,71</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28150745" w14:textId="77777777" w:rsidR="00CA5A67" w:rsidRPr="00BB0A93" w:rsidRDefault="00CA5A67" w:rsidP="00F04B84">
            <w:pPr>
              <w:jc w:val="right"/>
              <w:rPr>
                <w:sz w:val="18"/>
                <w:szCs w:val="18"/>
              </w:rPr>
            </w:pPr>
            <w:r w:rsidRPr="00E603D9">
              <w:rPr>
                <w:rFonts w:cs="Arial"/>
                <w:sz w:val="18"/>
                <w:szCs w:val="18"/>
              </w:rPr>
              <w:t>2,39</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C4A9FF" w14:textId="77777777" w:rsidR="00CA5A67" w:rsidRPr="00BB0A93" w:rsidRDefault="00CA5A67" w:rsidP="00F04B84">
            <w:pPr>
              <w:jc w:val="right"/>
              <w:rPr>
                <w:sz w:val="18"/>
                <w:szCs w:val="18"/>
                <w:highlight w:val="yellow"/>
              </w:rPr>
            </w:pPr>
            <w:r w:rsidRPr="00E603D9">
              <w:rPr>
                <w:rFonts w:cs="Arial"/>
                <w:sz w:val="18"/>
                <w:szCs w:val="18"/>
              </w:rPr>
              <w:t>2,16</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BA83DD" w14:textId="77777777" w:rsidR="00CA5A67" w:rsidRPr="00BB0A93" w:rsidRDefault="00CA5A67" w:rsidP="00F04B84">
            <w:pPr>
              <w:jc w:val="right"/>
              <w:rPr>
                <w:sz w:val="18"/>
                <w:szCs w:val="18"/>
                <w:highlight w:val="yellow"/>
              </w:rPr>
            </w:pPr>
            <w:r w:rsidRPr="00E603D9">
              <w:rPr>
                <w:rFonts w:cs="Arial"/>
                <w:sz w:val="18"/>
                <w:szCs w:val="18"/>
              </w:rPr>
              <w:t>2,41</w:t>
            </w:r>
          </w:p>
        </w:tc>
      </w:tr>
      <w:tr w:rsidR="00CA5A67" w:rsidRPr="000B19D9" w14:paraId="6FF4EBC4"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25CB46AC" w14:textId="77777777" w:rsidR="00CA5A67" w:rsidRPr="00BB0A93" w:rsidRDefault="00CA5A67" w:rsidP="00F04B84">
            <w:pPr>
              <w:ind w:firstLineChars="200" w:firstLine="360"/>
              <w:rPr>
                <w:sz w:val="18"/>
                <w:szCs w:val="18"/>
              </w:rPr>
            </w:pPr>
            <w:r w:rsidRPr="004D5FDE">
              <w:rPr>
                <w:sz w:val="18"/>
                <w:szCs w:val="18"/>
              </w:rPr>
              <w:t>G</w:t>
            </w:r>
            <w:r w:rsidRPr="004046BC">
              <w:rPr>
                <w:sz w:val="18"/>
                <w:szCs w:val="18"/>
              </w:rPr>
              <w:t>. – L. Inne</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0262FDEB" w14:textId="77777777" w:rsidR="00CA5A67" w:rsidRPr="00BB0A93" w:rsidRDefault="00CA5A67" w:rsidP="00F04B84">
            <w:pPr>
              <w:jc w:val="right"/>
              <w:rPr>
                <w:sz w:val="18"/>
                <w:szCs w:val="18"/>
              </w:rPr>
            </w:pPr>
            <w:r w:rsidRPr="00E603D9">
              <w:rPr>
                <w:rFonts w:cs="Arial"/>
                <w:sz w:val="18"/>
                <w:szCs w:val="18"/>
              </w:rPr>
              <w:t>0,02</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2AB3D426" w14:textId="77777777" w:rsidR="00CA5A67" w:rsidRPr="00BB0A93" w:rsidRDefault="00CA5A67" w:rsidP="00F04B84">
            <w:pPr>
              <w:jc w:val="right"/>
              <w:rPr>
                <w:sz w:val="18"/>
                <w:szCs w:val="18"/>
              </w:rPr>
            </w:pPr>
            <w:r w:rsidRPr="00E603D9">
              <w:rPr>
                <w:rFonts w:cs="Arial"/>
                <w:sz w:val="18"/>
                <w:szCs w:val="18"/>
              </w:rPr>
              <w:t>0,01</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FDE7CFD" w14:textId="77777777" w:rsidR="00CA5A67" w:rsidRPr="00BB0A93" w:rsidRDefault="00CA5A67" w:rsidP="00F04B84">
            <w:pPr>
              <w:jc w:val="right"/>
              <w:rPr>
                <w:sz w:val="18"/>
                <w:szCs w:val="18"/>
              </w:rPr>
            </w:pPr>
            <w:r w:rsidRPr="00E603D9">
              <w:rPr>
                <w:rFonts w:cs="Arial"/>
                <w:sz w:val="18"/>
                <w:szCs w:val="18"/>
              </w:rPr>
              <w:t>0,01</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6DD5D2" w14:textId="77777777" w:rsidR="00CA5A67" w:rsidRPr="00BB0A93" w:rsidRDefault="00CA5A67" w:rsidP="00F04B84">
            <w:pPr>
              <w:jc w:val="right"/>
              <w:rPr>
                <w:sz w:val="18"/>
                <w:szCs w:val="18"/>
                <w:highlight w:val="yellow"/>
              </w:rPr>
            </w:pPr>
            <w:r w:rsidRPr="00E603D9">
              <w:rPr>
                <w:rFonts w:cs="Arial"/>
                <w:sz w:val="18"/>
                <w:szCs w:val="18"/>
              </w:rPr>
              <w:t>0,01</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B09FF3" w14:textId="77777777" w:rsidR="00CA5A67" w:rsidRPr="00BB0A93" w:rsidRDefault="00CA5A67" w:rsidP="00F04B84">
            <w:pPr>
              <w:jc w:val="right"/>
              <w:rPr>
                <w:sz w:val="18"/>
                <w:szCs w:val="18"/>
                <w:highlight w:val="yellow"/>
              </w:rPr>
            </w:pPr>
            <w:r w:rsidRPr="00E603D9">
              <w:rPr>
                <w:rFonts w:cs="Arial"/>
                <w:sz w:val="18"/>
                <w:szCs w:val="18"/>
              </w:rPr>
              <w:t>0,01</w:t>
            </w:r>
          </w:p>
        </w:tc>
      </w:tr>
      <w:tr w:rsidR="00CA5A67" w:rsidRPr="00E603D9" w14:paraId="5084B436"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2205AAC7" w14:textId="77777777" w:rsidR="00CA5A67" w:rsidRPr="00BB0A93" w:rsidRDefault="00CA5A67" w:rsidP="00F04B84">
            <w:pPr>
              <w:rPr>
                <w:b/>
                <w:sz w:val="18"/>
                <w:szCs w:val="18"/>
              </w:rPr>
            </w:pPr>
            <w:r w:rsidRPr="00BB0A93">
              <w:rPr>
                <w:b/>
                <w:sz w:val="18"/>
                <w:szCs w:val="18"/>
              </w:rPr>
              <w:t>3. Rolnictwo</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E756657" w14:textId="77777777" w:rsidR="00CA5A67" w:rsidRPr="00F75492" w:rsidRDefault="00CA5A67" w:rsidP="00F04B84">
            <w:pPr>
              <w:jc w:val="right"/>
              <w:rPr>
                <w:b/>
                <w:sz w:val="18"/>
                <w:szCs w:val="18"/>
              </w:rPr>
            </w:pPr>
            <w:r w:rsidRPr="7450753D">
              <w:rPr>
                <w:rFonts w:cs="Arial"/>
                <w:b/>
                <w:sz w:val="18"/>
                <w:szCs w:val="18"/>
              </w:rPr>
              <w:t>0,05</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08E3ED7A" w14:textId="77777777" w:rsidR="00CA5A67" w:rsidRPr="00F75492" w:rsidRDefault="00CA5A67" w:rsidP="00F04B84">
            <w:pPr>
              <w:jc w:val="right"/>
              <w:rPr>
                <w:b/>
                <w:sz w:val="18"/>
                <w:szCs w:val="18"/>
              </w:rPr>
            </w:pPr>
            <w:r w:rsidRPr="7450753D">
              <w:rPr>
                <w:rFonts w:cs="Arial"/>
                <w:b/>
                <w:sz w:val="18"/>
                <w:szCs w:val="18"/>
              </w:rPr>
              <w:t>0,07</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2B1A1AF1" w14:textId="77777777" w:rsidR="00CA5A67" w:rsidRPr="00F75492" w:rsidRDefault="00CA5A67" w:rsidP="00F04B84">
            <w:pPr>
              <w:jc w:val="right"/>
              <w:rPr>
                <w:b/>
                <w:sz w:val="18"/>
                <w:szCs w:val="18"/>
              </w:rPr>
            </w:pPr>
            <w:r w:rsidRPr="7450753D">
              <w:rPr>
                <w:rFonts w:cs="Arial"/>
                <w:b/>
                <w:sz w:val="18"/>
                <w:szCs w:val="18"/>
              </w:rPr>
              <w:t>0,02</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885D2E" w14:textId="77777777" w:rsidR="00CA5A67" w:rsidRPr="00F75492" w:rsidRDefault="00CA5A67" w:rsidP="00F04B84">
            <w:pPr>
              <w:jc w:val="right"/>
              <w:rPr>
                <w:b/>
                <w:sz w:val="18"/>
                <w:szCs w:val="18"/>
                <w:highlight w:val="yellow"/>
              </w:rPr>
            </w:pPr>
            <w:r w:rsidRPr="7450753D">
              <w:rPr>
                <w:rFonts w:cs="Arial"/>
                <w:b/>
                <w:sz w:val="18"/>
                <w:szCs w:val="18"/>
              </w:rPr>
              <w:t>0,02</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6B6815" w14:textId="77777777" w:rsidR="00CA5A67" w:rsidRPr="00F75492" w:rsidRDefault="00CA5A67" w:rsidP="00F04B84">
            <w:pPr>
              <w:jc w:val="right"/>
              <w:rPr>
                <w:b/>
                <w:sz w:val="18"/>
                <w:szCs w:val="18"/>
                <w:highlight w:val="yellow"/>
              </w:rPr>
            </w:pPr>
            <w:r w:rsidRPr="7450753D">
              <w:rPr>
                <w:rFonts w:cs="Arial"/>
                <w:b/>
                <w:sz w:val="18"/>
                <w:szCs w:val="18"/>
              </w:rPr>
              <w:t>0,03</w:t>
            </w:r>
          </w:p>
        </w:tc>
      </w:tr>
      <w:tr w:rsidR="00CA5A67" w:rsidRPr="000B19D9" w14:paraId="07A5F904"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0E025981" w14:textId="77777777" w:rsidR="00CA5A67" w:rsidRPr="00BB0A93" w:rsidRDefault="00CA5A67" w:rsidP="00F04B84">
            <w:pPr>
              <w:ind w:firstLineChars="200" w:firstLine="360"/>
              <w:rPr>
                <w:sz w:val="18"/>
                <w:szCs w:val="18"/>
              </w:rPr>
            </w:pPr>
            <w:r w:rsidRPr="004D5FDE">
              <w:rPr>
                <w:sz w:val="18"/>
                <w:szCs w:val="18"/>
              </w:rPr>
              <w:t>B. Nawozy naturalne</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0B307432" w14:textId="77777777" w:rsidR="00CA5A67" w:rsidRPr="00BB0A93" w:rsidRDefault="00CA5A67" w:rsidP="00F04B84">
            <w:pPr>
              <w:jc w:val="right"/>
              <w:rPr>
                <w:sz w:val="18"/>
                <w:szCs w:val="18"/>
              </w:rPr>
            </w:pPr>
            <w:r w:rsidRPr="00E603D9">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CE65CD5" w14:textId="77777777" w:rsidR="00CA5A67" w:rsidRPr="00BB0A93" w:rsidRDefault="00CA5A67" w:rsidP="00F04B84">
            <w:pPr>
              <w:jc w:val="right"/>
              <w:rPr>
                <w:sz w:val="18"/>
                <w:szCs w:val="18"/>
              </w:rPr>
            </w:pPr>
            <w:r w:rsidRPr="00E603D9">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0C8439D7" w14:textId="77777777" w:rsidR="00CA5A67" w:rsidRPr="00BB0A93" w:rsidRDefault="00CA5A67" w:rsidP="00F04B84">
            <w:pPr>
              <w:jc w:val="right"/>
              <w:rPr>
                <w:sz w:val="18"/>
                <w:szCs w:val="18"/>
              </w:rPr>
            </w:pPr>
            <w:r w:rsidRPr="00E603D9">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AB9425" w14:textId="77777777" w:rsidR="00CA5A67" w:rsidRPr="00BB0A93" w:rsidRDefault="00CA5A67" w:rsidP="00F04B84">
            <w:pPr>
              <w:jc w:val="right"/>
              <w:rPr>
                <w:sz w:val="18"/>
                <w:szCs w:val="18"/>
                <w:highlight w:val="yellow"/>
              </w:rPr>
            </w:pPr>
            <w:r w:rsidRPr="00E603D9">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5F1B45" w14:textId="77777777" w:rsidR="00CA5A67" w:rsidRPr="00BB0A93" w:rsidRDefault="00CA5A67" w:rsidP="00F04B84">
            <w:pPr>
              <w:jc w:val="right"/>
              <w:rPr>
                <w:sz w:val="18"/>
                <w:szCs w:val="18"/>
                <w:highlight w:val="yellow"/>
              </w:rPr>
            </w:pPr>
            <w:r w:rsidRPr="00E603D9">
              <w:rPr>
                <w:rFonts w:cs="Arial"/>
                <w:sz w:val="18"/>
                <w:szCs w:val="18"/>
              </w:rPr>
              <w:t>0,00</w:t>
            </w:r>
          </w:p>
        </w:tc>
      </w:tr>
      <w:tr w:rsidR="00CA5A67" w:rsidRPr="000B19D9" w14:paraId="56EA5E40"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054EC4DB" w14:textId="77777777" w:rsidR="00CA5A67" w:rsidRPr="00BB0A93" w:rsidRDefault="00CA5A67" w:rsidP="00F04B84">
            <w:pPr>
              <w:ind w:firstLineChars="200" w:firstLine="360"/>
              <w:rPr>
                <w:sz w:val="18"/>
                <w:szCs w:val="18"/>
              </w:rPr>
            </w:pPr>
            <w:r w:rsidRPr="004D5FDE">
              <w:rPr>
                <w:sz w:val="18"/>
                <w:szCs w:val="18"/>
              </w:rPr>
              <w:t>D. Gleby rolne</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39E2B417" w14:textId="77777777" w:rsidR="00CA5A67" w:rsidRPr="00BB0A93" w:rsidRDefault="00CA5A67" w:rsidP="00F04B84">
            <w:pPr>
              <w:jc w:val="right"/>
              <w:rPr>
                <w:sz w:val="18"/>
                <w:szCs w:val="18"/>
              </w:rPr>
            </w:pPr>
            <w:r w:rsidRPr="00E603D9">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923A87A" w14:textId="77777777" w:rsidR="00CA5A67" w:rsidRPr="00BB0A93" w:rsidRDefault="00CA5A67" w:rsidP="00F04B84">
            <w:pPr>
              <w:jc w:val="right"/>
              <w:rPr>
                <w:sz w:val="18"/>
                <w:szCs w:val="18"/>
              </w:rPr>
            </w:pPr>
            <w:r w:rsidRPr="00E603D9">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78032D27" w14:textId="77777777" w:rsidR="00CA5A67" w:rsidRPr="00BB0A93" w:rsidRDefault="00CA5A67" w:rsidP="00F04B84">
            <w:pPr>
              <w:jc w:val="right"/>
              <w:rPr>
                <w:sz w:val="18"/>
                <w:szCs w:val="18"/>
              </w:rPr>
            </w:pPr>
            <w:r w:rsidRPr="00E603D9">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E83365" w14:textId="77777777" w:rsidR="00CA5A67" w:rsidRPr="00BB0A93" w:rsidRDefault="00CA5A67" w:rsidP="00F04B84">
            <w:pPr>
              <w:jc w:val="right"/>
              <w:rPr>
                <w:sz w:val="18"/>
                <w:szCs w:val="18"/>
                <w:highlight w:val="yellow"/>
              </w:rPr>
            </w:pPr>
            <w:r w:rsidRPr="00E603D9">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877D7" w14:textId="77777777" w:rsidR="00CA5A67" w:rsidRPr="00BB0A93" w:rsidRDefault="00CA5A67" w:rsidP="00F04B84">
            <w:pPr>
              <w:jc w:val="right"/>
              <w:rPr>
                <w:sz w:val="18"/>
                <w:szCs w:val="18"/>
                <w:highlight w:val="yellow"/>
              </w:rPr>
            </w:pPr>
            <w:r w:rsidRPr="00E603D9">
              <w:rPr>
                <w:rFonts w:cs="Arial"/>
                <w:sz w:val="18"/>
                <w:szCs w:val="18"/>
              </w:rPr>
              <w:t>0,00</w:t>
            </w:r>
          </w:p>
        </w:tc>
      </w:tr>
      <w:tr w:rsidR="00CA5A67" w:rsidRPr="000B19D9" w14:paraId="3F0C347F"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782EB3B5" w14:textId="77777777" w:rsidR="00CA5A67" w:rsidRPr="00BB0A93" w:rsidRDefault="00CA5A67" w:rsidP="00F04B84">
            <w:pPr>
              <w:ind w:firstLineChars="200" w:firstLine="360"/>
              <w:rPr>
                <w:sz w:val="18"/>
                <w:szCs w:val="18"/>
              </w:rPr>
            </w:pPr>
            <w:r w:rsidRPr="004D5FDE">
              <w:rPr>
                <w:sz w:val="18"/>
                <w:szCs w:val="18"/>
              </w:rPr>
              <w:t>F. Spalanie resztek roślinnych</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32B12DA0" w14:textId="77777777" w:rsidR="00CA5A67" w:rsidRPr="00BB0A93" w:rsidRDefault="00CA5A67" w:rsidP="00F04B84">
            <w:pPr>
              <w:jc w:val="right"/>
              <w:rPr>
                <w:sz w:val="18"/>
                <w:szCs w:val="18"/>
              </w:rPr>
            </w:pPr>
            <w:r w:rsidRPr="00E603D9">
              <w:rPr>
                <w:rFonts w:cs="Arial"/>
                <w:sz w:val="18"/>
                <w:szCs w:val="18"/>
              </w:rPr>
              <w:t>0,05</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2302B2A" w14:textId="77777777" w:rsidR="00CA5A67" w:rsidRPr="00BB0A93" w:rsidRDefault="00CA5A67" w:rsidP="00F04B84">
            <w:pPr>
              <w:jc w:val="right"/>
              <w:rPr>
                <w:sz w:val="18"/>
                <w:szCs w:val="18"/>
              </w:rPr>
            </w:pPr>
            <w:r w:rsidRPr="00E603D9">
              <w:rPr>
                <w:rFonts w:cs="Arial"/>
                <w:sz w:val="18"/>
                <w:szCs w:val="18"/>
              </w:rPr>
              <w:t>0,07</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CF4D482" w14:textId="77777777" w:rsidR="00CA5A67" w:rsidRPr="00BB0A93" w:rsidRDefault="00CA5A67" w:rsidP="00F04B84">
            <w:pPr>
              <w:jc w:val="right"/>
              <w:rPr>
                <w:sz w:val="18"/>
                <w:szCs w:val="18"/>
              </w:rPr>
            </w:pPr>
            <w:r w:rsidRPr="00E603D9">
              <w:rPr>
                <w:rFonts w:cs="Arial"/>
                <w:sz w:val="18"/>
                <w:szCs w:val="18"/>
              </w:rPr>
              <w:t>0,02</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89486E" w14:textId="77777777" w:rsidR="00CA5A67" w:rsidRPr="00BB0A93" w:rsidRDefault="00CA5A67" w:rsidP="00F04B84">
            <w:pPr>
              <w:jc w:val="right"/>
              <w:rPr>
                <w:sz w:val="18"/>
                <w:szCs w:val="18"/>
                <w:highlight w:val="yellow"/>
                <w:lang w:val="en-US"/>
              </w:rPr>
            </w:pPr>
            <w:r w:rsidRPr="00E603D9">
              <w:rPr>
                <w:rFonts w:cs="Arial"/>
                <w:sz w:val="18"/>
                <w:szCs w:val="18"/>
              </w:rPr>
              <w:t>0,02</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C8F8E" w14:textId="77777777" w:rsidR="00CA5A67" w:rsidRPr="00BB0A93" w:rsidRDefault="00CA5A67" w:rsidP="00F04B84">
            <w:pPr>
              <w:jc w:val="right"/>
              <w:rPr>
                <w:sz w:val="18"/>
                <w:szCs w:val="18"/>
                <w:highlight w:val="yellow"/>
                <w:lang w:val="en-US"/>
              </w:rPr>
            </w:pPr>
            <w:r w:rsidRPr="00E603D9">
              <w:rPr>
                <w:rFonts w:cs="Arial"/>
                <w:sz w:val="18"/>
                <w:szCs w:val="18"/>
              </w:rPr>
              <w:t>0,03</w:t>
            </w:r>
          </w:p>
        </w:tc>
      </w:tr>
      <w:tr w:rsidR="00CA5A67" w:rsidRPr="00E603D9" w14:paraId="58370253"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5246B3EB" w14:textId="77777777" w:rsidR="00CA5A67" w:rsidRPr="004046BC" w:rsidRDefault="00CA5A67" w:rsidP="00F04B84">
            <w:pPr>
              <w:rPr>
                <w:b/>
                <w:sz w:val="18"/>
                <w:szCs w:val="18"/>
              </w:rPr>
            </w:pPr>
            <w:r w:rsidRPr="00BB0A93">
              <w:rPr>
                <w:b/>
                <w:sz w:val="18"/>
                <w:szCs w:val="18"/>
              </w:rPr>
              <w:t>5. Odpady</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7D7118A8" w14:textId="77777777" w:rsidR="00CA5A67" w:rsidRPr="00F75492" w:rsidRDefault="00CA5A67" w:rsidP="00F04B84">
            <w:pPr>
              <w:jc w:val="right"/>
              <w:rPr>
                <w:b/>
                <w:sz w:val="18"/>
                <w:szCs w:val="18"/>
              </w:rPr>
            </w:pPr>
            <w:r w:rsidRPr="7450753D">
              <w:rPr>
                <w:rFonts w:cs="Arial"/>
                <w:b/>
                <w:sz w:val="18"/>
                <w:szCs w:val="18"/>
              </w:rPr>
              <w:t>3,37</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76CBE083" w14:textId="77777777" w:rsidR="00CA5A67" w:rsidRPr="00F75492" w:rsidRDefault="00CA5A67" w:rsidP="00F04B84">
            <w:pPr>
              <w:jc w:val="right"/>
              <w:rPr>
                <w:b/>
                <w:sz w:val="18"/>
                <w:szCs w:val="18"/>
              </w:rPr>
            </w:pPr>
            <w:r w:rsidRPr="7450753D">
              <w:rPr>
                <w:rFonts w:cs="Arial"/>
                <w:b/>
                <w:sz w:val="18"/>
                <w:szCs w:val="18"/>
              </w:rPr>
              <w:t>3,20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0670E89F" w14:textId="77777777" w:rsidR="00CA5A67" w:rsidRPr="00F75492" w:rsidRDefault="00CA5A67" w:rsidP="00F04B84">
            <w:pPr>
              <w:jc w:val="right"/>
              <w:rPr>
                <w:b/>
                <w:sz w:val="18"/>
                <w:szCs w:val="18"/>
              </w:rPr>
            </w:pPr>
            <w:r w:rsidRPr="7450753D">
              <w:rPr>
                <w:rFonts w:cs="Arial"/>
                <w:b/>
                <w:sz w:val="18"/>
                <w:szCs w:val="18"/>
              </w:rPr>
              <w:t>3,53</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98C5F3" w14:textId="77777777" w:rsidR="00CA5A67" w:rsidRPr="00F75492" w:rsidRDefault="00CA5A67" w:rsidP="00F04B84">
            <w:pPr>
              <w:jc w:val="right"/>
              <w:rPr>
                <w:b/>
                <w:sz w:val="18"/>
                <w:szCs w:val="18"/>
                <w:highlight w:val="yellow"/>
              </w:rPr>
            </w:pPr>
            <w:r w:rsidRPr="7450753D">
              <w:rPr>
                <w:rFonts w:cs="Arial"/>
                <w:b/>
                <w:sz w:val="18"/>
                <w:szCs w:val="18"/>
              </w:rPr>
              <w:t>4,09</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EEB8DE" w14:textId="77777777" w:rsidR="00CA5A67" w:rsidRPr="00F75492" w:rsidRDefault="00CA5A67" w:rsidP="00F04B84">
            <w:pPr>
              <w:jc w:val="right"/>
              <w:rPr>
                <w:b/>
                <w:sz w:val="18"/>
                <w:szCs w:val="18"/>
                <w:highlight w:val="yellow"/>
              </w:rPr>
            </w:pPr>
            <w:r w:rsidRPr="7450753D">
              <w:rPr>
                <w:rFonts w:cs="Arial"/>
                <w:b/>
                <w:sz w:val="18"/>
                <w:szCs w:val="18"/>
              </w:rPr>
              <w:t>3,80</w:t>
            </w:r>
          </w:p>
        </w:tc>
      </w:tr>
      <w:tr w:rsidR="00CA5A67" w:rsidRPr="000B19D9" w14:paraId="23AFB283" w14:textId="77777777" w:rsidTr="00F04B84">
        <w:trPr>
          <w:trHeight w:val="300"/>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116A6" w14:textId="77777777" w:rsidR="00CA5A67" w:rsidRPr="00BB0A93" w:rsidRDefault="00CA5A67" w:rsidP="00F04B84">
            <w:pPr>
              <w:ind w:left="346" w:firstLineChars="7" w:firstLine="13"/>
              <w:rPr>
                <w:sz w:val="18"/>
                <w:szCs w:val="18"/>
              </w:rPr>
            </w:pPr>
            <w:r w:rsidRPr="004D5FDE">
              <w:rPr>
                <w:sz w:val="18"/>
                <w:szCs w:val="18"/>
              </w:rPr>
              <w:t>A. Skład</w:t>
            </w:r>
            <w:r w:rsidRPr="004046BC">
              <w:rPr>
                <w:sz w:val="18"/>
                <w:szCs w:val="18"/>
              </w:rPr>
              <w:t>owiska odpadów stałych</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4AEB8BF" w14:textId="77777777" w:rsidR="00CA5A67" w:rsidRPr="00BB0A93" w:rsidRDefault="00CA5A67" w:rsidP="00F04B84">
            <w:pPr>
              <w:jc w:val="right"/>
              <w:rPr>
                <w:sz w:val="18"/>
                <w:szCs w:val="18"/>
              </w:rPr>
            </w:pPr>
            <w:r w:rsidRPr="00E603D9">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0DF23415" w14:textId="77777777" w:rsidR="00CA5A67" w:rsidRPr="00BB0A93" w:rsidRDefault="00CA5A67" w:rsidP="00F04B84">
            <w:pPr>
              <w:jc w:val="right"/>
              <w:rPr>
                <w:sz w:val="18"/>
                <w:szCs w:val="18"/>
              </w:rPr>
            </w:pPr>
            <w:r w:rsidRPr="00E603D9">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FC4C20D" w14:textId="77777777" w:rsidR="00CA5A67" w:rsidRPr="00BB0A93" w:rsidRDefault="00CA5A67" w:rsidP="00F04B84">
            <w:pPr>
              <w:jc w:val="right"/>
              <w:rPr>
                <w:sz w:val="18"/>
                <w:szCs w:val="18"/>
              </w:rPr>
            </w:pPr>
            <w:r w:rsidRPr="00E603D9">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553DF2" w14:textId="77777777" w:rsidR="00CA5A67" w:rsidRPr="00BB0A93" w:rsidRDefault="00CA5A67" w:rsidP="00F04B84">
            <w:pPr>
              <w:jc w:val="right"/>
              <w:rPr>
                <w:sz w:val="18"/>
                <w:szCs w:val="18"/>
                <w:highlight w:val="yellow"/>
                <w:lang w:val="en-US"/>
              </w:rPr>
            </w:pPr>
            <w:r w:rsidRPr="00E603D9">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642DC" w14:textId="77777777" w:rsidR="00CA5A67" w:rsidRPr="00BB0A93" w:rsidRDefault="00CA5A67" w:rsidP="00F04B84">
            <w:pPr>
              <w:jc w:val="right"/>
              <w:rPr>
                <w:sz w:val="18"/>
                <w:szCs w:val="18"/>
                <w:highlight w:val="yellow"/>
                <w:lang w:val="en-US"/>
              </w:rPr>
            </w:pPr>
            <w:r w:rsidRPr="00E603D9">
              <w:rPr>
                <w:rFonts w:cs="Arial"/>
                <w:sz w:val="18"/>
                <w:szCs w:val="18"/>
              </w:rPr>
              <w:t>0,00</w:t>
            </w:r>
          </w:p>
        </w:tc>
      </w:tr>
      <w:tr w:rsidR="00CA5A67" w:rsidRPr="000B19D9" w14:paraId="541A6E51"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26601519" w14:textId="77777777" w:rsidR="00CA5A67" w:rsidRPr="00BB0A93" w:rsidRDefault="00CA5A67" w:rsidP="00F04B84">
            <w:pPr>
              <w:ind w:firstLineChars="200" w:firstLine="360"/>
              <w:rPr>
                <w:sz w:val="18"/>
                <w:szCs w:val="18"/>
              </w:rPr>
            </w:pPr>
            <w:r w:rsidRPr="004D5FDE">
              <w:rPr>
                <w:sz w:val="18"/>
                <w:szCs w:val="18"/>
              </w:rPr>
              <w:t>C. Spopielanie</w:t>
            </w:r>
            <w:r>
              <w:rPr>
                <w:sz w:val="18"/>
                <w:szCs w:val="18"/>
              </w:rPr>
              <w:t xml:space="preserve"> i </w:t>
            </w:r>
            <w:r w:rsidRPr="004D5FDE">
              <w:rPr>
                <w:sz w:val="18"/>
                <w:szCs w:val="18"/>
              </w:rPr>
              <w:t>otwarte spalanie odpadów</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F161AD3" w14:textId="77777777" w:rsidR="00CA5A67" w:rsidRPr="00BB0A93" w:rsidRDefault="00CA5A67" w:rsidP="00F04B84">
            <w:pPr>
              <w:jc w:val="right"/>
              <w:rPr>
                <w:sz w:val="18"/>
                <w:szCs w:val="18"/>
              </w:rPr>
            </w:pPr>
            <w:r w:rsidRPr="00E603D9">
              <w:rPr>
                <w:rFonts w:cs="Arial"/>
                <w:sz w:val="18"/>
                <w:szCs w:val="18"/>
              </w:rPr>
              <w:t>3,37</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E0FFA14" w14:textId="77777777" w:rsidR="00CA5A67" w:rsidRPr="00BB0A93" w:rsidRDefault="00CA5A67" w:rsidP="00F04B84">
            <w:pPr>
              <w:jc w:val="right"/>
              <w:rPr>
                <w:sz w:val="18"/>
                <w:szCs w:val="18"/>
              </w:rPr>
            </w:pPr>
            <w:r w:rsidRPr="00E603D9">
              <w:rPr>
                <w:rFonts w:cs="Arial"/>
                <w:sz w:val="18"/>
                <w:szCs w:val="18"/>
              </w:rPr>
              <w:t>3,20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5F99A8B" w14:textId="77777777" w:rsidR="00CA5A67" w:rsidRPr="00BB0A93" w:rsidRDefault="00CA5A67" w:rsidP="00F04B84">
            <w:pPr>
              <w:jc w:val="right"/>
              <w:rPr>
                <w:sz w:val="18"/>
                <w:szCs w:val="18"/>
              </w:rPr>
            </w:pPr>
            <w:r w:rsidRPr="00E603D9">
              <w:rPr>
                <w:rFonts w:cs="Arial"/>
                <w:sz w:val="18"/>
                <w:szCs w:val="18"/>
              </w:rPr>
              <w:t>3,53</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AAB910" w14:textId="77777777" w:rsidR="00CA5A67" w:rsidRPr="00BB0A93" w:rsidRDefault="00CA5A67" w:rsidP="00F04B84">
            <w:pPr>
              <w:jc w:val="right"/>
              <w:rPr>
                <w:sz w:val="18"/>
                <w:szCs w:val="18"/>
                <w:highlight w:val="yellow"/>
              </w:rPr>
            </w:pPr>
            <w:r w:rsidRPr="00E603D9">
              <w:rPr>
                <w:rFonts w:cs="Arial"/>
                <w:sz w:val="18"/>
                <w:szCs w:val="18"/>
              </w:rPr>
              <w:t>4,09</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A6A3D" w14:textId="77777777" w:rsidR="00CA5A67" w:rsidRPr="00BB0A93" w:rsidRDefault="00CA5A67" w:rsidP="00F04B84">
            <w:pPr>
              <w:jc w:val="right"/>
              <w:rPr>
                <w:sz w:val="18"/>
                <w:szCs w:val="18"/>
                <w:highlight w:val="yellow"/>
              </w:rPr>
            </w:pPr>
            <w:r w:rsidRPr="00E603D9">
              <w:rPr>
                <w:rFonts w:cs="Arial"/>
                <w:sz w:val="18"/>
                <w:szCs w:val="18"/>
              </w:rPr>
              <w:t>3,80</w:t>
            </w:r>
          </w:p>
        </w:tc>
      </w:tr>
      <w:tr w:rsidR="00CA5A67" w:rsidRPr="000B19D9" w14:paraId="3B2943A1"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1506F032" w14:textId="77777777" w:rsidR="00CA5A67" w:rsidRPr="00BB0A93" w:rsidRDefault="00CA5A67" w:rsidP="00F04B84">
            <w:pPr>
              <w:ind w:firstLineChars="200" w:firstLine="360"/>
              <w:rPr>
                <w:sz w:val="18"/>
                <w:szCs w:val="18"/>
              </w:rPr>
            </w:pPr>
            <w:r w:rsidRPr="004D5FDE">
              <w:rPr>
                <w:sz w:val="18"/>
                <w:szCs w:val="18"/>
              </w:rPr>
              <w:t>D. Gospodarka ściekami</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6396EAD" w14:textId="77777777" w:rsidR="00CA5A67" w:rsidRPr="00BB0A93" w:rsidRDefault="00CA5A67" w:rsidP="00F04B84">
            <w:pPr>
              <w:jc w:val="right"/>
              <w:rPr>
                <w:sz w:val="18"/>
                <w:szCs w:val="18"/>
              </w:rPr>
            </w:pPr>
            <w:r w:rsidRPr="00E603D9">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2457CBC0" w14:textId="77777777" w:rsidR="00CA5A67" w:rsidRPr="00BB0A93" w:rsidRDefault="00CA5A67" w:rsidP="00F04B84">
            <w:pPr>
              <w:jc w:val="right"/>
              <w:rPr>
                <w:sz w:val="18"/>
                <w:szCs w:val="18"/>
              </w:rPr>
            </w:pPr>
            <w:r w:rsidRPr="00E603D9">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730439D" w14:textId="77777777" w:rsidR="00CA5A67" w:rsidRPr="00BB0A93" w:rsidRDefault="00CA5A67" w:rsidP="00F04B84">
            <w:pPr>
              <w:jc w:val="right"/>
              <w:rPr>
                <w:sz w:val="18"/>
                <w:szCs w:val="18"/>
              </w:rPr>
            </w:pPr>
            <w:r w:rsidRPr="00E603D9">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EC715" w14:textId="77777777" w:rsidR="00CA5A67" w:rsidRPr="00BB0A93" w:rsidRDefault="00CA5A67" w:rsidP="00F04B84">
            <w:pPr>
              <w:jc w:val="right"/>
              <w:rPr>
                <w:sz w:val="18"/>
                <w:szCs w:val="18"/>
                <w:highlight w:val="yellow"/>
              </w:rPr>
            </w:pPr>
            <w:r w:rsidRPr="00E603D9">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863CA" w14:textId="77777777" w:rsidR="00CA5A67" w:rsidRPr="00BB0A93" w:rsidRDefault="00CA5A67" w:rsidP="00F04B84">
            <w:pPr>
              <w:jc w:val="right"/>
              <w:rPr>
                <w:sz w:val="18"/>
                <w:szCs w:val="18"/>
                <w:highlight w:val="yellow"/>
              </w:rPr>
            </w:pPr>
            <w:r w:rsidRPr="00E603D9">
              <w:rPr>
                <w:rFonts w:cs="Arial"/>
                <w:sz w:val="18"/>
                <w:szCs w:val="18"/>
              </w:rPr>
              <w:t>0,00</w:t>
            </w:r>
          </w:p>
        </w:tc>
      </w:tr>
      <w:tr w:rsidR="00CA5A67" w:rsidRPr="000B19D9" w14:paraId="49DAAEA3" w14:textId="77777777" w:rsidTr="00F04B84">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39144C15" w14:textId="77777777" w:rsidR="00CA5A67" w:rsidRPr="00BB0A93" w:rsidRDefault="00CA5A67" w:rsidP="00F04B84">
            <w:pPr>
              <w:ind w:firstLineChars="200" w:firstLine="360"/>
              <w:rPr>
                <w:sz w:val="18"/>
                <w:szCs w:val="18"/>
              </w:rPr>
            </w:pPr>
            <w:r w:rsidRPr="004D5FDE">
              <w:rPr>
                <w:sz w:val="18"/>
                <w:szCs w:val="18"/>
              </w:rPr>
              <w:t>E. Inne</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AB79E3D" w14:textId="77777777" w:rsidR="00CA5A67" w:rsidRPr="00BB0A93" w:rsidRDefault="00CA5A67" w:rsidP="00F04B84">
            <w:pPr>
              <w:jc w:val="right"/>
              <w:rPr>
                <w:sz w:val="18"/>
                <w:szCs w:val="18"/>
              </w:rPr>
            </w:pPr>
            <w:r w:rsidRPr="00E603D9">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513E777B" w14:textId="77777777" w:rsidR="00CA5A67" w:rsidRPr="00BB0A93" w:rsidRDefault="00CA5A67" w:rsidP="00F04B84">
            <w:pPr>
              <w:jc w:val="right"/>
              <w:rPr>
                <w:sz w:val="18"/>
                <w:szCs w:val="18"/>
              </w:rPr>
            </w:pPr>
            <w:r w:rsidRPr="00E603D9">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647A840C" w14:textId="77777777" w:rsidR="00CA5A67" w:rsidRPr="00BB0A93" w:rsidRDefault="00CA5A67" w:rsidP="00F04B84">
            <w:pPr>
              <w:jc w:val="right"/>
              <w:rPr>
                <w:sz w:val="18"/>
                <w:szCs w:val="18"/>
              </w:rPr>
            </w:pPr>
            <w:r w:rsidRPr="00E603D9">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89C72" w14:textId="77777777" w:rsidR="00CA5A67" w:rsidRPr="00BB0A93" w:rsidRDefault="00CA5A67" w:rsidP="00F04B84">
            <w:pPr>
              <w:jc w:val="right"/>
              <w:rPr>
                <w:sz w:val="18"/>
                <w:szCs w:val="18"/>
                <w:highlight w:val="yellow"/>
              </w:rPr>
            </w:pPr>
            <w:r w:rsidRPr="00E603D9">
              <w:rPr>
                <w:rFonts w:cs="Arial"/>
                <w:sz w:val="18"/>
                <w:szCs w:val="18"/>
              </w:rPr>
              <w:t>0,00</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6A451" w14:textId="77777777" w:rsidR="00CA5A67" w:rsidRPr="00BB0A93" w:rsidRDefault="00CA5A67" w:rsidP="00F04B84">
            <w:pPr>
              <w:jc w:val="right"/>
              <w:rPr>
                <w:sz w:val="18"/>
                <w:szCs w:val="18"/>
                <w:highlight w:val="yellow"/>
              </w:rPr>
            </w:pPr>
            <w:r w:rsidRPr="00E603D9">
              <w:rPr>
                <w:rFonts w:cs="Arial"/>
                <w:sz w:val="18"/>
                <w:szCs w:val="18"/>
              </w:rPr>
              <w:t>0,00</w:t>
            </w:r>
          </w:p>
        </w:tc>
      </w:tr>
    </w:tbl>
    <w:p w14:paraId="4EA488C8" w14:textId="59884D8E" w:rsidR="000F1229" w:rsidRPr="0035160C" w:rsidRDefault="000F1229" w:rsidP="00B20F28">
      <w:pPr>
        <w:jc w:val="both"/>
        <w:rPr>
          <w:sz w:val="20"/>
          <w:szCs w:val="20"/>
        </w:rPr>
      </w:pPr>
    </w:p>
    <w:p w14:paraId="0535642F" w14:textId="0245862F" w:rsidR="00B20F28" w:rsidRPr="0035160C" w:rsidRDefault="00CA5A67" w:rsidP="00CA5A67">
      <w:pPr>
        <w:jc w:val="center"/>
        <w:rPr>
          <w:sz w:val="20"/>
          <w:szCs w:val="20"/>
        </w:rPr>
      </w:pPr>
      <w:r w:rsidRPr="009455AB">
        <w:rPr>
          <w:noProof/>
          <w:lang w:eastAsia="pl-PL"/>
        </w:rPr>
        <w:drawing>
          <wp:inline distT="0" distB="0" distL="0" distR="0" wp14:anchorId="4F300187" wp14:editId="39166093">
            <wp:extent cx="4376507" cy="2900680"/>
            <wp:effectExtent l="0" t="0" r="5080" b="0"/>
            <wp:docPr id="251" name="Obraz 251" descr="1A1 Przemysły energetyczne 0,14%&#10;1A2 Przemysł wytwórczy i budownictwo 0,26%&#10;1A3 transport 0,95%&#10;1A4 Inne sektory 91%&#10;1B Emisja lotna z paliw 2,4%&#10;2 Procesy przemysłowe 3%&#10;3 Rolnictwo 0,02%&#10;5 Odpady 2%" title="Wykres kołowy Udział poszczególnych sektorów w emisji WWA w roku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418227" cy="2928331"/>
                    </a:xfrm>
                    <a:prstGeom prst="rect">
                      <a:avLst/>
                    </a:prstGeom>
                    <a:noFill/>
                    <a:ln>
                      <a:noFill/>
                    </a:ln>
                  </pic:spPr>
                </pic:pic>
              </a:graphicData>
            </a:graphic>
          </wp:inline>
        </w:drawing>
      </w:r>
    </w:p>
    <w:p w14:paraId="1619C118" w14:textId="5E9BC701" w:rsidR="00610BA6" w:rsidRPr="0035160C" w:rsidRDefault="00610BA6" w:rsidP="00B20F28">
      <w:pPr>
        <w:jc w:val="center"/>
        <w:rPr>
          <w:sz w:val="20"/>
          <w:szCs w:val="20"/>
        </w:rPr>
      </w:pPr>
      <w:r w:rsidRPr="0035160C">
        <w:rPr>
          <w:sz w:val="20"/>
          <w:szCs w:val="20"/>
        </w:rPr>
        <w:t xml:space="preserve">Rysunek </w:t>
      </w:r>
      <w:r w:rsidR="00CA5A67">
        <w:rPr>
          <w:sz w:val="20"/>
          <w:szCs w:val="20"/>
        </w:rPr>
        <w:t>53</w:t>
      </w:r>
      <w:r w:rsidR="00CD6FB1" w:rsidRPr="0035160C">
        <w:rPr>
          <w:sz w:val="20"/>
          <w:szCs w:val="20"/>
        </w:rPr>
        <w:t>.</w:t>
      </w:r>
      <w:r w:rsidRPr="0035160C">
        <w:rPr>
          <w:sz w:val="20"/>
          <w:szCs w:val="20"/>
        </w:rPr>
        <w:t xml:space="preserve"> Udział istotnych sektorów w emisji WWA w 201</w:t>
      </w:r>
      <w:r w:rsidR="00CA5A67">
        <w:rPr>
          <w:sz w:val="20"/>
          <w:szCs w:val="20"/>
        </w:rPr>
        <w:t>9</w:t>
      </w:r>
      <w:r w:rsidRPr="0035160C">
        <w:rPr>
          <w:sz w:val="20"/>
          <w:szCs w:val="20"/>
        </w:rPr>
        <w:t xml:space="preserve"> r.</w:t>
      </w:r>
    </w:p>
    <w:p w14:paraId="2F05EEBE" w14:textId="77777777" w:rsidR="00C7441B" w:rsidRPr="0035160C" w:rsidRDefault="00C7441B" w:rsidP="00B20F28">
      <w:pPr>
        <w:jc w:val="center"/>
        <w:rPr>
          <w:sz w:val="20"/>
          <w:szCs w:val="20"/>
        </w:rPr>
      </w:pPr>
    </w:p>
    <w:p w14:paraId="4A1C6A40" w14:textId="730F5109" w:rsidR="008028C4" w:rsidRPr="0035160C" w:rsidRDefault="00E20D8C">
      <w:pPr>
        <w:rPr>
          <w:b/>
          <w:bCs/>
          <w:color w:val="2F5496" w:themeColor="accent1" w:themeShade="BF"/>
        </w:rPr>
      </w:pPr>
      <w:r w:rsidRPr="0035160C">
        <w:rPr>
          <w:b/>
          <w:bCs/>
          <w:color w:val="2F5496" w:themeColor="accent1" w:themeShade="BF"/>
        </w:rPr>
        <w:br w:type="page"/>
      </w:r>
    </w:p>
    <w:p w14:paraId="14467852" w14:textId="0C2F5228" w:rsidR="00A15514" w:rsidRDefault="009D093A" w:rsidP="009A500A">
      <w:pPr>
        <w:pStyle w:val="Nagwek1"/>
        <w:numPr>
          <w:ilvl w:val="0"/>
          <w:numId w:val="0"/>
        </w:numPr>
        <w:ind w:left="431" w:hanging="431"/>
        <w:rPr>
          <w:b/>
          <w:sz w:val="24"/>
          <w:szCs w:val="24"/>
        </w:rPr>
      </w:pPr>
      <w:bookmarkStart w:id="52" w:name="_Toc78205889"/>
      <w:r>
        <w:rPr>
          <w:b/>
          <w:sz w:val="24"/>
          <w:szCs w:val="24"/>
        </w:rPr>
        <w:lastRenderedPageBreak/>
        <w:t>8</w:t>
      </w:r>
      <w:r w:rsidR="00933F32" w:rsidRPr="0035160C">
        <w:rPr>
          <w:b/>
          <w:sz w:val="24"/>
          <w:szCs w:val="24"/>
        </w:rPr>
        <w:t>.</w:t>
      </w:r>
      <w:r w:rsidR="00CA5FE4">
        <w:rPr>
          <w:b/>
          <w:sz w:val="24"/>
          <w:szCs w:val="24"/>
        </w:rPr>
        <w:t xml:space="preserve"> </w:t>
      </w:r>
      <w:r w:rsidR="00A15514">
        <w:rPr>
          <w:b/>
          <w:sz w:val="24"/>
          <w:szCs w:val="24"/>
        </w:rPr>
        <w:t>Rola administracji samorządowej w działaniach na rzecz poprawy jakości powietrza</w:t>
      </w:r>
      <w:bookmarkEnd w:id="52"/>
    </w:p>
    <w:p w14:paraId="66A82EFB" w14:textId="4204F24F" w:rsidR="00AA66D6" w:rsidRPr="00CA419D" w:rsidRDefault="00A15514" w:rsidP="00AA66D6">
      <w:pPr>
        <w:suppressAutoHyphens/>
        <w:spacing w:after="120" w:line="240" w:lineRule="auto"/>
        <w:jc w:val="both"/>
        <w:rPr>
          <w:rFonts w:eastAsia="Calibri" w:cstheme="minorHAnsi"/>
          <w:b/>
          <w:lang w:eastAsia="ar-SA"/>
        </w:rPr>
      </w:pPr>
      <w:r w:rsidRPr="00CA419D">
        <w:rPr>
          <w:rFonts w:eastAsia="Calibri" w:cstheme="minorHAnsi"/>
          <w:bCs/>
          <w:lang w:eastAsia="ar-SA"/>
        </w:rPr>
        <w:t xml:space="preserve">Zgodnie z ustawą z dnia 29 lipca 2005 r. </w:t>
      </w:r>
      <w:r w:rsidRPr="00CA419D">
        <w:rPr>
          <w:rFonts w:eastAsia="Calibri" w:cstheme="minorHAnsi"/>
          <w:bCs/>
          <w:i/>
          <w:iCs/>
          <w:lang w:eastAsia="ar-SA"/>
        </w:rPr>
        <w:t>o zmianie niektórych ustaw w związku ze zmianami w</w:t>
      </w:r>
      <w:r w:rsidR="008F1051">
        <w:rPr>
          <w:rFonts w:eastAsia="Calibri" w:cstheme="minorHAnsi"/>
          <w:bCs/>
          <w:i/>
          <w:iCs/>
          <w:lang w:eastAsia="ar-SA"/>
        </w:rPr>
        <w:t xml:space="preserve"> </w:t>
      </w:r>
      <w:r w:rsidRPr="00CA419D">
        <w:rPr>
          <w:rFonts w:eastAsia="Calibri" w:cstheme="minorHAnsi"/>
          <w:bCs/>
          <w:i/>
          <w:iCs/>
          <w:lang w:eastAsia="ar-SA"/>
        </w:rPr>
        <w:t>podziale zadań i kompetencji administracji terenowej</w:t>
      </w:r>
      <w:r w:rsidRPr="00CA419D">
        <w:rPr>
          <w:rFonts w:eastAsia="Calibri" w:cstheme="minorHAnsi"/>
          <w:bCs/>
          <w:lang w:eastAsia="ar-SA"/>
        </w:rPr>
        <w:t xml:space="preserve"> (Dz. U. poz. 1462, z późn. zm.)</w:t>
      </w:r>
      <w:r w:rsidRPr="00CA419D">
        <w:rPr>
          <w:rFonts w:eastAsia="Calibri" w:cstheme="minorHAnsi"/>
          <w:b/>
          <w:lang w:eastAsia="ar-SA"/>
        </w:rPr>
        <w:t xml:space="preserve"> </w:t>
      </w:r>
      <w:r w:rsidRPr="00CA419D">
        <w:rPr>
          <w:rFonts w:eastAsia="Calibri" w:cstheme="minorHAnsi"/>
          <w:b/>
          <w:bCs/>
          <w:color w:val="2F5496" w:themeColor="accent1" w:themeShade="BF"/>
          <w:lang w:eastAsia="ar-SA"/>
        </w:rPr>
        <w:t>zarządzanie jakością powietrza</w:t>
      </w:r>
      <w:r w:rsidRPr="00CA419D">
        <w:rPr>
          <w:rFonts w:eastAsia="Calibri" w:cstheme="minorHAnsi"/>
          <w:b/>
          <w:color w:val="2F5496" w:themeColor="accent1" w:themeShade="BF"/>
          <w:lang w:eastAsia="ar-SA"/>
        </w:rPr>
        <w:t xml:space="preserve"> na terenie województwa należy do zadań administracji samorządowej szczebla wojewódzkiego. Zadanie to należy do </w:t>
      </w:r>
      <w:r w:rsidR="00693D2A" w:rsidRPr="00CA419D">
        <w:rPr>
          <w:rFonts w:eastAsia="Calibri" w:cstheme="minorHAnsi"/>
          <w:b/>
          <w:color w:val="2F5496" w:themeColor="accent1" w:themeShade="BF"/>
          <w:lang w:eastAsia="ar-SA"/>
        </w:rPr>
        <w:t xml:space="preserve">administracji </w:t>
      </w:r>
      <w:r w:rsidRPr="00CA419D">
        <w:rPr>
          <w:rFonts w:eastAsia="Calibri" w:cstheme="minorHAnsi"/>
          <w:b/>
          <w:color w:val="2F5496" w:themeColor="accent1" w:themeShade="BF"/>
          <w:lang w:eastAsia="ar-SA"/>
        </w:rPr>
        <w:t>samorząd</w:t>
      </w:r>
      <w:r w:rsidR="00693D2A" w:rsidRPr="00CA419D">
        <w:rPr>
          <w:rFonts w:eastAsia="Calibri" w:cstheme="minorHAnsi"/>
          <w:b/>
          <w:color w:val="2F5496" w:themeColor="accent1" w:themeShade="BF"/>
          <w:lang w:eastAsia="ar-SA"/>
        </w:rPr>
        <w:t xml:space="preserve">owej począwszy </w:t>
      </w:r>
      <w:r w:rsidRPr="00CA419D">
        <w:rPr>
          <w:rFonts w:eastAsia="Calibri" w:cstheme="minorHAnsi"/>
          <w:b/>
          <w:color w:val="2F5496" w:themeColor="accent1" w:themeShade="BF"/>
          <w:lang w:eastAsia="ar-SA"/>
        </w:rPr>
        <w:t>od 2008 r.</w:t>
      </w:r>
    </w:p>
    <w:p w14:paraId="79988849" w14:textId="7D2CFB45" w:rsidR="00AA66D6" w:rsidRPr="00CA419D" w:rsidRDefault="00A15514" w:rsidP="00AA66D6">
      <w:pPr>
        <w:suppressAutoHyphens/>
        <w:spacing w:after="120" w:line="240" w:lineRule="auto"/>
        <w:jc w:val="both"/>
        <w:rPr>
          <w:rFonts w:cstheme="minorHAnsi"/>
        </w:rPr>
      </w:pPr>
      <w:r w:rsidRPr="00CA419D">
        <w:rPr>
          <w:rFonts w:eastAsia="Calibri" w:cstheme="minorHAnsi"/>
          <w:bCs/>
          <w:lang w:eastAsia="ar-SA"/>
        </w:rPr>
        <w:t xml:space="preserve">Natomiast zgodnie z </w:t>
      </w:r>
      <w:r w:rsidRPr="00CA419D">
        <w:rPr>
          <w:rFonts w:cstheme="minorHAnsi"/>
        </w:rPr>
        <w:t xml:space="preserve">art. 7 ust. 1 ustawy z dnia z dnia 8 marca 1990 r. o samorządzie gminnym (Dz. U. z 2020 r. poz. 713, 1378), </w:t>
      </w:r>
      <w:r w:rsidRPr="00CA419D">
        <w:rPr>
          <w:rFonts w:cstheme="minorHAnsi"/>
          <w:b/>
          <w:bCs/>
          <w:color w:val="2F5496" w:themeColor="accent1" w:themeShade="BF"/>
        </w:rPr>
        <w:t>do zadań własnych gminy należy zaspokajanie zbiorowych potrzeb wspólnoty m. in. w zakresie ochrony środowiska i przyrody oraz gospodarki wodnej</w:t>
      </w:r>
      <w:r w:rsidRPr="00CA419D">
        <w:rPr>
          <w:rFonts w:cstheme="minorHAnsi"/>
        </w:rPr>
        <w:t xml:space="preserve">. Dodatkowo, zgodnie z art. 18 ust. 1 ustawy z dnia 10 kwietnia 1997 r. Prawo energetyczne (Dz. U. z 2020 r. poz. 833, z późn. zm.) </w:t>
      </w:r>
      <w:r w:rsidRPr="00CA419D">
        <w:rPr>
          <w:rFonts w:cstheme="minorHAnsi"/>
          <w:b/>
          <w:bCs/>
          <w:color w:val="2F5496" w:themeColor="accent1" w:themeShade="BF"/>
        </w:rPr>
        <w:t>do zadań gmin należy planowanie i organizacja zaopatrzenia w ciepło, energię elektryczną i paliwa gazowe na obszarze gminy, jak również planowanie i organizacja działań mających na celu racjonalizację zużycia energii i promocję rozwiązań zmniejszających zużycie energii na obszarze gminy</w:t>
      </w:r>
      <w:r w:rsidR="00693D2A" w:rsidRPr="00CA419D">
        <w:rPr>
          <w:rFonts w:cstheme="minorHAnsi"/>
          <w:color w:val="2F5496" w:themeColor="accent1" w:themeShade="BF"/>
        </w:rPr>
        <w:t>.</w:t>
      </w:r>
    </w:p>
    <w:p w14:paraId="41B075EF" w14:textId="1F3A7B52" w:rsidR="006805DF" w:rsidRPr="00CA419D" w:rsidRDefault="006805DF" w:rsidP="00CA419D">
      <w:pPr>
        <w:pStyle w:val="Bodytext20"/>
        <w:spacing w:before="120" w:line="240" w:lineRule="auto"/>
        <w:rPr>
          <w:rFonts w:asciiTheme="minorHAnsi" w:hAnsiTheme="minorHAnsi" w:cstheme="minorHAnsi"/>
          <w:color w:val="auto"/>
          <w:sz w:val="22"/>
          <w:szCs w:val="22"/>
        </w:rPr>
      </w:pPr>
      <w:r w:rsidRPr="00CA419D">
        <w:rPr>
          <w:rFonts w:asciiTheme="minorHAnsi" w:hAnsiTheme="minorHAnsi" w:cstheme="minorHAnsi"/>
          <w:color w:val="auto"/>
          <w:sz w:val="22"/>
          <w:szCs w:val="22"/>
        </w:rPr>
        <w:t xml:space="preserve">Dlatego też </w:t>
      </w:r>
      <w:r w:rsidRPr="00CA419D">
        <w:rPr>
          <w:rFonts w:asciiTheme="minorHAnsi" w:hAnsiTheme="minorHAnsi" w:cstheme="minorHAnsi"/>
          <w:b/>
          <w:bCs/>
          <w:color w:val="2F5496" w:themeColor="accent1" w:themeShade="BF"/>
          <w:sz w:val="22"/>
          <w:szCs w:val="22"/>
        </w:rPr>
        <w:t>podejmowanie przez gminy działań polegających na podnoszeniu świadomości ekologicznej swoich mieszkańców oraz uświadomieniu im konsekwencji dla zdrowia, jakie niesie za sobą ekspozycja na ponadnormatywne stężenia zanieczyszczeń powietrza oraz wsparcie w</w:t>
      </w:r>
      <w:r w:rsidR="00CA419D">
        <w:rPr>
          <w:rFonts w:asciiTheme="minorHAnsi" w:hAnsiTheme="minorHAnsi" w:cstheme="minorHAnsi"/>
          <w:b/>
          <w:bCs/>
          <w:color w:val="2F5496" w:themeColor="accent1" w:themeShade="BF"/>
          <w:sz w:val="22"/>
          <w:szCs w:val="22"/>
        </w:rPr>
        <w:t> </w:t>
      </w:r>
      <w:r w:rsidRPr="00CA419D">
        <w:rPr>
          <w:rFonts w:asciiTheme="minorHAnsi" w:hAnsiTheme="minorHAnsi" w:cstheme="minorHAnsi"/>
          <w:b/>
          <w:bCs/>
          <w:color w:val="2F5496" w:themeColor="accent1" w:themeShade="BF"/>
          <w:sz w:val="22"/>
          <w:szCs w:val="22"/>
        </w:rPr>
        <w:t>realizacji działań mających na celu ograniczenie tego negatywnego zjawiska, wpisuje się w zadania własne gmin</w:t>
      </w:r>
      <w:r w:rsidRPr="00CA419D">
        <w:rPr>
          <w:rFonts w:asciiTheme="minorHAnsi" w:hAnsiTheme="minorHAnsi" w:cstheme="minorHAnsi"/>
          <w:color w:val="auto"/>
          <w:sz w:val="22"/>
          <w:szCs w:val="22"/>
        </w:rPr>
        <w:t xml:space="preserve">, jako jednostek samorządu terytorialnego, wynikające z </w:t>
      </w:r>
      <w:r w:rsidRPr="00CA419D">
        <w:rPr>
          <w:rFonts w:asciiTheme="minorHAnsi" w:hAnsiTheme="minorHAnsi" w:cstheme="minorHAnsi"/>
          <w:color w:val="auto"/>
          <w:sz w:val="22"/>
          <w:szCs w:val="22"/>
          <w:lang w:bidi="en-US"/>
        </w:rPr>
        <w:t xml:space="preserve">art. </w:t>
      </w:r>
      <w:r w:rsidRPr="00CA419D">
        <w:rPr>
          <w:rFonts w:asciiTheme="minorHAnsi" w:hAnsiTheme="minorHAnsi" w:cstheme="minorHAnsi"/>
          <w:color w:val="auto"/>
          <w:sz w:val="22"/>
          <w:szCs w:val="22"/>
        </w:rPr>
        <w:t xml:space="preserve">7 ust. 1 ustawy z dnia z dnia 8 marca 1990 r. </w:t>
      </w:r>
      <w:r w:rsidRPr="00CA419D">
        <w:rPr>
          <w:rFonts w:asciiTheme="minorHAnsi" w:hAnsiTheme="minorHAnsi" w:cstheme="minorHAnsi"/>
          <w:i/>
          <w:iCs/>
          <w:color w:val="auto"/>
          <w:sz w:val="22"/>
          <w:szCs w:val="22"/>
        </w:rPr>
        <w:t xml:space="preserve">o samorządzie gminnym </w:t>
      </w:r>
      <w:r w:rsidRPr="00CA419D">
        <w:rPr>
          <w:rFonts w:asciiTheme="minorHAnsi" w:hAnsiTheme="minorHAnsi" w:cstheme="minorHAnsi"/>
          <w:color w:val="auto"/>
          <w:sz w:val="22"/>
          <w:szCs w:val="22"/>
        </w:rPr>
        <w:t xml:space="preserve">(Dz. U. z 2020 r. poz. 713, 1378), który stanowi, że do zadań własnych gminy należy zaspokajanie zbiorowych potrzeb wspólnoty m. </w:t>
      </w:r>
      <w:r w:rsidRPr="00CA419D">
        <w:rPr>
          <w:rFonts w:asciiTheme="minorHAnsi" w:hAnsiTheme="minorHAnsi" w:cstheme="minorHAnsi"/>
          <w:color w:val="auto"/>
          <w:sz w:val="22"/>
          <w:szCs w:val="22"/>
          <w:lang w:bidi="en-US"/>
        </w:rPr>
        <w:t>in.</w:t>
      </w:r>
      <w:r w:rsidRPr="00CA419D">
        <w:rPr>
          <w:rFonts w:asciiTheme="minorHAnsi" w:hAnsiTheme="minorHAnsi" w:cstheme="minorHAnsi"/>
          <w:color w:val="auto"/>
          <w:sz w:val="22"/>
          <w:szCs w:val="22"/>
        </w:rPr>
        <w:t xml:space="preserve"> w zakresie ochrony środowiska i przyrody oraz gospodarki wodnej. </w:t>
      </w:r>
    </w:p>
    <w:p w14:paraId="1D82B1E6" w14:textId="1D8AB6B6" w:rsidR="00693D2A" w:rsidRPr="00693D2A" w:rsidRDefault="00693D2A" w:rsidP="00CA419D">
      <w:pPr>
        <w:suppressAutoHyphens/>
        <w:spacing w:before="120" w:after="120" w:line="240" w:lineRule="auto"/>
        <w:jc w:val="both"/>
        <w:rPr>
          <w:rFonts w:eastAsia="Calibri" w:cstheme="minorHAnsi"/>
          <w:b/>
          <w:lang w:eastAsia="ar-SA"/>
        </w:rPr>
      </w:pPr>
      <w:r w:rsidRPr="00693D2A">
        <w:rPr>
          <w:rFonts w:cstheme="minorHAnsi"/>
        </w:rPr>
        <w:t xml:space="preserve">Tym samym, w systemie poprawy jakości powietrza w Polsce kluczową rolę odgrywa administracja samorządu terytorialnego. </w:t>
      </w:r>
    </w:p>
    <w:p w14:paraId="1BBEEBD0" w14:textId="65798FF5" w:rsidR="003E305A" w:rsidRPr="0008343D" w:rsidRDefault="009D093A" w:rsidP="0008343D">
      <w:pPr>
        <w:pStyle w:val="Nagwek2"/>
        <w:numPr>
          <w:ilvl w:val="0"/>
          <w:numId w:val="0"/>
        </w:numPr>
        <w:rPr>
          <w:rFonts w:eastAsia="Calibri"/>
          <w:b/>
          <w:sz w:val="22"/>
          <w:szCs w:val="22"/>
          <w:lang w:eastAsia="ar-SA"/>
        </w:rPr>
      </w:pPr>
      <w:bookmarkStart w:id="53" w:name="_Toc78205890"/>
      <w:r w:rsidRPr="0008343D">
        <w:rPr>
          <w:rFonts w:eastAsia="Calibri"/>
          <w:b/>
          <w:sz w:val="22"/>
          <w:szCs w:val="22"/>
          <w:lang w:eastAsia="ar-SA"/>
        </w:rPr>
        <w:t>8</w:t>
      </w:r>
      <w:r w:rsidR="003E305A" w:rsidRPr="0008343D">
        <w:rPr>
          <w:rFonts w:eastAsia="Calibri"/>
          <w:b/>
          <w:sz w:val="22"/>
          <w:szCs w:val="22"/>
          <w:lang w:eastAsia="ar-SA"/>
        </w:rPr>
        <w:t>.1. Programy ochrony powietrza</w:t>
      </w:r>
      <w:bookmarkEnd w:id="53"/>
    </w:p>
    <w:p w14:paraId="5BA6F805" w14:textId="6BC3E39C" w:rsidR="00D65DF1" w:rsidRDefault="00CA419D" w:rsidP="00AA66D6">
      <w:pPr>
        <w:suppressAutoHyphens/>
        <w:spacing w:after="120" w:line="240" w:lineRule="auto"/>
        <w:jc w:val="both"/>
        <w:rPr>
          <w:rFonts w:cstheme="minorHAnsi"/>
          <w:lang w:eastAsia="ar-SA"/>
        </w:rPr>
      </w:pPr>
      <w:r>
        <w:rPr>
          <w:rFonts w:eastAsia="Calibri" w:cstheme="minorHAnsi"/>
          <w:bCs/>
          <w:lang w:eastAsia="ar-SA"/>
        </w:rPr>
        <w:t xml:space="preserve">Zgodnie z </w:t>
      </w:r>
      <w:r w:rsidR="00A15514" w:rsidRPr="00AA66D6">
        <w:rPr>
          <w:rFonts w:eastAsia="Calibri" w:cstheme="minorHAnsi"/>
          <w:bCs/>
          <w:lang w:eastAsia="ar-SA"/>
        </w:rPr>
        <w:t xml:space="preserve">art. 91 i 92 </w:t>
      </w:r>
      <w:r w:rsidR="00211DCA">
        <w:rPr>
          <w:rFonts w:eastAsia="Calibri" w:cstheme="minorHAnsi"/>
          <w:bCs/>
          <w:lang w:eastAsia="ar-SA"/>
        </w:rPr>
        <w:t>POŚ</w:t>
      </w:r>
      <w:r w:rsidR="00A15514" w:rsidRPr="007614C9">
        <w:rPr>
          <w:rFonts w:eastAsia="Calibri" w:cstheme="minorHAnsi"/>
          <w:bCs/>
          <w:color w:val="2F5496" w:themeColor="accent1" w:themeShade="BF"/>
          <w:lang w:eastAsia="ar-SA"/>
        </w:rPr>
        <w:t>,</w:t>
      </w:r>
      <w:r w:rsidR="00A15514" w:rsidRPr="007614C9">
        <w:rPr>
          <w:rFonts w:eastAsia="Calibri" w:cstheme="minorHAnsi"/>
          <w:b/>
          <w:color w:val="2F5496" w:themeColor="accent1" w:themeShade="BF"/>
          <w:lang w:eastAsia="ar-SA"/>
        </w:rPr>
        <w:t xml:space="preserve"> zarządy województw mają obowiązek przygotować projekty POP, </w:t>
      </w:r>
      <w:r w:rsidR="00A15514" w:rsidRPr="00AA66D6">
        <w:rPr>
          <w:rFonts w:eastAsia="Calibri" w:cstheme="minorHAnsi"/>
          <w:bCs/>
          <w:lang w:eastAsia="ar-SA"/>
        </w:rPr>
        <w:t>które następnie są przyjmowane w drodze aktów prawa miejscowego, jakim są uchwały sejmików województw</w:t>
      </w:r>
      <w:r w:rsidR="00A15514" w:rsidRPr="00AA66D6">
        <w:rPr>
          <w:rFonts w:eastAsia="Calibri" w:cstheme="minorHAnsi"/>
          <w:b/>
          <w:lang w:eastAsia="ar-SA"/>
        </w:rPr>
        <w:t>.</w:t>
      </w:r>
      <w:r w:rsidR="00A15514" w:rsidRPr="00AA66D6">
        <w:rPr>
          <w:rFonts w:cstheme="minorHAnsi"/>
          <w:lang w:eastAsia="ar-SA"/>
        </w:rPr>
        <w:t xml:space="preserve"> </w:t>
      </w:r>
      <w:r>
        <w:rPr>
          <w:rFonts w:cstheme="minorHAnsi"/>
          <w:lang w:eastAsia="ar-SA"/>
        </w:rPr>
        <w:t>H</w:t>
      </w:r>
      <w:r w:rsidR="00A15514" w:rsidRPr="00AA66D6">
        <w:rPr>
          <w:rFonts w:cstheme="minorHAnsi"/>
          <w:lang w:eastAsia="ar-SA"/>
        </w:rPr>
        <w:t xml:space="preserve">oryzont </w:t>
      </w:r>
      <w:r>
        <w:rPr>
          <w:rFonts w:cstheme="minorHAnsi"/>
          <w:lang w:eastAsia="ar-SA"/>
        </w:rPr>
        <w:t xml:space="preserve">czasowy </w:t>
      </w:r>
      <w:r w:rsidR="00A15514" w:rsidRPr="00AA66D6">
        <w:rPr>
          <w:rFonts w:cstheme="minorHAnsi"/>
          <w:lang w:eastAsia="ar-SA"/>
        </w:rPr>
        <w:t xml:space="preserve">działań </w:t>
      </w:r>
      <w:r>
        <w:rPr>
          <w:rFonts w:cstheme="minorHAnsi"/>
          <w:lang w:eastAsia="ar-SA"/>
        </w:rPr>
        <w:t xml:space="preserve">naprawczych, określonych w POP wyznaczany jest </w:t>
      </w:r>
      <w:r w:rsidR="00A15514" w:rsidRPr="00AA66D6">
        <w:rPr>
          <w:rFonts w:cstheme="minorHAnsi"/>
          <w:lang w:eastAsia="ar-SA"/>
        </w:rPr>
        <w:t>do 6 lat od wejścia w życie uchwały w</w:t>
      </w:r>
      <w:r>
        <w:rPr>
          <w:rFonts w:cstheme="minorHAnsi"/>
          <w:lang w:eastAsia="ar-SA"/>
        </w:rPr>
        <w:t xml:space="preserve"> sprawie POP. </w:t>
      </w:r>
    </w:p>
    <w:p w14:paraId="3A49697E" w14:textId="19A983B0" w:rsidR="00D65DF1" w:rsidRDefault="00D65DF1" w:rsidP="00AA66D6">
      <w:pPr>
        <w:suppressAutoHyphens/>
        <w:spacing w:after="120" w:line="240" w:lineRule="auto"/>
        <w:jc w:val="both"/>
        <w:rPr>
          <w:rFonts w:cstheme="minorHAnsi"/>
          <w:lang w:eastAsia="ar-SA"/>
        </w:rPr>
      </w:pPr>
      <w:r>
        <w:rPr>
          <w:rFonts w:cstheme="minorHAnsi"/>
          <w:lang w:eastAsia="ar-SA"/>
        </w:rPr>
        <w:t>Aktualnie w kraju, z</w:t>
      </w:r>
      <w:r w:rsidR="00A15514" w:rsidRPr="00AA66D6">
        <w:rPr>
          <w:rFonts w:cstheme="minorHAnsi"/>
          <w:lang w:eastAsia="ar-SA"/>
        </w:rPr>
        <w:t xml:space="preserve">godnie z art. 91 ust. 3 i 5 </w:t>
      </w:r>
      <w:r w:rsidR="00211DCA">
        <w:rPr>
          <w:rFonts w:cstheme="minorHAnsi"/>
          <w:lang w:eastAsia="ar-SA"/>
        </w:rPr>
        <w:t>POŚ</w:t>
      </w:r>
      <w:r w:rsidR="00A15514" w:rsidRPr="00AA66D6">
        <w:rPr>
          <w:rFonts w:cstheme="minorHAnsi"/>
          <w:lang w:eastAsia="ar-SA"/>
        </w:rPr>
        <w:t xml:space="preserve">, </w:t>
      </w:r>
      <w:r>
        <w:rPr>
          <w:rFonts w:cstheme="minorHAnsi"/>
          <w:lang w:eastAsia="ar-SA"/>
        </w:rPr>
        <w:t xml:space="preserve">w wyniku podjętych przez samorząd województwa działań </w:t>
      </w:r>
      <w:r w:rsidR="008F1051">
        <w:rPr>
          <w:rFonts w:cstheme="minorHAnsi"/>
          <w:lang w:eastAsia="ar-SA"/>
        </w:rPr>
        <w:t xml:space="preserve">na </w:t>
      </w:r>
      <w:r w:rsidR="00A15514" w:rsidRPr="00AA66D6">
        <w:rPr>
          <w:rFonts w:cstheme="minorHAnsi"/>
          <w:lang w:eastAsia="ar-SA"/>
        </w:rPr>
        <w:t>przełomie II i III kwartału 2020 r.</w:t>
      </w:r>
      <w:r>
        <w:rPr>
          <w:rFonts w:cstheme="minorHAnsi"/>
          <w:lang w:eastAsia="ar-SA"/>
        </w:rPr>
        <w:t>, realizowanych jest 31 uchwał sejmików województw w sprawie programów ochrony powietrza, których termin realizacji wyznaczony został do końca 2026 r.</w:t>
      </w:r>
      <w:r w:rsidR="00A15514" w:rsidRPr="00AA66D6">
        <w:rPr>
          <w:rFonts w:cstheme="minorHAnsi"/>
          <w:lang w:eastAsia="ar-SA"/>
        </w:rPr>
        <w:t xml:space="preserve"> </w:t>
      </w:r>
      <w:r w:rsidRPr="00D65DF1">
        <w:rPr>
          <w:rFonts w:cstheme="minorHAnsi"/>
          <w:b/>
          <w:bCs/>
          <w:color w:val="2F5496" w:themeColor="accent1" w:themeShade="BF"/>
          <w:lang w:eastAsia="ar-SA"/>
        </w:rPr>
        <w:t>Podkreślić należy, że POP stanowią podstawowy dokument określający politykę poprawy jakości powietrza na obszarze województwa</w:t>
      </w:r>
      <w:r w:rsidRPr="00D65DF1">
        <w:rPr>
          <w:rFonts w:cstheme="minorHAnsi"/>
          <w:lang w:eastAsia="ar-SA"/>
        </w:rPr>
        <w:t xml:space="preserve">. </w:t>
      </w:r>
    </w:p>
    <w:p w14:paraId="1926D84C" w14:textId="77777777" w:rsidR="00D65DF1" w:rsidRDefault="00D65DF1" w:rsidP="00AA66D6">
      <w:pPr>
        <w:suppressAutoHyphens/>
        <w:spacing w:after="120" w:line="240" w:lineRule="auto"/>
        <w:jc w:val="both"/>
        <w:rPr>
          <w:rFonts w:cstheme="minorHAnsi"/>
          <w:lang w:eastAsia="ar-SA"/>
        </w:rPr>
      </w:pPr>
      <w:r>
        <w:rPr>
          <w:rFonts w:cstheme="minorHAnsi"/>
          <w:lang w:eastAsia="ar-SA"/>
        </w:rPr>
        <w:t>W</w:t>
      </w:r>
      <w:r w:rsidR="00A15514" w:rsidRPr="00D65DF1">
        <w:rPr>
          <w:rFonts w:cstheme="minorHAnsi"/>
          <w:lang w:eastAsia="ar-SA"/>
        </w:rPr>
        <w:t> oparciu o te programy, gminy już teraz zobowiązane są do wymiany na swoich obsz</w:t>
      </w:r>
      <w:r w:rsidR="00A15514" w:rsidRPr="00AA66D6">
        <w:rPr>
          <w:rFonts w:cstheme="minorHAnsi"/>
          <w:lang w:eastAsia="ar-SA"/>
        </w:rPr>
        <w:t>arach określonej liczby źródeł ciepła na paliwa stałe</w:t>
      </w:r>
      <w:r>
        <w:rPr>
          <w:rFonts w:cstheme="minorHAnsi"/>
          <w:lang w:eastAsia="ar-SA"/>
        </w:rPr>
        <w:t>, które nie spełniają określonych norm emisyjnych</w:t>
      </w:r>
      <w:r w:rsidR="00A15514" w:rsidRPr="00AA66D6">
        <w:rPr>
          <w:rFonts w:cstheme="minorHAnsi"/>
          <w:lang w:eastAsia="ar-SA"/>
        </w:rPr>
        <w:t xml:space="preserve">, w </w:t>
      </w:r>
      <w:r>
        <w:rPr>
          <w:rFonts w:cstheme="minorHAnsi"/>
          <w:lang w:eastAsia="ar-SA"/>
        </w:rPr>
        <w:t xml:space="preserve">określonych </w:t>
      </w:r>
      <w:r w:rsidR="00A15514" w:rsidRPr="00AA66D6">
        <w:rPr>
          <w:rFonts w:cstheme="minorHAnsi"/>
          <w:lang w:eastAsia="ar-SA"/>
        </w:rPr>
        <w:t>terminach</w:t>
      </w:r>
      <w:r>
        <w:rPr>
          <w:rFonts w:cstheme="minorHAnsi"/>
          <w:lang w:eastAsia="ar-SA"/>
        </w:rPr>
        <w:t xml:space="preserve">. </w:t>
      </w:r>
      <w:r w:rsidR="00A15514" w:rsidRPr="00AA66D6">
        <w:rPr>
          <w:rFonts w:cstheme="minorHAnsi"/>
          <w:lang w:eastAsia="ar-SA"/>
        </w:rPr>
        <w:t xml:space="preserve">Dodatkowo wybrane województwa, w ramach </w:t>
      </w:r>
      <w:r>
        <w:rPr>
          <w:rFonts w:cstheme="minorHAnsi"/>
          <w:lang w:eastAsia="ar-SA"/>
        </w:rPr>
        <w:t>POP</w:t>
      </w:r>
      <w:r w:rsidR="00A15514" w:rsidRPr="00AA66D6">
        <w:rPr>
          <w:rFonts w:cstheme="minorHAnsi"/>
          <w:lang w:eastAsia="ar-SA"/>
        </w:rPr>
        <w:t>, jako działanie określ</w:t>
      </w:r>
      <w:r>
        <w:rPr>
          <w:rFonts w:cstheme="minorHAnsi"/>
          <w:lang w:eastAsia="ar-SA"/>
        </w:rPr>
        <w:t xml:space="preserve">iły </w:t>
      </w:r>
      <w:r w:rsidR="00A15514" w:rsidRPr="00AA66D6">
        <w:rPr>
          <w:rFonts w:cstheme="minorHAnsi"/>
          <w:lang w:eastAsia="ar-SA"/>
        </w:rPr>
        <w:t>przeprowadzenie inwentaryzacji źródeł emisji</w:t>
      </w:r>
      <w:r>
        <w:rPr>
          <w:rFonts w:cstheme="minorHAnsi"/>
          <w:lang w:eastAsia="ar-SA"/>
        </w:rPr>
        <w:t xml:space="preserve">. </w:t>
      </w:r>
    </w:p>
    <w:p w14:paraId="04DAABD2" w14:textId="172DBECC" w:rsidR="008F1051" w:rsidRDefault="00A15514" w:rsidP="00AA66D6">
      <w:pPr>
        <w:suppressAutoHyphens/>
        <w:spacing w:after="120" w:line="240" w:lineRule="auto"/>
        <w:jc w:val="both"/>
        <w:rPr>
          <w:rFonts w:cstheme="minorHAnsi"/>
          <w:lang w:eastAsia="ar-SA"/>
        </w:rPr>
      </w:pPr>
      <w:r w:rsidRPr="00AA66D6">
        <w:rPr>
          <w:rFonts w:cstheme="minorHAnsi"/>
          <w:lang w:eastAsia="ar-SA"/>
        </w:rPr>
        <w:t xml:space="preserve">Ponadto zgodnie z art. 94 ust. 2a </w:t>
      </w:r>
      <w:r w:rsidR="00211DCA">
        <w:rPr>
          <w:rFonts w:cstheme="minorHAnsi"/>
          <w:lang w:eastAsia="ar-SA"/>
        </w:rPr>
        <w:t>POŚ</w:t>
      </w:r>
      <w:r w:rsidRPr="00AA66D6">
        <w:rPr>
          <w:rFonts w:cstheme="minorHAnsi"/>
          <w:lang w:eastAsia="ar-SA"/>
        </w:rPr>
        <w:t xml:space="preserve">, </w:t>
      </w:r>
      <w:r w:rsidR="008F1051">
        <w:rPr>
          <w:rFonts w:cstheme="minorHAnsi"/>
          <w:lang w:eastAsia="ar-SA"/>
        </w:rPr>
        <w:t>wprowadzonym przepisami ustawy z dnia 13 czerwca 2019 r. o zmianie ustawy – Prawo ochrony środowiska oraz niektórych innych ustaw (Dz. U. 1211),</w:t>
      </w:r>
      <w:r w:rsidR="00802E12">
        <w:rPr>
          <w:rFonts w:cstheme="minorHAnsi"/>
          <w:lang w:eastAsia="ar-SA"/>
        </w:rPr>
        <w:t xml:space="preserve"> </w:t>
      </w:r>
      <w:r w:rsidRPr="00802E12">
        <w:rPr>
          <w:rFonts w:cstheme="minorHAnsi"/>
          <w:b/>
          <w:bCs/>
          <w:color w:val="2F5496" w:themeColor="accent1" w:themeShade="BF"/>
          <w:lang w:eastAsia="ar-SA"/>
        </w:rPr>
        <w:t xml:space="preserve">zarządy województw </w:t>
      </w:r>
      <w:r w:rsidR="008F1051" w:rsidRPr="00802E12">
        <w:rPr>
          <w:rFonts w:cstheme="minorHAnsi"/>
          <w:b/>
          <w:bCs/>
          <w:color w:val="2F5496" w:themeColor="accent1" w:themeShade="BF"/>
          <w:lang w:eastAsia="ar-SA"/>
        </w:rPr>
        <w:t xml:space="preserve">oprócz sprawozdań końcowych, </w:t>
      </w:r>
      <w:r w:rsidRPr="00802E12">
        <w:rPr>
          <w:rFonts w:cstheme="minorHAnsi"/>
          <w:b/>
          <w:bCs/>
          <w:color w:val="2F5496" w:themeColor="accent1" w:themeShade="BF"/>
          <w:lang w:eastAsia="ar-SA"/>
        </w:rPr>
        <w:t xml:space="preserve">mają obowiązek </w:t>
      </w:r>
      <w:r w:rsidR="00802E12" w:rsidRPr="00802E12">
        <w:rPr>
          <w:rFonts w:cstheme="minorHAnsi"/>
          <w:b/>
          <w:bCs/>
          <w:color w:val="2F5496" w:themeColor="accent1" w:themeShade="BF"/>
          <w:lang w:eastAsia="ar-SA"/>
        </w:rPr>
        <w:t xml:space="preserve">także </w:t>
      </w:r>
      <w:r w:rsidRPr="00802E12">
        <w:rPr>
          <w:rFonts w:cstheme="minorHAnsi"/>
          <w:b/>
          <w:bCs/>
          <w:color w:val="2F5496" w:themeColor="accent1" w:themeShade="BF"/>
          <w:lang w:eastAsia="ar-SA"/>
        </w:rPr>
        <w:t>przekaz</w:t>
      </w:r>
      <w:r w:rsidR="008F1051" w:rsidRPr="00802E12">
        <w:rPr>
          <w:rFonts w:cstheme="minorHAnsi"/>
          <w:b/>
          <w:bCs/>
          <w:color w:val="2F5496" w:themeColor="accent1" w:themeShade="BF"/>
          <w:lang w:eastAsia="ar-SA"/>
        </w:rPr>
        <w:t xml:space="preserve">ywać </w:t>
      </w:r>
      <w:r w:rsidRPr="00802E12">
        <w:rPr>
          <w:rFonts w:cstheme="minorHAnsi"/>
          <w:b/>
          <w:bCs/>
          <w:color w:val="2F5496" w:themeColor="accent1" w:themeShade="BF"/>
          <w:lang w:eastAsia="ar-SA"/>
        </w:rPr>
        <w:t xml:space="preserve">ministrowi właściwemu do spraw klimatu sprawozdania okresowe z realizacji </w:t>
      </w:r>
      <w:r w:rsidR="008F1051" w:rsidRPr="00802E12">
        <w:rPr>
          <w:rFonts w:cstheme="minorHAnsi"/>
          <w:b/>
          <w:bCs/>
          <w:color w:val="2F5496" w:themeColor="accent1" w:themeShade="BF"/>
          <w:lang w:eastAsia="ar-SA"/>
        </w:rPr>
        <w:t>POP</w:t>
      </w:r>
      <w:r w:rsidR="00802E12" w:rsidRPr="00802E12">
        <w:rPr>
          <w:rFonts w:cstheme="minorHAnsi"/>
          <w:b/>
          <w:bCs/>
          <w:color w:val="2F5496" w:themeColor="accent1" w:themeShade="BF"/>
          <w:lang w:eastAsia="ar-SA"/>
        </w:rPr>
        <w:t xml:space="preserve"> w terminie do dnia 31 marca każdego roku</w:t>
      </w:r>
      <w:r w:rsidRPr="00AA66D6">
        <w:rPr>
          <w:rFonts w:cstheme="minorHAnsi"/>
          <w:lang w:eastAsia="ar-SA"/>
        </w:rPr>
        <w:t>.</w:t>
      </w:r>
      <w:r w:rsidR="008F1051">
        <w:rPr>
          <w:rFonts w:cstheme="minorHAnsi"/>
          <w:lang w:eastAsia="ar-SA"/>
        </w:rPr>
        <w:t xml:space="preserve"> </w:t>
      </w:r>
      <w:r w:rsidR="008F1051" w:rsidRPr="00802E12">
        <w:rPr>
          <w:rFonts w:cstheme="minorHAnsi"/>
          <w:b/>
          <w:bCs/>
          <w:color w:val="2F5496" w:themeColor="accent1" w:themeShade="BF"/>
          <w:lang w:eastAsia="ar-SA"/>
        </w:rPr>
        <w:t xml:space="preserve">W realizację tego zadania zaangażowane są </w:t>
      </w:r>
      <w:r w:rsidR="00802E12" w:rsidRPr="00802E12">
        <w:rPr>
          <w:rFonts w:cstheme="minorHAnsi"/>
          <w:b/>
          <w:bCs/>
          <w:color w:val="2F5496" w:themeColor="accent1" w:themeShade="BF"/>
          <w:lang w:eastAsia="ar-SA"/>
        </w:rPr>
        <w:t xml:space="preserve">wszystkie </w:t>
      </w:r>
      <w:r w:rsidR="008F1051" w:rsidRPr="00802E12">
        <w:rPr>
          <w:rFonts w:cstheme="minorHAnsi"/>
          <w:b/>
          <w:bCs/>
          <w:color w:val="2F5496" w:themeColor="accent1" w:themeShade="BF"/>
          <w:lang w:eastAsia="ar-SA"/>
        </w:rPr>
        <w:t>gminy</w:t>
      </w:r>
      <w:r w:rsidR="00802E12" w:rsidRPr="00802E12">
        <w:rPr>
          <w:rFonts w:cstheme="minorHAnsi"/>
          <w:b/>
          <w:bCs/>
          <w:color w:val="2F5496" w:themeColor="accent1" w:themeShade="BF"/>
          <w:lang w:eastAsia="ar-SA"/>
        </w:rPr>
        <w:t xml:space="preserve"> objęte zakresem POP</w:t>
      </w:r>
      <w:r w:rsidR="008F1051">
        <w:rPr>
          <w:rFonts w:cstheme="minorHAnsi"/>
          <w:lang w:eastAsia="ar-SA"/>
        </w:rPr>
        <w:t xml:space="preserve">, które mają obowiązek przekazywania niezbędnych </w:t>
      </w:r>
      <w:r w:rsidR="00802E12">
        <w:rPr>
          <w:rFonts w:cstheme="minorHAnsi"/>
          <w:lang w:eastAsia="ar-SA"/>
        </w:rPr>
        <w:t>informacji</w:t>
      </w:r>
      <w:r w:rsidR="008F1051">
        <w:rPr>
          <w:rFonts w:cstheme="minorHAnsi"/>
          <w:lang w:eastAsia="ar-SA"/>
        </w:rPr>
        <w:t xml:space="preserve"> </w:t>
      </w:r>
      <w:r w:rsidR="00802E12">
        <w:rPr>
          <w:rFonts w:cstheme="minorHAnsi"/>
          <w:lang w:eastAsia="ar-SA"/>
        </w:rPr>
        <w:t xml:space="preserve">do zarządów województw na temat stanu </w:t>
      </w:r>
      <w:r w:rsidR="008F1051">
        <w:rPr>
          <w:rFonts w:cstheme="minorHAnsi"/>
          <w:lang w:eastAsia="ar-SA"/>
        </w:rPr>
        <w:t>realiz</w:t>
      </w:r>
      <w:r w:rsidR="00802E12">
        <w:rPr>
          <w:rFonts w:cstheme="minorHAnsi"/>
          <w:lang w:eastAsia="ar-SA"/>
        </w:rPr>
        <w:t>acji</w:t>
      </w:r>
      <w:r w:rsidR="008F1051">
        <w:rPr>
          <w:rFonts w:cstheme="minorHAnsi"/>
          <w:lang w:eastAsia="ar-SA"/>
        </w:rPr>
        <w:t xml:space="preserve"> działań naprawczych, które </w:t>
      </w:r>
      <w:r w:rsidR="00802E12">
        <w:rPr>
          <w:rFonts w:cstheme="minorHAnsi"/>
          <w:lang w:eastAsia="ar-SA"/>
        </w:rPr>
        <w:t xml:space="preserve">następnie </w:t>
      </w:r>
      <w:r w:rsidR="008F1051">
        <w:rPr>
          <w:rFonts w:cstheme="minorHAnsi"/>
          <w:lang w:eastAsia="ar-SA"/>
        </w:rPr>
        <w:t xml:space="preserve">przygotowują sprawozdanie okresowe </w:t>
      </w:r>
      <w:r w:rsidR="00802E12">
        <w:rPr>
          <w:rFonts w:cstheme="minorHAnsi"/>
          <w:lang w:eastAsia="ar-SA"/>
        </w:rPr>
        <w:t xml:space="preserve">z POP </w:t>
      </w:r>
      <w:r w:rsidR="008F1051">
        <w:rPr>
          <w:rFonts w:cstheme="minorHAnsi"/>
          <w:lang w:eastAsia="ar-SA"/>
        </w:rPr>
        <w:t>na poziomie wojewódzkim.</w:t>
      </w:r>
    </w:p>
    <w:p w14:paraId="2533C7A5" w14:textId="50FD5301" w:rsidR="00802E12" w:rsidRDefault="00A15514" w:rsidP="003E305A">
      <w:pPr>
        <w:suppressAutoHyphens/>
        <w:spacing w:after="120" w:line="240" w:lineRule="auto"/>
        <w:jc w:val="both"/>
        <w:rPr>
          <w:rFonts w:cstheme="minorHAnsi"/>
          <w:lang w:eastAsia="ar-SA"/>
        </w:rPr>
      </w:pPr>
      <w:r w:rsidRPr="003E305A">
        <w:rPr>
          <w:rFonts w:cstheme="minorHAnsi"/>
          <w:lang w:eastAsia="ar-SA"/>
        </w:rPr>
        <w:lastRenderedPageBreak/>
        <w:t>Aktualnie realizowane POP określają trzy główne grupy działań naprawczych ukierunkowanych na poprawę jakości powietrza w strefach</w:t>
      </w:r>
      <w:r w:rsidR="00802E12">
        <w:rPr>
          <w:rFonts w:cstheme="minorHAnsi"/>
          <w:lang w:eastAsia="ar-SA"/>
        </w:rPr>
        <w:t>,</w:t>
      </w:r>
      <w:r w:rsidRPr="003E305A">
        <w:rPr>
          <w:rFonts w:cstheme="minorHAnsi"/>
          <w:lang w:eastAsia="ar-SA"/>
        </w:rPr>
        <w:t xml:space="preserve"> na obszarze których stwierdzone zostały przekroczenia poziomów dopuszczalnych/docelowych wybranych substancji do powietrza. </w:t>
      </w:r>
    </w:p>
    <w:p w14:paraId="17CDE6CD" w14:textId="13B94467" w:rsidR="00A15514" w:rsidRPr="00802E12" w:rsidRDefault="00A15514" w:rsidP="003E305A">
      <w:pPr>
        <w:suppressAutoHyphens/>
        <w:spacing w:after="120" w:line="240" w:lineRule="auto"/>
        <w:jc w:val="both"/>
        <w:rPr>
          <w:rFonts w:cstheme="minorHAnsi"/>
          <w:b/>
          <w:bCs/>
          <w:color w:val="2F5496" w:themeColor="accent1" w:themeShade="BF"/>
          <w:lang w:eastAsia="ar-SA"/>
        </w:rPr>
      </w:pPr>
      <w:r w:rsidRPr="00802E12">
        <w:rPr>
          <w:rFonts w:cstheme="minorHAnsi"/>
          <w:b/>
          <w:bCs/>
          <w:color w:val="2F5496" w:themeColor="accent1" w:themeShade="BF"/>
          <w:lang w:eastAsia="ar-SA"/>
        </w:rPr>
        <w:t xml:space="preserve">Działania </w:t>
      </w:r>
      <w:r w:rsidR="00802E12" w:rsidRPr="00802E12">
        <w:rPr>
          <w:rFonts w:cstheme="minorHAnsi"/>
          <w:b/>
          <w:bCs/>
          <w:color w:val="2F5496" w:themeColor="accent1" w:themeShade="BF"/>
          <w:lang w:eastAsia="ar-SA"/>
        </w:rPr>
        <w:t xml:space="preserve">naprawcze POP </w:t>
      </w:r>
      <w:r w:rsidRPr="00802E12">
        <w:rPr>
          <w:rFonts w:cstheme="minorHAnsi"/>
          <w:b/>
          <w:bCs/>
          <w:color w:val="2F5496" w:themeColor="accent1" w:themeShade="BF"/>
          <w:lang w:eastAsia="ar-SA"/>
        </w:rPr>
        <w:t>polegają na:</w:t>
      </w:r>
    </w:p>
    <w:p w14:paraId="511C014A" w14:textId="407D702C" w:rsidR="00A15514" w:rsidRDefault="00A15514" w:rsidP="00CA3BB7">
      <w:pPr>
        <w:pStyle w:val="Akapitzlist"/>
        <w:numPr>
          <w:ilvl w:val="0"/>
          <w:numId w:val="75"/>
        </w:numPr>
        <w:suppressAutoHyphens/>
        <w:spacing w:after="120" w:line="240" w:lineRule="auto"/>
        <w:ind w:left="284" w:hanging="284"/>
        <w:jc w:val="both"/>
        <w:rPr>
          <w:rFonts w:cstheme="minorHAnsi"/>
          <w:lang w:eastAsia="ar-SA"/>
        </w:rPr>
      </w:pPr>
      <w:r w:rsidRPr="00802E12">
        <w:rPr>
          <w:rFonts w:cstheme="minorHAnsi"/>
          <w:b/>
          <w:bCs/>
          <w:color w:val="2F5496" w:themeColor="accent1" w:themeShade="BF"/>
          <w:lang w:eastAsia="ar-SA"/>
        </w:rPr>
        <w:t xml:space="preserve">ograniczeniu emisji </w:t>
      </w:r>
      <w:r w:rsidR="00802E12" w:rsidRPr="00802E12">
        <w:rPr>
          <w:rFonts w:cstheme="minorHAnsi"/>
          <w:b/>
          <w:bCs/>
          <w:color w:val="2F5496" w:themeColor="accent1" w:themeShade="BF"/>
          <w:lang w:eastAsia="ar-SA"/>
        </w:rPr>
        <w:t xml:space="preserve">zanieczyszczeń do powietrza </w:t>
      </w:r>
      <w:r w:rsidRPr="00802E12">
        <w:rPr>
          <w:rFonts w:cstheme="minorHAnsi"/>
          <w:b/>
          <w:bCs/>
          <w:color w:val="2F5496" w:themeColor="accent1" w:themeShade="BF"/>
          <w:lang w:eastAsia="ar-SA"/>
        </w:rPr>
        <w:t>z instalacji o małej mocy do 1 MW, w których następuje spalanie paliw stałych</w:t>
      </w:r>
      <w:r w:rsidRPr="00AA66D6">
        <w:rPr>
          <w:rFonts w:cstheme="minorHAnsi"/>
          <w:lang w:eastAsia="ar-SA"/>
        </w:rPr>
        <w:t xml:space="preserve">, </w:t>
      </w:r>
      <w:r w:rsidR="00802E12" w:rsidRPr="00AA66D6">
        <w:rPr>
          <w:rFonts w:cstheme="minorHAnsi"/>
          <w:lang w:eastAsia="ar-SA"/>
        </w:rPr>
        <w:t>i obejmujące przede wszystkim</w:t>
      </w:r>
      <w:r w:rsidR="00802E12">
        <w:rPr>
          <w:rFonts w:cstheme="minorHAnsi"/>
          <w:lang w:eastAsia="ar-SA"/>
        </w:rPr>
        <w:t>:</w:t>
      </w:r>
    </w:p>
    <w:p w14:paraId="0004A3BE" w14:textId="77777777" w:rsidR="00802E12" w:rsidRPr="00AA66D6" w:rsidRDefault="00802E12" w:rsidP="00CA3BB7">
      <w:pPr>
        <w:pStyle w:val="Akapitzlist"/>
        <w:numPr>
          <w:ilvl w:val="0"/>
          <w:numId w:val="76"/>
        </w:numPr>
        <w:suppressAutoHyphens/>
        <w:spacing w:after="120" w:line="240" w:lineRule="auto"/>
        <w:jc w:val="both"/>
        <w:rPr>
          <w:rFonts w:cstheme="minorHAnsi"/>
          <w:lang w:eastAsia="ar-SA"/>
        </w:rPr>
      </w:pPr>
      <w:r w:rsidRPr="00AA66D6">
        <w:rPr>
          <w:rFonts w:cstheme="minorHAnsi"/>
          <w:lang w:eastAsia="ar-SA"/>
        </w:rPr>
        <w:t>zastąpienie niskosprawnych urządzeń grzewczych podłączeniem do sieci ciepłowniczej;</w:t>
      </w:r>
    </w:p>
    <w:p w14:paraId="4D0A5FFA" w14:textId="77777777" w:rsidR="00802E12" w:rsidRPr="00AA66D6" w:rsidRDefault="00802E12" w:rsidP="00CA3BB7">
      <w:pPr>
        <w:pStyle w:val="Akapitzlist"/>
        <w:numPr>
          <w:ilvl w:val="0"/>
          <w:numId w:val="76"/>
        </w:numPr>
        <w:suppressAutoHyphens/>
        <w:spacing w:after="120" w:line="240" w:lineRule="auto"/>
        <w:jc w:val="both"/>
        <w:rPr>
          <w:rFonts w:cstheme="minorHAnsi"/>
          <w:lang w:eastAsia="ar-SA"/>
        </w:rPr>
      </w:pPr>
      <w:r w:rsidRPr="00AA66D6">
        <w:rPr>
          <w:rFonts w:cstheme="minorHAnsi"/>
          <w:lang w:eastAsia="ar-SA"/>
        </w:rPr>
        <w:t>prowadzenie działań zmierzających do wymiany niskosprawnych kotłów na paliwa stałe w miarę możliwości technicznych i ekonomicznych na:</w:t>
      </w:r>
    </w:p>
    <w:p w14:paraId="2210DD41" w14:textId="77777777" w:rsidR="00802E12" w:rsidRPr="00AA66D6" w:rsidRDefault="00802E12" w:rsidP="00802E12">
      <w:pPr>
        <w:pStyle w:val="Akapitzlist"/>
        <w:suppressAutoHyphens/>
        <w:spacing w:after="120" w:line="240" w:lineRule="auto"/>
        <w:jc w:val="both"/>
        <w:rPr>
          <w:rFonts w:cstheme="minorHAnsi"/>
          <w:lang w:eastAsia="ar-SA"/>
        </w:rPr>
      </w:pPr>
      <w:r w:rsidRPr="00AA66D6">
        <w:rPr>
          <w:rFonts w:cstheme="minorHAnsi"/>
          <w:lang w:eastAsia="ar-SA"/>
        </w:rPr>
        <w:t>− OZE,</w:t>
      </w:r>
    </w:p>
    <w:p w14:paraId="7C04C95F" w14:textId="77777777" w:rsidR="00802E12" w:rsidRPr="00AA66D6" w:rsidRDefault="00802E12" w:rsidP="00802E12">
      <w:pPr>
        <w:pStyle w:val="Akapitzlist"/>
        <w:suppressAutoHyphens/>
        <w:spacing w:after="120" w:line="240" w:lineRule="auto"/>
        <w:jc w:val="both"/>
        <w:rPr>
          <w:rFonts w:cstheme="minorHAnsi"/>
          <w:lang w:eastAsia="ar-SA"/>
        </w:rPr>
      </w:pPr>
      <w:r w:rsidRPr="00AA66D6">
        <w:rPr>
          <w:rFonts w:cstheme="minorHAnsi"/>
          <w:lang w:eastAsia="ar-SA"/>
        </w:rPr>
        <w:t>− urządzenia zasilane gazem lub olejem opałowym,</w:t>
      </w:r>
    </w:p>
    <w:p w14:paraId="5EAE3BA5" w14:textId="77777777" w:rsidR="00802E12" w:rsidRPr="00AA66D6" w:rsidRDefault="00802E12" w:rsidP="00802E12">
      <w:pPr>
        <w:pStyle w:val="Akapitzlist"/>
        <w:suppressAutoHyphens/>
        <w:spacing w:after="120" w:line="240" w:lineRule="auto"/>
        <w:jc w:val="both"/>
        <w:rPr>
          <w:rFonts w:cstheme="minorHAnsi"/>
          <w:lang w:eastAsia="ar-SA"/>
        </w:rPr>
      </w:pPr>
      <w:r w:rsidRPr="00AA66D6">
        <w:rPr>
          <w:rFonts w:cstheme="minorHAnsi"/>
          <w:lang w:eastAsia="ar-SA"/>
        </w:rPr>
        <w:t>− ogrzewanie elektryczne,</w:t>
      </w:r>
    </w:p>
    <w:p w14:paraId="5D3305C7" w14:textId="21661E5D" w:rsidR="00802E12" w:rsidRPr="00AA66D6" w:rsidRDefault="00802E12" w:rsidP="00802E12">
      <w:pPr>
        <w:pStyle w:val="Akapitzlist"/>
        <w:suppressAutoHyphens/>
        <w:spacing w:after="120" w:line="240" w:lineRule="auto"/>
        <w:jc w:val="both"/>
        <w:rPr>
          <w:rFonts w:cstheme="minorHAnsi"/>
          <w:lang w:eastAsia="ar-SA"/>
        </w:rPr>
      </w:pPr>
      <w:r w:rsidRPr="00AA66D6">
        <w:rPr>
          <w:rFonts w:cstheme="minorHAnsi"/>
          <w:lang w:eastAsia="ar-SA"/>
        </w:rPr>
        <w:t>− nowe kotły węglowe spełniające wymagania ekoprojektu</w:t>
      </w:r>
      <w:r w:rsidR="00211DCA">
        <w:rPr>
          <w:rFonts w:cstheme="minorHAnsi"/>
          <w:lang w:eastAsia="ar-SA"/>
        </w:rPr>
        <w:t>;</w:t>
      </w:r>
    </w:p>
    <w:p w14:paraId="3EBBAA34" w14:textId="655DFDD4" w:rsidR="00802E12" w:rsidRPr="00802E12" w:rsidRDefault="00802E12" w:rsidP="00CA3BB7">
      <w:pPr>
        <w:pStyle w:val="Akapitzlist"/>
        <w:numPr>
          <w:ilvl w:val="0"/>
          <w:numId w:val="76"/>
        </w:numPr>
        <w:suppressAutoHyphens/>
        <w:spacing w:after="120" w:line="240" w:lineRule="auto"/>
        <w:jc w:val="both"/>
        <w:rPr>
          <w:rFonts w:cstheme="minorHAnsi"/>
          <w:lang w:eastAsia="ar-SA"/>
        </w:rPr>
      </w:pPr>
      <w:r w:rsidRPr="00AA66D6">
        <w:rPr>
          <w:rFonts w:cstheme="minorHAnsi"/>
          <w:lang w:eastAsia="ar-SA"/>
        </w:rPr>
        <w:t>podniesienie efektywności energetycznej budynków użyteczności publicznej.</w:t>
      </w:r>
    </w:p>
    <w:p w14:paraId="3A6A6447" w14:textId="65A796D2" w:rsidR="00A15514" w:rsidRDefault="00680807" w:rsidP="00CA3BB7">
      <w:pPr>
        <w:pStyle w:val="Akapitzlist"/>
        <w:numPr>
          <w:ilvl w:val="0"/>
          <w:numId w:val="75"/>
        </w:numPr>
        <w:suppressAutoHyphens/>
        <w:spacing w:after="120" w:line="240" w:lineRule="auto"/>
        <w:ind w:left="284" w:hanging="284"/>
        <w:jc w:val="both"/>
        <w:rPr>
          <w:rFonts w:cstheme="minorHAnsi"/>
          <w:lang w:eastAsia="ar-SA"/>
        </w:rPr>
      </w:pPr>
      <w:r w:rsidRPr="00802E12">
        <w:rPr>
          <w:rFonts w:cstheme="minorHAnsi"/>
          <w:b/>
          <w:bCs/>
          <w:color w:val="2F5496" w:themeColor="accent1" w:themeShade="BF"/>
          <w:lang w:eastAsia="ar-SA"/>
        </w:rPr>
        <w:t>prowadzeni</w:t>
      </w:r>
      <w:r>
        <w:rPr>
          <w:rFonts w:cstheme="minorHAnsi"/>
          <w:b/>
          <w:bCs/>
          <w:color w:val="2F5496" w:themeColor="accent1" w:themeShade="BF"/>
          <w:lang w:eastAsia="ar-SA"/>
        </w:rPr>
        <w:t>u</w:t>
      </w:r>
      <w:r w:rsidRPr="00802E12">
        <w:rPr>
          <w:rFonts w:cstheme="minorHAnsi"/>
          <w:b/>
          <w:bCs/>
          <w:color w:val="2F5496" w:themeColor="accent1" w:themeShade="BF"/>
          <w:lang w:eastAsia="ar-SA"/>
        </w:rPr>
        <w:t xml:space="preserve"> </w:t>
      </w:r>
      <w:r w:rsidR="00802E12">
        <w:rPr>
          <w:rFonts w:cstheme="minorHAnsi"/>
          <w:b/>
          <w:bCs/>
          <w:color w:val="2F5496" w:themeColor="accent1" w:themeShade="BF"/>
          <w:lang w:eastAsia="ar-SA"/>
        </w:rPr>
        <w:t xml:space="preserve">działań </w:t>
      </w:r>
      <w:r w:rsidR="00A15514" w:rsidRPr="00802E12">
        <w:rPr>
          <w:rFonts w:cstheme="minorHAnsi"/>
          <w:b/>
          <w:bCs/>
          <w:color w:val="2F5496" w:themeColor="accent1" w:themeShade="BF"/>
          <w:lang w:eastAsia="ar-SA"/>
        </w:rPr>
        <w:t>edukac</w:t>
      </w:r>
      <w:r w:rsidR="00802E12">
        <w:rPr>
          <w:rFonts w:cstheme="minorHAnsi"/>
          <w:b/>
          <w:bCs/>
          <w:color w:val="2F5496" w:themeColor="accent1" w:themeShade="BF"/>
          <w:lang w:eastAsia="ar-SA"/>
        </w:rPr>
        <w:t xml:space="preserve">yjno-informacyjnych </w:t>
      </w:r>
      <w:r w:rsidR="00802E12" w:rsidRPr="00802E12">
        <w:rPr>
          <w:rFonts w:cstheme="minorHAnsi"/>
          <w:b/>
          <w:bCs/>
          <w:color w:val="2F5496" w:themeColor="accent1" w:themeShade="BF"/>
          <w:lang w:eastAsia="ar-SA"/>
        </w:rPr>
        <w:t>związanych z ochroną powietrza</w:t>
      </w:r>
      <w:r w:rsidR="00802E12" w:rsidRPr="00802E12">
        <w:rPr>
          <w:rFonts w:cstheme="minorHAnsi"/>
          <w:color w:val="2F5496" w:themeColor="accent1" w:themeShade="BF"/>
          <w:lang w:eastAsia="ar-SA"/>
        </w:rPr>
        <w:t xml:space="preserve"> </w:t>
      </w:r>
      <w:r w:rsidR="00802E12" w:rsidRPr="00AA66D6">
        <w:rPr>
          <w:rFonts w:cstheme="minorHAnsi"/>
          <w:lang w:eastAsia="ar-SA"/>
        </w:rPr>
        <w:t>poprzez</w:t>
      </w:r>
      <w:r w:rsidR="00AA27BB">
        <w:rPr>
          <w:rFonts w:cstheme="minorHAnsi"/>
          <w:lang w:eastAsia="ar-SA"/>
        </w:rPr>
        <w:t xml:space="preserve"> prowadzenie akcji edukacyjnych i informacyjnych</w:t>
      </w:r>
      <w:r w:rsidR="00802E12" w:rsidRPr="00AA66D6">
        <w:rPr>
          <w:rFonts w:cstheme="minorHAnsi"/>
          <w:lang w:eastAsia="ar-SA"/>
        </w:rPr>
        <w:t>:</w:t>
      </w:r>
    </w:p>
    <w:p w14:paraId="3CC6CD4A" w14:textId="6951E99A" w:rsidR="00802E12" w:rsidRPr="00AA66D6" w:rsidRDefault="00802E12" w:rsidP="00CA3BB7">
      <w:pPr>
        <w:pStyle w:val="Akapitzlist"/>
        <w:numPr>
          <w:ilvl w:val="0"/>
          <w:numId w:val="77"/>
        </w:numPr>
        <w:suppressAutoHyphens/>
        <w:spacing w:after="120" w:line="240" w:lineRule="auto"/>
        <w:jc w:val="both"/>
        <w:rPr>
          <w:rFonts w:cstheme="minorHAnsi"/>
          <w:lang w:eastAsia="ar-SA"/>
        </w:rPr>
      </w:pPr>
      <w:r w:rsidRPr="00AA66D6">
        <w:rPr>
          <w:rFonts w:cstheme="minorHAnsi"/>
          <w:lang w:eastAsia="ar-SA"/>
        </w:rPr>
        <w:t>uświadamiających mieszkańcom zagrożenia dla zdrowia, jakie niesie ze sobą zanieczyszczenie powietrza,</w:t>
      </w:r>
    </w:p>
    <w:p w14:paraId="31BE54D1" w14:textId="067BA7B1" w:rsidR="00802E12" w:rsidRPr="00AA66D6" w:rsidRDefault="00802E12" w:rsidP="00CA3BB7">
      <w:pPr>
        <w:pStyle w:val="Akapitzlist"/>
        <w:numPr>
          <w:ilvl w:val="0"/>
          <w:numId w:val="77"/>
        </w:numPr>
        <w:suppressAutoHyphens/>
        <w:spacing w:after="120" w:line="240" w:lineRule="auto"/>
        <w:jc w:val="both"/>
        <w:rPr>
          <w:rFonts w:cstheme="minorHAnsi"/>
          <w:lang w:eastAsia="ar-SA"/>
        </w:rPr>
      </w:pPr>
      <w:r w:rsidRPr="00AA66D6">
        <w:rPr>
          <w:rFonts w:cstheme="minorHAnsi"/>
          <w:lang w:eastAsia="ar-SA"/>
        </w:rPr>
        <w:t>uświadamiających mieszkańcom wpływ spalania paliw niskiej jakości oraz odpadów na jakość powietrza,</w:t>
      </w:r>
    </w:p>
    <w:p w14:paraId="7FA3A979" w14:textId="529F5FFC" w:rsidR="00802E12" w:rsidRPr="00802E12" w:rsidRDefault="00802E12" w:rsidP="00CA3BB7">
      <w:pPr>
        <w:pStyle w:val="Akapitzlist"/>
        <w:numPr>
          <w:ilvl w:val="0"/>
          <w:numId w:val="77"/>
        </w:numPr>
        <w:suppressAutoHyphens/>
        <w:spacing w:after="120" w:line="240" w:lineRule="auto"/>
        <w:jc w:val="both"/>
        <w:rPr>
          <w:rFonts w:cstheme="minorHAnsi"/>
          <w:lang w:eastAsia="ar-SA"/>
        </w:rPr>
      </w:pPr>
      <w:r w:rsidRPr="00AA66D6">
        <w:rPr>
          <w:rFonts w:cstheme="minorHAnsi"/>
          <w:lang w:eastAsia="ar-SA"/>
        </w:rPr>
        <w:t xml:space="preserve">na temat </w:t>
      </w:r>
      <w:r w:rsidR="00680807" w:rsidRPr="00AA66D6">
        <w:rPr>
          <w:rFonts w:cstheme="minorHAnsi"/>
          <w:lang w:eastAsia="ar-SA"/>
        </w:rPr>
        <w:t>obowiązując</w:t>
      </w:r>
      <w:r w:rsidR="00680807">
        <w:rPr>
          <w:rFonts w:cstheme="minorHAnsi"/>
          <w:lang w:eastAsia="ar-SA"/>
        </w:rPr>
        <w:t xml:space="preserve">ych na obszarze </w:t>
      </w:r>
      <w:r w:rsidR="001A0573">
        <w:rPr>
          <w:rFonts w:cstheme="minorHAnsi"/>
          <w:lang w:eastAsia="ar-SA"/>
        </w:rPr>
        <w:t xml:space="preserve">wybranych </w:t>
      </w:r>
      <w:r w:rsidR="00680807">
        <w:rPr>
          <w:rFonts w:cstheme="minorHAnsi"/>
          <w:lang w:eastAsia="ar-SA"/>
        </w:rPr>
        <w:t xml:space="preserve">województw </w:t>
      </w:r>
      <w:r w:rsidRPr="00AA66D6">
        <w:rPr>
          <w:rFonts w:cstheme="minorHAnsi"/>
          <w:lang w:eastAsia="ar-SA"/>
        </w:rPr>
        <w:t>uchwał antysmogow</w:t>
      </w:r>
      <w:r w:rsidR="00680807">
        <w:rPr>
          <w:rFonts w:cstheme="minorHAnsi"/>
          <w:lang w:eastAsia="ar-SA"/>
        </w:rPr>
        <w:t>ych;</w:t>
      </w:r>
    </w:p>
    <w:p w14:paraId="04B0E449" w14:textId="69B24064" w:rsidR="00802E12" w:rsidRDefault="00A135F0" w:rsidP="00DD0E4C">
      <w:pPr>
        <w:pStyle w:val="Akapitzlist"/>
        <w:numPr>
          <w:ilvl w:val="0"/>
          <w:numId w:val="75"/>
        </w:numPr>
        <w:suppressAutoHyphens/>
        <w:spacing w:after="120" w:line="240" w:lineRule="auto"/>
        <w:ind w:left="284" w:hanging="284"/>
        <w:jc w:val="both"/>
        <w:rPr>
          <w:rFonts w:cstheme="minorHAnsi"/>
          <w:color w:val="2F5496" w:themeColor="accent1" w:themeShade="BF"/>
          <w:lang w:eastAsia="ar-SA"/>
        </w:rPr>
      </w:pPr>
      <w:r w:rsidRPr="00802E12">
        <w:rPr>
          <w:rFonts w:cstheme="minorHAnsi"/>
          <w:b/>
          <w:bCs/>
          <w:color w:val="2F5496" w:themeColor="accent1" w:themeShade="BF"/>
          <w:lang w:eastAsia="ar-SA"/>
        </w:rPr>
        <w:t>prowadzeni</w:t>
      </w:r>
      <w:r>
        <w:rPr>
          <w:rFonts w:cstheme="minorHAnsi"/>
          <w:b/>
          <w:bCs/>
          <w:color w:val="2F5496" w:themeColor="accent1" w:themeShade="BF"/>
          <w:lang w:eastAsia="ar-SA"/>
        </w:rPr>
        <w:t>u</w:t>
      </w:r>
      <w:r w:rsidRPr="00802E12">
        <w:rPr>
          <w:rFonts w:cstheme="minorHAnsi"/>
          <w:b/>
          <w:bCs/>
          <w:color w:val="2F5496" w:themeColor="accent1" w:themeShade="BF"/>
          <w:lang w:eastAsia="ar-SA"/>
        </w:rPr>
        <w:t xml:space="preserve"> </w:t>
      </w:r>
      <w:r w:rsidR="00A15514" w:rsidRPr="00802E12">
        <w:rPr>
          <w:rFonts w:cstheme="minorHAnsi"/>
          <w:b/>
          <w:bCs/>
          <w:color w:val="2F5496" w:themeColor="accent1" w:themeShade="BF"/>
          <w:lang w:eastAsia="ar-SA"/>
        </w:rPr>
        <w:t>kontroli przestrzegania przepisów ograniczających używanie paliw lub urządzeń do celów grzewczych oraz zakazu spalania odpadów</w:t>
      </w:r>
      <w:r w:rsidR="00802E12" w:rsidRPr="00616104">
        <w:rPr>
          <w:rFonts w:cstheme="minorHAnsi"/>
          <w:lang w:eastAsia="ar-SA"/>
        </w:rPr>
        <w:t>, które obejmować będą:</w:t>
      </w:r>
    </w:p>
    <w:p w14:paraId="4496C490" w14:textId="4966B815" w:rsidR="00A15514" w:rsidRPr="00616104" w:rsidRDefault="00A15514" w:rsidP="00DD0E4C">
      <w:pPr>
        <w:pStyle w:val="Akapitzlist"/>
        <w:numPr>
          <w:ilvl w:val="0"/>
          <w:numId w:val="78"/>
        </w:numPr>
        <w:suppressAutoHyphens/>
        <w:spacing w:after="120" w:line="240" w:lineRule="auto"/>
        <w:ind w:hanging="436"/>
        <w:jc w:val="both"/>
        <w:rPr>
          <w:rFonts w:cstheme="minorHAnsi"/>
          <w:lang w:eastAsia="ar-SA"/>
        </w:rPr>
      </w:pPr>
      <w:r w:rsidRPr="00616104">
        <w:rPr>
          <w:rFonts w:cstheme="minorHAnsi"/>
          <w:lang w:eastAsia="ar-SA"/>
        </w:rPr>
        <w:t>przestrzeganie zakazu spalania odpadów w kotłach i piecach,</w:t>
      </w:r>
    </w:p>
    <w:p w14:paraId="66FF9F27" w14:textId="77777777" w:rsidR="00A15514" w:rsidRPr="00AA66D6" w:rsidRDefault="00A15514" w:rsidP="00CA3BB7">
      <w:pPr>
        <w:pStyle w:val="Akapitzlist"/>
        <w:numPr>
          <w:ilvl w:val="0"/>
          <w:numId w:val="74"/>
        </w:numPr>
        <w:suppressAutoHyphens/>
        <w:spacing w:after="120" w:line="240" w:lineRule="auto"/>
        <w:ind w:left="709" w:hanging="425"/>
        <w:jc w:val="both"/>
        <w:rPr>
          <w:rFonts w:cstheme="minorHAnsi"/>
          <w:lang w:eastAsia="ar-SA"/>
        </w:rPr>
      </w:pPr>
      <w:r w:rsidRPr="00AA66D6">
        <w:rPr>
          <w:rFonts w:cstheme="minorHAnsi"/>
          <w:lang w:eastAsia="ar-SA"/>
        </w:rPr>
        <w:t>przestrzeganie wymagań uchwał antysmogowych,</w:t>
      </w:r>
    </w:p>
    <w:p w14:paraId="725A1CDE" w14:textId="3FFF3BDA" w:rsidR="00A15514" w:rsidRPr="003E305A" w:rsidRDefault="00A15514" w:rsidP="00CA3BB7">
      <w:pPr>
        <w:pStyle w:val="Akapitzlist"/>
        <w:numPr>
          <w:ilvl w:val="0"/>
          <w:numId w:val="74"/>
        </w:numPr>
        <w:suppressAutoHyphens/>
        <w:spacing w:after="120" w:line="240" w:lineRule="auto"/>
        <w:ind w:left="709" w:hanging="425"/>
        <w:jc w:val="both"/>
        <w:rPr>
          <w:rFonts w:cstheme="minorHAnsi"/>
          <w:lang w:eastAsia="ar-SA"/>
        </w:rPr>
      </w:pPr>
      <w:r w:rsidRPr="00AA66D6">
        <w:rPr>
          <w:rFonts w:cstheme="minorHAnsi"/>
          <w:lang w:eastAsia="ar-SA"/>
        </w:rPr>
        <w:t>przestrzeganie zakazu spalania pozostałości roślinnych.</w:t>
      </w:r>
    </w:p>
    <w:p w14:paraId="6192B1D5" w14:textId="7710BEEB" w:rsidR="003E305A" w:rsidRPr="0008343D" w:rsidRDefault="009D093A" w:rsidP="0008343D">
      <w:pPr>
        <w:pStyle w:val="Nagwek2"/>
        <w:numPr>
          <w:ilvl w:val="0"/>
          <w:numId w:val="0"/>
        </w:numPr>
        <w:rPr>
          <w:rFonts w:eastAsia="Calibri"/>
          <w:b/>
          <w:sz w:val="22"/>
          <w:szCs w:val="22"/>
          <w:lang w:eastAsia="ar-SA"/>
        </w:rPr>
      </w:pPr>
      <w:bookmarkStart w:id="54" w:name="_Toc78205891"/>
      <w:r w:rsidRPr="0008343D">
        <w:rPr>
          <w:rFonts w:eastAsia="Calibri"/>
          <w:b/>
          <w:sz w:val="22"/>
          <w:szCs w:val="22"/>
          <w:lang w:eastAsia="ar-SA"/>
        </w:rPr>
        <w:t>8</w:t>
      </w:r>
      <w:r w:rsidR="003E305A" w:rsidRPr="0008343D">
        <w:rPr>
          <w:rFonts w:eastAsia="Calibri"/>
          <w:b/>
          <w:sz w:val="22"/>
          <w:szCs w:val="22"/>
          <w:lang w:eastAsia="ar-SA"/>
        </w:rPr>
        <w:t>.2 Uchwały antysmogowe</w:t>
      </w:r>
      <w:bookmarkEnd w:id="54"/>
      <w:r w:rsidR="003E305A" w:rsidRPr="0008343D">
        <w:rPr>
          <w:rFonts w:eastAsia="Calibri"/>
          <w:b/>
          <w:sz w:val="22"/>
          <w:szCs w:val="22"/>
          <w:lang w:eastAsia="ar-SA"/>
        </w:rPr>
        <w:t xml:space="preserve"> </w:t>
      </w:r>
    </w:p>
    <w:p w14:paraId="06125654" w14:textId="7E048A6E" w:rsidR="00A15514" w:rsidRDefault="00A15514" w:rsidP="003E305A">
      <w:pPr>
        <w:suppressAutoHyphens/>
        <w:spacing w:after="120" w:line="240" w:lineRule="auto"/>
        <w:jc w:val="both"/>
        <w:rPr>
          <w:rFonts w:eastAsia="Calibri" w:cstheme="minorHAnsi"/>
          <w:bCs/>
          <w:lang w:eastAsia="ar-SA"/>
        </w:rPr>
      </w:pPr>
      <w:r w:rsidRPr="003E305A">
        <w:rPr>
          <w:rFonts w:eastAsia="Calibri" w:cstheme="minorHAnsi"/>
          <w:bCs/>
          <w:lang w:eastAsia="ar-SA"/>
        </w:rPr>
        <w:t xml:space="preserve">Na podstawie art. 96 </w:t>
      </w:r>
      <w:r w:rsidR="00211DCA">
        <w:rPr>
          <w:rFonts w:eastAsia="Calibri" w:cstheme="minorHAnsi"/>
          <w:bCs/>
          <w:lang w:eastAsia="ar-SA"/>
        </w:rPr>
        <w:t>POŚ</w:t>
      </w:r>
      <w:r w:rsidRPr="003E305A">
        <w:rPr>
          <w:rFonts w:eastAsia="Calibri" w:cstheme="minorHAnsi"/>
          <w:bCs/>
          <w:lang w:eastAsia="ar-SA"/>
        </w:rPr>
        <w:t>,</w:t>
      </w:r>
      <w:r w:rsidRPr="003E305A">
        <w:rPr>
          <w:rFonts w:eastAsia="Calibri" w:cstheme="minorHAnsi"/>
          <w:b/>
          <w:lang w:eastAsia="ar-SA"/>
        </w:rPr>
        <w:t xml:space="preserve"> </w:t>
      </w:r>
      <w:r w:rsidRPr="00616104">
        <w:rPr>
          <w:rFonts w:eastAsia="Calibri" w:cstheme="minorHAnsi"/>
          <w:b/>
          <w:color w:val="2F5496" w:themeColor="accent1" w:themeShade="BF"/>
          <w:lang w:eastAsia="ar-SA"/>
        </w:rPr>
        <w:t xml:space="preserve">w ramach uchwał antysmogowych, </w:t>
      </w:r>
      <w:r w:rsidRPr="003E305A">
        <w:rPr>
          <w:rFonts w:eastAsia="Calibri" w:cstheme="minorHAnsi"/>
          <w:bCs/>
          <w:lang w:eastAsia="ar-SA"/>
        </w:rPr>
        <w:t>w</w:t>
      </w:r>
      <w:r w:rsidR="003E305A">
        <w:rPr>
          <w:rFonts w:eastAsia="Calibri" w:cstheme="minorHAnsi"/>
          <w:bCs/>
          <w:lang w:eastAsia="ar-SA"/>
        </w:rPr>
        <w:t> </w:t>
      </w:r>
      <w:r w:rsidRPr="003E305A">
        <w:rPr>
          <w:rFonts w:eastAsia="Calibri" w:cstheme="minorHAnsi"/>
          <w:bCs/>
          <w:lang w:eastAsia="ar-SA"/>
        </w:rPr>
        <w:t xml:space="preserve">których od 2015 r. </w:t>
      </w:r>
      <w:r w:rsidRPr="00616104">
        <w:rPr>
          <w:rFonts w:eastAsia="Calibri" w:cstheme="minorHAnsi"/>
          <w:b/>
          <w:color w:val="2F5496" w:themeColor="accent1" w:themeShade="BF"/>
          <w:lang w:eastAsia="ar-SA"/>
        </w:rPr>
        <w:t>samorządy województw mogą określać na danym terenie dopuszczalne rodzaje i jakość paliw oraz standardy dla urządzeń grzewczych wykorzystywanych w sektorze bytowo-komunalnym. Aktualnie 1</w:t>
      </w:r>
      <w:r w:rsidR="003E305A" w:rsidRPr="00616104">
        <w:rPr>
          <w:rFonts w:eastAsia="Calibri" w:cstheme="minorHAnsi"/>
          <w:b/>
          <w:color w:val="2F5496" w:themeColor="accent1" w:themeShade="BF"/>
          <w:lang w:eastAsia="ar-SA"/>
        </w:rPr>
        <w:t>4</w:t>
      </w:r>
      <w:r w:rsidRPr="00616104">
        <w:rPr>
          <w:rFonts w:eastAsia="Calibri" w:cstheme="minorHAnsi"/>
          <w:b/>
          <w:color w:val="2F5496" w:themeColor="accent1" w:themeShade="BF"/>
          <w:lang w:eastAsia="ar-SA"/>
        </w:rPr>
        <w:t xml:space="preserve"> województw realizuje 2</w:t>
      </w:r>
      <w:r w:rsidR="003E305A" w:rsidRPr="00616104">
        <w:rPr>
          <w:rFonts w:eastAsia="Calibri" w:cstheme="minorHAnsi"/>
          <w:b/>
          <w:color w:val="2F5496" w:themeColor="accent1" w:themeShade="BF"/>
          <w:lang w:eastAsia="ar-SA"/>
        </w:rPr>
        <w:t>4</w:t>
      </w:r>
      <w:r w:rsidRPr="00616104">
        <w:rPr>
          <w:rFonts w:eastAsia="Calibri" w:cstheme="minorHAnsi"/>
          <w:b/>
          <w:color w:val="2F5496" w:themeColor="accent1" w:themeShade="BF"/>
          <w:lang w:eastAsia="ar-SA"/>
        </w:rPr>
        <w:t xml:space="preserve"> takie uchwały.</w:t>
      </w:r>
      <w:r w:rsidRPr="003E305A">
        <w:rPr>
          <w:rFonts w:cstheme="minorHAnsi"/>
        </w:rPr>
        <w:t xml:space="preserve"> </w:t>
      </w:r>
      <w:r w:rsidRPr="003E305A">
        <w:rPr>
          <w:rFonts w:eastAsia="Calibri" w:cstheme="minorHAnsi"/>
          <w:bCs/>
          <w:lang w:eastAsia="ar-SA"/>
        </w:rPr>
        <w:t>W województwie podlaskim i</w:t>
      </w:r>
      <w:r w:rsidR="003E305A">
        <w:rPr>
          <w:rFonts w:eastAsia="Calibri" w:cstheme="minorHAnsi"/>
          <w:bCs/>
          <w:lang w:eastAsia="ar-SA"/>
        </w:rPr>
        <w:t> </w:t>
      </w:r>
      <w:r w:rsidRPr="003E305A">
        <w:rPr>
          <w:rFonts w:eastAsia="Calibri" w:cstheme="minorHAnsi"/>
          <w:bCs/>
          <w:lang w:eastAsia="ar-SA"/>
        </w:rPr>
        <w:t xml:space="preserve">warmińsko mazurskim, gdzie nie wprowadzono takich rozwiązań, działania na rzecz poprawy jakości powietrza, realizowane są wyłącznie w </w:t>
      </w:r>
      <w:r w:rsidR="00616104">
        <w:rPr>
          <w:rFonts w:eastAsia="Calibri" w:cstheme="minorHAnsi"/>
          <w:bCs/>
          <w:lang w:eastAsia="ar-SA"/>
        </w:rPr>
        <w:t>ramach POP</w:t>
      </w:r>
      <w:r w:rsidRPr="003E305A">
        <w:rPr>
          <w:rFonts w:eastAsia="Calibri" w:cstheme="minorHAnsi"/>
          <w:bCs/>
          <w:lang w:eastAsia="ar-SA"/>
        </w:rPr>
        <w:t xml:space="preserve"> oraz </w:t>
      </w:r>
      <w:r w:rsidR="00616104">
        <w:rPr>
          <w:rFonts w:eastAsia="Calibri" w:cstheme="minorHAnsi"/>
          <w:bCs/>
          <w:lang w:eastAsia="ar-SA"/>
        </w:rPr>
        <w:t>PDK</w:t>
      </w:r>
      <w:r w:rsidRPr="003E305A">
        <w:rPr>
          <w:rFonts w:eastAsia="Calibri" w:cstheme="minorHAnsi"/>
          <w:bCs/>
          <w:lang w:eastAsia="ar-SA"/>
        </w:rPr>
        <w:t>.</w:t>
      </w:r>
      <w:r w:rsidRPr="003E305A">
        <w:rPr>
          <w:rFonts w:cstheme="minorHAnsi"/>
          <w:bCs/>
        </w:rPr>
        <w:t xml:space="preserve"> </w:t>
      </w:r>
      <w:r w:rsidRPr="003E305A">
        <w:rPr>
          <w:rFonts w:eastAsia="Calibri" w:cstheme="minorHAnsi"/>
          <w:bCs/>
          <w:lang w:eastAsia="ar-SA"/>
        </w:rPr>
        <w:t xml:space="preserve">Na terenach województw z największymi przekroczeniami norm jakości powietrza albo na wskazanych obszarach, poszczególne uchwały antysmogowe określają terminy zakazów użytkowania kotłów pozaklasowych, jak również rodzaje lub jakość paliw. Działania te zgodnie z zapisami uchwał powinny być realizowane w latach 2022-2028. </w:t>
      </w:r>
    </w:p>
    <w:p w14:paraId="45D3A784" w14:textId="7E2E4450" w:rsidR="00616104" w:rsidRDefault="00616104" w:rsidP="00616104">
      <w:pPr>
        <w:spacing w:before="120" w:after="0" w:line="240" w:lineRule="auto"/>
        <w:jc w:val="both"/>
        <w:rPr>
          <w:rFonts w:eastAsia="Times New Roman" w:cstheme="minorHAnsi"/>
          <w:lang w:eastAsia="pl-PL"/>
        </w:rPr>
      </w:pPr>
      <w:r w:rsidRPr="00616104">
        <w:rPr>
          <w:rFonts w:eastAsia="Times New Roman" w:cstheme="minorHAnsi"/>
          <w:lang w:eastAsia="pl-PL"/>
        </w:rPr>
        <w:t xml:space="preserve">Pierwsza uchwała (dla Gminy Miejskiej Kraków) została przyjęta w styczniu 2016 r., kolejne były przyjmowane w latach 2017-2021 (ostatnia dla województwa lubelskiego). Uchwała dla Gminy Miejskiej Kraków wprowadziła zakaz spalania w sektorze bytowo-komunalnym wszelkich paliw stałych od dnia </w:t>
      </w:r>
      <w:r w:rsidRPr="00616104">
        <w:rPr>
          <w:rFonts w:eastAsia="Tahoma" w:cstheme="minorHAnsi"/>
          <w:lang w:eastAsia="pl-PL"/>
        </w:rPr>
        <w:t>1 września 2019</w:t>
      </w:r>
      <w:r w:rsidRPr="00616104">
        <w:rPr>
          <w:rFonts w:eastAsia="Times New Roman" w:cstheme="minorHAnsi"/>
          <w:lang w:eastAsia="pl-PL"/>
        </w:rPr>
        <w:t xml:space="preserve"> r. W pozostałych uchwałach zakres ograniczeń dotyczących rodzajów lub jakości paliw stałych</w:t>
      </w:r>
      <w:r w:rsidR="00211DCA">
        <w:rPr>
          <w:rFonts w:eastAsia="Times New Roman" w:cstheme="minorHAnsi"/>
          <w:lang w:eastAsia="pl-PL"/>
        </w:rPr>
        <w:t>,</w:t>
      </w:r>
      <w:r w:rsidRPr="00616104">
        <w:rPr>
          <w:rFonts w:eastAsia="Times New Roman" w:cstheme="minorHAnsi"/>
          <w:lang w:eastAsia="pl-PL"/>
        </w:rPr>
        <w:t xml:space="preserve"> lub też wymagań dotyczących urządzeń opalanych takimi paliwami, jest zróżnicowany. Z większości uchwał przyjętych przez władze samorządów województw wynika zakaz spalania:</w:t>
      </w:r>
    </w:p>
    <w:p w14:paraId="2B6C4ADB" w14:textId="77777777" w:rsidR="00616104" w:rsidRDefault="00616104" w:rsidP="00CA3BB7">
      <w:pPr>
        <w:numPr>
          <w:ilvl w:val="0"/>
          <w:numId w:val="79"/>
        </w:numPr>
        <w:suppressAutoHyphens/>
        <w:spacing w:after="0" w:line="240" w:lineRule="auto"/>
        <w:ind w:left="426"/>
        <w:contextualSpacing/>
        <w:jc w:val="both"/>
        <w:rPr>
          <w:rFonts w:eastAsia="Calibri" w:cstheme="minorHAnsi"/>
          <w:lang w:eastAsia="ar-SA"/>
        </w:rPr>
      </w:pPr>
      <w:r w:rsidRPr="00616104">
        <w:rPr>
          <w:rFonts w:eastAsia="Calibri" w:cstheme="minorHAnsi"/>
          <w:lang w:eastAsia="ar-SA"/>
        </w:rPr>
        <w:t>mułów i flotokoncentratów węglowych oraz mieszanek produkowanych z ich wykorzystaniem,</w:t>
      </w:r>
    </w:p>
    <w:p w14:paraId="3952721B" w14:textId="57D542B0" w:rsidR="00616104" w:rsidRPr="00616104" w:rsidRDefault="00616104" w:rsidP="00CA3BB7">
      <w:pPr>
        <w:numPr>
          <w:ilvl w:val="0"/>
          <w:numId w:val="79"/>
        </w:numPr>
        <w:suppressAutoHyphens/>
        <w:spacing w:after="0" w:line="240" w:lineRule="auto"/>
        <w:ind w:left="426"/>
        <w:contextualSpacing/>
        <w:jc w:val="both"/>
        <w:rPr>
          <w:rFonts w:eastAsia="Calibri" w:cstheme="minorHAnsi"/>
          <w:lang w:eastAsia="ar-SA"/>
        </w:rPr>
      </w:pPr>
      <w:r w:rsidRPr="00616104">
        <w:rPr>
          <w:rFonts w:eastAsia="Calibri" w:cstheme="minorHAnsi"/>
          <w:lang w:eastAsia="ar-SA"/>
        </w:rPr>
        <w:t>węgla brunatnego oraz paliw stałych produkowanych z wykorzystaniem tego węgla,</w:t>
      </w:r>
    </w:p>
    <w:p w14:paraId="0C1FCA44" w14:textId="77777777" w:rsidR="00616104" w:rsidRDefault="00616104" w:rsidP="00CA3BB7">
      <w:pPr>
        <w:numPr>
          <w:ilvl w:val="0"/>
          <w:numId w:val="79"/>
        </w:numPr>
        <w:suppressAutoHyphens/>
        <w:spacing w:after="0" w:line="240" w:lineRule="auto"/>
        <w:ind w:left="426"/>
        <w:contextualSpacing/>
        <w:jc w:val="both"/>
        <w:rPr>
          <w:rFonts w:eastAsia="Calibri" w:cstheme="minorHAnsi"/>
          <w:lang w:eastAsia="ar-SA"/>
        </w:rPr>
      </w:pPr>
      <w:r w:rsidRPr="00616104">
        <w:rPr>
          <w:rFonts w:eastAsia="Calibri" w:cstheme="minorHAnsi"/>
          <w:lang w:eastAsia="ar-SA"/>
        </w:rPr>
        <w:t>węgla kamiennego w postaci sypkiej o uziarnieniu poniżej 3 mm</w:t>
      </w:r>
      <w:r>
        <w:rPr>
          <w:rFonts w:eastAsia="Calibri" w:cstheme="minorHAnsi"/>
          <w:lang w:eastAsia="ar-SA"/>
        </w:rPr>
        <w:t>,</w:t>
      </w:r>
    </w:p>
    <w:p w14:paraId="020579C6" w14:textId="4FFFACD8" w:rsidR="00616104" w:rsidRPr="00616104" w:rsidRDefault="00616104" w:rsidP="00CA3BB7">
      <w:pPr>
        <w:numPr>
          <w:ilvl w:val="0"/>
          <w:numId w:val="79"/>
        </w:numPr>
        <w:suppressAutoHyphens/>
        <w:spacing w:after="0" w:line="240" w:lineRule="auto"/>
        <w:ind w:left="426"/>
        <w:contextualSpacing/>
        <w:jc w:val="both"/>
        <w:rPr>
          <w:rFonts w:eastAsia="Calibri" w:cstheme="minorHAnsi"/>
          <w:lang w:eastAsia="ar-SA"/>
        </w:rPr>
      </w:pPr>
      <w:r w:rsidRPr="00616104">
        <w:rPr>
          <w:rFonts w:eastAsia="Calibri" w:cstheme="minorHAnsi"/>
          <w:lang w:eastAsia="ar-SA"/>
        </w:rPr>
        <w:t>biomasy stałej o wilgotności wstanie roboczym powyżej 20%</w:t>
      </w:r>
      <w:r w:rsidR="00211DCA">
        <w:rPr>
          <w:rFonts w:eastAsia="Calibri" w:cstheme="minorHAnsi"/>
          <w:lang w:eastAsia="ar-SA"/>
        </w:rPr>
        <w:t>.</w:t>
      </w:r>
    </w:p>
    <w:p w14:paraId="3EBBC251" w14:textId="4D0C5EE1" w:rsidR="00616104" w:rsidRPr="00616104" w:rsidRDefault="00616104" w:rsidP="00616104">
      <w:pPr>
        <w:spacing w:before="120"/>
        <w:jc w:val="both"/>
        <w:rPr>
          <w:rStyle w:val="articletitle"/>
          <w:b/>
          <w:bCs/>
          <w:color w:val="2F5496" w:themeColor="accent1" w:themeShade="BF"/>
        </w:rPr>
      </w:pPr>
      <w:r w:rsidRPr="00616104">
        <w:rPr>
          <w:b/>
          <w:bCs/>
          <w:color w:val="2F5496" w:themeColor="accent1" w:themeShade="BF"/>
        </w:rPr>
        <w:lastRenderedPageBreak/>
        <w:t>Nieprzestrzeganie zakazów lub ograniczeń wynikających z uchwał antysmogowych, dotyczących rodzaju lub jakości stosowanych paliw stałych, jest sankcjonowane grzywną. Zgodnie z art. 3</w:t>
      </w:r>
      <w:r w:rsidRPr="00616104">
        <w:rPr>
          <w:rStyle w:val="articletitle"/>
          <w:b/>
          <w:bCs/>
          <w:color w:val="2F5496" w:themeColor="accent1" w:themeShade="BF"/>
        </w:rPr>
        <w:t xml:space="preserve">34 </w:t>
      </w:r>
      <w:r w:rsidR="00211DCA">
        <w:rPr>
          <w:rStyle w:val="articletitle"/>
          <w:b/>
          <w:bCs/>
          <w:color w:val="2F5496" w:themeColor="accent1" w:themeShade="BF"/>
        </w:rPr>
        <w:t>POŚ</w:t>
      </w:r>
      <w:r>
        <w:rPr>
          <w:rStyle w:val="articletitle"/>
          <w:b/>
          <w:bCs/>
          <w:color w:val="2F5496" w:themeColor="accent1" w:themeShade="BF"/>
        </w:rPr>
        <w:t>:</w:t>
      </w:r>
    </w:p>
    <w:p w14:paraId="5F22B08D" w14:textId="77777777" w:rsidR="00616104" w:rsidRDefault="00616104" w:rsidP="00616104">
      <w:pPr>
        <w:spacing w:before="120"/>
        <w:jc w:val="both"/>
        <w:rPr>
          <w:b/>
          <w:bCs/>
          <w:color w:val="2F5496" w:themeColor="accent1" w:themeShade="BF"/>
        </w:rPr>
      </w:pPr>
      <w:r w:rsidRPr="00616104">
        <w:rPr>
          <w:b/>
          <w:bCs/>
          <w:color w:val="2F5496" w:themeColor="accent1" w:themeShade="BF"/>
        </w:rPr>
        <w:t>„Kto nie przestrzega ograniczeń, nakazów lub zakazów, określonych w uchwale sejmiku województwa przyjętej na podstawie art. 96, podlega karze grzywny.”.</w:t>
      </w:r>
    </w:p>
    <w:p w14:paraId="474FB283" w14:textId="25C984C9" w:rsidR="00616104" w:rsidRPr="00616104" w:rsidRDefault="00616104" w:rsidP="00616104">
      <w:pPr>
        <w:spacing w:before="120"/>
        <w:jc w:val="both"/>
        <w:rPr>
          <w:b/>
          <w:bCs/>
          <w:color w:val="2F5496" w:themeColor="accent1" w:themeShade="BF"/>
        </w:rPr>
      </w:pPr>
      <w:r w:rsidRPr="00616104">
        <w:t>Dodatkowo podkreślić także należy, że</w:t>
      </w:r>
      <w:r w:rsidRPr="00B8088E">
        <w:rPr>
          <w:b/>
          <w:bCs/>
        </w:rPr>
        <w:t xml:space="preserve"> </w:t>
      </w:r>
      <w:r w:rsidRPr="00B8088E">
        <w:t xml:space="preserve">zgodnie z § 2 ust. 1 pkt 7 </w:t>
      </w:r>
      <w:r w:rsidRPr="00B8088E">
        <w:rPr>
          <w:i/>
          <w:iCs/>
        </w:rPr>
        <w:t>rozporządzenia w sprawie wykroczeń, za które strażnicy straży gminnych są uprawnieni do nakładania grzywien w drodze mandatu karnego</w:t>
      </w:r>
      <w:r w:rsidRPr="00B8088E">
        <w:rPr>
          <w:rStyle w:val="Odwoanieprzypisudolnego"/>
        </w:rPr>
        <w:footnoteReference w:id="15"/>
      </w:r>
      <w:r w:rsidRPr="00B8088E">
        <w:t xml:space="preserve">, </w:t>
      </w:r>
      <w:bookmarkStart w:id="55" w:name="mip10865288"/>
      <w:bookmarkEnd w:id="55"/>
      <w:r w:rsidRPr="00616104">
        <w:rPr>
          <w:b/>
          <w:bCs/>
          <w:color w:val="2F5496" w:themeColor="accent1" w:themeShade="BF"/>
        </w:rPr>
        <w:t xml:space="preserve">strażnicy są uprawnieni do nakładania grzywien w drodze mandatu karnego za wykroczenia określone m.in. w art. 334 </w:t>
      </w:r>
      <w:r w:rsidR="00211DCA">
        <w:rPr>
          <w:b/>
          <w:bCs/>
          <w:color w:val="2F5496" w:themeColor="accent1" w:themeShade="BF"/>
        </w:rPr>
        <w:t>POŚ</w:t>
      </w:r>
      <w:r w:rsidRPr="00616104">
        <w:rPr>
          <w:b/>
          <w:bCs/>
          <w:color w:val="2F5496" w:themeColor="accent1" w:themeShade="BF"/>
        </w:rPr>
        <w:t>, tj. za nieprzestrzeganie  zakazów, nakazów lub ograniczeń określonych w uchwałach antysmogowych</w:t>
      </w:r>
      <w:r w:rsidRPr="00B8088E">
        <w:t>.</w:t>
      </w:r>
    </w:p>
    <w:p w14:paraId="4119E2AB" w14:textId="0356324E" w:rsidR="00933F32" w:rsidRPr="0008343D" w:rsidRDefault="009D093A" w:rsidP="0008343D">
      <w:pPr>
        <w:pStyle w:val="Nagwek2"/>
        <w:numPr>
          <w:ilvl w:val="0"/>
          <w:numId w:val="0"/>
        </w:numPr>
        <w:rPr>
          <w:b/>
          <w:sz w:val="22"/>
          <w:szCs w:val="22"/>
        </w:rPr>
      </w:pPr>
      <w:bookmarkStart w:id="56" w:name="_Toc78205892"/>
      <w:r w:rsidRPr="0008343D">
        <w:rPr>
          <w:b/>
          <w:sz w:val="22"/>
          <w:szCs w:val="22"/>
        </w:rPr>
        <w:t>8</w:t>
      </w:r>
      <w:r w:rsidR="003E305A" w:rsidRPr="0008343D">
        <w:rPr>
          <w:b/>
          <w:sz w:val="22"/>
          <w:szCs w:val="22"/>
        </w:rPr>
        <w:t>.3</w:t>
      </w:r>
      <w:r w:rsidR="00CA5FE4" w:rsidRPr="0008343D">
        <w:rPr>
          <w:b/>
          <w:sz w:val="22"/>
          <w:szCs w:val="22"/>
        </w:rPr>
        <w:t xml:space="preserve">. </w:t>
      </w:r>
      <w:r w:rsidR="003E305A" w:rsidRPr="0008343D">
        <w:rPr>
          <w:b/>
          <w:sz w:val="22"/>
          <w:szCs w:val="22"/>
        </w:rPr>
        <w:t xml:space="preserve">Działania naprawcze </w:t>
      </w:r>
      <w:r w:rsidR="00933F32" w:rsidRPr="0008343D">
        <w:rPr>
          <w:b/>
          <w:sz w:val="22"/>
          <w:szCs w:val="22"/>
        </w:rPr>
        <w:t>w gminach</w:t>
      </w:r>
      <w:bookmarkEnd w:id="56"/>
    </w:p>
    <w:p w14:paraId="6A1400C1" w14:textId="023040CB" w:rsidR="00933F32" w:rsidRPr="0035160C" w:rsidRDefault="00933F32" w:rsidP="00933F32">
      <w:pPr>
        <w:jc w:val="both"/>
        <w:rPr>
          <w:rFonts w:cstheme="minorHAnsi"/>
        </w:rPr>
      </w:pPr>
      <w:r w:rsidRPr="0035160C">
        <w:rPr>
          <w:rFonts w:cstheme="minorHAnsi"/>
        </w:rPr>
        <w:t>Mając na celu potrzebę przeprowadzenia dodatkowego rozpoznania przyczyn nieodpowiedniej jakości powietrza w gminach oraz potrzebę weryfikacji i aktualizacji danych stanowiących diagnozę skali wpływu sektora bytowo-komunalnego oraz sektora transportu drogowego na stan powietrza w Polsce, Ministerstwo Klimatu i Środowiska w dniach 12-26 listopada 2020 r. zaprosił</w:t>
      </w:r>
      <w:r w:rsidR="0033727D">
        <w:rPr>
          <w:rFonts w:cstheme="minorHAnsi"/>
        </w:rPr>
        <w:t>o</w:t>
      </w:r>
      <w:r w:rsidRPr="0035160C">
        <w:rPr>
          <w:rFonts w:cstheme="minorHAnsi"/>
        </w:rPr>
        <w:t xml:space="preserve"> </w:t>
      </w:r>
      <w:r w:rsidR="0033727D" w:rsidRPr="0035160C">
        <w:rPr>
          <w:rFonts w:cstheme="minorHAnsi"/>
        </w:rPr>
        <w:t xml:space="preserve">261 gmin </w:t>
      </w:r>
      <w:r w:rsidRPr="0035160C">
        <w:rPr>
          <w:rFonts w:cstheme="minorHAnsi"/>
        </w:rPr>
        <w:t>do udziału w</w:t>
      </w:r>
      <w:r w:rsidR="0033727D">
        <w:rPr>
          <w:rFonts w:cstheme="minorHAnsi"/>
        </w:rPr>
        <w:t> </w:t>
      </w:r>
      <w:r w:rsidRPr="0035160C">
        <w:rPr>
          <w:rFonts w:cstheme="minorHAnsi"/>
        </w:rPr>
        <w:t xml:space="preserve">ankiecie pn. </w:t>
      </w:r>
      <w:r w:rsidRPr="0035160C">
        <w:rPr>
          <w:rFonts w:cstheme="minorHAnsi"/>
          <w:i/>
          <w:iCs/>
        </w:rPr>
        <w:t xml:space="preserve">„Poprawa </w:t>
      </w:r>
      <w:r w:rsidR="00A135F0">
        <w:rPr>
          <w:rFonts w:cstheme="minorHAnsi"/>
          <w:i/>
          <w:iCs/>
        </w:rPr>
        <w:t>j</w:t>
      </w:r>
      <w:r w:rsidR="00A135F0" w:rsidRPr="0035160C">
        <w:rPr>
          <w:rFonts w:cstheme="minorHAnsi"/>
          <w:i/>
          <w:iCs/>
        </w:rPr>
        <w:t xml:space="preserve">akości </w:t>
      </w:r>
      <w:r w:rsidRPr="0035160C">
        <w:rPr>
          <w:rFonts w:cstheme="minorHAnsi"/>
          <w:i/>
          <w:iCs/>
        </w:rPr>
        <w:t>powietrza w gminach”</w:t>
      </w:r>
      <w:r w:rsidRPr="0035160C">
        <w:rPr>
          <w:rFonts w:cstheme="minorHAnsi"/>
        </w:rPr>
        <w:t>, które zgodnie z wynikami oceny jakości powietrza za 2019 r., uznane zostały za najbardziej zanieczyszczone gminy w Polsce, ze względu na stwierdzone przekroczenia norm jakości powietrza w zakresie</w:t>
      </w:r>
      <w:r w:rsidR="008C3236">
        <w:rPr>
          <w:rFonts w:cstheme="minorHAnsi"/>
        </w:rPr>
        <w:t xml:space="preserve"> frakcji </w:t>
      </w:r>
      <w:r w:rsidR="008C3236" w:rsidRPr="0035160C">
        <w:rPr>
          <w:rFonts w:cstheme="minorHAnsi"/>
        </w:rPr>
        <w:t xml:space="preserve">PM10 i PM2,5 </w:t>
      </w:r>
      <w:r w:rsidRPr="0035160C">
        <w:rPr>
          <w:rFonts w:cstheme="minorHAnsi"/>
        </w:rPr>
        <w:t xml:space="preserve">pyłu oraz </w:t>
      </w:r>
      <w:r w:rsidR="0033727D">
        <w:rPr>
          <w:rFonts w:cstheme="minorHAnsi"/>
        </w:rPr>
        <w:t>B(a)P</w:t>
      </w:r>
      <w:r w:rsidRPr="0035160C">
        <w:rPr>
          <w:rFonts w:cstheme="minorHAnsi"/>
        </w:rPr>
        <w:t xml:space="preserve">. </w:t>
      </w:r>
    </w:p>
    <w:p w14:paraId="787C3FC8" w14:textId="7556D814" w:rsidR="00933F32" w:rsidRPr="0035160C" w:rsidRDefault="00933F32" w:rsidP="00933F32">
      <w:pPr>
        <w:jc w:val="both"/>
        <w:rPr>
          <w:rFonts w:cstheme="minorHAnsi"/>
        </w:rPr>
      </w:pPr>
      <w:r w:rsidRPr="0035160C">
        <w:rPr>
          <w:rFonts w:cstheme="minorHAnsi"/>
        </w:rPr>
        <w:t xml:space="preserve">Wykonanie tego zadania było niezbędne, nie tylko do </w:t>
      </w:r>
      <w:r w:rsidR="00236B55" w:rsidRPr="0035160C">
        <w:rPr>
          <w:rFonts w:cstheme="minorHAnsi"/>
        </w:rPr>
        <w:t>kontynuacji r</w:t>
      </w:r>
      <w:r w:rsidRPr="0035160C">
        <w:rPr>
          <w:rFonts w:cstheme="minorHAnsi"/>
        </w:rPr>
        <w:t xml:space="preserve">ealizacji dotychczas prowadzonych działań naprawczych zmierzających do poprawy jakości powietrza na wszystkich poziomach zarządzania, ale również w celu zaplanowania nowych skutecznych kierunków działań na terenach tych gmin. Ankieta zawierała 26 pytań z zakresu działań prowadzonych i planowanych przez gminy </w:t>
      </w:r>
      <w:r w:rsidR="00AA27BB">
        <w:rPr>
          <w:rFonts w:cstheme="minorHAnsi"/>
        </w:rPr>
        <w:t>w tym zakresie</w:t>
      </w:r>
      <w:r w:rsidRPr="0035160C">
        <w:rPr>
          <w:rFonts w:cstheme="minorHAnsi"/>
        </w:rPr>
        <w:t xml:space="preserve">. </w:t>
      </w:r>
    </w:p>
    <w:p w14:paraId="3E46A5A9" w14:textId="43AC9D22" w:rsidR="00933F32" w:rsidRPr="0035160C" w:rsidRDefault="00933F32" w:rsidP="00933F32">
      <w:pPr>
        <w:jc w:val="both"/>
        <w:rPr>
          <w:rFonts w:cstheme="minorHAnsi"/>
          <w:b/>
          <w:bCs/>
          <w:color w:val="2F5496" w:themeColor="accent1" w:themeShade="BF"/>
        </w:rPr>
      </w:pPr>
      <w:r w:rsidRPr="0035160C">
        <w:rPr>
          <w:rFonts w:cstheme="minorHAnsi"/>
        </w:rPr>
        <w:t xml:space="preserve">Pomimo utrudnień wynikających z epidemii COVID-19, </w:t>
      </w:r>
      <w:r w:rsidRPr="0035160C">
        <w:rPr>
          <w:rFonts w:cstheme="minorHAnsi"/>
          <w:b/>
          <w:bCs/>
          <w:color w:val="2F5496" w:themeColor="accent1" w:themeShade="BF"/>
        </w:rPr>
        <w:t xml:space="preserve">do ankiety przystąpiło 232 z 261 gmin, co można uznać za bardzo dobry wynik oraz wysoką świadomość urzędów </w:t>
      </w:r>
      <w:r w:rsidR="00236B55" w:rsidRPr="0035160C">
        <w:rPr>
          <w:rFonts w:cstheme="minorHAnsi"/>
          <w:b/>
          <w:bCs/>
          <w:color w:val="2F5496" w:themeColor="accent1" w:themeShade="BF"/>
        </w:rPr>
        <w:t xml:space="preserve">na </w:t>
      </w:r>
      <w:r w:rsidRPr="0035160C">
        <w:rPr>
          <w:rFonts w:cstheme="minorHAnsi"/>
          <w:b/>
          <w:bCs/>
          <w:color w:val="2F5496" w:themeColor="accent1" w:themeShade="BF"/>
        </w:rPr>
        <w:t xml:space="preserve">potrzebę </w:t>
      </w:r>
      <w:r w:rsidR="00236B55" w:rsidRPr="0035160C">
        <w:rPr>
          <w:rFonts w:cstheme="minorHAnsi"/>
          <w:b/>
          <w:bCs/>
          <w:color w:val="2F5496" w:themeColor="accent1" w:themeShade="BF"/>
        </w:rPr>
        <w:t xml:space="preserve">poszukiwania nowych kierunków </w:t>
      </w:r>
      <w:r w:rsidRPr="0035160C">
        <w:rPr>
          <w:rFonts w:cstheme="minorHAnsi"/>
          <w:b/>
          <w:bCs/>
          <w:color w:val="2F5496" w:themeColor="accent1" w:themeShade="BF"/>
        </w:rPr>
        <w:t>działań naprawczych</w:t>
      </w:r>
      <w:r w:rsidR="00236B55" w:rsidRPr="0035160C">
        <w:rPr>
          <w:rFonts w:cstheme="minorHAnsi"/>
          <w:b/>
          <w:bCs/>
          <w:color w:val="2F5496" w:themeColor="accent1" w:themeShade="BF"/>
        </w:rPr>
        <w:t xml:space="preserve">, mających na celu obniżenie </w:t>
      </w:r>
      <w:r w:rsidRPr="0035160C">
        <w:rPr>
          <w:rFonts w:cstheme="minorHAnsi"/>
          <w:b/>
          <w:bCs/>
          <w:color w:val="2F5496" w:themeColor="accent1" w:themeShade="BF"/>
        </w:rPr>
        <w:t xml:space="preserve">stężeń zanieczyszczeń </w:t>
      </w:r>
      <w:r w:rsidR="0033727D">
        <w:rPr>
          <w:rFonts w:cstheme="minorHAnsi"/>
          <w:b/>
          <w:bCs/>
          <w:color w:val="2F5496" w:themeColor="accent1" w:themeShade="BF"/>
        </w:rPr>
        <w:t>w</w:t>
      </w:r>
      <w:r w:rsidR="00923C3C">
        <w:rPr>
          <w:rFonts w:cstheme="minorHAnsi"/>
          <w:b/>
          <w:bCs/>
          <w:color w:val="2F5496" w:themeColor="accent1" w:themeShade="BF"/>
        </w:rPr>
        <w:t> </w:t>
      </w:r>
      <w:r w:rsidR="0033727D">
        <w:rPr>
          <w:rFonts w:cstheme="minorHAnsi"/>
          <w:b/>
          <w:bCs/>
          <w:color w:val="2F5496" w:themeColor="accent1" w:themeShade="BF"/>
        </w:rPr>
        <w:t>powietrzu</w:t>
      </w:r>
      <w:r w:rsidRPr="0035160C">
        <w:rPr>
          <w:rFonts w:cstheme="minorHAnsi"/>
          <w:b/>
          <w:bCs/>
          <w:color w:val="2F5496" w:themeColor="accent1" w:themeShade="BF"/>
        </w:rPr>
        <w:t>.</w:t>
      </w:r>
    </w:p>
    <w:p w14:paraId="374E20DB" w14:textId="1FAC7B84" w:rsidR="00933F32" w:rsidRPr="0035160C" w:rsidRDefault="00023D32" w:rsidP="00933F32">
      <w:pPr>
        <w:jc w:val="both"/>
        <w:rPr>
          <w:rFonts w:cstheme="minorHAnsi"/>
        </w:rPr>
      </w:pPr>
      <w:r w:rsidRPr="0035160C">
        <w:rPr>
          <w:rFonts w:cstheme="minorHAnsi"/>
        </w:rPr>
        <w:t>W</w:t>
      </w:r>
      <w:r w:rsidR="00933F32" w:rsidRPr="0035160C">
        <w:rPr>
          <w:rFonts w:cstheme="minorHAnsi"/>
        </w:rPr>
        <w:t xml:space="preserve"> ankiecie wzięło </w:t>
      </w:r>
      <w:r w:rsidRPr="0035160C">
        <w:rPr>
          <w:rFonts w:cstheme="minorHAnsi"/>
        </w:rPr>
        <w:t xml:space="preserve">udział </w:t>
      </w:r>
      <w:r w:rsidR="00933F32" w:rsidRPr="0035160C">
        <w:rPr>
          <w:rFonts w:cstheme="minorHAnsi"/>
        </w:rPr>
        <w:t xml:space="preserve">110 gmin wiejskich, 65 gmin miejskich </w:t>
      </w:r>
      <w:r w:rsidRPr="0035160C">
        <w:rPr>
          <w:rFonts w:cstheme="minorHAnsi"/>
        </w:rPr>
        <w:t>oraz</w:t>
      </w:r>
      <w:r w:rsidR="00933F32" w:rsidRPr="0035160C">
        <w:rPr>
          <w:rFonts w:cstheme="minorHAnsi"/>
        </w:rPr>
        <w:t xml:space="preserve"> 57 gmin miejsko </w:t>
      </w:r>
      <w:r w:rsidRPr="0035160C">
        <w:rPr>
          <w:rFonts w:cstheme="minorHAnsi"/>
        </w:rPr>
        <w:t xml:space="preserve">– </w:t>
      </w:r>
      <w:r w:rsidR="00933F32" w:rsidRPr="0035160C">
        <w:rPr>
          <w:rFonts w:cstheme="minorHAnsi"/>
        </w:rPr>
        <w:t>wiejskich</w:t>
      </w:r>
      <w:r w:rsidRPr="0035160C">
        <w:rPr>
          <w:rFonts w:cstheme="minorHAnsi"/>
        </w:rPr>
        <w:t>.</w:t>
      </w:r>
      <w:r w:rsidR="00933F32" w:rsidRPr="0035160C">
        <w:rPr>
          <w:rFonts w:cstheme="minorHAnsi"/>
        </w:rPr>
        <w:t xml:space="preserve"> </w:t>
      </w:r>
    </w:p>
    <w:p w14:paraId="22C29399" w14:textId="2508D229" w:rsidR="00933F32" w:rsidRPr="0035160C" w:rsidRDefault="00933F32" w:rsidP="00933F32">
      <w:pPr>
        <w:jc w:val="both"/>
        <w:rPr>
          <w:rFonts w:cstheme="minorHAnsi"/>
        </w:rPr>
      </w:pPr>
      <w:r w:rsidRPr="0035160C">
        <w:rPr>
          <w:rFonts w:cstheme="minorHAnsi"/>
        </w:rPr>
        <w:t>Z uwagi na fakt, iż prowadzone działania w gminach mają charakter długoterminowy i wymagają aktualizacji, sprawozdawczości i planowania strategicznego nowych zadań od 2021 r., nie udało się uzyskać jednoznacznej odpowiedzi na pytania m.in.: na temat ilości planowanych do wymiany pieców węglowych tzw. „kopciuchów” oraz ilości wykorzystania odnawialnych źródeł energii zaplanowanych na kolejne lata. Jednak wszystkie gminy wskazały chęć realizacji tych zadań.</w:t>
      </w:r>
    </w:p>
    <w:p w14:paraId="1DA52848" w14:textId="4F85A36A" w:rsidR="00933F32" w:rsidRPr="0035160C" w:rsidRDefault="00933F32" w:rsidP="00933F32">
      <w:pPr>
        <w:jc w:val="both"/>
        <w:rPr>
          <w:rFonts w:cstheme="minorHAnsi"/>
        </w:rPr>
      </w:pPr>
      <w:r w:rsidRPr="0035160C">
        <w:rPr>
          <w:rFonts w:cstheme="minorHAnsi"/>
        </w:rPr>
        <w:t>Spośród 2</w:t>
      </w:r>
      <w:r w:rsidR="0033727D">
        <w:rPr>
          <w:rFonts w:cstheme="minorHAnsi"/>
        </w:rPr>
        <w:t>32</w:t>
      </w:r>
      <w:r w:rsidRPr="0035160C">
        <w:rPr>
          <w:rFonts w:cstheme="minorHAnsi"/>
        </w:rPr>
        <w:t xml:space="preserve"> gmin</w:t>
      </w:r>
      <w:r w:rsidR="0033727D">
        <w:rPr>
          <w:rFonts w:cstheme="minorHAnsi"/>
        </w:rPr>
        <w:t>, które wzięły udział w ankiecie</w:t>
      </w:r>
      <w:r w:rsidR="00023D32" w:rsidRPr="0035160C">
        <w:rPr>
          <w:rFonts w:cstheme="minorHAnsi"/>
        </w:rPr>
        <w:t>,</w:t>
      </w:r>
      <w:r w:rsidRPr="0035160C">
        <w:rPr>
          <w:rFonts w:cstheme="minorHAnsi"/>
        </w:rPr>
        <w:t xml:space="preserve"> </w:t>
      </w:r>
      <w:r w:rsidRPr="0035160C">
        <w:rPr>
          <w:rFonts w:cstheme="minorHAnsi"/>
          <w:b/>
          <w:bCs/>
          <w:color w:val="2F5496" w:themeColor="accent1" w:themeShade="BF"/>
        </w:rPr>
        <w:t xml:space="preserve">32 gminy wskazały, iż w strukturach urzędu nie funkcjonują komórki odpowiedzialne za podejmowanie działań </w:t>
      </w:r>
      <w:r w:rsidR="000428DD">
        <w:rPr>
          <w:rFonts w:cstheme="minorHAnsi"/>
          <w:b/>
          <w:bCs/>
          <w:color w:val="2F5496" w:themeColor="accent1" w:themeShade="BF"/>
        </w:rPr>
        <w:t xml:space="preserve">w obszarze poprawy jakości powietrza, w tym </w:t>
      </w:r>
      <w:r w:rsidRPr="0035160C">
        <w:rPr>
          <w:rFonts w:cstheme="minorHAnsi"/>
          <w:b/>
          <w:bCs/>
          <w:color w:val="2F5496" w:themeColor="accent1" w:themeShade="BF"/>
        </w:rPr>
        <w:t xml:space="preserve">określonych w </w:t>
      </w:r>
      <w:r w:rsidR="00211DCA">
        <w:rPr>
          <w:rFonts w:cstheme="minorHAnsi"/>
          <w:b/>
          <w:bCs/>
          <w:color w:val="2F5496" w:themeColor="accent1" w:themeShade="BF"/>
        </w:rPr>
        <w:t>POP</w:t>
      </w:r>
      <w:r w:rsidRPr="0035160C">
        <w:rPr>
          <w:rFonts w:cstheme="minorHAnsi"/>
          <w:b/>
          <w:bCs/>
          <w:color w:val="2F5496" w:themeColor="accent1" w:themeShade="BF"/>
        </w:rPr>
        <w:t xml:space="preserve"> i </w:t>
      </w:r>
      <w:r w:rsidR="00023D32" w:rsidRPr="0035160C">
        <w:rPr>
          <w:rFonts w:cstheme="minorHAnsi"/>
          <w:b/>
          <w:bCs/>
          <w:color w:val="2F5496" w:themeColor="accent1" w:themeShade="BF"/>
        </w:rPr>
        <w:t>KPOP</w:t>
      </w:r>
      <w:r w:rsidRPr="0035160C">
        <w:rPr>
          <w:rFonts w:cstheme="minorHAnsi"/>
        </w:rPr>
        <w:t>. Należy jednak zaznaczyć iż w większości gmin</w:t>
      </w:r>
      <w:r w:rsidR="00023D32" w:rsidRPr="0035160C">
        <w:rPr>
          <w:rFonts w:cstheme="minorHAnsi"/>
        </w:rPr>
        <w:t>,</w:t>
      </w:r>
      <w:r w:rsidRPr="0035160C">
        <w:rPr>
          <w:rFonts w:cstheme="minorHAnsi"/>
        </w:rPr>
        <w:t xml:space="preserve"> za zadnia na rzecz poprawy jakości powietrza </w:t>
      </w:r>
      <w:r w:rsidR="00023D32" w:rsidRPr="0035160C">
        <w:rPr>
          <w:rFonts w:cstheme="minorHAnsi"/>
        </w:rPr>
        <w:t>odpowiedzialne</w:t>
      </w:r>
      <w:r w:rsidRPr="0035160C">
        <w:rPr>
          <w:rFonts w:cstheme="minorHAnsi"/>
        </w:rPr>
        <w:t xml:space="preserve"> są różn</w:t>
      </w:r>
      <w:r w:rsidR="00023D32" w:rsidRPr="0035160C">
        <w:rPr>
          <w:rFonts w:cstheme="minorHAnsi"/>
        </w:rPr>
        <w:t>e</w:t>
      </w:r>
      <w:r w:rsidRPr="0035160C">
        <w:rPr>
          <w:rFonts w:cstheme="minorHAnsi"/>
        </w:rPr>
        <w:t xml:space="preserve"> wydział</w:t>
      </w:r>
      <w:r w:rsidR="00023D32" w:rsidRPr="0035160C">
        <w:rPr>
          <w:rFonts w:cstheme="minorHAnsi"/>
        </w:rPr>
        <w:t>y</w:t>
      </w:r>
      <w:r w:rsidRPr="0035160C">
        <w:rPr>
          <w:rFonts w:cstheme="minorHAnsi"/>
        </w:rPr>
        <w:t xml:space="preserve"> działając</w:t>
      </w:r>
      <w:r w:rsidR="00023D32" w:rsidRPr="0035160C">
        <w:rPr>
          <w:rFonts w:cstheme="minorHAnsi"/>
        </w:rPr>
        <w:t>e</w:t>
      </w:r>
      <w:r w:rsidRPr="0035160C">
        <w:rPr>
          <w:rFonts w:cstheme="minorHAnsi"/>
        </w:rPr>
        <w:t xml:space="preserve"> w strukturach urzędu, które także realizują zadania z innych obszarów.</w:t>
      </w:r>
    </w:p>
    <w:p w14:paraId="7BD1D0A2" w14:textId="4167C573" w:rsidR="00933F32" w:rsidRPr="0035160C" w:rsidRDefault="00933F32" w:rsidP="00933F32">
      <w:pPr>
        <w:jc w:val="both"/>
        <w:rPr>
          <w:rFonts w:cstheme="minorHAnsi"/>
        </w:rPr>
      </w:pPr>
      <w:r w:rsidRPr="0035160C">
        <w:rPr>
          <w:rFonts w:cstheme="minorHAnsi"/>
        </w:rPr>
        <w:lastRenderedPageBreak/>
        <w:t xml:space="preserve">Należy tutaj wskazać, iż </w:t>
      </w:r>
      <w:r w:rsidRPr="0035160C">
        <w:rPr>
          <w:rFonts w:cstheme="minorHAnsi"/>
          <w:b/>
          <w:bCs/>
          <w:color w:val="2F5496" w:themeColor="accent1" w:themeShade="BF"/>
        </w:rPr>
        <w:t xml:space="preserve">w celu skutecznej realizacji zadań gminy z zakresu jakości powietrza należy podjąć </w:t>
      </w:r>
      <w:r w:rsidR="00D57736">
        <w:rPr>
          <w:rFonts w:cstheme="minorHAnsi"/>
          <w:b/>
          <w:bCs/>
          <w:color w:val="2F5496" w:themeColor="accent1" w:themeShade="BF"/>
        </w:rPr>
        <w:t>czynności</w:t>
      </w:r>
      <w:r w:rsidRPr="0035160C">
        <w:rPr>
          <w:rFonts w:cstheme="minorHAnsi"/>
          <w:b/>
          <w:bCs/>
          <w:color w:val="2F5496" w:themeColor="accent1" w:themeShade="BF"/>
        </w:rPr>
        <w:t xml:space="preserve"> skutkujące przypisaniu tych zadań </w:t>
      </w:r>
      <w:r w:rsidR="00D57736">
        <w:rPr>
          <w:rFonts w:cstheme="minorHAnsi"/>
          <w:b/>
          <w:bCs/>
          <w:color w:val="2F5496" w:themeColor="accent1" w:themeShade="BF"/>
        </w:rPr>
        <w:t xml:space="preserve">co najmniej </w:t>
      </w:r>
      <w:r w:rsidRPr="0035160C">
        <w:rPr>
          <w:rFonts w:cstheme="minorHAnsi"/>
          <w:b/>
          <w:bCs/>
          <w:color w:val="2F5496" w:themeColor="accent1" w:themeShade="BF"/>
        </w:rPr>
        <w:t>jedne</w:t>
      </w:r>
      <w:r w:rsidR="00D57736">
        <w:rPr>
          <w:rFonts w:cstheme="minorHAnsi"/>
          <w:b/>
          <w:bCs/>
          <w:color w:val="2F5496" w:themeColor="accent1" w:themeShade="BF"/>
        </w:rPr>
        <w:t xml:space="preserve">mu </w:t>
      </w:r>
      <w:r w:rsidRPr="0035160C">
        <w:rPr>
          <w:rFonts w:cstheme="minorHAnsi"/>
          <w:b/>
          <w:bCs/>
          <w:color w:val="2F5496" w:themeColor="accent1" w:themeShade="BF"/>
        </w:rPr>
        <w:t>pracownik</w:t>
      </w:r>
      <w:r w:rsidR="00D57736">
        <w:rPr>
          <w:rFonts w:cstheme="minorHAnsi"/>
          <w:b/>
          <w:bCs/>
          <w:color w:val="2F5496" w:themeColor="accent1" w:themeShade="BF"/>
        </w:rPr>
        <w:t>owi w urzędzie gminy</w:t>
      </w:r>
      <w:r w:rsidRPr="0035160C">
        <w:rPr>
          <w:rFonts w:cstheme="minorHAnsi"/>
        </w:rPr>
        <w:t xml:space="preserve">, w celu zapewnienia ciągłości realizacji </w:t>
      </w:r>
      <w:r w:rsidR="00D57736">
        <w:rPr>
          <w:rFonts w:cstheme="minorHAnsi"/>
        </w:rPr>
        <w:t>d</w:t>
      </w:r>
      <w:r w:rsidRPr="0035160C">
        <w:rPr>
          <w:rFonts w:cstheme="minorHAnsi"/>
        </w:rPr>
        <w:t>z</w:t>
      </w:r>
      <w:r w:rsidR="00D57736">
        <w:rPr>
          <w:rFonts w:cstheme="minorHAnsi"/>
        </w:rPr>
        <w:t>i</w:t>
      </w:r>
      <w:r w:rsidRPr="0035160C">
        <w:rPr>
          <w:rFonts w:cstheme="minorHAnsi"/>
        </w:rPr>
        <w:t>a</w:t>
      </w:r>
      <w:r w:rsidR="00D57736">
        <w:rPr>
          <w:rFonts w:cstheme="minorHAnsi"/>
        </w:rPr>
        <w:t>ła</w:t>
      </w:r>
      <w:r w:rsidRPr="0035160C">
        <w:rPr>
          <w:rFonts w:cstheme="minorHAnsi"/>
        </w:rPr>
        <w:t xml:space="preserve">ń naprawczych, </w:t>
      </w:r>
      <w:r w:rsidR="00D57736" w:rsidRPr="0035160C">
        <w:rPr>
          <w:rFonts w:cstheme="minorHAnsi"/>
        </w:rPr>
        <w:t>monitorujących</w:t>
      </w:r>
      <w:r w:rsidR="00D57736">
        <w:rPr>
          <w:rFonts w:cstheme="minorHAnsi"/>
        </w:rPr>
        <w:t xml:space="preserve"> oraz</w:t>
      </w:r>
      <w:r w:rsidR="00D57736" w:rsidRPr="0035160C">
        <w:rPr>
          <w:rFonts w:cstheme="minorHAnsi"/>
        </w:rPr>
        <w:t xml:space="preserve"> </w:t>
      </w:r>
      <w:r w:rsidRPr="0035160C">
        <w:rPr>
          <w:rFonts w:cstheme="minorHAnsi"/>
        </w:rPr>
        <w:t xml:space="preserve">sprawozdawczych, wynikających z </w:t>
      </w:r>
      <w:r w:rsidR="00D57736">
        <w:rPr>
          <w:rFonts w:cstheme="minorHAnsi"/>
        </w:rPr>
        <w:t xml:space="preserve">nałożonych obowiązków określonych w </w:t>
      </w:r>
      <w:r w:rsidR="00023D32" w:rsidRPr="0035160C">
        <w:rPr>
          <w:rFonts w:cstheme="minorHAnsi"/>
        </w:rPr>
        <w:t>POP, PDK, PGN, POŚ, PONE, u</w:t>
      </w:r>
      <w:r w:rsidRPr="0035160C">
        <w:rPr>
          <w:rFonts w:cstheme="minorHAnsi"/>
        </w:rPr>
        <w:t>chwał</w:t>
      </w:r>
      <w:r w:rsidR="000428DD">
        <w:rPr>
          <w:rFonts w:cstheme="minorHAnsi"/>
        </w:rPr>
        <w:t>ach</w:t>
      </w:r>
      <w:r w:rsidRPr="0035160C">
        <w:rPr>
          <w:rFonts w:cstheme="minorHAnsi"/>
        </w:rPr>
        <w:t xml:space="preserve"> antysmogowych, a także </w:t>
      </w:r>
      <w:r w:rsidR="000428DD">
        <w:rPr>
          <w:rFonts w:cstheme="minorHAnsi"/>
        </w:rPr>
        <w:t>w</w:t>
      </w:r>
      <w:r w:rsidRPr="0035160C">
        <w:rPr>
          <w:rFonts w:cstheme="minorHAnsi"/>
        </w:rPr>
        <w:t xml:space="preserve"> Plan</w:t>
      </w:r>
      <w:r w:rsidR="000428DD">
        <w:rPr>
          <w:rFonts w:cstheme="minorHAnsi"/>
        </w:rPr>
        <w:t>ach</w:t>
      </w:r>
      <w:r w:rsidRPr="0035160C">
        <w:rPr>
          <w:rFonts w:cstheme="minorHAnsi"/>
        </w:rPr>
        <w:t xml:space="preserve"> Adaptacji do </w:t>
      </w:r>
      <w:r w:rsidR="00023D32" w:rsidRPr="0035160C">
        <w:rPr>
          <w:rFonts w:cstheme="minorHAnsi"/>
        </w:rPr>
        <w:t>Z</w:t>
      </w:r>
      <w:r w:rsidRPr="0035160C">
        <w:rPr>
          <w:rFonts w:cstheme="minorHAnsi"/>
        </w:rPr>
        <w:t>mian Klimatu, strategi</w:t>
      </w:r>
      <w:r w:rsidR="000428DD">
        <w:rPr>
          <w:rFonts w:cstheme="minorHAnsi"/>
        </w:rPr>
        <w:t>ach</w:t>
      </w:r>
      <w:r w:rsidRPr="0035160C">
        <w:rPr>
          <w:rFonts w:cstheme="minorHAnsi"/>
        </w:rPr>
        <w:t xml:space="preserve"> rozwoju elektromobilności, a także program</w:t>
      </w:r>
      <w:r w:rsidR="000428DD">
        <w:rPr>
          <w:rFonts w:cstheme="minorHAnsi"/>
        </w:rPr>
        <w:t xml:space="preserve">ów </w:t>
      </w:r>
      <w:r w:rsidRPr="0035160C">
        <w:rPr>
          <w:rFonts w:cstheme="minorHAnsi"/>
        </w:rPr>
        <w:t>finansujący</w:t>
      </w:r>
      <w:r w:rsidR="000428DD">
        <w:rPr>
          <w:rFonts w:cstheme="minorHAnsi"/>
        </w:rPr>
        <w:t>ch</w:t>
      </w:r>
      <w:r w:rsidRPr="0035160C">
        <w:rPr>
          <w:rFonts w:cstheme="minorHAnsi"/>
        </w:rPr>
        <w:t>, dedykowany</w:t>
      </w:r>
      <w:r w:rsidR="000428DD">
        <w:rPr>
          <w:rFonts w:cstheme="minorHAnsi"/>
        </w:rPr>
        <w:t>ch</w:t>
      </w:r>
      <w:r w:rsidRPr="0035160C">
        <w:rPr>
          <w:rFonts w:cstheme="minorHAnsi"/>
        </w:rPr>
        <w:t xml:space="preserve"> poprawie jakości powietrza w</w:t>
      </w:r>
      <w:r w:rsidR="00777E59">
        <w:rPr>
          <w:rFonts w:cstheme="minorHAnsi"/>
        </w:rPr>
        <w:t> </w:t>
      </w:r>
      <w:r w:rsidRPr="0035160C">
        <w:rPr>
          <w:rFonts w:cstheme="minorHAnsi"/>
        </w:rPr>
        <w:t>kraju.</w:t>
      </w:r>
    </w:p>
    <w:p w14:paraId="3F638CFA" w14:textId="54DAFE36" w:rsidR="00933F32" w:rsidRPr="0035160C" w:rsidRDefault="00933F32" w:rsidP="00933F32">
      <w:pPr>
        <w:jc w:val="both"/>
        <w:rPr>
          <w:rFonts w:cstheme="minorHAnsi"/>
        </w:rPr>
      </w:pPr>
      <w:r w:rsidRPr="0035160C">
        <w:rPr>
          <w:rFonts w:cstheme="minorHAnsi"/>
          <w:b/>
          <w:bCs/>
          <w:color w:val="2F5496" w:themeColor="accent1" w:themeShade="BF"/>
        </w:rPr>
        <w:t>Ankietowane gminy wskazywały na planowanie wymiany pieców węglowych do 2030 r.</w:t>
      </w:r>
      <w:r w:rsidRPr="0035160C">
        <w:rPr>
          <w:rFonts w:cstheme="minorHAnsi"/>
          <w:color w:val="2F5496" w:themeColor="accent1" w:themeShade="BF"/>
        </w:rPr>
        <w:t xml:space="preserve"> </w:t>
      </w:r>
      <w:r w:rsidRPr="0035160C">
        <w:rPr>
          <w:rFonts w:cstheme="minorHAnsi"/>
        </w:rPr>
        <w:t>Największa wskazana wartość wyniosła 35</w:t>
      </w:r>
      <w:r w:rsidR="00211DCA">
        <w:rPr>
          <w:rFonts w:cstheme="minorHAnsi"/>
        </w:rPr>
        <w:t xml:space="preserve"> </w:t>
      </w:r>
      <w:r w:rsidRPr="0035160C">
        <w:rPr>
          <w:rFonts w:cstheme="minorHAnsi"/>
        </w:rPr>
        <w:t xml:space="preserve">400 szt. w jednej gminie. Z informacji zawartych w ankietach wynika, że </w:t>
      </w:r>
      <w:r w:rsidRPr="0035160C">
        <w:rPr>
          <w:rFonts w:cstheme="minorHAnsi"/>
          <w:b/>
          <w:bCs/>
          <w:color w:val="2F5496" w:themeColor="accent1" w:themeShade="BF"/>
        </w:rPr>
        <w:t>większość gmin prowadzi działania edukacyjne mające na celu uświadamianie mieszkańców o</w:t>
      </w:r>
      <w:r w:rsidR="00777E59">
        <w:rPr>
          <w:rFonts w:cstheme="minorHAnsi"/>
          <w:b/>
          <w:bCs/>
          <w:color w:val="2F5496" w:themeColor="accent1" w:themeShade="BF"/>
        </w:rPr>
        <w:t> </w:t>
      </w:r>
      <w:r w:rsidRPr="0035160C">
        <w:rPr>
          <w:rFonts w:cstheme="minorHAnsi"/>
          <w:b/>
          <w:bCs/>
          <w:color w:val="2F5496" w:themeColor="accent1" w:themeShade="BF"/>
        </w:rPr>
        <w:t>zagrożeniach płynących z praktyki spalania odpadów w gospodarstwach</w:t>
      </w:r>
      <w:r w:rsidRPr="0035160C">
        <w:rPr>
          <w:rFonts w:cstheme="minorHAnsi"/>
        </w:rPr>
        <w:t xml:space="preserve">. Działania te są tożsame ze wskazanymi powyżej. 19 z 231 ankietowanych gmin nie prowadzi takich działań. </w:t>
      </w:r>
    </w:p>
    <w:p w14:paraId="355A401F" w14:textId="4E81A933" w:rsidR="00D57736" w:rsidRPr="0035160C" w:rsidRDefault="00D57736" w:rsidP="00D57736">
      <w:pPr>
        <w:jc w:val="both"/>
        <w:rPr>
          <w:rFonts w:cstheme="minorHAnsi"/>
        </w:rPr>
      </w:pPr>
      <w:r w:rsidRPr="0035160C">
        <w:rPr>
          <w:rFonts w:cstheme="minorHAnsi"/>
        </w:rPr>
        <w:t>Kolejnym zagadnienie</w:t>
      </w:r>
      <w:r w:rsidR="00A135F0">
        <w:rPr>
          <w:rFonts w:cstheme="minorHAnsi"/>
        </w:rPr>
        <w:t>m</w:t>
      </w:r>
      <w:r w:rsidRPr="0035160C">
        <w:rPr>
          <w:rFonts w:cstheme="minorHAnsi"/>
        </w:rPr>
        <w:t xml:space="preserve"> poruszonym w ankiecie była </w:t>
      </w:r>
      <w:r w:rsidRPr="00777E59">
        <w:rPr>
          <w:rFonts w:cstheme="minorHAnsi"/>
          <w:b/>
          <w:bCs/>
          <w:color w:val="2F5496" w:themeColor="accent1" w:themeShade="BF"/>
        </w:rPr>
        <w:t>termomodernizacja budynków w gminach</w:t>
      </w:r>
      <w:r w:rsidRPr="0035160C">
        <w:rPr>
          <w:rFonts w:cstheme="minorHAnsi"/>
        </w:rPr>
        <w:t xml:space="preserve">. Gminy nie posiadały jednak wszystkich </w:t>
      </w:r>
      <w:r w:rsidR="00777E59">
        <w:rPr>
          <w:rFonts w:cstheme="minorHAnsi"/>
        </w:rPr>
        <w:t xml:space="preserve">niezbędnych </w:t>
      </w:r>
      <w:r w:rsidRPr="0035160C">
        <w:rPr>
          <w:rFonts w:cstheme="minorHAnsi"/>
        </w:rPr>
        <w:t>informacji w tym zakresie, w szczególności o</w:t>
      </w:r>
      <w:r w:rsidR="00777E59">
        <w:rPr>
          <w:rFonts w:cstheme="minorHAnsi"/>
        </w:rPr>
        <w:t> budynkach mieszkalnych, jednorodzinnych</w:t>
      </w:r>
      <w:r w:rsidRPr="0035160C">
        <w:rPr>
          <w:rFonts w:cstheme="minorHAnsi"/>
        </w:rPr>
        <w:t xml:space="preserve">. Na pytanie </w:t>
      </w:r>
      <w:r w:rsidR="00777E59">
        <w:rPr>
          <w:rFonts w:cstheme="minorHAnsi"/>
        </w:rPr>
        <w:t>dotyczące</w:t>
      </w:r>
      <w:r w:rsidRPr="0035160C">
        <w:rPr>
          <w:rFonts w:cstheme="minorHAnsi"/>
        </w:rPr>
        <w:t xml:space="preserve"> sytuacj</w:t>
      </w:r>
      <w:r w:rsidR="00777E59">
        <w:rPr>
          <w:rFonts w:cstheme="minorHAnsi"/>
        </w:rPr>
        <w:t>i</w:t>
      </w:r>
      <w:r w:rsidRPr="0035160C">
        <w:rPr>
          <w:rFonts w:cstheme="minorHAnsi"/>
        </w:rPr>
        <w:t xml:space="preserve"> z badaniem standardu energetycznego modernizowanych przez gminę budynków – czy są prowadzone takie </w:t>
      </w:r>
      <w:r w:rsidR="00923C3C">
        <w:rPr>
          <w:rFonts w:cstheme="minorHAnsi"/>
        </w:rPr>
        <w:t>zadania</w:t>
      </w:r>
      <w:r w:rsidRPr="0035160C">
        <w:rPr>
          <w:rFonts w:cstheme="minorHAnsi"/>
        </w:rPr>
        <w:t>, 176 gmin spośród 231 ankietowanych wskazało twierdząco. Z odpowiedzi na pytanie o planowanych w gminie inwestycj</w:t>
      </w:r>
      <w:r w:rsidR="00923C3C">
        <w:rPr>
          <w:rFonts w:cstheme="minorHAnsi"/>
        </w:rPr>
        <w:t>ach</w:t>
      </w:r>
      <w:r w:rsidRPr="0035160C">
        <w:rPr>
          <w:rFonts w:cstheme="minorHAnsi"/>
        </w:rPr>
        <w:t xml:space="preserve"> z zakresu termomodernizacji budynków do 2030 r. wynika, że </w:t>
      </w:r>
      <w:r w:rsidRPr="0035160C">
        <w:rPr>
          <w:rFonts w:cstheme="minorHAnsi"/>
          <w:b/>
          <w:bCs/>
          <w:color w:val="2F5496" w:themeColor="accent1" w:themeShade="BF"/>
        </w:rPr>
        <w:t>większość gmin planuje działania z zakresu termomodernizacji budynków</w:t>
      </w:r>
      <w:r w:rsidRPr="0035160C">
        <w:rPr>
          <w:rFonts w:cstheme="minorHAnsi"/>
        </w:rPr>
        <w:t>. Działania te uzależnione są także od zgody konserwatora budynków.</w:t>
      </w:r>
    </w:p>
    <w:p w14:paraId="169BBE90" w14:textId="5DAF4CE6" w:rsidR="00923C3C" w:rsidRPr="0035160C" w:rsidRDefault="00923C3C" w:rsidP="00923C3C">
      <w:pPr>
        <w:jc w:val="both"/>
        <w:rPr>
          <w:rFonts w:cstheme="minorHAnsi"/>
        </w:rPr>
      </w:pPr>
      <w:r w:rsidRPr="0035160C">
        <w:rPr>
          <w:rFonts w:cstheme="minorHAnsi"/>
        </w:rPr>
        <w:t>Kolejnym zakresem tematycznym mającym wpływ na jakość powietrza, wskazanym w ankiecie była ilość budynków indywidualnych ogrzewanych paliwami stałymi podłączonych do miejskiej sieci ciepłowniczej. 167 gmin nie wskazało na takie działania</w:t>
      </w:r>
      <w:r w:rsidR="00211DCA">
        <w:rPr>
          <w:rFonts w:cstheme="minorHAnsi"/>
        </w:rPr>
        <w:t>.</w:t>
      </w:r>
      <w:r w:rsidRPr="0035160C">
        <w:rPr>
          <w:rFonts w:cstheme="minorHAnsi"/>
        </w:rPr>
        <w:t xml:space="preserve"> </w:t>
      </w:r>
      <w:r w:rsidR="00211DCA">
        <w:rPr>
          <w:rFonts w:cstheme="minorHAnsi"/>
        </w:rPr>
        <w:t>T</w:t>
      </w:r>
      <w:r w:rsidRPr="0035160C">
        <w:rPr>
          <w:rFonts w:cstheme="minorHAnsi"/>
        </w:rPr>
        <w:t xml:space="preserve">akże do 2030 </w:t>
      </w:r>
      <w:r>
        <w:rPr>
          <w:rFonts w:cstheme="minorHAnsi"/>
        </w:rPr>
        <w:t xml:space="preserve">r., </w:t>
      </w:r>
      <w:r w:rsidR="002B785C" w:rsidRPr="0035160C">
        <w:rPr>
          <w:rFonts w:cstheme="minorHAnsi"/>
        </w:rPr>
        <w:t>164 gmin</w:t>
      </w:r>
      <w:r w:rsidR="002B785C">
        <w:rPr>
          <w:rFonts w:cstheme="minorHAnsi"/>
        </w:rPr>
        <w:t>,</w:t>
      </w:r>
      <w:r w:rsidR="002B785C" w:rsidRPr="0035160C">
        <w:rPr>
          <w:rFonts w:cstheme="minorHAnsi"/>
        </w:rPr>
        <w:t xml:space="preserve"> </w:t>
      </w:r>
      <w:r w:rsidRPr="0035160C">
        <w:rPr>
          <w:rFonts w:cstheme="minorHAnsi"/>
        </w:rPr>
        <w:t>jak wynika z ankiety</w:t>
      </w:r>
      <w:r>
        <w:rPr>
          <w:rFonts w:cstheme="minorHAnsi"/>
        </w:rPr>
        <w:t xml:space="preserve">, </w:t>
      </w:r>
      <w:r w:rsidRPr="0035160C">
        <w:rPr>
          <w:rFonts w:cstheme="minorHAnsi"/>
        </w:rPr>
        <w:t xml:space="preserve">nie planuje podłączeń do sieci ciepłowniczej (budynków indywidualnych ogrzewanych na paliwa stałe). </w:t>
      </w:r>
    </w:p>
    <w:p w14:paraId="625AB0DD" w14:textId="2925F1E4" w:rsidR="00D57736" w:rsidRPr="0035160C" w:rsidRDefault="00D57736" w:rsidP="00D57736">
      <w:pPr>
        <w:jc w:val="both"/>
        <w:rPr>
          <w:rFonts w:cstheme="minorHAnsi"/>
        </w:rPr>
      </w:pPr>
      <w:r w:rsidRPr="0035160C">
        <w:rPr>
          <w:rFonts w:cstheme="minorHAnsi"/>
        </w:rPr>
        <w:t xml:space="preserve">Zapytano także o ilość </w:t>
      </w:r>
      <w:r w:rsidRPr="002B785C">
        <w:rPr>
          <w:rFonts w:cstheme="minorHAnsi"/>
          <w:b/>
          <w:bCs/>
          <w:color w:val="2F5496" w:themeColor="accent1" w:themeShade="BF"/>
        </w:rPr>
        <w:t xml:space="preserve">pomp ciepła zainstalowanych w ramach programów dofinansowujących. </w:t>
      </w:r>
      <w:r w:rsidR="002B785C" w:rsidRPr="002B785C">
        <w:rPr>
          <w:rFonts w:cstheme="minorHAnsi"/>
          <w:b/>
          <w:bCs/>
          <w:color w:val="2F5496" w:themeColor="accent1" w:themeShade="BF"/>
        </w:rPr>
        <w:t>155 gmin wskazało na ich realizację</w:t>
      </w:r>
      <w:r w:rsidR="002B785C">
        <w:rPr>
          <w:rFonts w:cstheme="minorHAnsi"/>
        </w:rPr>
        <w:t>.</w:t>
      </w:r>
      <w:r w:rsidR="002B785C" w:rsidRPr="0035160C">
        <w:rPr>
          <w:rFonts w:cstheme="minorHAnsi"/>
        </w:rPr>
        <w:t xml:space="preserve"> </w:t>
      </w:r>
      <w:r w:rsidRPr="0035160C">
        <w:rPr>
          <w:rFonts w:cstheme="minorHAnsi"/>
        </w:rPr>
        <w:t xml:space="preserve">Takie działania w 2019 i 2020 r. w budynkach prywatnych oraz w budynkach użyteczności publicznej </w:t>
      </w:r>
      <w:r w:rsidR="002B785C">
        <w:rPr>
          <w:rFonts w:cstheme="minorHAnsi"/>
        </w:rPr>
        <w:t>prowadzone był</w:t>
      </w:r>
      <w:r w:rsidR="00211DCA">
        <w:rPr>
          <w:rFonts w:cstheme="minorHAnsi"/>
        </w:rPr>
        <w:t>y</w:t>
      </w:r>
      <w:r w:rsidR="002B785C">
        <w:rPr>
          <w:rFonts w:cstheme="minorHAnsi"/>
        </w:rPr>
        <w:t xml:space="preserve"> na poziomie </w:t>
      </w:r>
      <w:r w:rsidRPr="0035160C">
        <w:rPr>
          <w:rFonts w:cstheme="minorHAnsi"/>
        </w:rPr>
        <w:t xml:space="preserve">od 1 do 90 szt. w jednej gminie. </w:t>
      </w:r>
    </w:p>
    <w:p w14:paraId="4C3FF2B0" w14:textId="58754930" w:rsidR="00D57736" w:rsidRPr="0035160C" w:rsidRDefault="00D57736" w:rsidP="00D57736">
      <w:pPr>
        <w:jc w:val="both"/>
        <w:rPr>
          <w:rFonts w:cstheme="minorHAnsi"/>
        </w:rPr>
      </w:pPr>
      <w:r w:rsidRPr="0035160C">
        <w:rPr>
          <w:rFonts w:cstheme="minorHAnsi"/>
        </w:rPr>
        <w:t xml:space="preserve">W ankiecie zapytano także o ilość </w:t>
      </w:r>
      <w:r w:rsidRPr="002B785C">
        <w:rPr>
          <w:rFonts w:cstheme="minorHAnsi"/>
          <w:b/>
          <w:bCs/>
          <w:color w:val="2F5496" w:themeColor="accent1" w:themeShade="BF"/>
        </w:rPr>
        <w:t>paneli fotowoltaicznych</w:t>
      </w:r>
      <w:r w:rsidRPr="002B785C">
        <w:rPr>
          <w:rFonts w:cstheme="minorHAnsi"/>
          <w:color w:val="2F5496" w:themeColor="accent1" w:themeShade="BF"/>
        </w:rPr>
        <w:t xml:space="preserve"> </w:t>
      </w:r>
      <w:r w:rsidRPr="0035160C">
        <w:rPr>
          <w:rFonts w:cstheme="minorHAnsi"/>
        </w:rPr>
        <w:t>zainstalowanych w 2019 i 2020 r. w ramach programów dofinansowujących</w:t>
      </w:r>
      <w:r w:rsidR="002B785C">
        <w:rPr>
          <w:rFonts w:cstheme="minorHAnsi"/>
        </w:rPr>
        <w:t xml:space="preserve">. </w:t>
      </w:r>
      <w:r w:rsidR="002B785C" w:rsidRPr="002B785C">
        <w:rPr>
          <w:rFonts w:cstheme="minorHAnsi"/>
          <w:b/>
          <w:bCs/>
          <w:color w:val="2F5496" w:themeColor="accent1" w:themeShade="BF"/>
        </w:rPr>
        <w:t xml:space="preserve">163 gminy wskazały na prowadzenie działań </w:t>
      </w:r>
      <w:r w:rsidRPr="002B785C">
        <w:rPr>
          <w:rFonts w:cstheme="minorHAnsi"/>
          <w:b/>
          <w:bCs/>
          <w:color w:val="2F5496" w:themeColor="accent1" w:themeShade="BF"/>
        </w:rPr>
        <w:t>t</w:t>
      </w:r>
      <w:r w:rsidR="00923C3C" w:rsidRPr="002B785C">
        <w:rPr>
          <w:rFonts w:cstheme="minorHAnsi"/>
          <w:b/>
          <w:bCs/>
          <w:color w:val="2F5496" w:themeColor="accent1" w:themeShade="BF"/>
        </w:rPr>
        <w:t xml:space="preserve">ego typu </w:t>
      </w:r>
      <w:r w:rsidRPr="002B785C">
        <w:rPr>
          <w:rFonts w:cstheme="minorHAnsi"/>
          <w:b/>
          <w:bCs/>
          <w:color w:val="2F5496" w:themeColor="accent1" w:themeShade="BF"/>
        </w:rPr>
        <w:t>w budynkach prywatnych oraz w budynkach użyteczności publicznej</w:t>
      </w:r>
      <w:r w:rsidRPr="0035160C">
        <w:rPr>
          <w:rFonts w:cstheme="minorHAnsi"/>
        </w:rPr>
        <w:t xml:space="preserve">, </w:t>
      </w:r>
      <w:r w:rsidR="00923C3C">
        <w:rPr>
          <w:rFonts w:cstheme="minorHAnsi"/>
        </w:rPr>
        <w:t xml:space="preserve">a </w:t>
      </w:r>
      <w:r w:rsidRPr="0035160C">
        <w:rPr>
          <w:rFonts w:cstheme="minorHAnsi"/>
        </w:rPr>
        <w:t>ilość inwestycji w gminie oscylowała w granicy od 1 do 3000 szt.</w:t>
      </w:r>
    </w:p>
    <w:p w14:paraId="6F09C094" w14:textId="2B9CC194" w:rsidR="00D57736" w:rsidRPr="0035160C" w:rsidRDefault="00D57736" w:rsidP="00D57736">
      <w:pPr>
        <w:jc w:val="both"/>
        <w:rPr>
          <w:rFonts w:cstheme="minorHAnsi"/>
        </w:rPr>
      </w:pPr>
      <w:r w:rsidRPr="0035160C">
        <w:rPr>
          <w:rFonts w:cstheme="minorHAnsi"/>
        </w:rPr>
        <w:t>Większość gmin wskazała także na plany wykorzystania odnawialnych źródeł energii do 2030 r.</w:t>
      </w:r>
    </w:p>
    <w:p w14:paraId="5E249ACA" w14:textId="61000ED5" w:rsidR="00933F32" w:rsidRPr="0035160C" w:rsidRDefault="00937D31" w:rsidP="00933F32">
      <w:pPr>
        <w:jc w:val="both"/>
        <w:rPr>
          <w:rFonts w:cstheme="minorHAnsi"/>
        </w:rPr>
      </w:pPr>
      <w:r w:rsidRPr="0035160C">
        <w:rPr>
          <w:rFonts w:cstheme="minorHAnsi"/>
        </w:rPr>
        <w:t xml:space="preserve">W obszarze </w:t>
      </w:r>
      <w:r w:rsidR="0033727D">
        <w:rPr>
          <w:rFonts w:cstheme="minorHAnsi"/>
        </w:rPr>
        <w:t xml:space="preserve">negatywnego </w:t>
      </w:r>
      <w:r w:rsidRPr="0035160C">
        <w:rPr>
          <w:rFonts w:cstheme="minorHAnsi"/>
        </w:rPr>
        <w:t>wpływu</w:t>
      </w:r>
      <w:r w:rsidR="00933F32" w:rsidRPr="0035160C">
        <w:rPr>
          <w:rFonts w:cstheme="minorHAnsi"/>
        </w:rPr>
        <w:t xml:space="preserve"> transportu</w:t>
      </w:r>
      <w:r w:rsidRPr="0035160C">
        <w:rPr>
          <w:rFonts w:cstheme="minorHAnsi"/>
        </w:rPr>
        <w:t xml:space="preserve"> drogowego na stan powietrza</w:t>
      </w:r>
      <w:r w:rsidR="00933F32" w:rsidRPr="0035160C">
        <w:rPr>
          <w:rFonts w:cstheme="minorHAnsi"/>
        </w:rPr>
        <w:t xml:space="preserve">, na pytanie w zakresie </w:t>
      </w:r>
      <w:bookmarkStart w:id="57" w:name="_Hlk62404252"/>
      <w:r w:rsidR="00933F32" w:rsidRPr="0035160C">
        <w:rPr>
          <w:rFonts w:cstheme="minorHAnsi"/>
        </w:rPr>
        <w:t>wprowadzenia strefy czystego transportu lub z ograniczeniem ruchu samochodowego w gminach</w:t>
      </w:r>
      <w:r w:rsidRPr="0035160C">
        <w:rPr>
          <w:rFonts w:cstheme="minorHAnsi"/>
        </w:rPr>
        <w:t>,</w:t>
      </w:r>
      <w:r w:rsidR="00933F32" w:rsidRPr="0035160C">
        <w:rPr>
          <w:rFonts w:cstheme="minorHAnsi"/>
        </w:rPr>
        <w:t xml:space="preserve"> tylko 12 gmin wskazało na funkcjonowanie takich stref. </w:t>
      </w:r>
      <w:bookmarkEnd w:id="57"/>
      <w:r w:rsidR="00933F32" w:rsidRPr="0035160C">
        <w:rPr>
          <w:rFonts w:cstheme="minorHAnsi"/>
        </w:rPr>
        <w:t xml:space="preserve">Należy jednak pamiętać, iż w gminach wiejskich ze względu na ilość mieszkańców i infrastrukturę, gminy te nie posiadają własnego publicznego transportu. </w:t>
      </w:r>
      <w:r w:rsidR="00933F32" w:rsidRPr="0035160C">
        <w:rPr>
          <w:rFonts w:cstheme="minorHAnsi"/>
          <w:b/>
          <w:bCs/>
          <w:color w:val="2F5496" w:themeColor="accent1" w:themeShade="BF"/>
        </w:rPr>
        <w:t>Do 2030 r</w:t>
      </w:r>
      <w:r w:rsidRPr="0035160C">
        <w:rPr>
          <w:rFonts w:cstheme="minorHAnsi"/>
          <w:b/>
          <w:bCs/>
          <w:color w:val="2F5496" w:themeColor="accent1" w:themeShade="BF"/>
        </w:rPr>
        <w:t>.</w:t>
      </w:r>
      <w:r w:rsidR="00933F32" w:rsidRPr="0035160C">
        <w:rPr>
          <w:rFonts w:cstheme="minorHAnsi"/>
          <w:b/>
          <w:bCs/>
          <w:color w:val="2F5496" w:themeColor="accent1" w:themeShade="BF"/>
        </w:rPr>
        <w:t xml:space="preserve"> 205 ankietowanych gmin nie planuje wprowadzenia stref czystego transportu</w:t>
      </w:r>
      <w:r w:rsidR="00933F32" w:rsidRPr="0035160C">
        <w:rPr>
          <w:rFonts w:cstheme="minorHAnsi"/>
        </w:rPr>
        <w:t xml:space="preserve">. Ponadto, w ankiecie </w:t>
      </w:r>
      <w:r w:rsidR="00933F32" w:rsidRPr="0035160C">
        <w:rPr>
          <w:rFonts w:cstheme="minorHAnsi"/>
          <w:b/>
          <w:bCs/>
          <w:color w:val="2F5496" w:themeColor="accent1" w:themeShade="BF"/>
        </w:rPr>
        <w:t>37 gmin wskazało, że w gminie rozbudowany jest system roweru miejskiego. 177 gmin wskazało na plany rozbudowy ścieżek rowerowych do 2030 r.</w:t>
      </w:r>
    </w:p>
    <w:p w14:paraId="3D531CE9" w14:textId="09D9BA04" w:rsidR="00933F32" w:rsidRPr="0035160C" w:rsidRDefault="0033727D" w:rsidP="00933F32">
      <w:pPr>
        <w:jc w:val="both"/>
        <w:rPr>
          <w:rFonts w:cstheme="minorHAnsi"/>
        </w:rPr>
      </w:pPr>
      <w:r>
        <w:rPr>
          <w:rFonts w:cstheme="minorHAnsi"/>
        </w:rPr>
        <w:t xml:space="preserve">W odpowiedzi na pytanie dotyczące </w:t>
      </w:r>
      <w:r w:rsidR="00933F32" w:rsidRPr="0035160C">
        <w:rPr>
          <w:rFonts w:cstheme="minorHAnsi"/>
        </w:rPr>
        <w:t xml:space="preserve">planowanych </w:t>
      </w:r>
      <w:r w:rsidRPr="0035160C">
        <w:rPr>
          <w:rFonts w:cstheme="minorHAnsi"/>
        </w:rPr>
        <w:t xml:space="preserve">do </w:t>
      </w:r>
      <w:r w:rsidR="00933F32" w:rsidRPr="0035160C">
        <w:rPr>
          <w:rFonts w:cstheme="minorHAnsi"/>
        </w:rPr>
        <w:t xml:space="preserve">wymiany autobusów ze starymi silnikami </w:t>
      </w:r>
      <w:r>
        <w:rPr>
          <w:rFonts w:cstheme="minorHAnsi"/>
        </w:rPr>
        <w:t>w</w:t>
      </w:r>
      <w:r w:rsidR="00923C3C">
        <w:rPr>
          <w:rFonts w:cstheme="minorHAnsi"/>
        </w:rPr>
        <w:t> </w:t>
      </w:r>
      <w:r>
        <w:rPr>
          <w:rFonts w:cstheme="minorHAnsi"/>
        </w:rPr>
        <w:t xml:space="preserve">terminie do </w:t>
      </w:r>
      <w:r w:rsidRPr="0035160C">
        <w:rPr>
          <w:rFonts w:cstheme="minorHAnsi"/>
        </w:rPr>
        <w:t xml:space="preserve">2030 r., </w:t>
      </w:r>
      <w:r w:rsidR="00933F32" w:rsidRPr="0035160C">
        <w:rPr>
          <w:rFonts w:cstheme="minorHAnsi"/>
        </w:rPr>
        <w:t xml:space="preserve">61 gmin wskazało na plany wymiany poszczególnego taboru miejskiego. </w:t>
      </w:r>
      <w:r>
        <w:rPr>
          <w:rFonts w:cstheme="minorHAnsi"/>
        </w:rPr>
        <w:t xml:space="preserve">Dodatkowo </w:t>
      </w:r>
      <w:r w:rsidR="00933F32" w:rsidRPr="0035160C">
        <w:rPr>
          <w:rFonts w:cstheme="minorHAnsi"/>
        </w:rPr>
        <w:t xml:space="preserve">184 gminy wskazały, że nie </w:t>
      </w:r>
      <w:r>
        <w:rPr>
          <w:rFonts w:cstheme="minorHAnsi"/>
        </w:rPr>
        <w:t>planują</w:t>
      </w:r>
      <w:r w:rsidR="00933F32" w:rsidRPr="0035160C">
        <w:rPr>
          <w:rFonts w:cstheme="minorHAnsi"/>
        </w:rPr>
        <w:t xml:space="preserve"> wprowadzenia projektów zielonych przystanków. </w:t>
      </w:r>
    </w:p>
    <w:p w14:paraId="7933AE91" w14:textId="72D5C5A7" w:rsidR="00933F32" w:rsidRDefault="00933F32" w:rsidP="00933F32">
      <w:pPr>
        <w:jc w:val="both"/>
        <w:rPr>
          <w:rFonts w:cstheme="minorHAnsi"/>
        </w:rPr>
      </w:pPr>
      <w:r w:rsidRPr="0035160C">
        <w:rPr>
          <w:rFonts w:cstheme="minorHAnsi"/>
        </w:rPr>
        <w:lastRenderedPageBreak/>
        <w:t xml:space="preserve">187 gmin wskazało także na prowadzenie nowych </w:t>
      </w:r>
      <w:r w:rsidR="00937D31" w:rsidRPr="0035160C">
        <w:rPr>
          <w:rFonts w:cstheme="minorHAnsi"/>
        </w:rPr>
        <w:t>nasadzeń</w:t>
      </w:r>
      <w:r w:rsidRPr="0035160C">
        <w:rPr>
          <w:rFonts w:cstheme="minorHAnsi"/>
        </w:rPr>
        <w:t xml:space="preserve"> drzew, w szczególności wzdłuż ciągów komunikacyjnych. 56 gmin wskazało</w:t>
      </w:r>
      <w:r w:rsidR="00937D31" w:rsidRPr="0035160C">
        <w:rPr>
          <w:rFonts w:cstheme="minorHAnsi"/>
        </w:rPr>
        <w:t xml:space="preserve">, że </w:t>
      </w:r>
      <w:r w:rsidRPr="0035160C">
        <w:rPr>
          <w:rFonts w:cstheme="minorHAnsi"/>
        </w:rPr>
        <w:t>nie prowadz</w:t>
      </w:r>
      <w:r w:rsidR="00937D31" w:rsidRPr="0035160C">
        <w:rPr>
          <w:rFonts w:cstheme="minorHAnsi"/>
        </w:rPr>
        <w:t>i</w:t>
      </w:r>
      <w:r w:rsidRPr="0035160C">
        <w:rPr>
          <w:rFonts w:cstheme="minorHAnsi"/>
        </w:rPr>
        <w:t xml:space="preserve"> działań mających na celu zagospodarowanie pod nowe tereny zieleni – zieleńce, parki miejskie, tereny zieleni osiedlowej itp.</w:t>
      </w:r>
    </w:p>
    <w:p w14:paraId="10AA401D" w14:textId="5FA13B4B" w:rsidR="00923C3C" w:rsidRPr="00923C3C" w:rsidRDefault="00923C3C" w:rsidP="00923C3C">
      <w:pPr>
        <w:jc w:val="both"/>
        <w:rPr>
          <w:rFonts w:cstheme="minorHAnsi"/>
        </w:rPr>
      </w:pPr>
      <w:r w:rsidRPr="00923C3C">
        <w:rPr>
          <w:rFonts w:cstheme="minorHAnsi"/>
        </w:rPr>
        <w:t xml:space="preserve">Z odpowiedzi ankietowanych gmin, </w:t>
      </w:r>
      <w:r w:rsidRPr="00923C3C">
        <w:rPr>
          <w:rFonts w:cstheme="minorHAnsi"/>
          <w:b/>
          <w:bCs/>
          <w:color w:val="2F5496" w:themeColor="accent1" w:themeShade="BF"/>
        </w:rPr>
        <w:t>z zakresu prowadzonych akcji informacyjnych dotyczących możliwości pozyskiwania dofinansowania na wymianę kotłów zasilanych paliwem stałym wynika, iż 224 gmin prowadzi takie działania</w:t>
      </w:r>
      <w:r w:rsidRPr="00923C3C">
        <w:rPr>
          <w:rFonts w:cstheme="minorHAnsi"/>
        </w:rPr>
        <w:t xml:space="preserve">. Spośród wskazanych działań informacyjnych gminy wskazywały m.in. na: informacje zamieszczane na BIP, stronach internetowych oraz na tablicach ogłoszeń w poszczególnych sołectwach, gazetach gminnych, kolportaż broszur informacyjnych, spotkania z mieszkańcami, kampanie informacje podczas akcji ekologicznych w gminach, materiały informacyjne wywieszane na tablicach ogłoszeń na terenie gminy, kontakt pracowników z mieszkańcami podczas kontroli oraz w urzędzie, wizyty domowe </w:t>
      </w:r>
      <w:r w:rsidR="00A135F0">
        <w:rPr>
          <w:rFonts w:cstheme="minorHAnsi"/>
        </w:rPr>
        <w:t>„e</w:t>
      </w:r>
      <w:r w:rsidR="00A135F0" w:rsidRPr="00923C3C">
        <w:rPr>
          <w:rFonts w:cstheme="minorHAnsi"/>
        </w:rPr>
        <w:t>kodoradców</w:t>
      </w:r>
      <w:r w:rsidR="00A135F0">
        <w:rPr>
          <w:rFonts w:cstheme="minorHAnsi"/>
        </w:rPr>
        <w:t>”</w:t>
      </w:r>
      <w:r w:rsidR="00A135F0" w:rsidRPr="00923C3C">
        <w:rPr>
          <w:rFonts w:cstheme="minorHAnsi"/>
        </w:rPr>
        <w:t xml:space="preserve"> </w:t>
      </w:r>
      <w:r w:rsidRPr="00923C3C">
        <w:rPr>
          <w:rFonts w:cstheme="minorHAnsi"/>
        </w:rPr>
        <w:t xml:space="preserve"> np.: doradztwo przy wyborze najbardziej efektywnych energetycznie rozwiązań dla danego budynku (wykonywanie ocen energetycznych w budynkach przez gminnego audytora), materiały informacyjne, ulotki wykładane w ogólnodostępnych miejscach w urzędzie, ulotki informujące o obowiązujących przepisach w zakresie wymiany starych źródeł ciepła </w:t>
      </w:r>
      <w:r w:rsidR="00A135F0" w:rsidRPr="00923C3C">
        <w:rPr>
          <w:rFonts w:cstheme="minorHAnsi"/>
        </w:rPr>
        <w:t>dostarcz</w:t>
      </w:r>
      <w:r w:rsidR="00A135F0">
        <w:rPr>
          <w:rFonts w:cstheme="minorHAnsi"/>
        </w:rPr>
        <w:t>a</w:t>
      </w:r>
      <w:r w:rsidR="00A135F0" w:rsidRPr="00923C3C">
        <w:rPr>
          <w:rFonts w:cstheme="minorHAnsi"/>
        </w:rPr>
        <w:t>n</w:t>
      </w:r>
      <w:r w:rsidR="00A135F0">
        <w:rPr>
          <w:rFonts w:cstheme="minorHAnsi"/>
        </w:rPr>
        <w:t>e</w:t>
      </w:r>
      <w:r w:rsidR="00A135F0" w:rsidRPr="00923C3C">
        <w:rPr>
          <w:rFonts w:cstheme="minorHAnsi"/>
        </w:rPr>
        <w:t xml:space="preserve"> </w:t>
      </w:r>
      <w:r w:rsidRPr="00923C3C">
        <w:rPr>
          <w:rFonts w:cstheme="minorHAnsi"/>
        </w:rPr>
        <w:t xml:space="preserve">do mieszkańców oraz akcjach edukacyjnych w szkołach </w:t>
      </w:r>
      <w:r w:rsidR="000B2F8A">
        <w:rPr>
          <w:rFonts w:cstheme="minorHAnsi"/>
        </w:rPr>
        <w:t>i</w:t>
      </w:r>
      <w:r w:rsidRPr="00923C3C">
        <w:rPr>
          <w:rFonts w:cstheme="minorHAnsi"/>
        </w:rPr>
        <w:t xml:space="preserve"> publikacj</w:t>
      </w:r>
      <w:r w:rsidR="000B2F8A">
        <w:rPr>
          <w:rFonts w:cstheme="minorHAnsi"/>
        </w:rPr>
        <w:t>ach</w:t>
      </w:r>
      <w:r w:rsidRPr="00923C3C">
        <w:rPr>
          <w:rFonts w:cstheme="minorHAnsi"/>
        </w:rPr>
        <w:t xml:space="preserve"> w prasie lokalnej.</w:t>
      </w:r>
    </w:p>
    <w:p w14:paraId="0E0C807F" w14:textId="3C3341FB" w:rsidR="00923C3C" w:rsidRPr="0035160C" w:rsidRDefault="00923C3C" w:rsidP="00933F32">
      <w:pPr>
        <w:jc w:val="both"/>
        <w:rPr>
          <w:rFonts w:cstheme="minorHAnsi"/>
        </w:rPr>
      </w:pPr>
      <w:r w:rsidRPr="00923C3C">
        <w:rPr>
          <w:rFonts w:cstheme="minorHAnsi"/>
        </w:rPr>
        <w:t>Na pytanie z zakresu funkcjonowania systemu ostrzegania o przekroczeniu norm zanieczyszczenia powietrza 34 ankietowane gminy wskazały, że nie funkcjonuje taki system w gminie.</w:t>
      </w:r>
    </w:p>
    <w:p w14:paraId="02EB18A6" w14:textId="555DBB50" w:rsidR="00933F32" w:rsidRPr="00A84E16" w:rsidRDefault="00A84E16" w:rsidP="00C90BC1">
      <w:pPr>
        <w:spacing w:after="0"/>
        <w:jc w:val="both"/>
        <w:rPr>
          <w:rFonts w:cstheme="minorHAnsi"/>
          <w:b/>
          <w:bCs/>
          <w:color w:val="2F5496" w:themeColor="accent1" w:themeShade="BF"/>
        </w:rPr>
      </w:pPr>
      <w:r w:rsidRPr="00A84E16">
        <w:rPr>
          <w:rFonts w:cstheme="minorHAnsi"/>
          <w:b/>
          <w:bCs/>
          <w:color w:val="2F5496" w:themeColor="accent1" w:themeShade="BF"/>
        </w:rPr>
        <w:t>Ankietowane gminy zapytano także o wskazanie barier, które nie pozwalają w dostateczny sposób realizować polityki ochrony powietrza w gminie</w:t>
      </w:r>
      <w:r w:rsidR="00933F32" w:rsidRPr="0035160C">
        <w:rPr>
          <w:rFonts w:cstheme="minorHAnsi"/>
        </w:rPr>
        <w:t>. Do najważniejszych z nich należą :</w:t>
      </w:r>
    </w:p>
    <w:p w14:paraId="101D4CD5" w14:textId="476C95F8" w:rsidR="00933F32" w:rsidRPr="0035160C" w:rsidRDefault="00933F32" w:rsidP="00CA3BB7">
      <w:pPr>
        <w:numPr>
          <w:ilvl w:val="0"/>
          <w:numId w:val="9"/>
        </w:numPr>
        <w:spacing w:after="0"/>
        <w:ind w:left="425" w:hanging="425"/>
        <w:jc w:val="both"/>
        <w:rPr>
          <w:rFonts w:cstheme="minorHAnsi"/>
        </w:rPr>
      </w:pPr>
      <w:r w:rsidRPr="0035160C">
        <w:rPr>
          <w:rFonts w:cstheme="minorHAnsi"/>
        </w:rPr>
        <w:t>niewystarczająca liczb</w:t>
      </w:r>
      <w:r w:rsidR="00873003" w:rsidRPr="0035160C">
        <w:rPr>
          <w:rFonts w:cstheme="minorHAnsi"/>
        </w:rPr>
        <w:t>a</w:t>
      </w:r>
      <w:r w:rsidRPr="0035160C">
        <w:rPr>
          <w:rFonts w:cstheme="minorHAnsi"/>
        </w:rPr>
        <w:t xml:space="preserve"> pracowników jst odpowiedzialnych za </w:t>
      </w:r>
      <w:r w:rsidR="00873003" w:rsidRPr="0035160C">
        <w:rPr>
          <w:rFonts w:cstheme="minorHAnsi"/>
        </w:rPr>
        <w:t xml:space="preserve">zadania związane z poprawą </w:t>
      </w:r>
      <w:r w:rsidRPr="0035160C">
        <w:rPr>
          <w:rFonts w:cstheme="minorHAnsi"/>
        </w:rPr>
        <w:t>jakości powietrza</w:t>
      </w:r>
      <w:r w:rsidR="00C90BC1">
        <w:rPr>
          <w:rFonts w:cstheme="minorHAnsi"/>
        </w:rPr>
        <w:t>,</w:t>
      </w:r>
      <w:r w:rsidR="00873003" w:rsidRPr="0035160C">
        <w:rPr>
          <w:rFonts w:cstheme="minorHAnsi"/>
        </w:rPr>
        <w:t xml:space="preserve"> </w:t>
      </w:r>
    </w:p>
    <w:p w14:paraId="4F194785" w14:textId="69B599C9" w:rsidR="00933F32" w:rsidRPr="0035160C" w:rsidRDefault="00C90BC1" w:rsidP="00CA3BB7">
      <w:pPr>
        <w:numPr>
          <w:ilvl w:val="0"/>
          <w:numId w:val="9"/>
        </w:numPr>
        <w:spacing w:after="0"/>
        <w:ind w:left="425" w:hanging="425"/>
        <w:jc w:val="both"/>
        <w:rPr>
          <w:rFonts w:cstheme="minorHAnsi"/>
        </w:rPr>
      </w:pPr>
      <w:r>
        <w:rPr>
          <w:rFonts w:cstheme="minorHAnsi"/>
        </w:rPr>
        <w:t>obowiązek</w:t>
      </w:r>
      <w:r w:rsidR="00933F32" w:rsidRPr="0035160C">
        <w:rPr>
          <w:rFonts w:cstheme="minorHAnsi"/>
        </w:rPr>
        <w:t xml:space="preserve"> zagwarantowania wkładu własnego gminy </w:t>
      </w:r>
      <w:r w:rsidR="00873003" w:rsidRPr="0035160C">
        <w:rPr>
          <w:rFonts w:cstheme="minorHAnsi"/>
        </w:rPr>
        <w:t>warunkując</w:t>
      </w:r>
      <w:r w:rsidR="0094296F">
        <w:rPr>
          <w:rFonts w:cstheme="minorHAnsi"/>
        </w:rPr>
        <w:t>ego</w:t>
      </w:r>
      <w:r w:rsidR="00873003" w:rsidRPr="0035160C">
        <w:rPr>
          <w:rFonts w:cstheme="minorHAnsi"/>
        </w:rPr>
        <w:t xml:space="preserve"> udział w programach finansowych </w:t>
      </w:r>
      <w:r w:rsidR="00933F32" w:rsidRPr="0035160C">
        <w:rPr>
          <w:rFonts w:cstheme="minorHAnsi"/>
        </w:rPr>
        <w:t>(często przekraczające</w:t>
      </w:r>
      <w:r w:rsidR="0094296F">
        <w:rPr>
          <w:rFonts w:cstheme="minorHAnsi"/>
        </w:rPr>
        <w:t>go</w:t>
      </w:r>
      <w:r w:rsidR="00933F32" w:rsidRPr="0035160C">
        <w:rPr>
          <w:rFonts w:cstheme="minorHAnsi"/>
        </w:rPr>
        <w:t xml:space="preserve"> 20%)</w:t>
      </w:r>
      <w:r>
        <w:rPr>
          <w:rFonts w:cstheme="minorHAnsi"/>
        </w:rPr>
        <w:t>,</w:t>
      </w:r>
    </w:p>
    <w:p w14:paraId="17D99661" w14:textId="2BC23040" w:rsidR="00933F32" w:rsidRPr="0035160C" w:rsidRDefault="00933F32" w:rsidP="00CA3BB7">
      <w:pPr>
        <w:numPr>
          <w:ilvl w:val="0"/>
          <w:numId w:val="9"/>
        </w:numPr>
        <w:spacing w:after="0"/>
        <w:ind w:left="425" w:hanging="425"/>
        <w:jc w:val="both"/>
        <w:rPr>
          <w:rFonts w:cstheme="minorHAnsi"/>
        </w:rPr>
      </w:pPr>
      <w:r w:rsidRPr="0035160C">
        <w:rPr>
          <w:rFonts w:cstheme="minorHAnsi"/>
        </w:rPr>
        <w:t>aktualna sytuacja związana z zagrożeniem epidemiologicznym COV</w:t>
      </w:r>
      <w:r w:rsidR="000B2F8A">
        <w:rPr>
          <w:rFonts w:cstheme="minorHAnsi"/>
        </w:rPr>
        <w:t>I</w:t>
      </w:r>
      <w:r w:rsidRPr="0035160C">
        <w:rPr>
          <w:rFonts w:cstheme="minorHAnsi"/>
        </w:rPr>
        <w:t>D-19</w:t>
      </w:r>
      <w:r w:rsidR="00C90BC1">
        <w:rPr>
          <w:rFonts w:cstheme="minorHAnsi"/>
        </w:rPr>
        <w:t>,</w:t>
      </w:r>
    </w:p>
    <w:p w14:paraId="116AD1A5" w14:textId="21F00ED9" w:rsidR="00933F32" w:rsidRPr="0035160C" w:rsidRDefault="00933F32" w:rsidP="00CA3BB7">
      <w:pPr>
        <w:numPr>
          <w:ilvl w:val="0"/>
          <w:numId w:val="9"/>
        </w:numPr>
        <w:spacing w:after="0"/>
        <w:ind w:left="425" w:hanging="425"/>
        <w:jc w:val="both"/>
        <w:rPr>
          <w:rFonts w:cstheme="minorHAnsi"/>
        </w:rPr>
      </w:pPr>
      <w:r w:rsidRPr="0035160C">
        <w:rPr>
          <w:rFonts w:cstheme="minorHAnsi"/>
        </w:rPr>
        <w:t>przyzwyczajenie mieszkańców do tradycyjnych źródeł ogrzewania (paliwa stałe, tanie, niskiej jakości)</w:t>
      </w:r>
      <w:r w:rsidR="00C90BC1">
        <w:rPr>
          <w:rFonts w:cstheme="minorHAnsi"/>
        </w:rPr>
        <w:t>,</w:t>
      </w:r>
    </w:p>
    <w:p w14:paraId="49F96894" w14:textId="06615370" w:rsidR="00933F32" w:rsidRPr="0035160C" w:rsidRDefault="00933F32" w:rsidP="00CA3BB7">
      <w:pPr>
        <w:numPr>
          <w:ilvl w:val="0"/>
          <w:numId w:val="9"/>
        </w:numPr>
        <w:spacing w:after="0"/>
        <w:ind w:left="425" w:hanging="425"/>
        <w:jc w:val="both"/>
        <w:rPr>
          <w:rFonts w:cstheme="minorHAnsi"/>
        </w:rPr>
      </w:pPr>
      <w:r w:rsidRPr="0035160C">
        <w:rPr>
          <w:rFonts w:cstheme="minorHAnsi"/>
        </w:rPr>
        <w:t>sytuacja finansowa mieszkańców, ubóstwo energetyczne mieszkańców, opór społeczny, niska świadomość ekologiczna mieszkańców</w:t>
      </w:r>
      <w:r w:rsidR="00C90BC1">
        <w:rPr>
          <w:rFonts w:cstheme="minorHAnsi"/>
        </w:rPr>
        <w:t>,</w:t>
      </w:r>
    </w:p>
    <w:p w14:paraId="002DD41B" w14:textId="20BF7E77" w:rsidR="00933F32" w:rsidRPr="0035160C" w:rsidRDefault="00933F32" w:rsidP="00CA3BB7">
      <w:pPr>
        <w:numPr>
          <w:ilvl w:val="0"/>
          <w:numId w:val="9"/>
        </w:numPr>
        <w:spacing w:after="0"/>
        <w:ind w:left="425" w:hanging="425"/>
        <w:jc w:val="both"/>
        <w:rPr>
          <w:rFonts w:cstheme="minorHAnsi"/>
        </w:rPr>
      </w:pPr>
      <w:r w:rsidRPr="0035160C">
        <w:rPr>
          <w:rFonts w:cstheme="minorHAnsi"/>
        </w:rPr>
        <w:t>brak środków w budżecie na większe dofinansowania do wymiany kotłów na paliwa stałe, obawy mieszkańców co do wzrostu cen gazu</w:t>
      </w:r>
      <w:r w:rsidR="00C90BC1">
        <w:rPr>
          <w:rFonts w:cstheme="minorHAnsi"/>
        </w:rPr>
        <w:t>,</w:t>
      </w:r>
      <w:r w:rsidRPr="0035160C">
        <w:rPr>
          <w:rFonts w:cstheme="minorHAnsi"/>
        </w:rPr>
        <w:t xml:space="preserve"> </w:t>
      </w:r>
    </w:p>
    <w:p w14:paraId="792EB738" w14:textId="77777777" w:rsidR="00933F32" w:rsidRPr="0035160C" w:rsidRDefault="00933F32" w:rsidP="00CA3BB7">
      <w:pPr>
        <w:numPr>
          <w:ilvl w:val="0"/>
          <w:numId w:val="9"/>
        </w:numPr>
        <w:spacing w:after="0"/>
        <w:ind w:left="425" w:hanging="425"/>
        <w:jc w:val="both"/>
        <w:rPr>
          <w:rFonts w:cstheme="minorHAnsi"/>
        </w:rPr>
      </w:pPr>
      <w:r w:rsidRPr="0035160C">
        <w:rPr>
          <w:rFonts w:cstheme="minorHAnsi"/>
        </w:rPr>
        <w:t>skomplikowane dla mieszkańców procedury pozyskiwania środków finansowych, brak realizacji kontroli, rozproszenie kompetencji pomiędzy różne organy,</w:t>
      </w:r>
    </w:p>
    <w:p w14:paraId="1037CE04" w14:textId="56B4F49D" w:rsidR="00933F32" w:rsidRPr="0035160C" w:rsidRDefault="00933F32" w:rsidP="00CA3BB7">
      <w:pPr>
        <w:numPr>
          <w:ilvl w:val="0"/>
          <w:numId w:val="9"/>
        </w:numPr>
        <w:spacing w:after="0"/>
        <w:ind w:left="425" w:hanging="425"/>
        <w:jc w:val="both"/>
        <w:rPr>
          <w:rFonts w:cstheme="minorHAnsi"/>
        </w:rPr>
      </w:pPr>
      <w:r w:rsidRPr="0035160C">
        <w:rPr>
          <w:rFonts w:cstheme="minorHAnsi"/>
        </w:rPr>
        <w:t>niewystarczające zachęty finansowe</w:t>
      </w:r>
      <w:r w:rsidR="00C90BC1">
        <w:rPr>
          <w:rFonts w:cstheme="minorHAnsi"/>
        </w:rPr>
        <w:t xml:space="preserve"> n</w:t>
      </w:r>
      <w:r w:rsidR="00FE68B4">
        <w:rPr>
          <w:rFonts w:cstheme="minorHAnsi"/>
        </w:rPr>
        <w:t>a</w:t>
      </w:r>
      <w:r w:rsidR="00C90BC1">
        <w:rPr>
          <w:rFonts w:cstheme="minorHAnsi"/>
        </w:rPr>
        <w:t xml:space="preserve"> podjęcie przedsięwzięć proekologicznych,</w:t>
      </w:r>
      <w:r w:rsidRPr="0035160C">
        <w:rPr>
          <w:rFonts w:cstheme="minorHAnsi"/>
        </w:rPr>
        <w:t xml:space="preserve"> w tym dla budynków wielorodzinnych</w:t>
      </w:r>
      <w:r w:rsidR="009C32E9">
        <w:rPr>
          <w:rFonts w:cstheme="minorHAnsi"/>
        </w:rPr>
        <w:t>,</w:t>
      </w:r>
      <w:r w:rsidRPr="0035160C">
        <w:rPr>
          <w:rFonts w:cstheme="minorHAnsi"/>
        </w:rPr>
        <w:t xml:space="preserve"> </w:t>
      </w:r>
    </w:p>
    <w:p w14:paraId="47E73C41" w14:textId="5668C8B4" w:rsidR="00933F32" w:rsidRPr="0035160C" w:rsidRDefault="00933F32" w:rsidP="00CA3BB7">
      <w:pPr>
        <w:numPr>
          <w:ilvl w:val="0"/>
          <w:numId w:val="9"/>
        </w:numPr>
        <w:spacing w:after="0"/>
        <w:ind w:left="425" w:hanging="425"/>
        <w:jc w:val="both"/>
        <w:rPr>
          <w:rFonts w:cstheme="minorHAnsi"/>
        </w:rPr>
      </w:pPr>
      <w:r w:rsidRPr="0035160C">
        <w:rPr>
          <w:rFonts w:cstheme="minorHAnsi"/>
        </w:rPr>
        <w:t>brak szczegółowych przepisów w zakresie egzekucji zakazów lub ograniczeń w stosowaniu wskazanych rodzajów paliw</w:t>
      </w:r>
      <w:r w:rsidR="00C90BC1">
        <w:rPr>
          <w:rFonts w:cstheme="minorHAnsi"/>
        </w:rPr>
        <w:t>,</w:t>
      </w:r>
    </w:p>
    <w:p w14:paraId="0CFF6A6D" w14:textId="1D4DAABA" w:rsidR="00933F32" w:rsidRPr="0035160C" w:rsidRDefault="00933F32" w:rsidP="00CA3BB7">
      <w:pPr>
        <w:numPr>
          <w:ilvl w:val="0"/>
          <w:numId w:val="9"/>
        </w:numPr>
        <w:spacing w:after="0"/>
        <w:ind w:left="425" w:hanging="425"/>
        <w:jc w:val="both"/>
        <w:rPr>
          <w:rFonts w:cstheme="minorHAnsi"/>
        </w:rPr>
      </w:pPr>
      <w:r w:rsidRPr="0035160C">
        <w:rPr>
          <w:rFonts w:cstheme="minorHAnsi"/>
        </w:rPr>
        <w:t>brak porozumienia ze służbami porządkowymi (policja, straż miejska) wspierających ekodoradcó</w:t>
      </w:r>
      <w:r w:rsidR="00FE68B4">
        <w:rPr>
          <w:rFonts w:cstheme="minorHAnsi"/>
        </w:rPr>
        <w:t>w</w:t>
      </w:r>
      <w:r w:rsidR="00C90BC1">
        <w:rPr>
          <w:rFonts w:cstheme="minorHAnsi"/>
        </w:rPr>
        <w:t xml:space="preserve"> po godzinach</w:t>
      </w:r>
      <w:r w:rsidRPr="0035160C">
        <w:rPr>
          <w:rFonts w:cstheme="minorHAnsi"/>
        </w:rPr>
        <w:t xml:space="preserve"> pracy Urzęd</w:t>
      </w:r>
      <w:r w:rsidR="00C90BC1">
        <w:rPr>
          <w:rFonts w:cstheme="minorHAnsi"/>
        </w:rPr>
        <w:t>ów,</w:t>
      </w:r>
    </w:p>
    <w:p w14:paraId="3DA27EC9" w14:textId="329406E1" w:rsidR="00933F32" w:rsidRPr="0035160C" w:rsidRDefault="00933F32" w:rsidP="00CA3BB7">
      <w:pPr>
        <w:numPr>
          <w:ilvl w:val="0"/>
          <w:numId w:val="9"/>
        </w:numPr>
        <w:spacing w:after="0"/>
        <w:ind w:left="425" w:hanging="425"/>
        <w:jc w:val="both"/>
        <w:rPr>
          <w:rFonts w:cstheme="minorHAnsi"/>
        </w:rPr>
      </w:pPr>
      <w:r w:rsidRPr="0035160C">
        <w:rPr>
          <w:rFonts w:cstheme="minorHAnsi"/>
        </w:rPr>
        <w:t xml:space="preserve">zbyt wysoki koszt paliw ekologicznych (gazu, energii elektrycznej), zbyt mało środków </w:t>
      </w:r>
      <w:r w:rsidR="00C90BC1">
        <w:rPr>
          <w:rFonts w:cstheme="minorHAnsi"/>
        </w:rPr>
        <w:t xml:space="preserve">finansowych </w:t>
      </w:r>
      <w:r w:rsidRPr="0035160C">
        <w:rPr>
          <w:rFonts w:cstheme="minorHAnsi"/>
        </w:rPr>
        <w:t>na dotacje do wymiany źródeł ciepła i montaż fotowoltaiki, pomp ciepła</w:t>
      </w:r>
      <w:r w:rsidR="00C90BC1">
        <w:rPr>
          <w:rFonts w:cstheme="minorHAnsi"/>
        </w:rPr>
        <w:t>,</w:t>
      </w:r>
      <w:r w:rsidRPr="0035160C">
        <w:rPr>
          <w:rFonts w:cstheme="minorHAnsi"/>
        </w:rPr>
        <w:t xml:space="preserve"> </w:t>
      </w:r>
    </w:p>
    <w:p w14:paraId="1DE6BEC9" w14:textId="65B630B8" w:rsidR="00933F32" w:rsidRPr="0035160C" w:rsidRDefault="00933F32" w:rsidP="00CA3BB7">
      <w:pPr>
        <w:numPr>
          <w:ilvl w:val="0"/>
          <w:numId w:val="9"/>
        </w:numPr>
        <w:spacing w:after="0"/>
        <w:ind w:left="425" w:hanging="425"/>
        <w:jc w:val="both"/>
        <w:rPr>
          <w:rFonts w:cstheme="minorHAnsi"/>
        </w:rPr>
      </w:pPr>
      <w:r w:rsidRPr="0035160C">
        <w:rPr>
          <w:rFonts w:cstheme="minorHAnsi"/>
        </w:rPr>
        <w:t xml:space="preserve">brak programów </w:t>
      </w:r>
      <w:r w:rsidR="00C90BC1">
        <w:rPr>
          <w:rFonts w:cstheme="minorHAnsi"/>
        </w:rPr>
        <w:t>finansowych</w:t>
      </w:r>
      <w:r w:rsidRPr="0035160C">
        <w:rPr>
          <w:rFonts w:cstheme="minorHAnsi"/>
        </w:rPr>
        <w:t xml:space="preserve"> dedykowanych gminom uzdrowiskowym</w:t>
      </w:r>
      <w:r w:rsidR="00C90BC1">
        <w:rPr>
          <w:rFonts w:cstheme="minorHAnsi"/>
        </w:rPr>
        <w:t>,</w:t>
      </w:r>
      <w:r w:rsidRPr="0035160C">
        <w:rPr>
          <w:rFonts w:cstheme="minorHAnsi"/>
        </w:rPr>
        <w:t xml:space="preserve"> </w:t>
      </w:r>
    </w:p>
    <w:p w14:paraId="3831EFB9" w14:textId="18459C59" w:rsidR="00933F32" w:rsidRPr="0035160C" w:rsidRDefault="00933F32" w:rsidP="00CA3BB7">
      <w:pPr>
        <w:numPr>
          <w:ilvl w:val="0"/>
          <w:numId w:val="9"/>
        </w:numPr>
        <w:spacing w:after="0"/>
        <w:ind w:left="425" w:hanging="425"/>
        <w:jc w:val="both"/>
        <w:rPr>
          <w:rFonts w:cstheme="minorHAnsi"/>
        </w:rPr>
      </w:pPr>
      <w:r w:rsidRPr="0035160C">
        <w:rPr>
          <w:rFonts w:cstheme="minorHAnsi"/>
        </w:rPr>
        <w:t xml:space="preserve">brak programów </w:t>
      </w:r>
      <w:r w:rsidR="00C90BC1">
        <w:rPr>
          <w:rFonts w:cstheme="minorHAnsi"/>
        </w:rPr>
        <w:t>finansowych</w:t>
      </w:r>
      <w:r w:rsidRPr="0035160C">
        <w:rPr>
          <w:rFonts w:cstheme="minorHAnsi"/>
        </w:rPr>
        <w:t xml:space="preserve"> dla zasobu komunalnego oraz programów osłonowych</w:t>
      </w:r>
      <w:r w:rsidR="00C90BC1">
        <w:rPr>
          <w:rFonts w:cstheme="minorHAnsi"/>
        </w:rPr>
        <w:t>,</w:t>
      </w:r>
    </w:p>
    <w:p w14:paraId="6EC669B7" w14:textId="6F3630F8" w:rsidR="00933F32" w:rsidRPr="0035160C" w:rsidRDefault="00933F32" w:rsidP="00CA3BB7">
      <w:pPr>
        <w:numPr>
          <w:ilvl w:val="0"/>
          <w:numId w:val="9"/>
        </w:numPr>
        <w:spacing w:after="0"/>
        <w:ind w:left="425" w:hanging="425"/>
        <w:jc w:val="both"/>
        <w:rPr>
          <w:rFonts w:cstheme="minorHAnsi"/>
        </w:rPr>
      </w:pPr>
      <w:r w:rsidRPr="0035160C">
        <w:rPr>
          <w:rFonts w:cstheme="minorHAnsi"/>
        </w:rPr>
        <w:t>brak preferencyjn</w:t>
      </w:r>
      <w:r w:rsidR="00C90BC1">
        <w:rPr>
          <w:rFonts w:cstheme="minorHAnsi"/>
        </w:rPr>
        <w:t>ych</w:t>
      </w:r>
      <w:r w:rsidRPr="0035160C">
        <w:rPr>
          <w:rFonts w:cstheme="minorHAnsi"/>
        </w:rPr>
        <w:t xml:space="preserve"> taryf opłat  - dopłaty do gazu</w:t>
      </w:r>
      <w:r w:rsidR="00C90BC1">
        <w:rPr>
          <w:rFonts w:cstheme="minorHAnsi"/>
        </w:rPr>
        <w:t>,</w:t>
      </w:r>
      <w:r w:rsidRPr="0035160C">
        <w:rPr>
          <w:rFonts w:cstheme="minorHAnsi"/>
        </w:rPr>
        <w:t xml:space="preserve"> </w:t>
      </w:r>
    </w:p>
    <w:p w14:paraId="4CD285B2" w14:textId="12A6780B" w:rsidR="00933F32" w:rsidRPr="0035160C" w:rsidRDefault="00933F32" w:rsidP="00CA3BB7">
      <w:pPr>
        <w:numPr>
          <w:ilvl w:val="0"/>
          <w:numId w:val="9"/>
        </w:numPr>
        <w:spacing w:after="0"/>
        <w:ind w:left="425" w:hanging="425"/>
        <w:jc w:val="both"/>
        <w:rPr>
          <w:rFonts w:cstheme="minorHAnsi"/>
        </w:rPr>
      </w:pPr>
      <w:r w:rsidRPr="0035160C">
        <w:rPr>
          <w:rFonts w:cstheme="minorHAnsi"/>
        </w:rPr>
        <w:lastRenderedPageBreak/>
        <w:t xml:space="preserve">Program </w:t>
      </w:r>
      <w:r w:rsidR="00C90BC1">
        <w:rPr>
          <w:rFonts w:cstheme="minorHAnsi"/>
        </w:rPr>
        <w:t>Priorytetowy „</w:t>
      </w:r>
      <w:r w:rsidRPr="0035160C">
        <w:rPr>
          <w:rFonts w:cstheme="minorHAnsi"/>
        </w:rPr>
        <w:t xml:space="preserve">Czyste </w:t>
      </w:r>
      <w:r w:rsidR="00C90BC1">
        <w:rPr>
          <w:rFonts w:cstheme="minorHAnsi"/>
        </w:rPr>
        <w:t>P</w:t>
      </w:r>
      <w:r w:rsidRPr="0035160C">
        <w:rPr>
          <w:rFonts w:cstheme="minorHAnsi"/>
        </w:rPr>
        <w:t xml:space="preserve">owietrze” - tylko dla </w:t>
      </w:r>
      <w:r w:rsidR="00C90BC1">
        <w:rPr>
          <w:rFonts w:cstheme="minorHAnsi"/>
        </w:rPr>
        <w:t>budynków</w:t>
      </w:r>
      <w:r w:rsidRPr="0035160C">
        <w:rPr>
          <w:rFonts w:cstheme="minorHAnsi"/>
        </w:rPr>
        <w:t xml:space="preserve"> jednorodzinnych, długotrwała procedura oceny wniosków składanych do WFOŚiGW, brak informacji zwrotnej dotyczącej udzielonych przez WFOŚiGW dotacji dla mieszkańców w ramach </w:t>
      </w:r>
      <w:r w:rsidR="00C90BC1">
        <w:rPr>
          <w:rFonts w:cstheme="minorHAnsi"/>
        </w:rPr>
        <w:t>Pr</w:t>
      </w:r>
      <w:r w:rsidRPr="0035160C">
        <w:rPr>
          <w:rFonts w:cstheme="minorHAnsi"/>
        </w:rPr>
        <w:t>ogramu, w związku z tym nie ma możliwości uaktualnienia wykonanej inwentaryzacji systemów grzewczych</w:t>
      </w:r>
      <w:r w:rsidR="00C90BC1">
        <w:rPr>
          <w:rFonts w:cstheme="minorHAnsi"/>
        </w:rPr>
        <w:t>,</w:t>
      </w:r>
    </w:p>
    <w:p w14:paraId="435FCD03" w14:textId="53C1C2F8" w:rsidR="00933F32" w:rsidRPr="0035160C" w:rsidRDefault="00933F32" w:rsidP="00CA3BB7">
      <w:pPr>
        <w:numPr>
          <w:ilvl w:val="0"/>
          <w:numId w:val="9"/>
        </w:numPr>
        <w:spacing w:after="0"/>
        <w:ind w:left="425" w:hanging="425"/>
        <w:jc w:val="both"/>
        <w:rPr>
          <w:rFonts w:cstheme="minorHAnsi"/>
        </w:rPr>
      </w:pPr>
      <w:r w:rsidRPr="0035160C">
        <w:rPr>
          <w:rFonts w:cstheme="minorHAnsi"/>
        </w:rPr>
        <w:t>osoby chcąc dokonać wymian</w:t>
      </w:r>
      <w:r w:rsidR="00FE68B4">
        <w:rPr>
          <w:rFonts w:cstheme="minorHAnsi"/>
        </w:rPr>
        <w:t>ę</w:t>
      </w:r>
      <w:r w:rsidRPr="0035160C">
        <w:rPr>
          <w:rFonts w:cstheme="minorHAnsi"/>
        </w:rPr>
        <w:t xml:space="preserve"> kotłów nie spełniających wymogów ekoprojektu muszą z własnych środków dokonać takich inwestycji by później ewentualnie otrzymać dotację. Większości </w:t>
      </w:r>
      <w:r w:rsidR="00FE68B4">
        <w:rPr>
          <w:rFonts w:cstheme="minorHAnsi"/>
        </w:rPr>
        <w:t>obywateli</w:t>
      </w:r>
      <w:r w:rsidRPr="0035160C">
        <w:rPr>
          <w:rFonts w:cstheme="minorHAnsi"/>
        </w:rPr>
        <w:t xml:space="preserve"> na to nie stać lub nie mają zdolności kredytowej. Są również takie osoby, które zamieszkują w domach, które są </w:t>
      </w:r>
      <w:r w:rsidR="00FE68B4">
        <w:rPr>
          <w:rFonts w:cstheme="minorHAnsi"/>
        </w:rPr>
        <w:t>„</w:t>
      </w:r>
      <w:r w:rsidRPr="0035160C">
        <w:rPr>
          <w:rFonts w:cstheme="minorHAnsi"/>
        </w:rPr>
        <w:t>stare"</w:t>
      </w:r>
      <w:r w:rsidR="00FE68B4">
        <w:rPr>
          <w:rFonts w:cstheme="minorHAnsi"/>
        </w:rPr>
        <w:t>,</w:t>
      </w:r>
      <w:r w:rsidRPr="0035160C">
        <w:rPr>
          <w:rFonts w:cstheme="minorHAnsi"/>
        </w:rPr>
        <w:t xml:space="preserve"> jednak nie są ukończone. Bez odbioru takiego budynku nie mogą się starać o dotację, ponieważ teoretycznie nie istnieją. Następną barierą dla tych osób jest problem z podłączeniem przyłącza gazowego, ponieważ czas oczekiwania jest bardzo długi. Są też takie miejsca w gminach gdzie nie ma możliwości podłączenia gazu, a alternatywą są pompy ciepła. </w:t>
      </w:r>
      <w:r w:rsidR="00FE68B4">
        <w:rPr>
          <w:rFonts w:cstheme="minorHAnsi"/>
        </w:rPr>
        <w:t>J</w:t>
      </w:r>
      <w:r w:rsidRPr="0035160C">
        <w:rPr>
          <w:rFonts w:cstheme="minorHAnsi"/>
        </w:rPr>
        <w:t xml:space="preserve">ednakże jest </w:t>
      </w:r>
      <w:r w:rsidR="009E499E">
        <w:rPr>
          <w:rFonts w:cstheme="minorHAnsi"/>
        </w:rPr>
        <w:t xml:space="preserve">to </w:t>
      </w:r>
      <w:r w:rsidRPr="0035160C">
        <w:rPr>
          <w:rFonts w:cstheme="minorHAnsi"/>
        </w:rPr>
        <w:t>koszt bardzo wysoki i raczej mało kto na niego się decyduje</w:t>
      </w:r>
      <w:r w:rsidR="00FE68B4">
        <w:rPr>
          <w:rFonts w:cstheme="minorHAnsi"/>
        </w:rPr>
        <w:t>,</w:t>
      </w:r>
      <w:r w:rsidRPr="0035160C">
        <w:rPr>
          <w:rFonts w:cstheme="minorHAnsi"/>
        </w:rPr>
        <w:t xml:space="preserve"> </w:t>
      </w:r>
    </w:p>
    <w:p w14:paraId="4D48D3A4" w14:textId="5CEFA789" w:rsidR="00933F32" w:rsidRPr="0035160C" w:rsidRDefault="00933F32" w:rsidP="00CA3BB7">
      <w:pPr>
        <w:numPr>
          <w:ilvl w:val="0"/>
          <w:numId w:val="9"/>
        </w:numPr>
        <w:spacing w:after="0"/>
        <w:ind w:left="425" w:hanging="425"/>
        <w:jc w:val="both"/>
        <w:rPr>
          <w:rFonts w:cstheme="minorHAnsi"/>
        </w:rPr>
      </w:pPr>
      <w:r w:rsidRPr="0035160C">
        <w:rPr>
          <w:rFonts w:cstheme="minorHAnsi"/>
        </w:rPr>
        <w:t xml:space="preserve">brak instrumentów prawnych pozwalających na egzekwowanie od mieszkańców wykonywania modernizacji ogrzewania tj. zastępowania pieców na paliwa stałe </w:t>
      </w:r>
      <w:r w:rsidR="00B13364">
        <w:rPr>
          <w:rFonts w:cstheme="minorHAnsi"/>
        </w:rPr>
        <w:t xml:space="preserve">na </w:t>
      </w:r>
      <w:r w:rsidRPr="0035160C">
        <w:rPr>
          <w:rFonts w:cstheme="minorHAnsi"/>
        </w:rPr>
        <w:t>ekologiczn</w:t>
      </w:r>
      <w:r w:rsidR="00B13364">
        <w:rPr>
          <w:rFonts w:cstheme="minorHAnsi"/>
        </w:rPr>
        <w:t xml:space="preserve">e </w:t>
      </w:r>
      <w:r w:rsidRPr="0035160C">
        <w:rPr>
          <w:rFonts w:cstheme="minorHAnsi"/>
        </w:rPr>
        <w:t>system</w:t>
      </w:r>
      <w:r w:rsidR="00B13364">
        <w:rPr>
          <w:rFonts w:cstheme="minorHAnsi"/>
        </w:rPr>
        <w:t>y</w:t>
      </w:r>
      <w:r w:rsidRPr="0035160C">
        <w:rPr>
          <w:rFonts w:cstheme="minorHAnsi"/>
        </w:rPr>
        <w:t xml:space="preserve">. Np. gdy prowadzony jest nowy ciepłociąg lub gazociąg </w:t>
      </w:r>
      <w:r w:rsidR="00A135F0">
        <w:rPr>
          <w:rFonts w:cstheme="minorHAnsi"/>
        </w:rPr>
        <w:t xml:space="preserve">to obowiązkiem powinno być podłączenie budynku do sieci, </w:t>
      </w:r>
      <w:r w:rsidRPr="0035160C">
        <w:rPr>
          <w:rFonts w:cstheme="minorHAnsi"/>
        </w:rPr>
        <w:t xml:space="preserve">jak np. w przypadku kanalizacji </w:t>
      </w:r>
      <w:r w:rsidR="00873003" w:rsidRPr="0035160C">
        <w:rPr>
          <w:rFonts w:cstheme="minorHAnsi"/>
        </w:rPr>
        <w:t>sanitarnej</w:t>
      </w:r>
      <w:r w:rsidRPr="0035160C">
        <w:rPr>
          <w:rFonts w:cstheme="minorHAnsi"/>
        </w:rPr>
        <w:t xml:space="preserve">. Mieszkańcy </w:t>
      </w:r>
      <w:r w:rsidR="00543EE3">
        <w:rPr>
          <w:rFonts w:cstheme="minorHAnsi"/>
        </w:rPr>
        <w:t xml:space="preserve">gmin </w:t>
      </w:r>
      <w:r w:rsidRPr="0035160C">
        <w:rPr>
          <w:rFonts w:cstheme="minorHAnsi"/>
        </w:rPr>
        <w:t xml:space="preserve">zatrudnieni w kopalniach </w:t>
      </w:r>
      <w:r w:rsidR="00777E59">
        <w:rPr>
          <w:rFonts w:cstheme="minorHAnsi"/>
        </w:rPr>
        <w:t>mają zapewnione</w:t>
      </w:r>
      <w:r w:rsidRPr="0035160C">
        <w:rPr>
          <w:rFonts w:cstheme="minorHAnsi"/>
        </w:rPr>
        <w:t xml:space="preserve"> deputaty węglowe</w:t>
      </w:r>
      <w:r w:rsidR="00777E59">
        <w:rPr>
          <w:rFonts w:cstheme="minorHAnsi"/>
        </w:rPr>
        <w:t>, w związku z powyższym</w:t>
      </w:r>
      <w:r w:rsidRPr="0035160C">
        <w:rPr>
          <w:rFonts w:cstheme="minorHAnsi"/>
        </w:rPr>
        <w:t xml:space="preserve"> nie chcą </w:t>
      </w:r>
      <w:r w:rsidR="00543EE3">
        <w:rPr>
          <w:rFonts w:cstheme="minorHAnsi"/>
        </w:rPr>
        <w:t xml:space="preserve">dobrowolnie </w:t>
      </w:r>
      <w:r w:rsidRPr="0035160C">
        <w:rPr>
          <w:rFonts w:cstheme="minorHAnsi"/>
        </w:rPr>
        <w:t xml:space="preserve">rezygnować z </w:t>
      </w:r>
      <w:r w:rsidR="00777E59">
        <w:rPr>
          <w:rFonts w:cstheme="minorHAnsi"/>
        </w:rPr>
        <w:t xml:space="preserve">kotłów </w:t>
      </w:r>
      <w:r w:rsidRPr="0035160C">
        <w:rPr>
          <w:rFonts w:cstheme="minorHAnsi"/>
        </w:rPr>
        <w:t>na paliwo stałe</w:t>
      </w:r>
      <w:r w:rsidR="00B13364">
        <w:rPr>
          <w:rFonts w:cstheme="minorHAnsi"/>
        </w:rPr>
        <w:t>,</w:t>
      </w:r>
    </w:p>
    <w:p w14:paraId="7DEC1576" w14:textId="67A0CE29" w:rsidR="00933F32" w:rsidRPr="0035160C" w:rsidRDefault="00933F32" w:rsidP="00CA3BB7">
      <w:pPr>
        <w:numPr>
          <w:ilvl w:val="0"/>
          <w:numId w:val="9"/>
        </w:numPr>
        <w:spacing w:after="0"/>
        <w:ind w:left="425" w:hanging="425"/>
        <w:jc w:val="both"/>
        <w:rPr>
          <w:rFonts w:cstheme="minorHAnsi"/>
        </w:rPr>
      </w:pPr>
      <w:r w:rsidRPr="0035160C">
        <w:rPr>
          <w:rFonts w:cstheme="minorHAnsi"/>
        </w:rPr>
        <w:t>zbyt mała zachęta finansowa (dofinansowanie</w:t>
      </w:r>
      <w:r w:rsidR="00AA27BB">
        <w:rPr>
          <w:rFonts w:cstheme="minorHAnsi"/>
        </w:rPr>
        <w:t>)</w:t>
      </w:r>
      <w:r w:rsidRPr="0035160C">
        <w:rPr>
          <w:rFonts w:cstheme="minorHAnsi"/>
        </w:rPr>
        <w:t xml:space="preserve"> dla osób chcących wykonać wymianę pieca i/lub termomodernizację budynków prywatnych. Brak środków finansowych/wiedzy/chęci dokonania zmian w stosowanych metodach ogrzewania mieszkań u mieszkańców</w:t>
      </w:r>
      <w:r w:rsidR="00B13364">
        <w:rPr>
          <w:rFonts w:cstheme="minorHAnsi"/>
        </w:rPr>
        <w:t>,</w:t>
      </w:r>
    </w:p>
    <w:p w14:paraId="65005CBB" w14:textId="2AEDE224" w:rsidR="00933F32" w:rsidRPr="0035160C" w:rsidRDefault="00933F32" w:rsidP="00CA3BB7">
      <w:pPr>
        <w:numPr>
          <w:ilvl w:val="0"/>
          <w:numId w:val="9"/>
        </w:numPr>
        <w:spacing w:after="0"/>
        <w:ind w:left="425" w:hanging="425"/>
        <w:jc w:val="both"/>
        <w:rPr>
          <w:rFonts w:cstheme="minorHAnsi"/>
        </w:rPr>
      </w:pPr>
      <w:r w:rsidRPr="0035160C">
        <w:rPr>
          <w:rFonts w:cstheme="minorHAnsi"/>
        </w:rPr>
        <w:t xml:space="preserve">brak obowiązku zgłaszania do urzędu </w:t>
      </w:r>
      <w:r w:rsidR="00B13364">
        <w:rPr>
          <w:rFonts w:cstheme="minorHAnsi"/>
        </w:rPr>
        <w:t xml:space="preserve">gminy </w:t>
      </w:r>
      <w:r w:rsidRPr="0035160C">
        <w:rPr>
          <w:rFonts w:cstheme="minorHAnsi"/>
        </w:rPr>
        <w:t>przez mieszkańc</w:t>
      </w:r>
      <w:r w:rsidR="00B13364">
        <w:rPr>
          <w:rFonts w:cstheme="minorHAnsi"/>
        </w:rPr>
        <w:t xml:space="preserve">ów </w:t>
      </w:r>
      <w:r w:rsidRPr="0035160C">
        <w:rPr>
          <w:rFonts w:cstheme="minorHAnsi"/>
        </w:rPr>
        <w:t>informacji o przeprowadzonej termomodernizacji lub wymian</w:t>
      </w:r>
      <w:r w:rsidR="00B13364">
        <w:rPr>
          <w:rFonts w:cstheme="minorHAnsi"/>
        </w:rPr>
        <w:t>ie</w:t>
      </w:r>
      <w:r w:rsidRPr="0035160C">
        <w:rPr>
          <w:rFonts w:cstheme="minorHAnsi"/>
        </w:rPr>
        <w:t xml:space="preserve"> źródła ciepł</w:t>
      </w:r>
      <w:r w:rsidR="00B13364">
        <w:rPr>
          <w:rFonts w:cstheme="minorHAnsi"/>
        </w:rPr>
        <w:t>a,</w:t>
      </w:r>
      <w:r w:rsidRPr="0035160C">
        <w:rPr>
          <w:rFonts w:cstheme="minorHAnsi"/>
        </w:rPr>
        <w:t xml:space="preserve"> jeżeli mieszkaniec nie korzystał z żadnego dofinansowania. Brak możliwości rozliczania się z dotacji bezpośrednio z wykonawcą</w:t>
      </w:r>
      <w:r w:rsidR="00B13364">
        <w:rPr>
          <w:rFonts w:cstheme="minorHAnsi"/>
        </w:rPr>
        <w:t>,</w:t>
      </w:r>
    </w:p>
    <w:p w14:paraId="59F25E5B" w14:textId="0332E529" w:rsidR="00933F32" w:rsidRPr="0035160C" w:rsidRDefault="00933F32" w:rsidP="00CA3BB7">
      <w:pPr>
        <w:numPr>
          <w:ilvl w:val="0"/>
          <w:numId w:val="9"/>
        </w:numPr>
        <w:spacing w:after="0"/>
        <w:ind w:left="425" w:hanging="425"/>
        <w:jc w:val="both"/>
        <w:rPr>
          <w:rFonts w:cstheme="minorHAnsi"/>
        </w:rPr>
      </w:pPr>
      <w:r w:rsidRPr="0035160C">
        <w:rPr>
          <w:rFonts w:cstheme="minorHAnsi"/>
        </w:rPr>
        <w:t xml:space="preserve">brak sieci ciepłowniczej i gazowej </w:t>
      </w:r>
      <w:r w:rsidR="00B13364">
        <w:rPr>
          <w:rFonts w:cstheme="minorHAnsi"/>
        </w:rPr>
        <w:t xml:space="preserve">na </w:t>
      </w:r>
      <w:r w:rsidRPr="0035160C">
        <w:rPr>
          <w:rFonts w:cstheme="minorHAnsi"/>
        </w:rPr>
        <w:t xml:space="preserve">niektórych </w:t>
      </w:r>
      <w:r w:rsidR="00B13364">
        <w:rPr>
          <w:rFonts w:cstheme="minorHAnsi"/>
        </w:rPr>
        <w:t xml:space="preserve">obszarach </w:t>
      </w:r>
      <w:r w:rsidRPr="0035160C">
        <w:rPr>
          <w:rFonts w:cstheme="minorHAnsi"/>
        </w:rPr>
        <w:t>miasta</w:t>
      </w:r>
      <w:r w:rsidR="00B13364">
        <w:rPr>
          <w:rFonts w:cstheme="minorHAnsi"/>
        </w:rPr>
        <w:t>,</w:t>
      </w:r>
    </w:p>
    <w:p w14:paraId="11F3CE39" w14:textId="73B22421" w:rsidR="00933F32" w:rsidRPr="0035160C" w:rsidRDefault="00933F32" w:rsidP="00CA3BB7">
      <w:pPr>
        <w:numPr>
          <w:ilvl w:val="0"/>
          <w:numId w:val="9"/>
        </w:numPr>
        <w:spacing w:after="0"/>
        <w:ind w:left="425" w:hanging="425"/>
        <w:jc w:val="both"/>
        <w:rPr>
          <w:rFonts w:cstheme="minorHAnsi"/>
        </w:rPr>
      </w:pPr>
      <w:r w:rsidRPr="0035160C">
        <w:rPr>
          <w:rFonts w:cstheme="minorHAnsi"/>
        </w:rPr>
        <w:t>obszar zamieszkania. np.: na terenie niektórych gmin</w:t>
      </w:r>
      <w:r w:rsidR="00B13364">
        <w:rPr>
          <w:rFonts w:cstheme="minorHAnsi"/>
        </w:rPr>
        <w:t xml:space="preserve">, duża liczba </w:t>
      </w:r>
      <w:r w:rsidRPr="0035160C">
        <w:rPr>
          <w:rFonts w:cstheme="minorHAnsi"/>
        </w:rPr>
        <w:t>mieszkańców ma dostęp do własnego drewna z prywatnych lasów i w związku z tym są zobowiązani do utrzymania tych terenów. Naturalnym sposobem wykorzystania drewna jest przeznaczenie go do celów ogrzewania. Wprowadzona lokalnie uchwała antysmogowa dla województwa małopolskiego uniemożliwia zakup kotłów z dodatkowym rusztem, w którym mieszkańcy mogli by spożytkować to drewno. Mieszkańcy obawiają się również, że po montażu nowoczesnego kotła najwyższej klasy, jaki mają obowiązek zakupić, nie będzie ich stać na zakup dedykowanego paliwa. Niestety zwracają uwagę na rosnące ceny paliwa, które w porównaniu do lat ubiegłych znacznie się podwyższyły. Problemem jest brak stworzenia alternatywy dla mniej zamożnych, którzy nie mogą sobie pozwolić na kupno i utrzymanie ekologicznego ogrzewania</w:t>
      </w:r>
      <w:r w:rsidR="00B13364">
        <w:rPr>
          <w:rFonts w:cstheme="minorHAnsi"/>
        </w:rPr>
        <w:t>,</w:t>
      </w:r>
    </w:p>
    <w:p w14:paraId="513B18C1" w14:textId="16507582" w:rsidR="00933F32" w:rsidRPr="0035160C" w:rsidRDefault="00933F32" w:rsidP="00CA3BB7">
      <w:pPr>
        <w:numPr>
          <w:ilvl w:val="0"/>
          <w:numId w:val="9"/>
        </w:numPr>
        <w:spacing w:after="0"/>
        <w:ind w:left="425" w:hanging="425"/>
        <w:jc w:val="both"/>
        <w:rPr>
          <w:rFonts w:cstheme="minorHAnsi"/>
        </w:rPr>
      </w:pPr>
      <w:r w:rsidRPr="0035160C">
        <w:rPr>
          <w:rFonts w:cstheme="minorHAnsi"/>
        </w:rPr>
        <w:t>brak współpracy między jednostkami samorządowymi i rządowymi</w:t>
      </w:r>
      <w:r w:rsidR="00B13364">
        <w:rPr>
          <w:rFonts w:cstheme="minorHAnsi"/>
        </w:rPr>
        <w:t>,</w:t>
      </w:r>
    </w:p>
    <w:p w14:paraId="7BF6541A" w14:textId="40FB3C15" w:rsidR="00933F32" w:rsidRPr="0035160C" w:rsidRDefault="00933F32" w:rsidP="00CA3BB7">
      <w:pPr>
        <w:numPr>
          <w:ilvl w:val="0"/>
          <w:numId w:val="9"/>
        </w:numPr>
        <w:spacing w:after="0"/>
        <w:ind w:left="425" w:hanging="425"/>
        <w:jc w:val="both"/>
        <w:rPr>
          <w:rFonts w:cstheme="minorHAnsi"/>
        </w:rPr>
      </w:pPr>
      <w:r w:rsidRPr="0035160C">
        <w:rPr>
          <w:rFonts w:cstheme="minorHAnsi"/>
        </w:rPr>
        <w:t>niewystarczającą ilość środków finansowych na działania naprawcze określone w programach ochrony powietrza</w:t>
      </w:r>
      <w:r w:rsidR="00B13364">
        <w:rPr>
          <w:rFonts w:cstheme="minorHAnsi"/>
        </w:rPr>
        <w:t>,</w:t>
      </w:r>
    </w:p>
    <w:p w14:paraId="340574E3" w14:textId="64588AB1" w:rsidR="00933F32" w:rsidRPr="0035160C" w:rsidRDefault="00933F32" w:rsidP="00CA3BB7">
      <w:pPr>
        <w:numPr>
          <w:ilvl w:val="0"/>
          <w:numId w:val="9"/>
        </w:numPr>
        <w:spacing w:after="0"/>
        <w:ind w:left="425" w:hanging="425"/>
        <w:jc w:val="both"/>
        <w:rPr>
          <w:rFonts w:cstheme="minorHAnsi"/>
        </w:rPr>
      </w:pPr>
      <w:r w:rsidRPr="0035160C">
        <w:rPr>
          <w:rFonts w:cstheme="minorHAnsi"/>
        </w:rPr>
        <w:t>trudny dostęp do dotacji unijnych</w:t>
      </w:r>
      <w:r w:rsidR="00B13364">
        <w:rPr>
          <w:rFonts w:cstheme="minorHAnsi"/>
        </w:rPr>
        <w:t>,</w:t>
      </w:r>
      <w:r w:rsidRPr="0035160C">
        <w:rPr>
          <w:rFonts w:cstheme="minorHAnsi"/>
        </w:rPr>
        <w:t xml:space="preserve"> </w:t>
      </w:r>
    </w:p>
    <w:p w14:paraId="506203A7" w14:textId="5009D554" w:rsidR="00933F32" w:rsidRPr="0035160C" w:rsidRDefault="00933F32" w:rsidP="00CA3BB7">
      <w:pPr>
        <w:numPr>
          <w:ilvl w:val="0"/>
          <w:numId w:val="9"/>
        </w:numPr>
        <w:spacing w:after="0"/>
        <w:ind w:left="425" w:hanging="425"/>
        <w:jc w:val="both"/>
        <w:rPr>
          <w:rFonts w:cstheme="minorHAnsi"/>
        </w:rPr>
      </w:pPr>
      <w:r w:rsidRPr="0035160C">
        <w:rPr>
          <w:rFonts w:cstheme="minorHAnsi"/>
        </w:rPr>
        <w:t xml:space="preserve">brak własnych funduszy na tworzenie własnych innowacyjnych projektów </w:t>
      </w:r>
      <w:r w:rsidR="00B13364">
        <w:rPr>
          <w:rFonts w:cstheme="minorHAnsi"/>
        </w:rPr>
        <w:t>g</w:t>
      </w:r>
      <w:r w:rsidRPr="0035160C">
        <w:rPr>
          <w:rFonts w:cstheme="minorHAnsi"/>
        </w:rPr>
        <w:t>minnych w celu poprawy jakości, jak również lepszej efektywności energetycznej</w:t>
      </w:r>
      <w:r w:rsidR="00B13364">
        <w:rPr>
          <w:rFonts w:cstheme="minorHAnsi"/>
        </w:rPr>
        <w:t xml:space="preserve"> budynków</w:t>
      </w:r>
      <w:r w:rsidR="00B63546">
        <w:rPr>
          <w:rFonts w:cstheme="minorHAnsi"/>
        </w:rPr>
        <w:t>,</w:t>
      </w:r>
    </w:p>
    <w:p w14:paraId="5B32F9AE" w14:textId="4124C862" w:rsidR="00933F32" w:rsidRPr="0035160C" w:rsidRDefault="00933F32" w:rsidP="00CA3BB7">
      <w:pPr>
        <w:numPr>
          <w:ilvl w:val="0"/>
          <w:numId w:val="9"/>
        </w:numPr>
        <w:spacing w:after="0"/>
        <w:ind w:left="425" w:hanging="425"/>
        <w:jc w:val="both"/>
        <w:rPr>
          <w:rFonts w:cstheme="minorHAnsi"/>
        </w:rPr>
      </w:pPr>
      <w:r w:rsidRPr="0035160C">
        <w:rPr>
          <w:rFonts w:cstheme="minorHAnsi"/>
        </w:rPr>
        <w:t xml:space="preserve">brak innych dofinasowań dla mieszkańców oprócz </w:t>
      </w:r>
      <w:r w:rsidR="00B13364">
        <w:rPr>
          <w:rFonts w:cstheme="minorHAnsi"/>
        </w:rPr>
        <w:t>P</w:t>
      </w:r>
      <w:r w:rsidRPr="0035160C">
        <w:rPr>
          <w:rFonts w:cstheme="minorHAnsi"/>
        </w:rPr>
        <w:t xml:space="preserve">rogramu </w:t>
      </w:r>
      <w:r w:rsidR="00B13364">
        <w:rPr>
          <w:rFonts w:cstheme="minorHAnsi"/>
        </w:rPr>
        <w:t>Priorytetowego „</w:t>
      </w:r>
      <w:r w:rsidRPr="0035160C">
        <w:rPr>
          <w:rFonts w:cstheme="minorHAnsi"/>
        </w:rPr>
        <w:t>Czyste Powietrze</w:t>
      </w:r>
      <w:r w:rsidR="00B13364">
        <w:rPr>
          <w:rFonts w:cstheme="minorHAnsi"/>
        </w:rPr>
        <w:t>”</w:t>
      </w:r>
      <w:r w:rsidRPr="0035160C">
        <w:rPr>
          <w:rFonts w:cstheme="minorHAnsi"/>
        </w:rPr>
        <w:t xml:space="preserve"> i PONE</w:t>
      </w:r>
      <w:r w:rsidR="00B63546">
        <w:rPr>
          <w:rFonts w:cstheme="minorHAnsi"/>
        </w:rPr>
        <w:t>,</w:t>
      </w:r>
    </w:p>
    <w:p w14:paraId="4DA16426" w14:textId="0F9BD21F" w:rsidR="00933F32" w:rsidRPr="0035160C" w:rsidRDefault="00933F32" w:rsidP="00CA3BB7">
      <w:pPr>
        <w:numPr>
          <w:ilvl w:val="0"/>
          <w:numId w:val="9"/>
        </w:numPr>
        <w:spacing w:after="0"/>
        <w:ind w:left="425" w:hanging="425"/>
        <w:jc w:val="both"/>
        <w:rPr>
          <w:rFonts w:cstheme="minorHAnsi"/>
        </w:rPr>
      </w:pPr>
      <w:r w:rsidRPr="0035160C">
        <w:rPr>
          <w:rFonts w:cstheme="minorHAnsi"/>
        </w:rPr>
        <w:t>nieuregulowany stan prawny nieruchomości</w:t>
      </w:r>
      <w:r w:rsidR="00B63546">
        <w:rPr>
          <w:rFonts w:cstheme="minorHAnsi"/>
        </w:rPr>
        <w:t>,</w:t>
      </w:r>
    </w:p>
    <w:p w14:paraId="438BDAC6" w14:textId="129965DF" w:rsidR="00933F32" w:rsidRPr="0035160C" w:rsidRDefault="00933F32" w:rsidP="00CA3BB7">
      <w:pPr>
        <w:numPr>
          <w:ilvl w:val="0"/>
          <w:numId w:val="9"/>
        </w:numPr>
        <w:spacing w:after="0"/>
        <w:ind w:left="425" w:hanging="425"/>
        <w:jc w:val="both"/>
        <w:rPr>
          <w:rFonts w:cstheme="minorHAnsi"/>
        </w:rPr>
      </w:pPr>
      <w:r w:rsidRPr="0035160C">
        <w:rPr>
          <w:rFonts w:cstheme="minorHAnsi"/>
        </w:rPr>
        <w:t xml:space="preserve">brak możliwości pozyskania przez gminy funduszy na pokrycie kosztów badań próbek popiołu, </w:t>
      </w:r>
      <w:r w:rsidR="00B13364">
        <w:rPr>
          <w:rFonts w:cstheme="minorHAnsi"/>
        </w:rPr>
        <w:t>utworzenia</w:t>
      </w:r>
      <w:r w:rsidRPr="0035160C">
        <w:rPr>
          <w:rFonts w:cstheme="minorHAnsi"/>
        </w:rPr>
        <w:t xml:space="preserve"> </w:t>
      </w:r>
      <w:r w:rsidR="00B13364">
        <w:rPr>
          <w:rFonts w:cstheme="minorHAnsi"/>
        </w:rPr>
        <w:t>„</w:t>
      </w:r>
      <w:r w:rsidRPr="0035160C">
        <w:rPr>
          <w:rFonts w:cstheme="minorHAnsi"/>
        </w:rPr>
        <w:t>ekopatroli</w:t>
      </w:r>
      <w:r w:rsidR="00B13364">
        <w:rPr>
          <w:rFonts w:cstheme="minorHAnsi"/>
        </w:rPr>
        <w:t>”</w:t>
      </w:r>
      <w:r w:rsidRPr="0035160C">
        <w:rPr>
          <w:rFonts w:cstheme="minorHAnsi"/>
        </w:rPr>
        <w:t xml:space="preserve"> w gminach, zakup niezbędnego sprzętu, zapewnienie szkoleń.</w:t>
      </w:r>
    </w:p>
    <w:p w14:paraId="56A62551" w14:textId="73CC2CA6" w:rsidR="00933F32" w:rsidRPr="0035160C" w:rsidRDefault="00933F32" w:rsidP="00B13364">
      <w:pPr>
        <w:spacing w:before="120" w:after="0"/>
        <w:jc w:val="both"/>
        <w:rPr>
          <w:rFonts w:cstheme="minorHAnsi"/>
        </w:rPr>
      </w:pPr>
      <w:r w:rsidRPr="0035160C">
        <w:rPr>
          <w:rFonts w:cstheme="minorHAnsi"/>
        </w:rPr>
        <w:lastRenderedPageBreak/>
        <w:t xml:space="preserve">Ankietowane gminy wskazały m.in. na następujące plany dotyczące </w:t>
      </w:r>
      <w:r w:rsidR="00CC7B22">
        <w:rPr>
          <w:rFonts w:cstheme="minorHAnsi"/>
        </w:rPr>
        <w:t xml:space="preserve">realizacji </w:t>
      </w:r>
      <w:r w:rsidRPr="0035160C">
        <w:rPr>
          <w:rFonts w:cstheme="minorHAnsi"/>
        </w:rPr>
        <w:t>przedsięwzięć mających na celu poprawę jakości powietrza w gminie:</w:t>
      </w:r>
    </w:p>
    <w:p w14:paraId="3EF288F1" w14:textId="505B096F" w:rsidR="00933F32" w:rsidRPr="0035160C" w:rsidRDefault="00B13364" w:rsidP="00CA3BB7">
      <w:pPr>
        <w:numPr>
          <w:ilvl w:val="0"/>
          <w:numId w:val="10"/>
        </w:numPr>
        <w:spacing w:after="0"/>
        <w:ind w:left="284" w:hanging="284"/>
        <w:jc w:val="both"/>
        <w:rPr>
          <w:rFonts w:cstheme="minorHAnsi"/>
        </w:rPr>
      </w:pPr>
      <w:r>
        <w:rPr>
          <w:rFonts w:cstheme="minorHAnsi"/>
        </w:rPr>
        <w:t>r</w:t>
      </w:r>
      <w:r w:rsidR="00933F32" w:rsidRPr="0035160C">
        <w:rPr>
          <w:rFonts w:cstheme="minorHAnsi"/>
        </w:rPr>
        <w:t xml:space="preserve">ealizacja polityki wsparcia mieszkańców w zakresie pozyskiwania środków finansowych do wymiany starych </w:t>
      </w:r>
      <w:r>
        <w:rPr>
          <w:rFonts w:cstheme="minorHAnsi"/>
        </w:rPr>
        <w:t>kotłów na paliwa stałe</w:t>
      </w:r>
      <w:r w:rsidR="00933F32" w:rsidRPr="0035160C">
        <w:rPr>
          <w:rFonts w:cstheme="minorHAnsi"/>
        </w:rPr>
        <w:t>, termomodernizacji</w:t>
      </w:r>
      <w:r>
        <w:rPr>
          <w:rFonts w:cstheme="minorHAnsi"/>
        </w:rPr>
        <w:t xml:space="preserve"> budynków mieszkalnych</w:t>
      </w:r>
      <w:r w:rsidR="00933F32" w:rsidRPr="0035160C">
        <w:rPr>
          <w:rFonts w:cstheme="minorHAnsi"/>
        </w:rPr>
        <w:t>,</w:t>
      </w:r>
      <w:r>
        <w:rPr>
          <w:rFonts w:cstheme="minorHAnsi"/>
        </w:rPr>
        <w:t xml:space="preserve"> wykorzystania</w:t>
      </w:r>
      <w:r w:rsidR="00933F32" w:rsidRPr="0035160C">
        <w:rPr>
          <w:rFonts w:cstheme="minorHAnsi"/>
        </w:rPr>
        <w:t xml:space="preserve"> odnawialnych źródeł energii (pomoc w wypełnianiu wniosków o dotacje i jej rozliczaniu), prowadzenie kontroli palenisk wraz z akacjami edukacyjnymi, udzielanie dotacji do wymiany kopciuchów</w:t>
      </w:r>
      <w:r>
        <w:rPr>
          <w:rFonts w:cstheme="minorHAnsi"/>
        </w:rPr>
        <w:t>,</w:t>
      </w:r>
    </w:p>
    <w:p w14:paraId="797C4A55" w14:textId="70FB2149" w:rsidR="00933F32" w:rsidRPr="0035160C" w:rsidRDefault="00B13364" w:rsidP="00CA3BB7">
      <w:pPr>
        <w:numPr>
          <w:ilvl w:val="0"/>
          <w:numId w:val="10"/>
        </w:numPr>
        <w:spacing w:after="0"/>
        <w:ind w:left="284" w:hanging="284"/>
        <w:jc w:val="both"/>
        <w:rPr>
          <w:rFonts w:cstheme="minorHAnsi"/>
        </w:rPr>
      </w:pPr>
      <w:r>
        <w:rPr>
          <w:rFonts w:cstheme="minorHAnsi"/>
        </w:rPr>
        <w:t xml:space="preserve">wdrażanie </w:t>
      </w:r>
      <w:r w:rsidR="00933F32" w:rsidRPr="0035160C">
        <w:rPr>
          <w:rFonts w:cstheme="minorHAnsi"/>
        </w:rPr>
        <w:t>PONE, RPO, Program</w:t>
      </w:r>
      <w:r w:rsidR="00CC7B22">
        <w:rPr>
          <w:rFonts w:cstheme="minorHAnsi"/>
        </w:rPr>
        <w:t>u Priorytetowego „</w:t>
      </w:r>
      <w:r w:rsidR="00933F32" w:rsidRPr="0035160C">
        <w:rPr>
          <w:rFonts w:cstheme="minorHAnsi"/>
        </w:rPr>
        <w:t>Czyste Powietrze</w:t>
      </w:r>
      <w:r w:rsidR="00CC7B22">
        <w:rPr>
          <w:rFonts w:cstheme="minorHAnsi"/>
        </w:rPr>
        <w:t>”</w:t>
      </w:r>
      <w:r w:rsidR="00933F32" w:rsidRPr="0035160C">
        <w:rPr>
          <w:rFonts w:cstheme="minorHAnsi"/>
        </w:rPr>
        <w:t>, Program</w:t>
      </w:r>
      <w:r w:rsidR="009E499E">
        <w:rPr>
          <w:rFonts w:cstheme="minorHAnsi"/>
        </w:rPr>
        <w:t>u</w:t>
      </w:r>
      <w:r w:rsidR="00933F32" w:rsidRPr="0035160C">
        <w:rPr>
          <w:rFonts w:cstheme="minorHAnsi"/>
        </w:rPr>
        <w:t xml:space="preserve"> </w:t>
      </w:r>
      <w:r w:rsidR="00CC7B22">
        <w:rPr>
          <w:rFonts w:cstheme="minorHAnsi"/>
        </w:rPr>
        <w:t>„</w:t>
      </w:r>
      <w:r w:rsidR="00933F32" w:rsidRPr="0035160C">
        <w:rPr>
          <w:rFonts w:cstheme="minorHAnsi"/>
        </w:rPr>
        <w:t>Stop Smog</w:t>
      </w:r>
      <w:r w:rsidR="00CC7B22">
        <w:rPr>
          <w:rFonts w:cstheme="minorHAnsi"/>
        </w:rPr>
        <w:t>”</w:t>
      </w:r>
      <w:r w:rsidR="00933F32" w:rsidRPr="0035160C">
        <w:rPr>
          <w:rFonts w:cstheme="minorHAnsi"/>
        </w:rPr>
        <w:t>, wdrażanie uchwał antysmogowych, wykorzystanie odnawialnych źródeł energii</w:t>
      </w:r>
      <w:r w:rsidR="009E499E">
        <w:rPr>
          <w:rFonts w:cstheme="minorHAnsi"/>
        </w:rPr>
        <w:t>,</w:t>
      </w:r>
    </w:p>
    <w:p w14:paraId="7C5FD0F0" w14:textId="0AF7609D" w:rsidR="002B785C" w:rsidRDefault="002B785C" w:rsidP="00CA3BB7">
      <w:pPr>
        <w:numPr>
          <w:ilvl w:val="0"/>
          <w:numId w:val="10"/>
        </w:numPr>
        <w:spacing w:after="0"/>
        <w:ind w:left="284" w:hanging="284"/>
        <w:jc w:val="both"/>
        <w:rPr>
          <w:rFonts w:cstheme="minorHAnsi"/>
        </w:rPr>
      </w:pPr>
      <w:r w:rsidRPr="002B785C">
        <w:rPr>
          <w:rFonts w:cstheme="minorHAnsi"/>
        </w:rPr>
        <w:t>b</w:t>
      </w:r>
      <w:r w:rsidR="00933F32" w:rsidRPr="002B785C">
        <w:rPr>
          <w:rFonts w:cstheme="minorHAnsi"/>
        </w:rPr>
        <w:t>udowa i remonty dróg, zakup autobusów miejskich niskoemisyjnych; dalsza termomodernizacja obiektów użyteczności publicznej</w:t>
      </w:r>
      <w:r>
        <w:rPr>
          <w:rFonts w:cstheme="minorHAnsi"/>
        </w:rPr>
        <w:t>,</w:t>
      </w:r>
    </w:p>
    <w:p w14:paraId="1F3A0B31" w14:textId="3927C5C5" w:rsidR="00933F32" w:rsidRPr="002B785C" w:rsidRDefault="002B785C" w:rsidP="00CA3BB7">
      <w:pPr>
        <w:numPr>
          <w:ilvl w:val="0"/>
          <w:numId w:val="10"/>
        </w:numPr>
        <w:spacing w:after="0"/>
        <w:ind w:left="284" w:hanging="284"/>
        <w:jc w:val="both"/>
        <w:rPr>
          <w:rFonts w:cstheme="minorHAnsi"/>
        </w:rPr>
      </w:pPr>
      <w:r>
        <w:rPr>
          <w:rFonts w:cstheme="minorHAnsi"/>
        </w:rPr>
        <w:t>k</w:t>
      </w:r>
      <w:r w:rsidR="00933F32" w:rsidRPr="002B785C">
        <w:rPr>
          <w:rFonts w:cstheme="minorHAnsi"/>
        </w:rPr>
        <w:t>ontynuacja działań informacyjno- edukacyjnych</w:t>
      </w:r>
      <w:r>
        <w:rPr>
          <w:rFonts w:cstheme="minorHAnsi"/>
        </w:rPr>
        <w:t>,</w:t>
      </w:r>
    </w:p>
    <w:p w14:paraId="10CC0F73" w14:textId="15326053" w:rsidR="00933F32" w:rsidRPr="0035160C" w:rsidRDefault="002B785C" w:rsidP="00CA3BB7">
      <w:pPr>
        <w:numPr>
          <w:ilvl w:val="0"/>
          <w:numId w:val="10"/>
        </w:numPr>
        <w:spacing w:after="0"/>
        <w:ind w:left="284" w:hanging="284"/>
        <w:jc w:val="both"/>
        <w:rPr>
          <w:rFonts w:cstheme="minorHAnsi"/>
        </w:rPr>
      </w:pPr>
      <w:r>
        <w:rPr>
          <w:rFonts w:cstheme="minorHAnsi"/>
        </w:rPr>
        <w:t>instalowanie</w:t>
      </w:r>
      <w:r w:rsidR="00933F32" w:rsidRPr="0035160C">
        <w:rPr>
          <w:rFonts w:cstheme="minorHAnsi"/>
        </w:rPr>
        <w:t xml:space="preserve"> czujników pomiaru jakości powietrza</w:t>
      </w:r>
      <w:r>
        <w:rPr>
          <w:rFonts w:cstheme="minorHAnsi"/>
        </w:rPr>
        <w:t>,</w:t>
      </w:r>
    </w:p>
    <w:p w14:paraId="7F796E8A" w14:textId="488EDA98" w:rsidR="00933F32" w:rsidRPr="0035160C" w:rsidRDefault="002B785C" w:rsidP="00CA3BB7">
      <w:pPr>
        <w:numPr>
          <w:ilvl w:val="0"/>
          <w:numId w:val="10"/>
        </w:numPr>
        <w:spacing w:after="0"/>
        <w:ind w:left="284" w:hanging="284"/>
        <w:jc w:val="both"/>
        <w:rPr>
          <w:rFonts w:cstheme="minorHAnsi"/>
        </w:rPr>
      </w:pPr>
      <w:r>
        <w:rPr>
          <w:rFonts w:cstheme="minorHAnsi"/>
        </w:rPr>
        <w:t>m</w:t>
      </w:r>
      <w:r w:rsidR="00933F32" w:rsidRPr="0035160C">
        <w:rPr>
          <w:rFonts w:cstheme="minorHAnsi"/>
        </w:rPr>
        <w:t>odernizacja sieci ciepłowniczej umożliwiająca podłączenie nowych budynków</w:t>
      </w:r>
      <w:r>
        <w:rPr>
          <w:rFonts w:cstheme="minorHAnsi"/>
        </w:rPr>
        <w:t>,</w:t>
      </w:r>
    </w:p>
    <w:p w14:paraId="4CCB0FF0" w14:textId="6D38EAA6" w:rsidR="00933F32" w:rsidRPr="0035160C" w:rsidRDefault="002B785C" w:rsidP="00CA3BB7">
      <w:pPr>
        <w:numPr>
          <w:ilvl w:val="0"/>
          <w:numId w:val="10"/>
        </w:numPr>
        <w:spacing w:after="0"/>
        <w:ind w:left="284" w:hanging="284"/>
        <w:jc w:val="both"/>
        <w:rPr>
          <w:rFonts w:cstheme="minorHAnsi"/>
        </w:rPr>
      </w:pPr>
      <w:r>
        <w:rPr>
          <w:rFonts w:cstheme="minorHAnsi"/>
        </w:rPr>
        <w:t>d</w:t>
      </w:r>
      <w:r w:rsidR="00933F32" w:rsidRPr="0035160C">
        <w:rPr>
          <w:rFonts w:cstheme="minorHAnsi"/>
        </w:rPr>
        <w:t>ofinansowanie przez gminy modernizacji systemów grzewczych dla indywidualnych odbiorców zgodnie z uchwalonymi regulaminami</w:t>
      </w:r>
      <w:r w:rsidR="009E499E">
        <w:rPr>
          <w:rFonts w:cstheme="minorHAnsi"/>
        </w:rPr>
        <w:t>.</w:t>
      </w:r>
    </w:p>
    <w:p w14:paraId="24738E23" w14:textId="3B32C2D4" w:rsidR="00933F32" w:rsidRPr="0035160C" w:rsidRDefault="00CC7B22" w:rsidP="00FF36E6">
      <w:pPr>
        <w:spacing w:before="120" w:after="120"/>
        <w:jc w:val="both"/>
        <w:rPr>
          <w:rFonts w:cstheme="minorHAnsi"/>
        </w:rPr>
      </w:pPr>
      <w:r>
        <w:rPr>
          <w:rFonts w:cstheme="minorHAnsi"/>
        </w:rPr>
        <w:t>R</w:t>
      </w:r>
      <w:r w:rsidR="00933F32" w:rsidRPr="0035160C">
        <w:rPr>
          <w:rFonts w:cstheme="minorHAnsi"/>
        </w:rPr>
        <w:t>ealizacj</w:t>
      </w:r>
      <w:r>
        <w:rPr>
          <w:rFonts w:cstheme="minorHAnsi"/>
        </w:rPr>
        <w:t>a</w:t>
      </w:r>
      <w:r w:rsidR="00933F32" w:rsidRPr="0035160C">
        <w:rPr>
          <w:rFonts w:cstheme="minorHAnsi"/>
        </w:rPr>
        <w:t xml:space="preserve"> działań naprawczych </w:t>
      </w:r>
      <w:r>
        <w:rPr>
          <w:rFonts w:cstheme="minorHAnsi"/>
        </w:rPr>
        <w:t>mających na celu</w:t>
      </w:r>
      <w:r w:rsidR="00933F32" w:rsidRPr="0035160C">
        <w:rPr>
          <w:rFonts w:cstheme="minorHAnsi"/>
        </w:rPr>
        <w:t xml:space="preserve"> popraw</w:t>
      </w:r>
      <w:r>
        <w:rPr>
          <w:rFonts w:cstheme="minorHAnsi"/>
        </w:rPr>
        <w:t>ę</w:t>
      </w:r>
      <w:r w:rsidR="00933F32" w:rsidRPr="0035160C">
        <w:rPr>
          <w:rFonts w:cstheme="minorHAnsi"/>
        </w:rPr>
        <w:t xml:space="preserve"> jakości powietrza w</w:t>
      </w:r>
      <w:r>
        <w:rPr>
          <w:rFonts w:cstheme="minorHAnsi"/>
        </w:rPr>
        <w:t xml:space="preserve"> </w:t>
      </w:r>
      <w:r w:rsidR="00933F32" w:rsidRPr="0035160C">
        <w:rPr>
          <w:rFonts w:cstheme="minorHAnsi"/>
        </w:rPr>
        <w:t>gminach, uzależnion</w:t>
      </w:r>
      <w:r w:rsidR="00B1328A">
        <w:rPr>
          <w:rFonts w:cstheme="minorHAnsi"/>
        </w:rPr>
        <w:t>a</w:t>
      </w:r>
      <w:r w:rsidR="00933F32" w:rsidRPr="0035160C">
        <w:rPr>
          <w:rFonts w:cstheme="minorHAnsi"/>
        </w:rPr>
        <w:t xml:space="preserve"> </w:t>
      </w:r>
      <w:r w:rsidR="00B1328A">
        <w:rPr>
          <w:rFonts w:cstheme="minorHAnsi"/>
        </w:rPr>
        <w:t>jest</w:t>
      </w:r>
      <w:r w:rsidR="00933F32" w:rsidRPr="0035160C">
        <w:rPr>
          <w:rFonts w:cstheme="minorHAnsi"/>
        </w:rPr>
        <w:t xml:space="preserve"> od </w:t>
      </w:r>
      <w:r w:rsidR="00B1328A">
        <w:rPr>
          <w:rFonts w:cstheme="minorHAnsi"/>
        </w:rPr>
        <w:t xml:space="preserve">możliwości pozyskania </w:t>
      </w:r>
      <w:r w:rsidR="00933F32" w:rsidRPr="0035160C">
        <w:rPr>
          <w:rFonts w:cstheme="minorHAnsi"/>
        </w:rPr>
        <w:t xml:space="preserve">środków finansowych </w:t>
      </w:r>
      <w:r w:rsidR="00CD6FB1" w:rsidRPr="0035160C">
        <w:rPr>
          <w:rFonts w:cstheme="minorHAnsi"/>
        </w:rPr>
        <w:t xml:space="preserve">dedykowanych </w:t>
      </w:r>
      <w:r w:rsidR="00933F32" w:rsidRPr="0035160C">
        <w:rPr>
          <w:rFonts w:cstheme="minorHAnsi"/>
        </w:rPr>
        <w:t xml:space="preserve">na </w:t>
      </w:r>
      <w:r w:rsidR="00CD6FB1" w:rsidRPr="0035160C">
        <w:rPr>
          <w:rFonts w:cstheme="minorHAnsi"/>
        </w:rPr>
        <w:t xml:space="preserve">realizację </w:t>
      </w:r>
      <w:r w:rsidR="00933F32" w:rsidRPr="0035160C">
        <w:rPr>
          <w:rFonts w:cstheme="minorHAnsi"/>
        </w:rPr>
        <w:t>działa</w:t>
      </w:r>
      <w:r w:rsidR="00CD6FB1" w:rsidRPr="0035160C">
        <w:rPr>
          <w:rFonts w:cstheme="minorHAnsi"/>
        </w:rPr>
        <w:t>ń</w:t>
      </w:r>
      <w:r w:rsidR="00933F32" w:rsidRPr="0035160C">
        <w:rPr>
          <w:rFonts w:cstheme="minorHAnsi"/>
        </w:rPr>
        <w:t xml:space="preserve"> w tym zakresie. Dlatego też, zapytano gminy z jakich środków finansowych gmina planuje realizację inwestycji z zakresu poprawy jakości powietrza do 2030 r. Zgodnie z uzyskanymi odpowiedziami należą do nich: m.in.:</w:t>
      </w:r>
    </w:p>
    <w:p w14:paraId="002088DF" w14:textId="45A6DBBA" w:rsidR="00933F32" w:rsidRPr="0035160C" w:rsidRDefault="00933F32" w:rsidP="00CA3BB7">
      <w:pPr>
        <w:numPr>
          <w:ilvl w:val="0"/>
          <w:numId w:val="11"/>
        </w:numPr>
        <w:spacing w:after="0"/>
        <w:ind w:left="425" w:hanging="425"/>
        <w:jc w:val="both"/>
        <w:rPr>
          <w:rFonts w:cstheme="minorHAnsi"/>
        </w:rPr>
      </w:pPr>
      <w:r w:rsidRPr="0035160C">
        <w:rPr>
          <w:rFonts w:cstheme="minorHAnsi"/>
        </w:rPr>
        <w:t>Regionalne Programy Operacyjne</w:t>
      </w:r>
      <w:r w:rsidR="00B1328A">
        <w:rPr>
          <w:rFonts w:cstheme="minorHAnsi"/>
        </w:rPr>
        <w:t>,</w:t>
      </w:r>
    </w:p>
    <w:p w14:paraId="7B2F704E" w14:textId="424CF9F1" w:rsidR="00933F32" w:rsidRPr="0035160C" w:rsidRDefault="009E499E" w:rsidP="00CA3BB7">
      <w:pPr>
        <w:numPr>
          <w:ilvl w:val="0"/>
          <w:numId w:val="11"/>
        </w:numPr>
        <w:spacing w:after="0"/>
        <w:ind w:left="425" w:hanging="425"/>
        <w:jc w:val="both"/>
        <w:rPr>
          <w:rFonts w:cstheme="minorHAnsi"/>
        </w:rPr>
      </w:pPr>
      <w:r>
        <w:rPr>
          <w:rFonts w:cstheme="minorHAnsi"/>
        </w:rPr>
        <w:t>WFOŚiGW</w:t>
      </w:r>
    </w:p>
    <w:p w14:paraId="65F4615D" w14:textId="6B5258CC" w:rsidR="00933F32" w:rsidRPr="0035160C" w:rsidRDefault="009E499E" w:rsidP="00CA3BB7">
      <w:pPr>
        <w:numPr>
          <w:ilvl w:val="0"/>
          <w:numId w:val="11"/>
        </w:numPr>
        <w:spacing w:after="0"/>
        <w:ind w:left="425" w:hanging="425"/>
        <w:jc w:val="both"/>
        <w:rPr>
          <w:rFonts w:cstheme="minorHAnsi"/>
        </w:rPr>
      </w:pPr>
      <w:r>
        <w:rPr>
          <w:rFonts w:cstheme="minorHAnsi"/>
        </w:rPr>
        <w:t>NFOŚiGW</w:t>
      </w:r>
    </w:p>
    <w:p w14:paraId="461EAF31" w14:textId="4E1F5582" w:rsidR="00933F32" w:rsidRPr="0035160C" w:rsidRDefault="00B1328A" w:rsidP="00CA3BB7">
      <w:pPr>
        <w:numPr>
          <w:ilvl w:val="0"/>
          <w:numId w:val="11"/>
        </w:numPr>
        <w:spacing w:after="0"/>
        <w:ind w:left="425" w:hanging="425"/>
        <w:jc w:val="both"/>
        <w:rPr>
          <w:rFonts w:cstheme="minorHAnsi"/>
        </w:rPr>
      </w:pPr>
      <w:r>
        <w:rPr>
          <w:rFonts w:cstheme="minorHAnsi"/>
        </w:rPr>
        <w:t>Nowy Program „</w:t>
      </w:r>
      <w:r w:rsidRPr="00B1328A">
        <w:rPr>
          <w:rFonts w:cstheme="minorHAnsi"/>
          <w:i/>
          <w:iCs/>
        </w:rPr>
        <w:t>Fundusze Europejskie na Infrastrukturę, Klimat, Środowisko na lata 2021-2027</w:t>
      </w:r>
      <w:r>
        <w:rPr>
          <w:rFonts w:cstheme="minorHAnsi"/>
          <w:i/>
          <w:iCs/>
        </w:rPr>
        <w:t>”</w:t>
      </w:r>
      <w:r w:rsidRPr="00B1328A">
        <w:rPr>
          <w:rFonts w:cstheme="minorHAnsi"/>
          <w:i/>
          <w:iCs/>
        </w:rPr>
        <w:t xml:space="preserve"> </w:t>
      </w:r>
      <w:r w:rsidRPr="00B1328A">
        <w:rPr>
          <w:rFonts w:cstheme="minorHAnsi"/>
        </w:rPr>
        <w:t>(FEnIKS)</w:t>
      </w:r>
      <w:r>
        <w:rPr>
          <w:rFonts w:cstheme="minorHAnsi"/>
        </w:rPr>
        <w:t>,</w:t>
      </w:r>
    </w:p>
    <w:p w14:paraId="2233CB89" w14:textId="2C50D0DA" w:rsidR="00933F32" w:rsidRPr="0035160C" w:rsidRDefault="00933F32" w:rsidP="00CA3BB7">
      <w:pPr>
        <w:numPr>
          <w:ilvl w:val="0"/>
          <w:numId w:val="11"/>
        </w:numPr>
        <w:spacing w:after="0"/>
        <w:ind w:left="425" w:hanging="425"/>
        <w:jc w:val="both"/>
        <w:rPr>
          <w:rFonts w:cstheme="minorHAnsi"/>
        </w:rPr>
      </w:pPr>
      <w:r w:rsidRPr="0035160C">
        <w:rPr>
          <w:rFonts w:cstheme="minorHAnsi"/>
        </w:rPr>
        <w:t>Program Rozwoju Obszarów Wiejskich</w:t>
      </w:r>
      <w:r w:rsidR="00B1328A">
        <w:rPr>
          <w:rFonts w:cstheme="minorHAnsi"/>
        </w:rPr>
        <w:t>,</w:t>
      </w:r>
    </w:p>
    <w:p w14:paraId="38140D5A" w14:textId="09CD8415" w:rsidR="00933F32" w:rsidRPr="0035160C" w:rsidRDefault="00933F32" w:rsidP="00CA3BB7">
      <w:pPr>
        <w:numPr>
          <w:ilvl w:val="0"/>
          <w:numId w:val="11"/>
        </w:numPr>
        <w:spacing w:after="0"/>
        <w:ind w:left="425" w:hanging="425"/>
        <w:jc w:val="both"/>
        <w:rPr>
          <w:rFonts w:cstheme="minorHAnsi"/>
        </w:rPr>
      </w:pPr>
      <w:r w:rsidRPr="0035160C">
        <w:rPr>
          <w:rFonts w:cstheme="minorHAnsi"/>
        </w:rPr>
        <w:t>środki Banku Gospodarstwa Krajowego</w:t>
      </w:r>
      <w:r w:rsidR="00B1328A">
        <w:rPr>
          <w:rFonts w:cstheme="minorHAnsi"/>
        </w:rPr>
        <w:t>,</w:t>
      </w:r>
    </w:p>
    <w:p w14:paraId="74511394" w14:textId="6BD948DF" w:rsidR="00933F32" w:rsidRPr="0035160C" w:rsidRDefault="00933F32" w:rsidP="00CA3BB7">
      <w:pPr>
        <w:numPr>
          <w:ilvl w:val="0"/>
          <w:numId w:val="11"/>
        </w:numPr>
        <w:spacing w:after="0"/>
        <w:ind w:left="425" w:hanging="425"/>
        <w:jc w:val="both"/>
        <w:rPr>
          <w:rFonts w:cstheme="minorHAnsi"/>
        </w:rPr>
      </w:pPr>
      <w:r w:rsidRPr="0035160C">
        <w:rPr>
          <w:rFonts w:cstheme="minorHAnsi"/>
        </w:rPr>
        <w:t>środki własne gminy</w:t>
      </w:r>
      <w:r w:rsidR="00B1328A">
        <w:rPr>
          <w:rFonts w:cstheme="minorHAnsi"/>
        </w:rPr>
        <w:t>,</w:t>
      </w:r>
    </w:p>
    <w:p w14:paraId="65690575" w14:textId="6E6DFFE4" w:rsidR="00933F32" w:rsidRPr="0035160C" w:rsidRDefault="00933F32" w:rsidP="00CA3BB7">
      <w:pPr>
        <w:numPr>
          <w:ilvl w:val="0"/>
          <w:numId w:val="11"/>
        </w:numPr>
        <w:spacing w:after="0"/>
        <w:ind w:left="425" w:hanging="425"/>
        <w:jc w:val="both"/>
        <w:rPr>
          <w:rFonts w:cstheme="minorHAnsi"/>
        </w:rPr>
      </w:pPr>
      <w:r w:rsidRPr="0035160C">
        <w:rPr>
          <w:rFonts w:cstheme="minorHAnsi"/>
        </w:rPr>
        <w:t>dotacje z urzędów marszałkowskich</w:t>
      </w:r>
      <w:r w:rsidR="00CA5FE4">
        <w:rPr>
          <w:rFonts w:cstheme="minorHAnsi"/>
        </w:rPr>
        <w:t>,</w:t>
      </w:r>
    </w:p>
    <w:p w14:paraId="09033A8A" w14:textId="0B2D81CD" w:rsidR="00933F32" w:rsidRPr="0035160C" w:rsidRDefault="00B1328A" w:rsidP="00CA3BB7">
      <w:pPr>
        <w:numPr>
          <w:ilvl w:val="0"/>
          <w:numId w:val="11"/>
        </w:numPr>
        <w:spacing w:after="0"/>
        <w:ind w:left="425" w:hanging="425"/>
        <w:jc w:val="both"/>
        <w:rPr>
          <w:rFonts w:cstheme="minorHAnsi"/>
        </w:rPr>
      </w:pPr>
      <w:r>
        <w:rPr>
          <w:rFonts w:cstheme="minorHAnsi"/>
        </w:rPr>
        <w:t>F</w:t>
      </w:r>
      <w:r w:rsidR="00933F32" w:rsidRPr="0035160C">
        <w:rPr>
          <w:rFonts w:cstheme="minorHAnsi"/>
        </w:rPr>
        <w:t>undusze Norweskie</w:t>
      </w:r>
      <w:r>
        <w:rPr>
          <w:rFonts w:cstheme="minorHAnsi"/>
        </w:rPr>
        <w:t xml:space="preserve"> i EOG,</w:t>
      </w:r>
    </w:p>
    <w:p w14:paraId="18EA64F8" w14:textId="71AB8755" w:rsidR="00933F32" w:rsidRPr="0035160C" w:rsidRDefault="00B1328A" w:rsidP="00CA3BB7">
      <w:pPr>
        <w:numPr>
          <w:ilvl w:val="0"/>
          <w:numId w:val="11"/>
        </w:numPr>
        <w:spacing w:after="0"/>
        <w:ind w:left="425" w:hanging="425"/>
        <w:jc w:val="both"/>
        <w:rPr>
          <w:rFonts w:cstheme="minorHAnsi"/>
        </w:rPr>
      </w:pPr>
      <w:r>
        <w:rPr>
          <w:rFonts w:cstheme="minorHAnsi"/>
        </w:rPr>
        <w:t>ulga termomodernizacyjna.</w:t>
      </w:r>
    </w:p>
    <w:p w14:paraId="7330347D" w14:textId="51F816FA" w:rsidR="00933F32" w:rsidRPr="0035160C" w:rsidRDefault="00933F32" w:rsidP="00CD6FB1">
      <w:pPr>
        <w:spacing w:before="120" w:after="120"/>
        <w:jc w:val="both"/>
        <w:rPr>
          <w:rFonts w:cstheme="minorHAnsi"/>
          <w:b/>
          <w:bCs/>
          <w:color w:val="2F5496" w:themeColor="accent1" w:themeShade="BF"/>
        </w:rPr>
      </w:pPr>
      <w:r w:rsidRPr="0035160C">
        <w:rPr>
          <w:rFonts w:cstheme="minorHAnsi"/>
          <w:b/>
          <w:bCs/>
          <w:color w:val="2F5496" w:themeColor="accent1" w:themeShade="BF"/>
        </w:rPr>
        <w:t>Podsumowanie</w:t>
      </w:r>
    </w:p>
    <w:p w14:paraId="1B5A9AAB" w14:textId="7D1852F5" w:rsidR="00933F32" w:rsidRPr="0035160C" w:rsidRDefault="00933F32" w:rsidP="00933F32">
      <w:pPr>
        <w:jc w:val="both"/>
        <w:rPr>
          <w:rFonts w:cstheme="minorHAnsi"/>
        </w:rPr>
      </w:pPr>
      <w:r w:rsidRPr="0035160C">
        <w:rPr>
          <w:rFonts w:cstheme="minorHAnsi"/>
        </w:rPr>
        <w:t xml:space="preserve">Z otrzymanych </w:t>
      </w:r>
      <w:r w:rsidR="00B1328A">
        <w:rPr>
          <w:rFonts w:cstheme="minorHAnsi"/>
        </w:rPr>
        <w:t xml:space="preserve">odpowiedzi udzielonych przez gminy w </w:t>
      </w:r>
      <w:r w:rsidR="008F2642">
        <w:rPr>
          <w:rFonts w:cstheme="minorHAnsi"/>
        </w:rPr>
        <w:t>ankietach</w:t>
      </w:r>
      <w:r w:rsidRPr="0035160C">
        <w:rPr>
          <w:rFonts w:cstheme="minorHAnsi"/>
        </w:rPr>
        <w:t xml:space="preserve"> należy wnioskować, iż </w:t>
      </w:r>
      <w:r w:rsidRPr="0035160C">
        <w:rPr>
          <w:rFonts w:cstheme="minorHAnsi"/>
          <w:b/>
          <w:bCs/>
          <w:color w:val="2F5496" w:themeColor="accent1" w:themeShade="BF"/>
        </w:rPr>
        <w:t>gminy podejmują działania w zakresie poprawy jakości powietrza</w:t>
      </w:r>
      <w:r w:rsidR="008F2642">
        <w:rPr>
          <w:rFonts w:cstheme="minorHAnsi"/>
          <w:b/>
          <w:bCs/>
          <w:color w:val="2F5496" w:themeColor="accent1" w:themeShade="BF"/>
        </w:rPr>
        <w:t>. N</w:t>
      </w:r>
      <w:r w:rsidRPr="0035160C">
        <w:rPr>
          <w:rFonts w:cstheme="minorHAnsi"/>
          <w:b/>
          <w:bCs/>
          <w:color w:val="2F5496" w:themeColor="accent1" w:themeShade="BF"/>
        </w:rPr>
        <w:t xml:space="preserve">ie są one jednak </w:t>
      </w:r>
      <w:r w:rsidR="00873003" w:rsidRPr="0035160C">
        <w:rPr>
          <w:rFonts w:cstheme="minorHAnsi"/>
          <w:b/>
          <w:bCs/>
          <w:color w:val="2F5496" w:themeColor="accent1" w:themeShade="BF"/>
        </w:rPr>
        <w:t>jednolite</w:t>
      </w:r>
      <w:r w:rsidRPr="0035160C">
        <w:rPr>
          <w:rFonts w:cstheme="minorHAnsi"/>
          <w:b/>
          <w:bCs/>
          <w:color w:val="2F5496" w:themeColor="accent1" w:themeShade="BF"/>
        </w:rPr>
        <w:t xml:space="preserve"> w </w:t>
      </w:r>
      <w:r w:rsidR="008F2642">
        <w:rPr>
          <w:rFonts w:cstheme="minorHAnsi"/>
          <w:b/>
          <w:bCs/>
          <w:color w:val="2F5496" w:themeColor="accent1" w:themeShade="BF"/>
        </w:rPr>
        <w:t>we wszystkich</w:t>
      </w:r>
      <w:r w:rsidRPr="0035160C">
        <w:rPr>
          <w:rFonts w:cstheme="minorHAnsi"/>
          <w:b/>
          <w:bCs/>
          <w:color w:val="2F5496" w:themeColor="accent1" w:themeShade="BF"/>
        </w:rPr>
        <w:t xml:space="preserve"> gminach</w:t>
      </w:r>
      <w:r w:rsidRPr="0035160C">
        <w:rPr>
          <w:rFonts w:cstheme="minorHAnsi"/>
        </w:rPr>
        <w:t>. Inne działania podejmowane są w gminach wiejskich</w:t>
      </w:r>
      <w:r w:rsidR="00873003" w:rsidRPr="0035160C">
        <w:rPr>
          <w:rFonts w:cstheme="minorHAnsi"/>
        </w:rPr>
        <w:t>,</w:t>
      </w:r>
      <w:r w:rsidRPr="0035160C">
        <w:rPr>
          <w:rFonts w:cstheme="minorHAnsi"/>
        </w:rPr>
        <w:t xml:space="preserve"> inne w miejskich oraz miejsko-wiejskich. </w:t>
      </w:r>
      <w:r w:rsidR="008F2642">
        <w:rPr>
          <w:rFonts w:cstheme="minorHAnsi"/>
        </w:rPr>
        <w:t>Rodzaj podejmowanych d</w:t>
      </w:r>
      <w:r w:rsidRPr="0035160C">
        <w:rPr>
          <w:rFonts w:cstheme="minorHAnsi"/>
        </w:rPr>
        <w:t>ziała</w:t>
      </w:r>
      <w:r w:rsidR="008F2642">
        <w:rPr>
          <w:rFonts w:cstheme="minorHAnsi"/>
        </w:rPr>
        <w:t>ń</w:t>
      </w:r>
      <w:r w:rsidRPr="0035160C">
        <w:rPr>
          <w:rFonts w:cstheme="minorHAnsi"/>
        </w:rPr>
        <w:t xml:space="preserve"> uzależnion</w:t>
      </w:r>
      <w:r w:rsidR="008F2642">
        <w:rPr>
          <w:rFonts w:cstheme="minorHAnsi"/>
        </w:rPr>
        <w:t>y jest</w:t>
      </w:r>
      <w:r w:rsidR="00873003" w:rsidRPr="0035160C">
        <w:rPr>
          <w:rFonts w:cstheme="minorHAnsi"/>
        </w:rPr>
        <w:t>,</w:t>
      </w:r>
      <w:r w:rsidRPr="0035160C">
        <w:rPr>
          <w:rFonts w:cstheme="minorHAnsi"/>
        </w:rPr>
        <w:t xml:space="preserve"> jak wskazują ankietowani</w:t>
      </w:r>
      <w:r w:rsidR="009E499E">
        <w:rPr>
          <w:rFonts w:cstheme="minorHAnsi"/>
        </w:rPr>
        <w:t>,</w:t>
      </w:r>
      <w:r w:rsidRPr="0035160C">
        <w:rPr>
          <w:rFonts w:cstheme="minorHAnsi"/>
        </w:rPr>
        <w:t xml:space="preserve"> od możliwości kadrowych, kwalifikacji pracowników, możliwości finansowych oraz świadomości mieszkańców na temat konieczności prowadzenia działań m.in.: wymian</w:t>
      </w:r>
      <w:r w:rsidR="00B1328A">
        <w:rPr>
          <w:rFonts w:cstheme="minorHAnsi"/>
        </w:rPr>
        <w:t>y</w:t>
      </w:r>
      <w:r w:rsidRPr="0035160C">
        <w:rPr>
          <w:rFonts w:cstheme="minorHAnsi"/>
        </w:rPr>
        <w:t xml:space="preserve"> kot</w:t>
      </w:r>
      <w:r w:rsidR="00B1328A">
        <w:rPr>
          <w:rFonts w:cstheme="minorHAnsi"/>
        </w:rPr>
        <w:t>ł</w:t>
      </w:r>
      <w:r w:rsidRPr="0035160C">
        <w:rPr>
          <w:rFonts w:cstheme="minorHAnsi"/>
        </w:rPr>
        <w:t>ów węglowych</w:t>
      </w:r>
      <w:r w:rsidR="00873003" w:rsidRPr="0035160C">
        <w:rPr>
          <w:rFonts w:cstheme="minorHAnsi"/>
        </w:rPr>
        <w:t>.</w:t>
      </w:r>
      <w:r w:rsidRPr="0035160C">
        <w:rPr>
          <w:rFonts w:cstheme="minorHAnsi"/>
        </w:rPr>
        <w:t xml:space="preserve"> </w:t>
      </w:r>
      <w:r w:rsidRPr="0035160C">
        <w:rPr>
          <w:rFonts w:cstheme="minorHAnsi"/>
          <w:b/>
          <w:bCs/>
          <w:color w:val="2F5496" w:themeColor="accent1" w:themeShade="BF"/>
        </w:rPr>
        <w:t>Komple</w:t>
      </w:r>
      <w:r w:rsidR="00B1328A">
        <w:rPr>
          <w:rFonts w:cstheme="minorHAnsi"/>
          <w:b/>
          <w:bCs/>
          <w:color w:val="2F5496" w:themeColor="accent1" w:themeShade="BF"/>
        </w:rPr>
        <w:t xml:space="preserve">ksowa </w:t>
      </w:r>
      <w:r w:rsidRPr="0035160C">
        <w:rPr>
          <w:rFonts w:cstheme="minorHAnsi"/>
          <w:b/>
          <w:bCs/>
          <w:color w:val="2F5496" w:themeColor="accent1" w:themeShade="BF"/>
        </w:rPr>
        <w:t xml:space="preserve">wiedza na temat </w:t>
      </w:r>
      <w:r w:rsidR="00B1328A">
        <w:rPr>
          <w:rFonts w:cstheme="minorHAnsi"/>
          <w:b/>
          <w:bCs/>
          <w:color w:val="2F5496" w:themeColor="accent1" w:themeShade="BF"/>
        </w:rPr>
        <w:t xml:space="preserve">przyczyn powstawania zanieczyszczeń </w:t>
      </w:r>
      <w:r w:rsidRPr="0035160C">
        <w:rPr>
          <w:rFonts w:cstheme="minorHAnsi"/>
          <w:b/>
          <w:bCs/>
          <w:color w:val="2F5496" w:themeColor="accent1" w:themeShade="BF"/>
        </w:rPr>
        <w:t xml:space="preserve">do powietrza, a przede wszystkim skutków zdrowotnych powodowanych przez te zanieczyszczenia tj. </w:t>
      </w:r>
      <w:r w:rsidR="008C3236">
        <w:rPr>
          <w:rFonts w:cstheme="minorHAnsi"/>
          <w:b/>
          <w:bCs/>
          <w:color w:val="2F5496" w:themeColor="accent1" w:themeShade="BF"/>
        </w:rPr>
        <w:t xml:space="preserve">frakcje </w:t>
      </w:r>
      <w:r w:rsidRPr="0035160C">
        <w:rPr>
          <w:rFonts w:cstheme="minorHAnsi"/>
          <w:b/>
          <w:bCs/>
          <w:color w:val="2F5496" w:themeColor="accent1" w:themeShade="BF"/>
        </w:rPr>
        <w:t>PM10</w:t>
      </w:r>
      <w:r w:rsidR="008C3236">
        <w:rPr>
          <w:rFonts w:cstheme="minorHAnsi"/>
          <w:b/>
          <w:bCs/>
          <w:color w:val="2F5496" w:themeColor="accent1" w:themeShade="BF"/>
        </w:rPr>
        <w:t xml:space="preserve"> i</w:t>
      </w:r>
      <w:r w:rsidRPr="0035160C">
        <w:rPr>
          <w:rFonts w:cstheme="minorHAnsi"/>
          <w:b/>
          <w:bCs/>
          <w:color w:val="2F5496" w:themeColor="accent1" w:themeShade="BF"/>
        </w:rPr>
        <w:t xml:space="preserve"> PM2,5</w:t>
      </w:r>
      <w:r w:rsidR="008C3236">
        <w:rPr>
          <w:rFonts w:cstheme="minorHAnsi"/>
          <w:b/>
          <w:bCs/>
          <w:color w:val="2F5496" w:themeColor="accent1" w:themeShade="BF"/>
        </w:rPr>
        <w:t xml:space="preserve"> pyłu oraz</w:t>
      </w:r>
      <w:r w:rsidRPr="0035160C">
        <w:rPr>
          <w:rFonts w:cstheme="minorHAnsi"/>
          <w:b/>
          <w:bCs/>
          <w:color w:val="2F5496" w:themeColor="accent1" w:themeShade="BF"/>
        </w:rPr>
        <w:t xml:space="preserve"> </w:t>
      </w:r>
      <w:r w:rsidR="00B1328A">
        <w:rPr>
          <w:rFonts w:cstheme="minorHAnsi"/>
          <w:b/>
          <w:bCs/>
          <w:color w:val="2F5496" w:themeColor="accent1" w:themeShade="BF"/>
        </w:rPr>
        <w:t>B(a)P</w:t>
      </w:r>
      <w:r w:rsidRPr="0035160C">
        <w:rPr>
          <w:rFonts w:cstheme="minorHAnsi"/>
          <w:b/>
          <w:bCs/>
          <w:color w:val="2F5496" w:themeColor="accent1" w:themeShade="BF"/>
        </w:rPr>
        <w:t xml:space="preserve"> w znaczący sposób może przyczynić się do złagodzenia oporów jakie mają mieszkańcy m.in.</w:t>
      </w:r>
      <w:r w:rsidR="008F2642">
        <w:rPr>
          <w:rFonts w:cstheme="minorHAnsi"/>
          <w:b/>
          <w:bCs/>
          <w:color w:val="2F5496" w:themeColor="accent1" w:themeShade="BF"/>
        </w:rPr>
        <w:t xml:space="preserve"> </w:t>
      </w:r>
      <w:r w:rsidRPr="0035160C">
        <w:rPr>
          <w:rFonts w:cstheme="minorHAnsi"/>
          <w:b/>
          <w:bCs/>
          <w:color w:val="2F5496" w:themeColor="accent1" w:themeShade="BF"/>
        </w:rPr>
        <w:t>dot</w:t>
      </w:r>
      <w:r w:rsidR="008F2642">
        <w:rPr>
          <w:rFonts w:cstheme="minorHAnsi"/>
          <w:b/>
          <w:bCs/>
          <w:color w:val="2F5496" w:themeColor="accent1" w:themeShade="BF"/>
        </w:rPr>
        <w:t xml:space="preserve">yczących zasadności </w:t>
      </w:r>
      <w:r w:rsidRPr="0035160C">
        <w:rPr>
          <w:rFonts w:cstheme="minorHAnsi"/>
          <w:b/>
          <w:bCs/>
          <w:color w:val="2F5496" w:themeColor="accent1" w:themeShade="BF"/>
        </w:rPr>
        <w:t>wymiany starych pieców węglowych</w:t>
      </w:r>
      <w:r w:rsidRPr="0035160C">
        <w:rPr>
          <w:rFonts w:cstheme="minorHAnsi"/>
        </w:rPr>
        <w:t>. Wyraźnie zauważalnym jest też</w:t>
      </w:r>
      <w:r w:rsidR="00B1328A">
        <w:rPr>
          <w:rFonts w:cstheme="minorHAnsi"/>
        </w:rPr>
        <w:t>,</w:t>
      </w:r>
      <w:r w:rsidRPr="0035160C">
        <w:rPr>
          <w:rFonts w:cstheme="minorHAnsi"/>
        </w:rPr>
        <w:t xml:space="preserve"> że w działaniach podejmowanych przez gminy </w:t>
      </w:r>
      <w:r w:rsidR="00B1328A" w:rsidRPr="0035160C">
        <w:rPr>
          <w:rFonts w:cstheme="minorHAnsi"/>
        </w:rPr>
        <w:t xml:space="preserve">brakuje </w:t>
      </w:r>
      <w:r w:rsidR="00B1328A">
        <w:rPr>
          <w:rFonts w:cstheme="minorHAnsi"/>
        </w:rPr>
        <w:t xml:space="preserve">przede wszystkim </w:t>
      </w:r>
      <w:r w:rsidRPr="0035160C">
        <w:rPr>
          <w:rFonts w:cstheme="minorHAnsi"/>
        </w:rPr>
        <w:t>takiej informacji</w:t>
      </w:r>
      <w:r w:rsidR="00B1328A">
        <w:rPr>
          <w:rFonts w:cstheme="minorHAnsi"/>
        </w:rPr>
        <w:t xml:space="preserve"> kierowanej do </w:t>
      </w:r>
      <w:r w:rsidRPr="0035160C">
        <w:rPr>
          <w:rFonts w:cstheme="minorHAnsi"/>
        </w:rPr>
        <w:t>obywateli. W tym zakresie nie otrzymaliśmy żadnej informacji od gmin.</w:t>
      </w:r>
    </w:p>
    <w:p w14:paraId="70D15B3A" w14:textId="260955F4" w:rsidR="00933F32" w:rsidRPr="0035160C" w:rsidRDefault="00933F32" w:rsidP="00933F32">
      <w:pPr>
        <w:jc w:val="both"/>
        <w:rPr>
          <w:rFonts w:cstheme="minorHAnsi"/>
        </w:rPr>
      </w:pPr>
      <w:r w:rsidRPr="0035160C">
        <w:rPr>
          <w:rFonts w:cstheme="minorHAnsi"/>
        </w:rPr>
        <w:lastRenderedPageBreak/>
        <w:t xml:space="preserve">Natomiast </w:t>
      </w:r>
      <w:r w:rsidR="008F2642">
        <w:rPr>
          <w:rFonts w:cstheme="minorHAnsi"/>
        </w:rPr>
        <w:t>wyodrębnienie</w:t>
      </w:r>
      <w:r w:rsidRPr="0035160C">
        <w:rPr>
          <w:rFonts w:cstheme="minorHAnsi"/>
        </w:rPr>
        <w:t xml:space="preserve"> w gminach, w których nie ma</w:t>
      </w:r>
      <w:r w:rsidR="008F2642">
        <w:rPr>
          <w:rFonts w:cstheme="minorHAnsi"/>
        </w:rPr>
        <w:t xml:space="preserve">, komórki organizacyjnej dedykowanej ochronie środowiska, </w:t>
      </w:r>
      <w:r w:rsidRPr="0035160C">
        <w:rPr>
          <w:rFonts w:cstheme="minorHAnsi"/>
        </w:rPr>
        <w:t xml:space="preserve">przyczyni się do zsynchronizowania działań w tym </w:t>
      </w:r>
      <w:r w:rsidR="008F2642">
        <w:rPr>
          <w:rFonts w:cstheme="minorHAnsi"/>
        </w:rPr>
        <w:t>obszarze i zapewni jej płyną realizację</w:t>
      </w:r>
      <w:r w:rsidRPr="0035160C">
        <w:rPr>
          <w:rFonts w:cstheme="minorHAnsi"/>
        </w:rPr>
        <w:t xml:space="preserve">. </w:t>
      </w:r>
    </w:p>
    <w:p w14:paraId="2AA5BE2D" w14:textId="4F33469C" w:rsidR="00933F32" w:rsidRPr="0035160C" w:rsidRDefault="00933F32" w:rsidP="00933F32">
      <w:pPr>
        <w:jc w:val="both"/>
        <w:rPr>
          <w:rFonts w:cstheme="minorHAnsi"/>
        </w:rPr>
      </w:pPr>
      <w:r w:rsidRPr="0035160C">
        <w:rPr>
          <w:rFonts w:cstheme="minorHAnsi"/>
        </w:rPr>
        <w:t xml:space="preserve">Kolejną barierą jaka jest zauważalna w gminach to </w:t>
      </w:r>
      <w:r w:rsidRPr="0035160C">
        <w:rPr>
          <w:rFonts w:cstheme="minorHAnsi"/>
          <w:b/>
          <w:bCs/>
          <w:color w:val="2F5496" w:themeColor="accent1" w:themeShade="BF"/>
        </w:rPr>
        <w:t>brak wykwalifikowanej kadry w pozyskiwaniu środków krajowych i unijnych na działania wspierające ograniczenie emisji zanieczyszczeń do powietrza</w:t>
      </w:r>
      <w:r w:rsidRPr="0035160C">
        <w:rPr>
          <w:rFonts w:cstheme="minorHAnsi"/>
        </w:rPr>
        <w:t xml:space="preserve">, a tym samym brak zsynchronizowanych działań kompleksowych w tym zakresie. </w:t>
      </w:r>
    </w:p>
    <w:p w14:paraId="230AC3BF" w14:textId="777B3407" w:rsidR="00933F32" w:rsidRPr="0035160C" w:rsidRDefault="00933F32" w:rsidP="00933F32">
      <w:pPr>
        <w:jc w:val="both"/>
        <w:rPr>
          <w:rFonts w:cstheme="minorHAnsi"/>
          <w:b/>
          <w:bCs/>
          <w:color w:val="2F5496" w:themeColor="accent1" w:themeShade="BF"/>
        </w:rPr>
      </w:pPr>
      <w:r w:rsidRPr="0035160C">
        <w:rPr>
          <w:rFonts w:cstheme="minorHAnsi"/>
          <w:b/>
          <w:bCs/>
          <w:color w:val="2F5496" w:themeColor="accent1" w:themeShade="BF"/>
        </w:rPr>
        <w:t xml:space="preserve">Ważnym </w:t>
      </w:r>
      <w:r w:rsidR="00873003" w:rsidRPr="0035160C">
        <w:rPr>
          <w:rFonts w:cstheme="minorHAnsi"/>
          <w:b/>
          <w:bCs/>
          <w:color w:val="2F5496" w:themeColor="accent1" w:themeShade="BF"/>
        </w:rPr>
        <w:t>aspektem</w:t>
      </w:r>
      <w:r w:rsidRPr="0035160C">
        <w:rPr>
          <w:rFonts w:cstheme="minorHAnsi"/>
          <w:b/>
          <w:bCs/>
          <w:color w:val="2F5496" w:themeColor="accent1" w:themeShade="BF"/>
        </w:rPr>
        <w:t xml:space="preserve">, który należy wzmocnić i kontynuować w gminach jest prowadzenie kampanii informacyjnej na temat możliwości wsparcia finansowego, dotacyjnego i pożyczkowego, m.in.: </w:t>
      </w:r>
      <w:r w:rsidR="007748FE" w:rsidRPr="0035160C">
        <w:rPr>
          <w:rFonts w:cstheme="minorHAnsi"/>
          <w:b/>
          <w:bCs/>
          <w:color w:val="2F5496" w:themeColor="accent1" w:themeShade="BF"/>
        </w:rPr>
        <w:t>w</w:t>
      </w:r>
      <w:r w:rsidR="004715FC">
        <w:rPr>
          <w:rFonts w:cstheme="minorHAnsi"/>
          <w:b/>
          <w:bCs/>
          <w:color w:val="2F5496" w:themeColor="accent1" w:themeShade="BF"/>
        </w:rPr>
        <w:t> </w:t>
      </w:r>
      <w:r w:rsidR="007748FE" w:rsidRPr="0035160C">
        <w:rPr>
          <w:rFonts w:cstheme="minorHAnsi"/>
          <w:b/>
          <w:bCs/>
          <w:color w:val="2F5496" w:themeColor="accent1" w:themeShade="BF"/>
        </w:rPr>
        <w:t xml:space="preserve">ramach </w:t>
      </w:r>
      <w:r w:rsidRPr="0035160C">
        <w:rPr>
          <w:rFonts w:cstheme="minorHAnsi"/>
          <w:b/>
          <w:bCs/>
          <w:color w:val="2F5496" w:themeColor="accent1" w:themeShade="BF"/>
        </w:rPr>
        <w:t>Programu</w:t>
      </w:r>
      <w:r w:rsidR="007748FE" w:rsidRPr="0035160C">
        <w:rPr>
          <w:rFonts w:cstheme="minorHAnsi"/>
          <w:b/>
          <w:bCs/>
          <w:color w:val="2F5496" w:themeColor="accent1" w:themeShade="BF"/>
        </w:rPr>
        <w:t xml:space="preserve"> Priorytetowego</w:t>
      </w:r>
      <w:r w:rsidRPr="0035160C">
        <w:rPr>
          <w:rFonts w:cstheme="minorHAnsi"/>
          <w:b/>
          <w:bCs/>
          <w:color w:val="2F5496" w:themeColor="accent1" w:themeShade="BF"/>
        </w:rPr>
        <w:t xml:space="preserve"> </w:t>
      </w:r>
      <w:r w:rsidR="007748FE" w:rsidRPr="0035160C">
        <w:rPr>
          <w:rFonts w:cstheme="minorHAnsi"/>
          <w:b/>
          <w:bCs/>
          <w:color w:val="2F5496" w:themeColor="accent1" w:themeShade="BF"/>
        </w:rPr>
        <w:t>„</w:t>
      </w:r>
      <w:r w:rsidRPr="0035160C">
        <w:rPr>
          <w:rFonts w:cstheme="minorHAnsi"/>
          <w:b/>
          <w:bCs/>
          <w:color w:val="2F5496" w:themeColor="accent1" w:themeShade="BF"/>
        </w:rPr>
        <w:t>Czyste Powietrze</w:t>
      </w:r>
      <w:r w:rsidR="007748FE" w:rsidRPr="0035160C">
        <w:rPr>
          <w:rFonts w:cstheme="minorHAnsi"/>
          <w:b/>
          <w:bCs/>
          <w:color w:val="2F5496" w:themeColor="accent1" w:themeShade="BF"/>
        </w:rPr>
        <w:t>”</w:t>
      </w:r>
      <w:r w:rsidRPr="0035160C">
        <w:rPr>
          <w:rFonts w:cstheme="minorHAnsi"/>
          <w:b/>
          <w:bCs/>
          <w:color w:val="2F5496" w:themeColor="accent1" w:themeShade="BF"/>
        </w:rPr>
        <w:t xml:space="preserve">, </w:t>
      </w:r>
      <w:r w:rsidR="007748FE" w:rsidRPr="0035160C">
        <w:rPr>
          <w:rFonts w:cstheme="minorHAnsi"/>
          <w:b/>
          <w:bCs/>
          <w:color w:val="2F5496" w:themeColor="accent1" w:themeShade="BF"/>
        </w:rPr>
        <w:t>„</w:t>
      </w:r>
      <w:r w:rsidRPr="0035160C">
        <w:rPr>
          <w:rFonts w:cstheme="minorHAnsi"/>
          <w:b/>
          <w:bCs/>
          <w:color w:val="2F5496" w:themeColor="accent1" w:themeShade="BF"/>
        </w:rPr>
        <w:t>M</w:t>
      </w:r>
      <w:r w:rsidR="004715FC">
        <w:rPr>
          <w:rFonts w:cstheme="minorHAnsi"/>
          <w:b/>
          <w:bCs/>
          <w:color w:val="2F5496" w:themeColor="accent1" w:themeShade="BF"/>
        </w:rPr>
        <w:t>ój Prąd</w:t>
      </w:r>
      <w:r w:rsidR="007748FE" w:rsidRPr="0035160C">
        <w:rPr>
          <w:rFonts w:cstheme="minorHAnsi"/>
          <w:b/>
          <w:bCs/>
          <w:color w:val="2F5496" w:themeColor="accent1" w:themeShade="BF"/>
        </w:rPr>
        <w:t>”</w:t>
      </w:r>
      <w:r w:rsidRPr="0035160C">
        <w:rPr>
          <w:rFonts w:cstheme="minorHAnsi"/>
          <w:b/>
          <w:bCs/>
          <w:color w:val="2F5496" w:themeColor="accent1" w:themeShade="BF"/>
        </w:rPr>
        <w:t xml:space="preserve">, </w:t>
      </w:r>
      <w:r w:rsidR="004715FC">
        <w:rPr>
          <w:rFonts w:cstheme="minorHAnsi"/>
          <w:b/>
          <w:bCs/>
          <w:color w:val="2F5496" w:themeColor="accent1" w:themeShade="BF"/>
        </w:rPr>
        <w:t xml:space="preserve">oraz z innych programów mających bezpośrednio i pośrednio wpływ na poprawę jakości powietrza, </w:t>
      </w:r>
      <w:r w:rsidRPr="0035160C">
        <w:rPr>
          <w:rFonts w:cstheme="minorHAnsi"/>
          <w:b/>
          <w:bCs/>
          <w:color w:val="2F5496" w:themeColor="accent1" w:themeShade="BF"/>
        </w:rPr>
        <w:t xml:space="preserve">a także </w:t>
      </w:r>
      <w:r w:rsidR="007C6AAC">
        <w:rPr>
          <w:rFonts w:cstheme="minorHAnsi"/>
          <w:b/>
          <w:bCs/>
          <w:color w:val="2F5496" w:themeColor="accent1" w:themeShade="BF"/>
        </w:rPr>
        <w:t xml:space="preserve">pokrycie </w:t>
      </w:r>
      <w:r w:rsidR="00D05D71">
        <w:rPr>
          <w:rFonts w:cstheme="minorHAnsi"/>
          <w:b/>
          <w:bCs/>
          <w:color w:val="2F5496" w:themeColor="accent1" w:themeShade="BF"/>
        </w:rPr>
        <w:t xml:space="preserve">30% </w:t>
      </w:r>
      <w:r w:rsidR="007C6AAC">
        <w:rPr>
          <w:rFonts w:cstheme="minorHAnsi"/>
          <w:b/>
          <w:bCs/>
          <w:color w:val="2F5496" w:themeColor="accent1" w:themeShade="BF"/>
        </w:rPr>
        <w:t xml:space="preserve">przez gminę dofinansowania przedsięwzięć proekologicznych, w przypadku przystąpieniu </w:t>
      </w:r>
      <w:r w:rsidR="00D05D71">
        <w:rPr>
          <w:rFonts w:cstheme="minorHAnsi"/>
          <w:b/>
          <w:bCs/>
          <w:color w:val="2F5496" w:themeColor="accent1" w:themeShade="BF"/>
        </w:rPr>
        <w:t xml:space="preserve">do </w:t>
      </w:r>
      <w:r w:rsidRPr="0035160C">
        <w:rPr>
          <w:rFonts w:cstheme="minorHAnsi"/>
          <w:b/>
          <w:bCs/>
          <w:color w:val="2F5496" w:themeColor="accent1" w:themeShade="BF"/>
        </w:rPr>
        <w:t xml:space="preserve">Programu </w:t>
      </w:r>
      <w:r w:rsidR="007748FE" w:rsidRPr="0035160C">
        <w:rPr>
          <w:rFonts w:cstheme="minorHAnsi"/>
          <w:b/>
          <w:bCs/>
          <w:color w:val="2F5496" w:themeColor="accent1" w:themeShade="BF"/>
        </w:rPr>
        <w:t>„</w:t>
      </w:r>
      <w:r w:rsidRPr="0035160C">
        <w:rPr>
          <w:rFonts w:cstheme="minorHAnsi"/>
          <w:b/>
          <w:bCs/>
          <w:color w:val="2F5496" w:themeColor="accent1" w:themeShade="BF"/>
        </w:rPr>
        <w:t>Stop Smog</w:t>
      </w:r>
      <w:r w:rsidR="007748FE" w:rsidRPr="0035160C">
        <w:rPr>
          <w:rFonts w:cstheme="minorHAnsi"/>
          <w:b/>
          <w:bCs/>
          <w:color w:val="2F5496" w:themeColor="accent1" w:themeShade="BF"/>
        </w:rPr>
        <w:t>”</w:t>
      </w:r>
      <w:r w:rsidRPr="0035160C">
        <w:rPr>
          <w:rFonts w:cstheme="minorHAnsi"/>
          <w:b/>
          <w:bCs/>
          <w:color w:val="2F5496" w:themeColor="accent1" w:themeShade="BF"/>
        </w:rPr>
        <w:t>.</w:t>
      </w:r>
    </w:p>
    <w:p w14:paraId="6F04376C" w14:textId="0CB42628" w:rsidR="00933F32" w:rsidRPr="0035160C" w:rsidRDefault="00933F32" w:rsidP="00933F32">
      <w:pPr>
        <w:jc w:val="both"/>
        <w:rPr>
          <w:rFonts w:cstheme="minorHAnsi"/>
        </w:rPr>
      </w:pPr>
      <w:r w:rsidRPr="0035160C">
        <w:rPr>
          <w:rFonts w:cstheme="minorHAnsi"/>
        </w:rPr>
        <w:t xml:space="preserve">W celu wsparcia mieszkańców </w:t>
      </w:r>
      <w:r w:rsidR="004715FC">
        <w:rPr>
          <w:rFonts w:cstheme="minorHAnsi"/>
        </w:rPr>
        <w:t xml:space="preserve">w realizacji przedsięwzięć proekologicznych, </w:t>
      </w:r>
      <w:r w:rsidRPr="0035160C">
        <w:rPr>
          <w:rFonts w:cstheme="minorHAnsi"/>
        </w:rPr>
        <w:t xml:space="preserve">należy rozważyć </w:t>
      </w:r>
      <w:r w:rsidR="004715FC">
        <w:rPr>
          <w:rFonts w:cstheme="minorHAnsi"/>
        </w:rPr>
        <w:t xml:space="preserve">także </w:t>
      </w:r>
      <w:r w:rsidR="004715FC" w:rsidRPr="00284A3D">
        <w:rPr>
          <w:rFonts w:cstheme="minorHAnsi"/>
          <w:b/>
          <w:bCs/>
          <w:color w:val="2F5496" w:themeColor="accent1" w:themeShade="BF"/>
        </w:rPr>
        <w:t>utworzenie w każdej gminie punktu konsultacyjnego, jak to jest aktualnie prowadzone przez gminy, które przystąpiły do wspólnej realizacji Programu Priorytetowego „Czyste Powietrze”</w:t>
      </w:r>
      <w:r w:rsidR="004715FC">
        <w:rPr>
          <w:rFonts w:cstheme="minorHAnsi"/>
        </w:rPr>
        <w:t>, w ramach których prowadzone jest wsparcie</w:t>
      </w:r>
      <w:r w:rsidRPr="0035160C">
        <w:rPr>
          <w:rFonts w:cstheme="minorHAnsi"/>
        </w:rPr>
        <w:t xml:space="preserve"> obywatel</w:t>
      </w:r>
      <w:r w:rsidR="004715FC">
        <w:rPr>
          <w:rFonts w:cstheme="minorHAnsi"/>
        </w:rPr>
        <w:t>i</w:t>
      </w:r>
      <w:r w:rsidRPr="0035160C">
        <w:rPr>
          <w:rFonts w:cstheme="minorHAnsi"/>
        </w:rPr>
        <w:t xml:space="preserve"> w procesie</w:t>
      </w:r>
      <w:r w:rsidR="00284A3D">
        <w:rPr>
          <w:rFonts w:cstheme="minorHAnsi"/>
        </w:rPr>
        <w:t xml:space="preserve"> wyboru najbardziej korzystnej oferty finansowej na realizację przedsięwzięć proekologicznych, w tym wymiany starego źródła ciepła na nowe formy ogrzewania oraz kompleksowa pomoc </w:t>
      </w:r>
      <w:r w:rsidRPr="0035160C">
        <w:rPr>
          <w:rFonts w:cstheme="minorHAnsi"/>
        </w:rPr>
        <w:t xml:space="preserve">w procesie </w:t>
      </w:r>
      <w:r w:rsidR="00284A3D">
        <w:rPr>
          <w:rFonts w:cstheme="minorHAnsi"/>
        </w:rPr>
        <w:t xml:space="preserve">wypełniania i </w:t>
      </w:r>
      <w:r w:rsidRPr="0035160C">
        <w:rPr>
          <w:rFonts w:cstheme="minorHAnsi"/>
        </w:rPr>
        <w:t>składani</w:t>
      </w:r>
      <w:r w:rsidR="00284A3D">
        <w:rPr>
          <w:rFonts w:cstheme="minorHAnsi"/>
        </w:rPr>
        <w:t>a</w:t>
      </w:r>
      <w:r w:rsidRPr="0035160C">
        <w:rPr>
          <w:rFonts w:cstheme="minorHAnsi"/>
        </w:rPr>
        <w:t xml:space="preserve"> wniosków </w:t>
      </w:r>
      <w:r w:rsidR="00284A3D">
        <w:rPr>
          <w:rFonts w:cstheme="minorHAnsi"/>
        </w:rPr>
        <w:t>o dofinansowanie</w:t>
      </w:r>
      <w:r w:rsidRPr="0035160C">
        <w:rPr>
          <w:rFonts w:cstheme="minorHAnsi"/>
        </w:rPr>
        <w:t>.</w:t>
      </w:r>
    </w:p>
    <w:p w14:paraId="0FCF1D8D" w14:textId="35386D45" w:rsidR="00873003" w:rsidRPr="0035160C" w:rsidRDefault="00873003">
      <w:pPr>
        <w:rPr>
          <w:rFonts w:cstheme="minorHAnsi"/>
        </w:rPr>
      </w:pPr>
      <w:r w:rsidRPr="0035160C">
        <w:rPr>
          <w:rFonts w:cstheme="minorHAnsi"/>
        </w:rPr>
        <w:br w:type="page"/>
      </w:r>
    </w:p>
    <w:p w14:paraId="03A9478C" w14:textId="43D4E21E" w:rsidR="00282106" w:rsidRPr="0035160C" w:rsidRDefault="00DF2C73" w:rsidP="009A500A">
      <w:pPr>
        <w:pStyle w:val="Nagwek1"/>
        <w:numPr>
          <w:ilvl w:val="0"/>
          <w:numId w:val="0"/>
        </w:numPr>
        <w:ind w:left="431" w:hanging="431"/>
        <w:rPr>
          <w:b/>
          <w:sz w:val="24"/>
          <w:szCs w:val="24"/>
        </w:rPr>
      </w:pPr>
      <w:bookmarkStart w:id="58" w:name="_Toc78205893"/>
      <w:r w:rsidRPr="0035160C">
        <w:rPr>
          <w:b/>
          <w:sz w:val="24"/>
          <w:szCs w:val="24"/>
        </w:rPr>
        <w:lastRenderedPageBreak/>
        <w:t>9</w:t>
      </w:r>
      <w:r w:rsidR="008028C4" w:rsidRPr="0035160C">
        <w:rPr>
          <w:b/>
          <w:sz w:val="24"/>
          <w:szCs w:val="24"/>
        </w:rPr>
        <w:t>.</w:t>
      </w:r>
      <w:r w:rsidR="008028C4" w:rsidRPr="0035160C">
        <w:rPr>
          <w:b/>
          <w:sz w:val="24"/>
          <w:szCs w:val="24"/>
        </w:rPr>
        <w:tab/>
      </w:r>
      <w:r w:rsidR="00282106" w:rsidRPr="0035160C">
        <w:rPr>
          <w:b/>
          <w:sz w:val="24"/>
          <w:szCs w:val="24"/>
        </w:rPr>
        <w:t xml:space="preserve">Wyzwania </w:t>
      </w:r>
      <w:r w:rsidR="00DC4749">
        <w:rPr>
          <w:b/>
          <w:sz w:val="24"/>
          <w:szCs w:val="24"/>
        </w:rPr>
        <w:t xml:space="preserve">aktualizacji </w:t>
      </w:r>
      <w:r w:rsidR="00282106" w:rsidRPr="0035160C">
        <w:rPr>
          <w:b/>
          <w:sz w:val="24"/>
          <w:szCs w:val="24"/>
        </w:rPr>
        <w:t>Krajowego Programu Ochrony Powietrza</w:t>
      </w:r>
      <w:bookmarkEnd w:id="58"/>
    </w:p>
    <w:p w14:paraId="3BCCEBB4" w14:textId="1F11EAD7" w:rsidR="00DC4749" w:rsidRDefault="00DC4749" w:rsidP="00773095">
      <w:pPr>
        <w:autoSpaceDE w:val="0"/>
        <w:autoSpaceDN w:val="0"/>
        <w:adjustRightInd w:val="0"/>
        <w:spacing w:after="0" w:line="240" w:lineRule="auto"/>
        <w:jc w:val="both"/>
      </w:pPr>
      <w:r>
        <w:rPr>
          <w:rFonts w:ascii="Calibri" w:hAnsi="Calibri" w:cs="Calibri"/>
        </w:rPr>
        <w:t>Mając na uwadze cele i zadania określone w PEP2030 oraz PEP2040</w:t>
      </w:r>
      <w:r w:rsidR="00FF36E6">
        <w:rPr>
          <w:rFonts w:ascii="Calibri" w:hAnsi="Calibri" w:cs="Calibri"/>
        </w:rPr>
        <w:t xml:space="preserve">, a także </w:t>
      </w:r>
      <w:r>
        <w:rPr>
          <w:rFonts w:ascii="Calibri" w:hAnsi="Calibri" w:cs="Calibri"/>
        </w:rPr>
        <w:t xml:space="preserve">wyniki najnowszych badań </w:t>
      </w:r>
      <w:r w:rsidR="00FF36E6">
        <w:rPr>
          <w:rFonts w:ascii="Calibri" w:hAnsi="Calibri" w:cs="Calibri"/>
        </w:rPr>
        <w:t xml:space="preserve">oraz wnioski </w:t>
      </w:r>
      <w:r w:rsidR="006B3352">
        <w:rPr>
          <w:rFonts w:ascii="Calibri" w:hAnsi="Calibri" w:cs="Calibri"/>
        </w:rPr>
        <w:t xml:space="preserve">opracowane po </w:t>
      </w:r>
      <w:r w:rsidR="00773095">
        <w:rPr>
          <w:rFonts w:ascii="Calibri" w:hAnsi="Calibri" w:cs="Calibri"/>
        </w:rPr>
        <w:t>konferencjach, debatach oraz warsztatach</w:t>
      </w:r>
      <w:r w:rsidR="006B3352">
        <w:rPr>
          <w:rFonts w:ascii="Calibri" w:hAnsi="Calibri" w:cs="Calibri"/>
        </w:rPr>
        <w:t>, których tematem przewodnim była poprawa jakości powietrza w Polsce,</w:t>
      </w:r>
      <w:r>
        <w:rPr>
          <w:rFonts w:ascii="Calibri" w:hAnsi="Calibri" w:cs="Calibri"/>
        </w:rPr>
        <w:t xml:space="preserve"> </w:t>
      </w:r>
      <w:r w:rsidR="006B3352">
        <w:rPr>
          <w:rFonts w:ascii="Calibri" w:hAnsi="Calibri" w:cs="Calibri"/>
        </w:rPr>
        <w:t xml:space="preserve">organizowanych </w:t>
      </w:r>
      <w:r>
        <w:rPr>
          <w:rFonts w:ascii="Calibri" w:hAnsi="Calibri" w:cs="Calibri"/>
        </w:rPr>
        <w:t>zarówno przez administrację publi</w:t>
      </w:r>
      <w:r w:rsidR="00773095">
        <w:rPr>
          <w:rFonts w:ascii="Calibri" w:hAnsi="Calibri" w:cs="Calibri"/>
        </w:rPr>
        <w:t>czną, organizacje pozarządowe</w:t>
      </w:r>
      <w:r w:rsidR="00AA27BB">
        <w:rPr>
          <w:rFonts w:ascii="Calibri" w:hAnsi="Calibri" w:cs="Calibri"/>
        </w:rPr>
        <w:t>,</w:t>
      </w:r>
      <w:r w:rsidR="00773095">
        <w:rPr>
          <w:rFonts w:ascii="Calibri" w:hAnsi="Calibri" w:cs="Calibri"/>
        </w:rPr>
        <w:t xml:space="preserve"> czy też </w:t>
      </w:r>
      <w:r>
        <w:rPr>
          <w:rFonts w:ascii="Calibri" w:hAnsi="Calibri" w:cs="Calibri"/>
        </w:rPr>
        <w:t xml:space="preserve">sektor prywatny, najważniejszymi wyzwaniami dla </w:t>
      </w:r>
      <w:r w:rsidR="00773095">
        <w:rPr>
          <w:rFonts w:ascii="Calibri" w:hAnsi="Calibri" w:cs="Calibri"/>
        </w:rPr>
        <w:t>polityki poprawy jakości powietrza w Polsce</w:t>
      </w:r>
      <w:r>
        <w:rPr>
          <w:rFonts w:ascii="Calibri" w:hAnsi="Calibri" w:cs="Calibri"/>
        </w:rPr>
        <w:t>, kt</w:t>
      </w:r>
      <w:r w:rsidR="00773095">
        <w:rPr>
          <w:rFonts w:ascii="Calibri" w:hAnsi="Calibri" w:cs="Calibri"/>
        </w:rPr>
        <w:t>óre</w:t>
      </w:r>
      <w:r>
        <w:rPr>
          <w:rFonts w:ascii="Calibri" w:hAnsi="Calibri" w:cs="Calibri"/>
        </w:rPr>
        <w:t xml:space="preserve"> będą uwzględnione w </w:t>
      </w:r>
      <w:r w:rsidR="00773095">
        <w:rPr>
          <w:rFonts w:ascii="Calibri" w:hAnsi="Calibri" w:cs="Calibri"/>
        </w:rPr>
        <w:t>aKPOP</w:t>
      </w:r>
      <w:r>
        <w:rPr>
          <w:rFonts w:ascii="Calibri" w:hAnsi="Calibri" w:cs="Calibri"/>
        </w:rPr>
        <w:t xml:space="preserve"> są:</w:t>
      </w:r>
    </w:p>
    <w:p w14:paraId="47118695" w14:textId="131AE484" w:rsidR="00A955EF" w:rsidRDefault="0021736A" w:rsidP="00CA3BB7">
      <w:pPr>
        <w:pStyle w:val="Akapitzlist"/>
        <w:numPr>
          <w:ilvl w:val="0"/>
          <w:numId w:val="22"/>
        </w:numPr>
        <w:jc w:val="both"/>
      </w:pPr>
      <w:r>
        <w:t>realizacja p</w:t>
      </w:r>
      <w:r w:rsidRPr="0021736A">
        <w:t>lanowan</w:t>
      </w:r>
      <w:r>
        <w:t>ych w PEP204</w:t>
      </w:r>
      <w:r w:rsidR="00A955EF">
        <w:t>0</w:t>
      </w:r>
      <w:r>
        <w:t xml:space="preserve">, </w:t>
      </w:r>
      <w:r w:rsidRPr="0021736A">
        <w:t>w ramach transformacji systemu energetycznego</w:t>
      </w:r>
      <w:r>
        <w:t>,</w:t>
      </w:r>
      <w:r w:rsidRPr="0021736A">
        <w:t xml:space="preserve"> inwestycj</w:t>
      </w:r>
      <w:r>
        <w:t>i</w:t>
      </w:r>
      <w:r w:rsidRPr="0021736A">
        <w:t xml:space="preserve">, </w:t>
      </w:r>
      <w:r>
        <w:t xml:space="preserve">które mają bezpośredni </w:t>
      </w:r>
      <w:r w:rsidRPr="0021736A">
        <w:t>wpływ na poprawę jakości powietrza, obejm</w:t>
      </w:r>
      <w:r w:rsidR="00546B82">
        <w:t>ujących</w:t>
      </w:r>
      <w:r w:rsidRPr="0021736A">
        <w:t xml:space="preserve"> </w:t>
      </w:r>
      <w:r>
        <w:t xml:space="preserve">przede wszystkim </w:t>
      </w:r>
      <w:r w:rsidRPr="0021736A">
        <w:t xml:space="preserve">sektor ciepłowniczy (systemowy i indywidualny), elektryfikację transportu, rozwój budownictwa pasywnego i zeroemisyjnego oraz wsparcie rozwoju lokalnych źródeł energii. </w:t>
      </w:r>
      <w:r>
        <w:t>Kluczowe inwestycje</w:t>
      </w:r>
      <w:r w:rsidRPr="0021736A">
        <w:t xml:space="preserve"> dotyczące </w:t>
      </w:r>
      <w:r>
        <w:t>t</w:t>
      </w:r>
      <w:r w:rsidRPr="0021736A">
        <w:t>ransformacj</w:t>
      </w:r>
      <w:r>
        <w:t>i</w:t>
      </w:r>
      <w:r w:rsidRPr="0021736A">
        <w:t xml:space="preserve"> systemu ciepłowniczego będ</w:t>
      </w:r>
      <w:r>
        <w:t>ą</w:t>
      </w:r>
      <w:r w:rsidRPr="0021736A">
        <w:t xml:space="preserve"> odbywać się poprzez zwiększenie wykorzystania ciepła systemowego i rozwój systemów efektywnych energetycznie. Jeżeli przyłączenie do sieci nie będzie możliwe, konieczne będzie wykorzystanie źródeł indywidualnych o niskiej emisyjności</w:t>
      </w:r>
      <w:r w:rsidR="009E499E">
        <w:t>;</w:t>
      </w:r>
    </w:p>
    <w:p w14:paraId="33877906" w14:textId="428273C2" w:rsidR="00A955EF" w:rsidRDefault="00A955EF" w:rsidP="00CA3BB7">
      <w:pPr>
        <w:pStyle w:val="Akapitzlist"/>
        <w:numPr>
          <w:ilvl w:val="0"/>
          <w:numId w:val="22"/>
        </w:numPr>
        <w:jc w:val="both"/>
      </w:pPr>
      <w:r>
        <w:t>zgodnie z PEP</w:t>
      </w:r>
      <w:r w:rsidR="0021736A" w:rsidRPr="0021736A">
        <w:t xml:space="preserve">2040 potrzeby cieplne wszystkich gospodarstw domowych, jak również przemysłu, usług, obiektów komercyjnych i biurowych </w:t>
      </w:r>
      <w:r w:rsidR="00546B82" w:rsidRPr="0021736A">
        <w:t xml:space="preserve">mają być </w:t>
      </w:r>
      <w:r w:rsidR="0021736A" w:rsidRPr="0021736A">
        <w:t>pokry</w:t>
      </w:r>
      <w:r w:rsidR="00546B82">
        <w:t>te</w:t>
      </w:r>
      <w:r w:rsidR="0021736A" w:rsidRPr="0021736A">
        <w:t xml:space="preserve"> przez ciepło systemowe oraz przez zero- lub niskoemisyjne </w:t>
      </w:r>
      <w:r w:rsidRPr="0021736A">
        <w:t xml:space="preserve">indywidualne </w:t>
      </w:r>
      <w:r w:rsidR="0021736A" w:rsidRPr="0021736A">
        <w:t xml:space="preserve">źródła ciepła. </w:t>
      </w:r>
      <w:r>
        <w:t>Kotły na</w:t>
      </w:r>
      <w:r w:rsidR="0021736A" w:rsidRPr="0021736A">
        <w:t xml:space="preserve"> paliwa stałe mają zostać wyeliminowane</w:t>
      </w:r>
      <w:r>
        <w:t>.</w:t>
      </w:r>
      <w:r w:rsidR="0021736A" w:rsidRPr="0021736A">
        <w:t xml:space="preserve"> </w:t>
      </w:r>
    </w:p>
    <w:p w14:paraId="12611025" w14:textId="219FA84E" w:rsidR="00A955EF" w:rsidRDefault="00A955EF" w:rsidP="00CA3BB7">
      <w:pPr>
        <w:pStyle w:val="Akapitzlist"/>
        <w:numPr>
          <w:ilvl w:val="0"/>
          <w:numId w:val="22"/>
        </w:numPr>
        <w:jc w:val="both"/>
      </w:pPr>
      <w:r>
        <w:t>zg</w:t>
      </w:r>
      <w:r w:rsidRPr="0021736A">
        <w:t>odnie z celami PEP2040 w miastach pow. 100 tys. mieszkańców, od 2025 r. nowe pojazdy komunikacji miejskiej mają być tylko zeroemisyjne, a od 2030 r. wszystkie pojazdy komunikacji miejskiej powinny być zeroemisyjne. Realizacja tych celów wymaga istotnej reorientacji spojrzenia na organizację transportu publicznego w mieście i ponoszenia przez samorządy znacznych kosztów. Zauważyć także należy, że sieć elektrycznych pojazdów transportu publicznego wymaga również rozbudowy sieci stacji ładowania</w:t>
      </w:r>
      <w:r w:rsidR="009E499E">
        <w:t>;</w:t>
      </w:r>
    </w:p>
    <w:p w14:paraId="5C8DA999" w14:textId="05086F1D" w:rsidR="0021736A" w:rsidRDefault="00A955EF" w:rsidP="00CA3BB7">
      <w:pPr>
        <w:pStyle w:val="Akapitzlist"/>
        <w:numPr>
          <w:ilvl w:val="0"/>
          <w:numId w:val="22"/>
        </w:numPr>
        <w:jc w:val="both"/>
      </w:pPr>
      <w:r>
        <w:t>r</w:t>
      </w:r>
      <w:r w:rsidR="0021736A" w:rsidRPr="0021736A">
        <w:t>ezygnacja ze spalania węgla kamiennego w miastach do 2030 r</w:t>
      </w:r>
      <w:r w:rsidR="00546B82">
        <w:t>.</w:t>
      </w:r>
      <w:r w:rsidR="0021736A" w:rsidRPr="0021736A">
        <w:t>, a na terenach wiejskich do 2040 r</w:t>
      </w:r>
      <w:r>
        <w:t>.</w:t>
      </w:r>
      <w:r w:rsidR="0021736A" w:rsidRPr="0021736A">
        <w:t xml:space="preserve"> Aktualnie odsetek gospodarstw domowych w miastach wykorzystujących (indywidualnie) węgiel kamienny do ogrzewania pomieszczeń wynosi 24,7%</w:t>
      </w:r>
      <w:r w:rsidR="009E499E">
        <w:t>;</w:t>
      </w:r>
    </w:p>
    <w:p w14:paraId="715D3478" w14:textId="467A4AA0" w:rsidR="00DC4749" w:rsidRDefault="006B3352" w:rsidP="00CA3BB7">
      <w:pPr>
        <w:pStyle w:val="Akapitzlist"/>
        <w:numPr>
          <w:ilvl w:val="0"/>
          <w:numId w:val="22"/>
        </w:numPr>
        <w:jc w:val="both"/>
      </w:pPr>
      <w:r>
        <w:t>poprawa</w:t>
      </w:r>
      <w:r w:rsidRPr="006B3352">
        <w:t xml:space="preserve"> jakości powietrza </w:t>
      </w:r>
      <w:r>
        <w:t>na obszarach miejskich i wiejskich, w których występuje narażenie ludności na ponadnormatywne stężenia wybranych zanieczyszczeń powietrza.</w:t>
      </w:r>
      <w:r w:rsidRPr="006B3352">
        <w:t xml:space="preserve"> Ochrona powietrza w szczególności powiązana jest z celem nr 1 </w:t>
      </w:r>
      <w:r>
        <w:t xml:space="preserve">projektowanej aktualizacji </w:t>
      </w:r>
      <w:r w:rsidRPr="006B3352">
        <w:t>K</w:t>
      </w:r>
      <w:r>
        <w:t xml:space="preserve">rajowej Polityki Miejskiej </w:t>
      </w:r>
      <w:r w:rsidRPr="006B3352">
        <w:t xml:space="preserve">- Budowa miast otwartych i przyjaznych dla wszystkich jego użytkowników oraz celem nr 3 - Adaptacja miast do zmian klimatu i zwiększenie wykorzystania rozwiązań opartych na naturze. </w:t>
      </w:r>
    </w:p>
    <w:p w14:paraId="21A619E9" w14:textId="5545DE68" w:rsidR="0021736A" w:rsidRDefault="00036673" w:rsidP="00036673">
      <w:pPr>
        <w:ind w:left="360"/>
        <w:jc w:val="both"/>
      </w:pPr>
      <w:r>
        <w:t xml:space="preserve">Jednocześnie podkreślenia wymaga, że wzywania aKPOP są spójne z </w:t>
      </w:r>
      <w:r w:rsidR="0021736A">
        <w:t>w</w:t>
      </w:r>
      <w:r w:rsidR="0021736A" w:rsidRPr="0021736A">
        <w:t>yzwania</w:t>
      </w:r>
      <w:r>
        <w:t>mi</w:t>
      </w:r>
      <w:r w:rsidR="0021736A" w:rsidRPr="0021736A">
        <w:t xml:space="preserve"> i potrzeb</w:t>
      </w:r>
      <w:r>
        <w:t>ami</w:t>
      </w:r>
      <w:r w:rsidR="0021736A" w:rsidRPr="0021736A">
        <w:t xml:space="preserve"> w</w:t>
      </w:r>
      <w:r w:rsidR="000E09E6">
        <w:t> </w:t>
      </w:r>
      <w:r w:rsidR="0021736A" w:rsidRPr="0021736A">
        <w:t>zakresie poprawy jakości powietrza wskazan</w:t>
      </w:r>
      <w:r>
        <w:t xml:space="preserve">ymi </w:t>
      </w:r>
      <w:r w:rsidR="000E09E6">
        <w:t>przez Komisję Europej</w:t>
      </w:r>
      <w:r w:rsidR="009E499E">
        <w:t>s</w:t>
      </w:r>
      <w:r w:rsidR="000E09E6">
        <w:t xml:space="preserve">ką </w:t>
      </w:r>
      <w:r w:rsidR="0021736A" w:rsidRPr="0021736A">
        <w:t>w projekcie „Krajowego Planu Odbudowy i Zwiększania Odporności”. Wśród kierunków znalazły się: w szczególności działania zwiększające wykorzystywanie OZE jako źródła energii, w tym rozwój energetyki rozproszonej</w:t>
      </w:r>
      <w:r w:rsidR="00311F57">
        <w:t xml:space="preserve">, </w:t>
      </w:r>
      <w:r w:rsidR="00FB1BC3">
        <w:t>podnoszenie efektywności energetycznej budynków mieszkalnych</w:t>
      </w:r>
      <w:r w:rsidR="0021736A" w:rsidRPr="0021736A">
        <w:t>.</w:t>
      </w:r>
    </w:p>
    <w:p w14:paraId="455E645D" w14:textId="342F76F0" w:rsidR="00282106" w:rsidRPr="0035160C" w:rsidRDefault="00282106" w:rsidP="004216AA">
      <w:r w:rsidRPr="0035160C">
        <w:br w:type="page"/>
      </w:r>
    </w:p>
    <w:p w14:paraId="513D19A7" w14:textId="3273DDD5" w:rsidR="00AC3FF4" w:rsidRPr="0035160C" w:rsidRDefault="00A652D0" w:rsidP="00A652D0">
      <w:pPr>
        <w:pStyle w:val="Nagwek2"/>
        <w:numPr>
          <w:ilvl w:val="0"/>
          <w:numId w:val="0"/>
        </w:numPr>
        <w:rPr>
          <w:b/>
          <w:sz w:val="22"/>
          <w:szCs w:val="22"/>
        </w:rPr>
      </w:pPr>
      <w:bookmarkStart w:id="59" w:name="_Toc78205894"/>
      <w:r w:rsidRPr="0035160C">
        <w:rPr>
          <w:b/>
          <w:sz w:val="22"/>
          <w:szCs w:val="22"/>
        </w:rPr>
        <w:lastRenderedPageBreak/>
        <w:t>9</w:t>
      </w:r>
      <w:r w:rsidR="00282106" w:rsidRPr="0035160C">
        <w:rPr>
          <w:b/>
          <w:sz w:val="22"/>
          <w:szCs w:val="22"/>
        </w:rPr>
        <w:t>.</w:t>
      </w:r>
      <w:r w:rsidR="00F03C94" w:rsidRPr="0035160C">
        <w:rPr>
          <w:b/>
          <w:sz w:val="22"/>
          <w:szCs w:val="22"/>
        </w:rPr>
        <w:t>1.</w:t>
      </w:r>
      <w:r w:rsidR="00282106" w:rsidRPr="0035160C">
        <w:rPr>
          <w:b/>
          <w:sz w:val="22"/>
          <w:szCs w:val="22"/>
        </w:rPr>
        <w:tab/>
      </w:r>
      <w:r w:rsidR="00AC3FF4" w:rsidRPr="0035160C">
        <w:rPr>
          <w:b/>
          <w:sz w:val="22"/>
          <w:szCs w:val="22"/>
        </w:rPr>
        <w:t>Kierunek Interwencji 1 – OGRANICZENIE EMISJI ZANIECZYSZCZEŃ POWIETRZA Z SEKTORA BYTOWO-KOMUNALNEGO</w:t>
      </w:r>
      <w:bookmarkEnd w:id="59"/>
    </w:p>
    <w:p w14:paraId="03EAC06C" w14:textId="2F9B568C" w:rsidR="00D375AE" w:rsidRPr="0035160C" w:rsidRDefault="00D375AE" w:rsidP="00DD0E4C">
      <w:pPr>
        <w:spacing w:after="240" w:line="276" w:lineRule="auto"/>
        <w:jc w:val="both"/>
        <w:rPr>
          <w:rFonts w:eastAsia="Yu Gothic UI Semilight" w:cs="Calibri"/>
        </w:rPr>
      </w:pPr>
      <w:r w:rsidRPr="0035160C">
        <w:rPr>
          <w:rFonts w:eastAsia="Yu Gothic UI Semilight" w:cs="Calibri"/>
        </w:rPr>
        <w:t xml:space="preserve">Wyniki ocen jakości powietrza prowadzonych przez </w:t>
      </w:r>
      <w:r w:rsidR="004216AA">
        <w:rPr>
          <w:rFonts w:eastAsia="Yu Gothic UI Semilight" w:cs="Calibri"/>
        </w:rPr>
        <w:t>GIOŚ</w:t>
      </w:r>
      <w:r w:rsidRPr="0035160C">
        <w:rPr>
          <w:rFonts w:eastAsia="Yu Gothic UI Semilight" w:cs="Calibri"/>
        </w:rPr>
        <w:t xml:space="preserve"> wskazują na przekroczenia norm jakości powietrza dla wybranych substancji na niektórych obszarach stref w Polsce, w tym zwłaszcza przekroczeń poziomów dopuszczalnych dla </w:t>
      </w:r>
      <w:r w:rsidR="008C3236">
        <w:rPr>
          <w:rFonts w:eastAsia="Yu Gothic UI Semilight" w:cs="Calibri"/>
        </w:rPr>
        <w:t xml:space="preserve">frakcji </w:t>
      </w:r>
      <w:r w:rsidR="008C3236" w:rsidRPr="0035160C">
        <w:rPr>
          <w:rFonts w:eastAsia="Yu Gothic UI Semilight" w:cs="Calibri"/>
        </w:rPr>
        <w:t>PM10 i PM2,5</w:t>
      </w:r>
      <w:r w:rsidR="008C3236">
        <w:rPr>
          <w:rFonts w:eastAsia="Yu Gothic UI Semilight" w:cs="Calibri"/>
        </w:rPr>
        <w:t xml:space="preserve"> </w:t>
      </w:r>
      <w:r w:rsidRPr="0035160C">
        <w:rPr>
          <w:rFonts w:eastAsia="Yu Gothic UI Semilight" w:cs="Calibri"/>
        </w:rPr>
        <w:t xml:space="preserve">pyłu zawieszonego, </w:t>
      </w:r>
      <w:r w:rsidR="004216AA">
        <w:rPr>
          <w:rFonts w:eastAsia="Yu Gothic UI Semilight" w:cs="Calibri"/>
        </w:rPr>
        <w:t>NO</w:t>
      </w:r>
      <w:r w:rsidR="004216AA" w:rsidRPr="004216AA">
        <w:rPr>
          <w:rFonts w:eastAsia="Yu Gothic UI Semilight" w:cs="Calibri"/>
          <w:vertAlign w:val="subscript"/>
        </w:rPr>
        <w:t>2</w:t>
      </w:r>
      <w:r w:rsidRPr="0035160C">
        <w:rPr>
          <w:rFonts w:eastAsia="Yu Gothic UI Semilight" w:cs="Calibri"/>
        </w:rPr>
        <w:t xml:space="preserve"> oraz poziomu docelowego dla </w:t>
      </w:r>
      <w:r w:rsidR="004216AA">
        <w:rPr>
          <w:rFonts w:eastAsia="Yu Gothic UI Semilight" w:cs="Calibri"/>
        </w:rPr>
        <w:t>B(a)P</w:t>
      </w:r>
      <w:r w:rsidRPr="0035160C">
        <w:rPr>
          <w:rFonts w:eastAsia="Yu Gothic UI Semilight" w:cs="Calibri"/>
          <w:vertAlign w:val="superscript"/>
        </w:rPr>
        <w:footnoteReference w:id="16"/>
      </w:r>
      <w:r w:rsidRPr="0035160C">
        <w:rPr>
          <w:rFonts w:eastAsia="Yu Gothic UI Semilight" w:cs="Calibri"/>
          <w:vertAlign w:val="superscript"/>
        </w:rPr>
        <w:footnoteReference w:id="17"/>
      </w:r>
      <w:r w:rsidRPr="0035160C">
        <w:rPr>
          <w:rFonts w:eastAsia="Yu Gothic UI Semilight" w:cs="Calibri"/>
        </w:rPr>
        <w:t>.</w:t>
      </w:r>
    </w:p>
    <w:p w14:paraId="62DB1F6C" w14:textId="34B8BE8C" w:rsidR="00D375AE" w:rsidRPr="0035160C" w:rsidRDefault="00D375AE" w:rsidP="00D375AE">
      <w:pPr>
        <w:autoSpaceDE w:val="0"/>
        <w:autoSpaceDN w:val="0"/>
        <w:adjustRightInd w:val="0"/>
        <w:spacing w:after="0" w:line="276" w:lineRule="auto"/>
        <w:jc w:val="both"/>
        <w:rPr>
          <w:rFonts w:eastAsia="Yu Gothic UI Semilight" w:cs="Calibri"/>
        </w:rPr>
      </w:pPr>
      <w:r w:rsidRPr="0035160C">
        <w:rPr>
          <w:rFonts w:eastAsia="Yu Gothic UI Semilight" w:cs="Calibri"/>
        </w:rPr>
        <w:t>Z</w:t>
      </w:r>
      <w:r w:rsidRPr="0035160C">
        <w:rPr>
          <w:rFonts w:eastAsia="Calibri" w:cs="Calibri"/>
        </w:rPr>
        <w:t>e względu na skalę przekroczeń standardów jakości powietrza w Polsce, w zakresie zanieczyszczeń powietrza powstających w wyniku procesów spalania paliw w lokalnych kotłowniach i piecach domowych, gdzie na wielkość emisji tych zanieczyszczeń do powietrza duże znaczenie ma niska efektywność energetyczna budynków mieszkalnych, ograniczenie emisji w sektorze bytowo-komunalnym jest kluczowe dla osiągnięcia standardów jakości powietrza określonych w prawodawstwie krajowym</w:t>
      </w:r>
      <w:r w:rsidR="006518C0">
        <w:rPr>
          <w:rFonts w:eastAsia="Calibri" w:cs="Calibri"/>
        </w:rPr>
        <w:t>,</w:t>
      </w:r>
      <w:r w:rsidRPr="0035160C">
        <w:rPr>
          <w:rFonts w:eastAsia="Calibri" w:cs="Calibri"/>
        </w:rPr>
        <w:t xml:space="preserve"> jak i unijnym.</w:t>
      </w:r>
      <w:r w:rsidRPr="0035160C">
        <w:rPr>
          <w:rFonts w:eastAsia="Yu Gothic UI Semilight" w:cs="Calibri"/>
        </w:rPr>
        <w:t xml:space="preserve"> </w:t>
      </w:r>
    </w:p>
    <w:p w14:paraId="0B516840" w14:textId="77777777" w:rsidR="00D375AE" w:rsidRPr="0035160C" w:rsidRDefault="00D375AE" w:rsidP="00D375AE">
      <w:pPr>
        <w:autoSpaceDE w:val="0"/>
        <w:autoSpaceDN w:val="0"/>
        <w:adjustRightInd w:val="0"/>
        <w:spacing w:before="120" w:after="0" w:line="276" w:lineRule="auto"/>
        <w:jc w:val="both"/>
        <w:rPr>
          <w:rFonts w:eastAsia="Calibri" w:cs="Calibri"/>
          <w:color w:val="000000"/>
        </w:rPr>
      </w:pPr>
      <w:r w:rsidRPr="0035160C">
        <w:rPr>
          <w:rFonts w:eastAsia="Calibri" w:cs="Calibri"/>
        </w:rPr>
        <w:t xml:space="preserve">Procesowi spalania paliw w źródłach spalania o małej mocy towarzyszy emisja m.in. takich substancji jak pyły, tlenki azotu, dwutlenek siarki, tlenki węgla, metale ciężkie. Znaczący udział w emisjach tych </w:t>
      </w:r>
      <w:r w:rsidRPr="0035160C">
        <w:rPr>
          <w:rFonts w:eastAsia="Calibri" w:cs="Calibri"/>
          <w:color w:val="000000"/>
        </w:rPr>
        <w:t>mają procesy spalania w indywidualnych systemach grzewczych, gdzie w dalszym ciągu stosuje się konwencjonalne ogrzewanie paliwami stałymi, takimi jak różnego rodzaju węgiel kamienny, drewno oraz niestety nie rzadko różnego typu odpady – co zgodnie z obowiązującymi przepisami jest zabronione.</w:t>
      </w:r>
    </w:p>
    <w:p w14:paraId="4D1915F2" w14:textId="7531EE73" w:rsidR="00D375AE" w:rsidRPr="0035160C" w:rsidRDefault="00D375AE" w:rsidP="00D375AE">
      <w:pPr>
        <w:autoSpaceDE w:val="0"/>
        <w:autoSpaceDN w:val="0"/>
        <w:adjustRightInd w:val="0"/>
        <w:spacing w:before="120" w:after="0" w:line="276" w:lineRule="auto"/>
        <w:jc w:val="both"/>
        <w:rPr>
          <w:rFonts w:eastAsia="Calibri" w:cs="Calibri"/>
          <w:iCs/>
        </w:rPr>
      </w:pPr>
      <w:r w:rsidRPr="0035160C">
        <w:rPr>
          <w:rFonts w:eastAsia="Calibri" w:cs="Calibri"/>
        </w:rPr>
        <w:t xml:space="preserve">W tym miejscu </w:t>
      </w:r>
      <w:r w:rsidRPr="004216AA">
        <w:rPr>
          <w:rFonts w:eastAsia="Calibri" w:cs="Calibri"/>
          <w:b/>
          <w:bCs/>
          <w:color w:val="2F5496" w:themeColor="accent1" w:themeShade="BF"/>
        </w:rPr>
        <w:t>podkreślić należy, że do podjętych dotychczas, kluczowych działań, które wynikały bezpośrednio z obowiązującego K</w:t>
      </w:r>
      <w:r w:rsidR="00E82789">
        <w:rPr>
          <w:rFonts w:eastAsia="Calibri" w:cs="Calibri"/>
          <w:b/>
          <w:bCs/>
          <w:color w:val="2F5496" w:themeColor="accent1" w:themeShade="BF"/>
        </w:rPr>
        <w:t>POP</w:t>
      </w:r>
      <w:r w:rsidR="00247AE1">
        <w:rPr>
          <w:rFonts w:eastAsia="Calibri" w:cs="Calibri"/>
          <w:b/>
          <w:bCs/>
          <w:color w:val="2F5496" w:themeColor="accent1" w:themeShade="BF"/>
        </w:rPr>
        <w:t xml:space="preserve"> </w:t>
      </w:r>
      <w:r w:rsidRPr="004216AA">
        <w:rPr>
          <w:rFonts w:eastAsia="Calibri" w:cs="Calibri"/>
          <w:b/>
          <w:bCs/>
          <w:color w:val="2F5496" w:themeColor="accent1" w:themeShade="BF"/>
        </w:rPr>
        <w:t xml:space="preserve">było </w:t>
      </w:r>
      <w:r w:rsidRPr="004216AA">
        <w:rPr>
          <w:rFonts w:eastAsia="Calibri" w:cs="Calibri"/>
          <w:b/>
          <w:bCs/>
          <w:iCs/>
          <w:color w:val="2F5496" w:themeColor="accent1" w:themeShade="BF"/>
        </w:rPr>
        <w:t>wprowadzenie do krajowego porządku prawnego wymagań emisyjnych dla producentów kotłów na paliwa stałe</w:t>
      </w:r>
      <w:r w:rsidRPr="004216AA">
        <w:rPr>
          <w:rFonts w:eastAsia="Calibri" w:cs="Calibri"/>
          <w:iCs/>
          <w:color w:val="2F5496" w:themeColor="accent1" w:themeShade="BF"/>
        </w:rPr>
        <w:t xml:space="preserve"> </w:t>
      </w:r>
      <w:r w:rsidRPr="0035160C">
        <w:rPr>
          <w:rFonts w:eastAsia="Calibri" w:cs="Calibri"/>
          <w:iCs/>
        </w:rPr>
        <w:t xml:space="preserve">poprzez rozporządzenie Ministra Rozwoju i Finansów z dnia 1 sierpnia 2017 r. </w:t>
      </w:r>
      <w:r w:rsidRPr="0035160C">
        <w:rPr>
          <w:rFonts w:eastAsia="Calibri" w:cs="Calibri"/>
          <w:i/>
        </w:rPr>
        <w:t>w sprawie wymagań dla kotłów na paliwa stałe</w:t>
      </w:r>
      <w:r w:rsidRPr="0035160C">
        <w:rPr>
          <w:rFonts w:eastAsia="Calibri" w:cs="Calibri"/>
          <w:iCs/>
        </w:rPr>
        <w:t xml:space="preserve"> (Dz. U. poz. 1690, z późn. zm.) oraz</w:t>
      </w:r>
      <w:r w:rsidRPr="0035160C">
        <w:rPr>
          <w:rFonts w:eastAsia="Calibri" w:cs="Calibri"/>
          <w:b/>
          <w:bCs/>
          <w:iCs/>
        </w:rPr>
        <w:t xml:space="preserve"> </w:t>
      </w:r>
      <w:r w:rsidRPr="004216AA">
        <w:rPr>
          <w:rFonts w:eastAsia="Calibri" w:cs="Calibri"/>
          <w:b/>
          <w:bCs/>
          <w:iCs/>
          <w:color w:val="2F5496" w:themeColor="accent1" w:themeShade="BF"/>
        </w:rPr>
        <w:t>wprowadzenie do prawodawstwa krajowego wymagań jakościowych dla paliw stałych, stosowanych w sektorze bytowo-komunalnym</w:t>
      </w:r>
      <w:r w:rsidRPr="0035160C">
        <w:rPr>
          <w:rFonts w:eastAsia="Calibri" w:cs="Calibri"/>
          <w:iCs/>
        </w:rPr>
        <w:t xml:space="preserve">. Wymagania te wprowadzono ustawą z dnia 5 lipca 2018 r. </w:t>
      </w:r>
      <w:r w:rsidRPr="0035160C">
        <w:rPr>
          <w:rFonts w:eastAsia="Calibri" w:cs="Calibri"/>
          <w:i/>
        </w:rPr>
        <w:t>o zmianie ustawy o systemie monitorowania i</w:t>
      </w:r>
      <w:r w:rsidR="0094296F">
        <w:rPr>
          <w:rFonts w:eastAsia="Calibri" w:cs="Calibri"/>
          <w:i/>
        </w:rPr>
        <w:t xml:space="preserve"> </w:t>
      </w:r>
      <w:r w:rsidRPr="0035160C">
        <w:rPr>
          <w:rFonts w:eastAsia="Calibri" w:cs="Calibri"/>
          <w:i/>
        </w:rPr>
        <w:t>kontrolowania jakości paliw oraz ustawy o Krajowej Administracji Skarbowej</w:t>
      </w:r>
      <w:r w:rsidRPr="0035160C">
        <w:rPr>
          <w:rFonts w:eastAsia="Calibri" w:cs="Calibri"/>
          <w:iCs/>
        </w:rPr>
        <w:t xml:space="preserve"> (Dz. U. poz. 1654) oraz odpowiednimi aktami wykonawczymi do tej ustawy. </w:t>
      </w:r>
    </w:p>
    <w:p w14:paraId="566BD5AE" w14:textId="77777777" w:rsidR="00D375AE" w:rsidRPr="0035160C" w:rsidRDefault="00D375AE" w:rsidP="00D375AE">
      <w:pPr>
        <w:autoSpaceDE w:val="0"/>
        <w:autoSpaceDN w:val="0"/>
        <w:adjustRightInd w:val="0"/>
        <w:spacing w:before="120" w:after="0" w:line="276" w:lineRule="auto"/>
        <w:jc w:val="both"/>
        <w:rPr>
          <w:rFonts w:eastAsia="Calibri" w:cs="Calibri"/>
          <w:iCs/>
        </w:rPr>
      </w:pPr>
      <w:r w:rsidRPr="0035160C">
        <w:rPr>
          <w:rFonts w:eastAsia="Calibri" w:cs="Calibri"/>
          <w:iCs/>
        </w:rPr>
        <w:t xml:space="preserve">Dodatkowo podkreślić należy, że ustawa z dnia 25 sierpnia 2006 r. </w:t>
      </w:r>
      <w:r w:rsidRPr="0035160C">
        <w:rPr>
          <w:rFonts w:eastAsia="Calibri" w:cs="Calibri"/>
          <w:i/>
          <w:iCs/>
        </w:rPr>
        <w:t>o systemie monitorowania i kontrolowania jakości paliw</w:t>
      </w:r>
      <w:r w:rsidRPr="0035160C">
        <w:rPr>
          <w:rFonts w:eastAsia="Calibri" w:cs="Calibri"/>
          <w:iCs/>
        </w:rPr>
        <w:t xml:space="preserve"> określiła zasady kontrolowania jakości paliw stałych wprowadzanych do obrotu, przeznaczonych do użycia w gospodarstwach domowych oraz w instalacjach spalania o nominalnej mocy cieplnej mniejszej niż 1 MW. Tym samym, </w:t>
      </w:r>
      <w:r w:rsidRPr="004216AA">
        <w:rPr>
          <w:rFonts w:eastAsia="Calibri" w:cs="Calibri"/>
          <w:b/>
          <w:bCs/>
          <w:iCs/>
          <w:color w:val="2F5496" w:themeColor="accent1" w:themeShade="BF"/>
        </w:rPr>
        <w:t>od dnia 1 czerwca 2020 r. w Polsce obowiązuje zakaz wprowadzania do obrotu węgla brunatnego i miału dla celów grzewczych w sektorze bytowo-komunalnym</w:t>
      </w:r>
      <w:r w:rsidRPr="004216AA">
        <w:rPr>
          <w:rFonts w:eastAsia="Calibri" w:cs="Calibri"/>
          <w:iCs/>
          <w:color w:val="2F5496" w:themeColor="accent1" w:themeShade="BF"/>
        </w:rPr>
        <w:t>.</w:t>
      </w:r>
      <w:r w:rsidRPr="0035160C">
        <w:rPr>
          <w:rFonts w:eastAsia="Calibri" w:cs="Calibri"/>
          <w:iCs/>
        </w:rPr>
        <w:t xml:space="preserve"> Ww. ustawa uprawniła także ministra właściwego do spraw energii oraz ministra właściwego do spraw klimatu do określenia wymagań jakościowych dla określonych paliw stałych w postaci:</w:t>
      </w:r>
    </w:p>
    <w:p w14:paraId="01F15C37" w14:textId="77777777" w:rsidR="00D375AE" w:rsidRPr="0035160C" w:rsidRDefault="00D375AE" w:rsidP="00CA3BB7">
      <w:pPr>
        <w:numPr>
          <w:ilvl w:val="0"/>
          <w:numId w:val="25"/>
        </w:numPr>
        <w:autoSpaceDE w:val="0"/>
        <w:autoSpaceDN w:val="0"/>
        <w:adjustRightInd w:val="0"/>
        <w:spacing w:after="0" w:line="276" w:lineRule="auto"/>
        <w:jc w:val="both"/>
        <w:rPr>
          <w:rFonts w:eastAsia="Calibri" w:cs="Calibri"/>
          <w:iCs/>
        </w:rPr>
      </w:pPr>
      <w:r w:rsidRPr="0035160C">
        <w:rPr>
          <w:rFonts w:eastAsia="Calibri" w:cs="Calibri"/>
          <w:iCs/>
        </w:rPr>
        <w:t xml:space="preserve">węgla kamiennego, brykietów lub peletów zawierających co najmniej 85 % węgla kamiennego, </w:t>
      </w:r>
    </w:p>
    <w:p w14:paraId="236B61F4" w14:textId="77777777" w:rsidR="00D375AE" w:rsidRPr="0035160C" w:rsidRDefault="00D375AE" w:rsidP="00CA3BB7">
      <w:pPr>
        <w:numPr>
          <w:ilvl w:val="0"/>
          <w:numId w:val="25"/>
        </w:numPr>
        <w:autoSpaceDE w:val="0"/>
        <w:autoSpaceDN w:val="0"/>
        <w:adjustRightInd w:val="0"/>
        <w:spacing w:after="0" w:line="276" w:lineRule="auto"/>
        <w:jc w:val="both"/>
        <w:rPr>
          <w:rFonts w:eastAsia="Calibri" w:cs="Calibri"/>
          <w:iCs/>
        </w:rPr>
      </w:pPr>
      <w:r w:rsidRPr="0035160C">
        <w:rPr>
          <w:rFonts w:eastAsia="Calibri" w:cs="Calibri"/>
          <w:iCs/>
        </w:rPr>
        <w:t>produktów otrzymywanych w procesie przeróbki termicznej węgla kamiennego lub węgla brunatnego.</w:t>
      </w:r>
    </w:p>
    <w:p w14:paraId="69999B6B" w14:textId="4209CF64" w:rsidR="00D375AE" w:rsidRPr="0035160C" w:rsidRDefault="00D375AE" w:rsidP="00D375AE">
      <w:pPr>
        <w:autoSpaceDE w:val="0"/>
        <w:autoSpaceDN w:val="0"/>
        <w:adjustRightInd w:val="0"/>
        <w:spacing w:after="0" w:line="276" w:lineRule="auto"/>
        <w:jc w:val="both"/>
        <w:rPr>
          <w:rFonts w:eastAsia="Calibri" w:cs="Calibri"/>
          <w:iCs/>
        </w:rPr>
      </w:pPr>
      <w:r w:rsidRPr="0035160C">
        <w:rPr>
          <w:rFonts w:eastAsia="Calibri" w:cs="Calibri"/>
          <w:iCs/>
        </w:rPr>
        <w:lastRenderedPageBreak/>
        <w:t xml:space="preserve">Wymogi te mają zastosowanie do spalania ww. paliw stałych w gospodarstwach domowych oraz instalacjach o nominalnej mocy cieplnej mniejszej niż 1 MW. Natomiast wymogi jakościowe dla paliw stałych określa ww. rozporządzenie Ministra Energii z dnia 27 września 2018 r. </w:t>
      </w:r>
      <w:r w:rsidRPr="0035160C">
        <w:rPr>
          <w:rFonts w:eastAsia="Calibri" w:cs="Calibri"/>
          <w:i/>
          <w:iCs/>
        </w:rPr>
        <w:t>w sprawie wymagań jakościowych dla paliw</w:t>
      </w:r>
      <w:r w:rsidRPr="0035160C">
        <w:rPr>
          <w:rFonts w:eastAsia="Calibri" w:cs="Calibri"/>
          <w:iCs/>
        </w:rPr>
        <w:t>.</w:t>
      </w:r>
    </w:p>
    <w:p w14:paraId="78C682DA" w14:textId="77777777" w:rsidR="004216AA" w:rsidRDefault="00D375AE" w:rsidP="00D375AE">
      <w:pPr>
        <w:autoSpaceDE w:val="0"/>
        <w:autoSpaceDN w:val="0"/>
        <w:adjustRightInd w:val="0"/>
        <w:spacing w:before="120" w:after="0" w:line="276" w:lineRule="auto"/>
        <w:jc w:val="both"/>
        <w:rPr>
          <w:rFonts w:eastAsia="Calibri" w:cs="Calibri"/>
          <w:iCs/>
          <w:color w:val="2F5496" w:themeColor="accent1" w:themeShade="BF"/>
        </w:rPr>
      </w:pPr>
      <w:r w:rsidRPr="0035160C">
        <w:rPr>
          <w:rFonts w:eastAsia="Calibri" w:cs="Calibri"/>
        </w:rPr>
        <w:t xml:space="preserve">Zgodnie z przedmiotową ustawą, </w:t>
      </w:r>
      <w:r w:rsidRPr="004216AA">
        <w:rPr>
          <w:rFonts w:eastAsia="Calibri" w:cs="Calibri"/>
          <w:b/>
          <w:bCs/>
          <w:iCs/>
          <w:color w:val="2F5496" w:themeColor="accent1" w:themeShade="BF"/>
        </w:rPr>
        <w:t>co najmniej raz na 2 lata, minister właściwy ds. energii w porozumieniu z ministrem właściwym ds. klimatu oraz ministrem właściwym ds. gospodarki dokonuje przeglądu wymagań jakościowych określonych w rozporządzeniu w sprawie wymagań jakościowych dla paliw stałych - w celu oceny wpływu ich stosowania na ochronę środowiska, zdrowie ludzi oraz interesy konsumentów</w:t>
      </w:r>
      <w:r w:rsidRPr="004216AA">
        <w:rPr>
          <w:rFonts w:eastAsia="Calibri" w:cs="Calibri"/>
          <w:iCs/>
          <w:color w:val="2F5496" w:themeColor="accent1" w:themeShade="BF"/>
        </w:rPr>
        <w:t xml:space="preserve">. </w:t>
      </w:r>
    </w:p>
    <w:p w14:paraId="44EC372E" w14:textId="20D45F72" w:rsidR="00D375AE" w:rsidRPr="004216AA" w:rsidRDefault="004216AA" w:rsidP="00D375AE">
      <w:pPr>
        <w:autoSpaceDE w:val="0"/>
        <w:autoSpaceDN w:val="0"/>
        <w:adjustRightInd w:val="0"/>
        <w:spacing w:before="120" w:after="0" w:line="276" w:lineRule="auto"/>
        <w:jc w:val="both"/>
        <w:rPr>
          <w:rFonts w:eastAsia="Calibri" w:cs="Calibri"/>
          <w:iCs/>
          <w:color w:val="2F5496" w:themeColor="accent1" w:themeShade="BF"/>
        </w:rPr>
      </w:pPr>
      <w:r w:rsidRPr="0035160C">
        <w:rPr>
          <w:rFonts w:eastAsia="Calibri" w:cs="Calibri"/>
          <w:iCs/>
        </w:rPr>
        <w:t xml:space="preserve">W celu sprawnej realizacji tego zadania, powołany został, zarządzeniem Ministra Klimatu i Środowiska z dnia 23 października 2020 r., Zespół do spraw przeglądu wymagań jakościowych dla paliw stałych, który w dniu </w:t>
      </w:r>
      <w:r>
        <w:rPr>
          <w:rFonts w:eastAsia="Calibri" w:cs="Calibri"/>
          <w:iCs/>
        </w:rPr>
        <w:t>30 czerwca</w:t>
      </w:r>
      <w:r w:rsidRPr="0035160C">
        <w:rPr>
          <w:rFonts w:eastAsia="Calibri" w:cs="Calibri"/>
          <w:iCs/>
        </w:rPr>
        <w:t xml:space="preserve"> 2021 r. </w:t>
      </w:r>
      <w:r>
        <w:rPr>
          <w:rFonts w:eastAsia="Calibri" w:cs="Calibri"/>
          <w:iCs/>
        </w:rPr>
        <w:t xml:space="preserve">zakończył I etap prac i przedstawił </w:t>
      </w:r>
      <w:r w:rsidRPr="004216AA">
        <w:rPr>
          <w:rFonts w:eastAsia="Calibri" w:cs="Calibri"/>
          <w:iCs/>
        </w:rPr>
        <w:t xml:space="preserve">wyniki przeprowadzonego przeglądu oraz </w:t>
      </w:r>
      <w:r>
        <w:rPr>
          <w:rFonts w:eastAsia="Calibri" w:cs="Calibri"/>
          <w:iCs/>
        </w:rPr>
        <w:t>rekomendacje co do dalszych działań w tym obszarze.</w:t>
      </w:r>
      <w:r w:rsidRPr="0035160C">
        <w:rPr>
          <w:rFonts w:eastAsia="Calibri" w:cs="Calibri"/>
          <w:iCs/>
        </w:rPr>
        <w:t xml:space="preserve"> </w:t>
      </w:r>
      <w:r w:rsidRPr="004216AA">
        <w:rPr>
          <w:rFonts w:eastAsia="Calibri" w:cs="Calibri"/>
          <w:b/>
          <w:bCs/>
          <w:iCs/>
          <w:color w:val="2F5496" w:themeColor="accent1" w:themeShade="BF"/>
        </w:rPr>
        <w:t>Na podstawie wyników przeglądu podjęte zostaną prace legislacyjne nad zmianą ww. rozporządzenia, a w dalszej perspektywie prace nad propozycją odejścia od stosowania paliw w</w:t>
      </w:r>
      <w:r>
        <w:rPr>
          <w:rFonts w:eastAsia="Calibri" w:cs="Calibri"/>
          <w:b/>
          <w:bCs/>
          <w:iCs/>
          <w:color w:val="2F5496" w:themeColor="accent1" w:themeShade="BF"/>
        </w:rPr>
        <w:t xml:space="preserve"> </w:t>
      </w:r>
      <w:r w:rsidRPr="004216AA">
        <w:rPr>
          <w:rFonts w:eastAsia="Calibri" w:cs="Calibri"/>
          <w:b/>
          <w:bCs/>
          <w:iCs/>
          <w:color w:val="2F5496" w:themeColor="accent1" w:themeShade="BF"/>
        </w:rPr>
        <w:t>gospodarstwach domowych</w:t>
      </w:r>
      <w:r w:rsidRPr="0035160C">
        <w:rPr>
          <w:rFonts w:eastAsia="Calibri" w:cs="Calibri"/>
          <w:iCs/>
        </w:rPr>
        <w:t>. Tym niemniej należy mieć świadomość, że zamiana paliw stałych na inne, ekologiczne formy ogrzewania w</w:t>
      </w:r>
      <w:r>
        <w:rPr>
          <w:rFonts w:eastAsia="Calibri" w:cs="Calibri"/>
          <w:iCs/>
        </w:rPr>
        <w:t xml:space="preserve"> </w:t>
      </w:r>
      <w:r w:rsidRPr="0035160C">
        <w:rPr>
          <w:rFonts w:eastAsia="Calibri" w:cs="Calibri"/>
          <w:iCs/>
        </w:rPr>
        <w:t>gospodarstwach domowych wymaga czasu.</w:t>
      </w:r>
      <w:r>
        <w:rPr>
          <w:rFonts w:eastAsia="Calibri" w:cs="Calibri"/>
          <w:iCs/>
          <w:color w:val="2F5496" w:themeColor="accent1" w:themeShade="BF"/>
        </w:rPr>
        <w:t xml:space="preserve"> </w:t>
      </w:r>
    </w:p>
    <w:p w14:paraId="350DBB59" w14:textId="311F9F96" w:rsidR="00D375AE" w:rsidRPr="0035160C" w:rsidRDefault="00D375AE" w:rsidP="00D375AE">
      <w:pPr>
        <w:autoSpaceDE w:val="0"/>
        <w:autoSpaceDN w:val="0"/>
        <w:adjustRightInd w:val="0"/>
        <w:spacing w:before="120" w:after="0" w:line="276" w:lineRule="auto"/>
        <w:jc w:val="both"/>
        <w:rPr>
          <w:rFonts w:eastAsia="Calibri" w:cs="Calibri"/>
        </w:rPr>
      </w:pPr>
      <w:r w:rsidRPr="004216AA">
        <w:rPr>
          <w:rFonts w:eastAsia="Calibri" w:cs="Calibri"/>
          <w:b/>
          <w:bCs/>
          <w:color w:val="2F5496" w:themeColor="accent1" w:themeShade="BF"/>
        </w:rPr>
        <w:t>Do kluczowych, krajowych dokumentów strategicznych określających cele działań w obszarze ograniczenia negatywnego wpływu sektora bytowo-komunalnego na stan powietrza w Polsce</w:t>
      </w:r>
      <w:r w:rsidRPr="004216AA">
        <w:rPr>
          <w:rFonts w:eastAsia="Calibri" w:cs="Calibri"/>
        </w:rPr>
        <w:t xml:space="preserve">, poprzez ograniczenie – a w perspektywie do 2030 i 2040 r. odejście od węgla kamiennego wykorzystywanego do celów grzewczych budynków mieszkalnych, z pewnością </w:t>
      </w:r>
      <w:r w:rsidRPr="004216AA">
        <w:rPr>
          <w:rFonts w:eastAsia="Calibri" w:cs="Calibri"/>
          <w:b/>
          <w:bCs/>
          <w:color w:val="2F5496" w:themeColor="accent1" w:themeShade="BF"/>
        </w:rPr>
        <w:t xml:space="preserve">jest </w:t>
      </w:r>
      <w:r w:rsidRPr="004216AA">
        <w:rPr>
          <w:rFonts w:eastAsia="Calibri" w:cs="Calibri"/>
          <w:b/>
          <w:bCs/>
          <w:i/>
          <w:iCs/>
          <w:color w:val="2F5496" w:themeColor="accent1" w:themeShade="BF"/>
        </w:rPr>
        <w:t>S</w:t>
      </w:r>
      <w:r w:rsidR="00E82789">
        <w:rPr>
          <w:rFonts w:eastAsia="Calibri" w:cs="Calibri"/>
          <w:b/>
          <w:bCs/>
          <w:i/>
          <w:iCs/>
          <w:color w:val="2F5496" w:themeColor="accent1" w:themeShade="BF"/>
        </w:rPr>
        <w:t>OR</w:t>
      </w:r>
      <w:r w:rsidRPr="004216AA">
        <w:rPr>
          <w:rFonts w:eastAsia="Calibri" w:cs="Calibri"/>
          <w:b/>
          <w:bCs/>
          <w:color w:val="2F5496" w:themeColor="accent1" w:themeShade="BF"/>
        </w:rPr>
        <w:t xml:space="preserve">, w ramach której realizowany jest projekt strategiczny „Czyste Powietrze”; </w:t>
      </w:r>
      <w:r w:rsidR="007071D9">
        <w:rPr>
          <w:rFonts w:eastAsia="Calibri" w:cs="Calibri"/>
          <w:b/>
          <w:bCs/>
          <w:i/>
          <w:iCs/>
          <w:color w:val="2F5496" w:themeColor="accent1" w:themeShade="BF"/>
        </w:rPr>
        <w:t>PEP</w:t>
      </w:r>
      <w:r w:rsidRPr="004216AA">
        <w:rPr>
          <w:rFonts w:eastAsia="Calibri" w:cs="Calibri"/>
          <w:b/>
          <w:bCs/>
          <w:i/>
          <w:iCs/>
          <w:color w:val="2F5496" w:themeColor="accent1" w:themeShade="BF"/>
        </w:rPr>
        <w:t>2030</w:t>
      </w:r>
      <w:r w:rsidRPr="004216AA">
        <w:rPr>
          <w:rFonts w:eastAsia="Calibri" w:cs="Calibri"/>
          <w:b/>
          <w:bCs/>
          <w:color w:val="2F5496" w:themeColor="accent1" w:themeShade="BF"/>
        </w:rPr>
        <w:t xml:space="preserve">, </w:t>
      </w:r>
      <w:r w:rsidR="007071D9">
        <w:rPr>
          <w:rFonts w:eastAsia="Calibri" w:cs="Calibri"/>
          <w:b/>
          <w:bCs/>
          <w:color w:val="2F5496" w:themeColor="accent1" w:themeShade="BF"/>
        </w:rPr>
        <w:t>„</w:t>
      </w:r>
      <w:r w:rsidRPr="004216AA">
        <w:rPr>
          <w:rFonts w:eastAsia="Calibri" w:cs="Calibri"/>
          <w:b/>
          <w:bCs/>
          <w:color w:val="2F5496" w:themeColor="accent1" w:themeShade="BF"/>
        </w:rPr>
        <w:t>Krajowy plan na rzecz energii i klimatu na lata 2021-2030</w:t>
      </w:r>
      <w:r w:rsidR="007071D9">
        <w:rPr>
          <w:rFonts w:eastAsia="Calibri" w:cs="Calibri"/>
          <w:b/>
          <w:bCs/>
          <w:color w:val="2F5496" w:themeColor="accent1" w:themeShade="BF"/>
        </w:rPr>
        <w:t>”</w:t>
      </w:r>
      <w:r w:rsidRPr="004216AA">
        <w:rPr>
          <w:rFonts w:eastAsia="Calibri" w:cs="Calibri"/>
          <w:b/>
          <w:bCs/>
          <w:color w:val="2F5496" w:themeColor="accent1" w:themeShade="BF"/>
        </w:rPr>
        <w:t xml:space="preserve"> oraz</w:t>
      </w:r>
      <w:r w:rsidR="004216AA" w:rsidRPr="004216AA">
        <w:rPr>
          <w:rFonts w:eastAsia="Calibri" w:cs="Calibri"/>
          <w:b/>
          <w:bCs/>
          <w:color w:val="2F5496" w:themeColor="accent1" w:themeShade="BF"/>
        </w:rPr>
        <w:t xml:space="preserve"> </w:t>
      </w:r>
      <w:r w:rsidR="007071D9">
        <w:rPr>
          <w:rFonts w:eastAsia="Calibri" w:cs="Calibri"/>
          <w:b/>
          <w:bCs/>
          <w:color w:val="2F5496" w:themeColor="accent1" w:themeShade="BF"/>
        </w:rPr>
        <w:t>PEP</w:t>
      </w:r>
      <w:r w:rsidRPr="004216AA">
        <w:rPr>
          <w:rFonts w:eastAsia="Calibri" w:cs="Calibri"/>
          <w:b/>
          <w:bCs/>
          <w:color w:val="2F5496" w:themeColor="accent1" w:themeShade="BF"/>
        </w:rPr>
        <w:t>2040</w:t>
      </w:r>
      <w:r w:rsidRPr="004216AA">
        <w:rPr>
          <w:rFonts w:eastAsia="Calibri" w:cs="Calibri"/>
        </w:rPr>
        <w:t xml:space="preserve">, </w:t>
      </w:r>
      <w:r w:rsidRPr="0035160C">
        <w:rPr>
          <w:rFonts w:eastAsia="Calibri" w:cs="Calibri"/>
        </w:rPr>
        <w:t xml:space="preserve">w której to po raz pierwszy problematyka jakości powietrza została uwypuklona obok obszarów funkcjonowania kraju, jak bezpieczeństwo energetyczne kraju czy też ograniczenie zmian klimatu. </w:t>
      </w:r>
    </w:p>
    <w:p w14:paraId="6A83DA60" w14:textId="201B65C1" w:rsidR="006018BA" w:rsidRPr="00DD0E4C" w:rsidRDefault="006018BA" w:rsidP="00D375AE">
      <w:pPr>
        <w:autoSpaceDE w:val="0"/>
        <w:autoSpaceDN w:val="0"/>
        <w:adjustRightInd w:val="0"/>
        <w:spacing w:before="120" w:after="0" w:line="276" w:lineRule="auto"/>
        <w:jc w:val="both"/>
        <w:rPr>
          <w:rFonts w:eastAsia="Calibri" w:cs="Calibri"/>
          <w:color w:val="2F5496" w:themeColor="accent1" w:themeShade="BF"/>
        </w:rPr>
      </w:pPr>
      <w:r w:rsidRPr="00DD0E4C">
        <w:rPr>
          <w:rFonts w:eastAsia="Calibri" w:cs="Calibri"/>
          <w:color w:val="2F5496" w:themeColor="accent1" w:themeShade="BF"/>
        </w:rPr>
        <w:t xml:space="preserve">Tym samym, w dokumencie PEP2040 </w:t>
      </w:r>
      <w:r w:rsidRPr="006018BA">
        <w:rPr>
          <w:rFonts w:eastAsia="Calibri" w:cs="Calibri"/>
          <w:b/>
          <w:bCs/>
          <w:color w:val="2F5496" w:themeColor="accent1" w:themeShade="BF"/>
        </w:rPr>
        <w:t>jednym z trzech filarów, które wyznaczają cele na najbliższe dziesięciolecia jest obszar „Dobra jakość powietrza”</w:t>
      </w:r>
      <w:r>
        <w:rPr>
          <w:rFonts w:eastAsia="Calibri" w:cs="Calibri"/>
          <w:b/>
          <w:bCs/>
          <w:color w:val="2F5496" w:themeColor="accent1" w:themeShade="BF"/>
        </w:rPr>
        <w:t xml:space="preserve">. </w:t>
      </w:r>
      <w:r w:rsidRPr="00DD0E4C">
        <w:rPr>
          <w:rFonts w:eastAsia="Calibri" w:cs="Calibri"/>
          <w:color w:val="2F5496" w:themeColor="accent1" w:themeShade="BF"/>
        </w:rPr>
        <w:t>Cel ten będzie realizowany m.in. poprzez odchodzenie od paliw kopalnych w miastach do 2030 r., a na obszarach wiejskich do 2040 r., przy utrzymaniu możliwości wykorzystania paliwa bezdymnego do 2040 r.</w:t>
      </w:r>
    </w:p>
    <w:p w14:paraId="276542F5" w14:textId="47823DA6" w:rsidR="00D375AE" w:rsidRPr="007071D9" w:rsidRDefault="00D375AE" w:rsidP="00D375AE">
      <w:pPr>
        <w:autoSpaceDE w:val="0"/>
        <w:autoSpaceDN w:val="0"/>
        <w:adjustRightInd w:val="0"/>
        <w:spacing w:before="120" w:after="0" w:line="276" w:lineRule="auto"/>
        <w:jc w:val="both"/>
        <w:rPr>
          <w:rFonts w:eastAsia="Calibri" w:cs="Calibri"/>
          <w:b/>
          <w:bCs/>
          <w:color w:val="2F5496" w:themeColor="accent1" w:themeShade="BF"/>
        </w:rPr>
      </w:pPr>
      <w:r w:rsidRPr="007071D9">
        <w:rPr>
          <w:rFonts w:eastAsia="Calibri" w:cs="Calibri"/>
          <w:b/>
          <w:bCs/>
          <w:color w:val="2F5496" w:themeColor="accent1" w:themeShade="BF"/>
        </w:rPr>
        <w:t>Do 2040 r. potrzeby cieplne wszystkich gospodarstw domowych pokrywane będą przez ciepło systemowe oraz przez zero- lub niskoemisyjne źródła indywidualne.</w:t>
      </w:r>
    </w:p>
    <w:p w14:paraId="3E0AC0CD" w14:textId="77777777" w:rsidR="00E82789" w:rsidRDefault="00D375AE" w:rsidP="00E82789">
      <w:pPr>
        <w:autoSpaceDE w:val="0"/>
        <w:autoSpaceDN w:val="0"/>
        <w:adjustRightInd w:val="0"/>
        <w:spacing w:after="0" w:line="276" w:lineRule="auto"/>
        <w:jc w:val="both"/>
        <w:rPr>
          <w:rFonts w:eastAsia="Calibri" w:cs="Calibri"/>
        </w:rPr>
      </w:pPr>
      <w:r w:rsidRPr="0035160C">
        <w:rPr>
          <w:rFonts w:eastAsia="Calibri" w:cs="Calibri"/>
        </w:rPr>
        <w:t xml:space="preserve">PEP2040 określa szereg działań nakierowanych na </w:t>
      </w:r>
      <w:r w:rsidRPr="007071D9">
        <w:rPr>
          <w:rFonts w:eastAsia="Calibri" w:cs="Calibri"/>
          <w:b/>
          <w:color w:val="2F5496" w:themeColor="accent1" w:themeShade="BF"/>
        </w:rPr>
        <w:t>poprawę jakości powietrza</w:t>
      </w:r>
      <w:r w:rsidRPr="0035160C">
        <w:rPr>
          <w:rFonts w:eastAsia="Calibri" w:cs="Calibri"/>
        </w:rPr>
        <w:t xml:space="preserve">, w tym przede wszystkim: </w:t>
      </w:r>
    </w:p>
    <w:p w14:paraId="72C6884B" w14:textId="253A07C0" w:rsidR="00D375AE" w:rsidRPr="006C3C59" w:rsidRDefault="00D375AE" w:rsidP="006C3C59">
      <w:pPr>
        <w:pStyle w:val="Akapitzlist"/>
        <w:numPr>
          <w:ilvl w:val="0"/>
          <w:numId w:val="93"/>
        </w:numPr>
        <w:autoSpaceDE w:val="0"/>
        <w:autoSpaceDN w:val="0"/>
        <w:adjustRightInd w:val="0"/>
        <w:spacing w:after="0" w:line="276" w:lineRule="auto"/>
        <w:jc w:val="both"/>
        <w:rPr>
          <w:rFonts w:eastAsia="Calibri" w:cs="Calibri"/>
        </w:rPr>
      </w:pPr>
      <w:r w:rsidRPr="006C3C59">
        <w:rPr>
          <w:rFonts w:eastAsia="Calibri" w:cs="Calibri"/>
        </w:rPr>
        <w:t>rozwój ciepłownictwa systemowego (4-krotny wzrost liczby efektywnych systemów ciepłowniczych do 2030 r.</w:t>
      </w:r>
      <w:r w:rsidRPr="006C3C59">
        <w:rPr>
          <w:rFonts w:eastAsia="Calibri" w:cs="Calibri"/>
          <w:lang w:bidi="pl-PL"/>
        </w:rPr>
        <w:t>),</w:t>
      </w:r>
      <w:r w:rsidRPr="006C3C59">
        <w:rPr>
          <w:rFonts w:eastAsia="Calibri" w:cs="Calibri"/>
        </w:rPr>
        <w:t xml:space="preserve"> który pozwoli na podłączenie do systemu ok. 1,5 mln nowych odbiorców w porównaniu do stanu z 2018 r., zmniejszając tym samym liczbę gospodarstw domowych wykorzystujących do ogrzewania indywidualne źródła ciepła. W tym zakresie duże znaczenie odgrywać będzie zwiększanie udziału systemów ciepłowniczych o statusie efektywnym energetycznie, które będą atrakcyjne dla odbiorców ze względu na wysoką jakość ciepła i jego niskoemisyjny charakter. W przypadku, gdy nie ma możliwości pokrycia potrzeb cieplnych ciepłem systemowym, odbiorcy będą wspierani w wymianie źródeł na te o niższej emisyjności</w:t>
      </w:r>
      <w:r w:rsidR="00E82789" w:rsidRPr="006C3C59">
        <w:rPr>
          <w:rFonts w:eastAsia="Calibri" w:cs="Calibri"/>
        </w:rPr>
        <w:t>;</w:t>
      </w:r>
    </w:p>
    <w:p w14:paraId="4567968A" w14:textId="6BDF965A" w:rsidR="00D375AE" w:rsidRPr="0035160C" w:rsidRDefault="00E82789" w:rsidP="00CA3BB7">
      <w:pPr>
        <w:numPr>
          <w:ilvl w:val="0"/>
          <w:numId w:val="7"/>
        </w:numPr>
        <w:autoSpaceDE w:val="0"/>
        <w:autoSpaceDN w:val="0"/>
        <w:adjustRightInd w:val="0"/>
        <w:spacing w:after="0" w:line="276" w:lineRule="auto"/>
        <w:jc w:val="both"/>
        <w:rPr>
          <w:rFonts w:eastAsia="Calibri" w:cs="Calibri"/>
        </w:rPr>
      </w:pPr>
      <w:r>
        <w:rPr>
          <w:rFonts w:eastAsia="Calibri" w:cs="Calibri"/>
        </w:rPr>
        <w:lastRenderedPageBreak/>
        <w:t>n</w:t>
      </w:r>
      <w:r w:rsidR="00D375AE" w:rsidRPr="0035160C">
        <w:rPr>
          <w:rFonts w:eastAsia="Calibri" w:cs="Calibri"/>
        </w:rPr>
        <w:t>iskoemisyjny kierunek transformacji źródeł indywidualnych (pompy ciepła, ogrzewanie elektryczne)</w:t>
      </w:r>
      <w:r>
        <w:rPr>
          <w:rFonts w:eastAsia="Calibri" w:cs="Calibri"/>
        </w:rPr>
        <w:t>;</w:t>
      </w:r>
    </w:p>
    <w:p w14:paraId="3206F830" w14:textId="7B97EE15" w:rsidR="00D375AE" w:rsidRPr="0035160C" w:rsidRDefault="00E82789" w:rsidP="00CA3BB7">
      <w:pPr>
        <w:numPr>
          <w:ilvl w:val="0"/>
          <w:numId w:val="7"/>
        </w:numPr>
        <w:autoSpaceDE w:val="0"/>
        <w:autoSpaceDN w:val="0"/>
        <w:adjustRightInd w:val="0"/>
        <w:spacing w:after="0" w:line="276" w:lineRule="auto"/>
        <w:jc w:val="both"/>
        <w:rPr>
          <w:rFonts w:eastAsia="Calibri" w:cs="Calibri"/>
        </w:rPr>
      </w:pPr>
      <w:r>
        <w:rPr>
          <w:rFonts w:eastAsia="Calibri" w:cs="Calibri"/>
          <w:b/>
          <w:color w:val="2F5496" w:themeColor="accent1" w:themeShade="BF"/>
        </w:rPr>
        <w:t>o</w:t>
      </w:r>
      <w:r w:rsidR="00D375AE" w:rsidRPr="007071D9">
        <w:rPr>
          <w:rFonts w:eastAsia="Calibri" w:cs="Calibri"/>
          <w:b/>
          <w:color w:val="2F5496" w:themeColor="accent1" w:themeShade="BF"/>
        </w:rPr>
        <w:t>dejście od spalania węgla w gospodarstwach domowych</w:t>
      </w:r>
      <w:r w:rsidR="00D375AE" w:rsidRPr="007071D9">
        <w:rPr>
          <w:rFonts w:eastAsia="Calibri" w:cs="Calibri"/>
          <w:color w:val="2F5496" w:themeColor="accent1" w:themeShade="BF"/>
        </w:rPr>
        <w:t xml:space="preserve"> </w:t>
      </w:r>
      <w:r w:rsidR="00D375AE" w:rsidRPr="0035160C">
        <w:rPr>
          <w:rFonts w:eastAsia="Calibri" w:cs="Calibri"/>
        </w:rPr>
        <w:t>w miastach do 2030 r., a na obszarach wiejskich do 2040 r.; przy utrzymaniu możliwości wykorzystania paliwa bezdymnego do 2040 r.</w:t>
      </w:r>
      <w:r>
        <w:rPr>
          <w:rFonts w:eastAsia="Calibri" w:cs="Calibri"/>
        </w:rPr>
        <w:t>;</w:t>
      </w:r>
    </w:p>
    <w:p w14:paraId="506C0AED" w14:textId="0E959158" w:rsidR="00D375AE" w:rsidRPr="0035160C" w:rsidRDefault="00E82789" w:rsidP="00CA3BB7">
      <w:pPr>
        <w:numPr>
          <w:ilvl w:val="0"/>
          <w:numId w:val="7"/>
        </w:numPr>
        <w:autoSpaceDE w:val="0"/>
        <w:autoSpaceDN w:val="0"/>
        <w:adjustRightInd w:val="0"/>
        <w:spacing w:after="0" w:line="276" w:lineRule="auto"/>
        <w:jc w:val="both"/>
        <w:rPr>
          <w:rFonts w:eastAsia="Calibri" w:cs="Calibri"/>
        </w:rPr>
      </w:pPr>
      <w:r>
        <w:rPr>
          <w:rFonts w:eastAsia="Calibri" w:cs="Calibri"/>
        </w:rPr>
        <w:t>z</w:t>
      </w:r>
      <w:r w:rsidR="00D375AE" w:rsidRPr="0035160C">
        <w:rPr>
          <w:rFonts w:eastAsia="Calibri" w:cs="Calibri"/>
        </w:rPr>
        <w:t>większenie efektywności energetycznej budynków.</w:t>
      </w:r>
    </w:p>
    <w:p w14:paraId="5BEBF67F" w14:textId="77777777" w:rsidR="00D375AE" w:rsidRPr="0035160C" w:rsidRDefault="00D375AE" w:rsidP="00D375AE">
      <w:pPr>
        <w:spacing w:after="0" w:line="276" w:lineRule="auto"/>
        <w:jc w:val="both"/>
        <w:rPr>
          <w:rFonts w:eastAsia="Calibri" w:cs="Calibri"/>
        </w:rPr>
      </w:pPr>
    </w:p>
    <w:p w14:paraId="065C3C29" w14:textId="77777777" w:rsidR="00D375AE" w:rsidRPr="0035160C" w:rsidRDefault="00D375AE" w:rsidP="00D375AE">
      <w:pPr>
        <w:spacing w:after="0" w:line="276" w:lineRule="auto"/>
        <w:jc w:val="both"/>
        <w:rPr>
          <w:rFonts w:eastAsia="Calibri" w:cs="Calibri"/>
          <w:bCs/>
        </w:rPr>
      </w:pPr>
      <w:r w:rsidRPr="0035160C">
        <w:rPr>
          <w:rFonts w:eastAsia="Calibri" w:cs="Calibri"/>
        </w:rPr>
        <w:t xml:space="preserve">Dotychczas prowadzone działania strategiczne i legislacyjne stworzyły podstawy dla programów dofinansowujących </w:t>
      </w:r>
      <w:r w:rsidRPr="0035160C">
        <w:rPr>
          <w:rFonts w:eastAsia="Calibri" w:cs="Calibri"/>
          <w:bCs/>
        </w:rPr>
        <w:t>realizację przedsięwzięć proekologicznych dedykowanych bezpośrednio poprawie jakości powietrza i efektywności energetycznej budynków mieszkalnych. Obecnie dofinasowanie w ramach programów otrzymać mogą właściciele lub współwłaściciele domów jednorodzinnych lub lokalu mieszkalnego, wydzielonego na podstawie księgi wieczystej, w domu jednorodzinnym.</w:t>
      </w:r>
    </w:p>
    <w:p w14:paraId="1B7C9217" w14:textId="77777777" w:rsidR="00D375AE" w:rsidRPr="0035160C" w:rsidRDefault="00D375AE" w:rsidP="00D375AE">
      <w:pPr>
        <w:spacing w:before="120" w:after="0" w:line="276" w:lineRule="auto"/>
        <w:jc w:val="both"/>
        <w:rPr>
          <w:rFonts w:eastAsia="Calibri" w:cs="Calibri"/>
          <w:bCs/>
        </w:rPr>
      </w:pPr>
      <w:r w:rsidRPr="007071D9">
        <w:rPr>
          <w:rFonts w:eastAsia="Calibri" w:cs="Calibri"/>
          <w:b/>
          <w:color w:val="2F5496" w:themeColor="accent1" w:themeShade="BF"/>
        </w:rPr>
        <w:t>Do kluczowych mechanizmów finansowych w tym zakresie z pewnością należy ogólnokrajowy Program Priorytetowy „Czyste Powietrze”</w:t>
      </w:r>
      <w:r w:rsidRPr="007071D9">
        <w:rPr>
          <w:rFonts w:eastAsia="Calibri" w:cs="Calibri"/>
          <w:bCs/>
          <w:color w:val="2F5496" w:themeColor="accent1" w:themeShade="BF"/>
        </w:rPr>
        <w:t xml:space="preserve"> </w:t>
      </w:r>
      <w:r w:rsidRPr="007071D9">
        <w:rPr>
          <w:rFonts w:eastAsia="Calibri" w:cs="Calibri"/>
          <w:b/>
          <w:color w:val="2F5496" w:themeColor="accent1" w:themeShade="BF"/>
        </w:rPr>
        <w:t>oraz realizowany przez Ministra Klimatu i Środowiska wraz z NFOŚiGW, od stycznia 2021 r.,</w:t>
      </w:r>
      <w:r w:rsidRPr="0035160C">
        <w:rPr>
          <w:rFonts w:eastAsia="Calibri" w:cs="Calibri"/>
          <w:bCs/>
          <w:color w:val="0070C0"/>
        </w:rPr>
        <w:t xml:space="preserve"> </w:t>
      </w:r>
      <w:r w:rsidRPr="0035160C">
        <w:rPr>
          <w:rFonts w:eastAsia="Calibri" w:cs="Calibri"/>
          <w:bCs/>
        </w:rPr>
        <w:t xml:space="preserve">zgodnie z ustawą z dnia 28 października 2020 r. </w:t>
      </w:r>
      <w:r w:rsidRPr="0035160C">
        <w:rPr>
          <w:rFonts w:eastAsia="Calibri" w:cs="Calibri"/>
          <w:bCs/>
          <w:i/>
          <w:iCs/>
        </w:rPr>
        <w:t>o zmianie ustawy o wspieraniu termomodernizacji i remontów oraz niektórych innych ustaw</w:t>
      </w:r>
      <w:r w:rsidRPr="0035160C">
        <w:rPr>
          <w:rFonts w:eastAsia="Calibri" w:cs="Calibri"/>
          <w:bCs/>
          <w:iCs/>
        </w:rPr>
        <w:t xml:space="preserve"> (Dz. U. poz. 2127), </w:t>
      </w:r>
      <w:r w:rsidRPr="007071D9">
        <w:rPr>
          <w:rFonts w:eastAsia="Calibri" w:cs="Calibri"/>
          <w:b/>
          <w:color w:val="2F5496" w:themeColor="accent1" w:themeShade="BF"/>
        </w:rPr>
        <w:t>Program „Stop Smog”</w:t>
      </w:r>
      <w:r w:rsidRPr="0035160C">
        <w:rPr>
          <w:rFonts w:eastAsia="Calibri" w:cs="Calibri"/>
          <w:bCs/>
        </w:rPr>
        <w:t xml:space="preserve">. </w:t>
      </w:r>
    </w:p>
    <w:p w14:paraId="14FD41BE" w14:textId="75B64F4B" w:rsidR="00D375AE" w:rsidRPr="007071D9" w:rsidRDefault="00D375AE" w:rsidP="00D375AE">
      <w:pPr>
        <w:autoSpaceDE w:val="0"/>
        <w:autoSpaceDN w:val="0"/>
        <w:adjustRightInd w:val="0"/>
        <w:spacing w:before="120" w:after="0" w:line="276" w:lineRule="auto"/>
        <w:jc w:val="both"/>
        <w:rPr>
          <w:rFonts w:eastAsia="Calibri" w:cs="Calibri"/>
          <w:color w:val="2F5496" w:themeColor="accent1" w:themeShade="BF"/>
        </w:rPr>
      </w:pPr>
      <w:r w:rsidRPr="007071D9">
        <w:rPr>
          <w:rFonts w:eastAsia="Calibri" w:cs="Calibri"/>
          <w:b/>
          <w:color w:val="2F5496" w:themeColor="accent1" w:themeShade="BF"/>
        </w:rPr>
        <w:t xml:space="preserve">Kluczowe dla tego obszaru będzie wycofanie </w:t>
      </w:r>
      <w:r w:rsidR="007071D9" w:rsidRPr="007071D9">
        <w:rPr>
          <w:rFonts w:eastAsia="Calibri" w:cs="Calibri"/>
          <w:b/>
          <w:color w:val="2F5496" w:themeColor="accent1" w:themeShade="BF"/>
        </w:rPr>
        <w:t>z dniem 1 stycznia 2022 r</w:t>
      </w:r>
      <w:r w:rsidR="007071D9">
        <w:rPr>
          <w:rFonts w:eastAsia="Calibri" w:cs="Calibri"/>
          <w:b/>
          <w:color w:val="2F5496" w:themeColor="accent1" w:themeShade="BF"/>
        </w:rPr>
        <w:t>.</w:t>
      </w:r>
      <w:r w:rsidR="007071D9" w:rsidRPr="007071D9">
        <w:rPr>
          <w:rFonts w:eastAsia="Calibri" w:cs="Calibri"/>
          <w:b/>
          <w:color w:val="2F5496" w:themeColor="accent1" w:themeShade="BF"/>
        </w:rPr>
        <w:t xml:space="preserve"> </w:t>
      </w:r>
      <w:r w:rsidRPr="007071D9">
        <w:rPr>
          <w:rFonts w:eastAsia="Calibri" w:cs="Calibri"/>
          <w:b/>
          <w:color w:val="2F5496" w:themeColor="accent1" w:themeShade="BF"/>
        </w:rPr>
        <w:t>dofinansowania w ramach Programu „Czyste Powietrze” do zakupu kotłów węglowych</w:t>
      </w:r>
      <w:r w:rsidRPr="007071D9">
        <w:rPr>
          <w:rFonts w:eastAsia="Calibri" w:cs="Calibri"/>
          <w:color w:val="2F5496" w:themeColor="accent1" w:themeShade="BF"/>
        </w:rPr>
        <w:t>.</w:t>
      </w:r>
    </w:p>
    <w:p w14:paraId="52CFD124" w14:textId="77777777" w:rsidR="00D375AE" w:rsidRPr="0035160C" w:rsidRDefault="00D375AE" w:rsidP="00D375AE">
      <w:pPr>
        <w:spacing w:before="120" w:after="0" w:line="276" w:lineRule="auto"/>
        <w:jc w:val="both"/>
        <w:rPr>
          <w:rFonts w:eastAsia="Calibri" w:cs="Calibri"/>
          <w:bCs/>
        </w:rPr>
      </w:pPr>
      <w:r w:rsidRPr="0035160C">
        <w:rPr>
          <w:rFonts w:eastAsia="Calibri" w:cs="Calibri"/>
          <w:bCs/>
        </w:rPr>
        <w:t xml:space="preserve">Szczegółowa informacja na temat realizacji tych oraz innych źródeł finansowych, dedykowanych dofinansowaniu działań na rzecz szeroko pojętej poprawie jakości powietrza przedstawiona została w rozdziale pn. Finansowanie działań na rzecz poprawy jakości powietrza. </w:t>
      </w:r>
    </w:p>
    <w:p w14:paraId="099737FC" w14:textId="5ECB5B2F" w:rsidR="00D375AE" w:rsidRPr="0035160C" w:rsidRDefault="00D375AE" w:rsidP="00D375AE">
      <w:pPr>
        <w:autoSpaceDE w:val="0"/>
        <w:autoSpaceDN w:val="0"/>
        <w:adjustRightInd w:val="0"/>
        <w:spacing w:before="240" w:after="0" w:line="276" w:lineRule="auto"/>
        <w:jc w:val="both"/>
        <w:rPr>
          <w:rFonts w:eastAsia="Calibri" w:cs="Calibri"/>
          <w:bCs/>
        </w:rPr>
      </w:pPr>
      <w:r w:rsidRPr="0035160C">
        <w:rPr>
          <w:rFonts w:eastAsia="Calibri" w:cs="Calibri"/>
        </w:rPr>
        <w:t xml:space="preserve">W dokonaniu szczegółowej diagnozy stanu sektora mieszkalnictwa oraz określenia do realizacji adekwatnych działań w tym segmencie z pewnością pomocna będzie finalizacja prac nad budową </w:t>
      </w:r>
      <w:r w:rsidRPr="00DD0E4C">
        <w:rPr>
          <w:rFonts w:eastAsia="Calibri" w:cs="Calibri"/>
          <w:b/>
          <w:bCs/>
          <w:color w:val="2F5496" w:themeColor="accent1" w:themeShade="BF"/>
        </w:rPr>
        <w:t>CEEB</w:t>
      </w:r>
      <w:r w:rsidRPr="0035160C">
        <w:rPr>
          <w:rFonts w:eastAsia="Calibri" w:cs="Calibri"/>
        </w:rPr>
        <w:t xml:space="preserve">, w której znajdą się szczegółowe dane o budynkach i sposobie ich ogrzewania. CEEB </w:t>
      </w:r>
      <w:r w:rsidR="00D05D71" w:rsidRPr="0035160C">
        <w:rPr>
          <w:rFonts w:eastAsia="Calibri" w:cs="Calibri"/>
        </w:rPr>
        <w:t>zosta</w:t>
      </w:r>
      <w:r w:rsidR="00D05D71">
        <w:rPr>
          <w:rFonts w:eastAsia="Calibri" w:cs="Calibri"/>
        </w:rPr>
        <w:t xml:space="preserve">ła </w:t>
      </w:r>
      <w:r w:rsidRPr="0035160C">
        <w:rPr>
          <w:rFonts w:eastAsia="Calibri" w:cs="Calibri"/>
        </w:rPr>
        <w:t xml:space="preserve">uruchomiona </w:t>
      </w:r>
      <w:r w:rsidR="00D05D71">
        <w:rPr>
          <w:rFonts w:eastAsia="Calibri" w:cs="Calibri"/>
        </w:rPr>
        <w:t xml:space="preserve">w dniu 1 lipca 2021 r. </w:t>
      </w:r>
      <w:r w:rsidRPr="0035160C">
        <w:rPr>
          <w:rFonts w:eastAsia="Calibri" w:cs="Calibri"/>
        </w:rPr>
        <w:t xml:space="preserve">w ramach działań usprawniających system zarządzania jakością powietrza w Polsce. </w:t>
      </w:r>
      <w:r w:rsidRPr="007071D9">
        <w:rPr>
          <w:rFonts w:eastAsia="Calibri" w:cs="Calibri"/>
          <w:b/>
          <w:bCs/>
          <w:color w:val="2F5496" w:themeColor="accent1" w:themeShade="BF"/>
        </w:rPr>
        <w:t xml:space="preserve">Celem tego narzędzia </w:t>
      </w:r>
      <w:r w:rsidR="00D05D71">
        <w:rPr>
          <w:rFonts w:eastAsia="Calibri" w:cs="Calibri"/>
          <w:b/>
          <w:bCs/>
          <w:color w:val="2F5496" w:themeColor="accent1" w:themeShade="BF"/>
        </w:rPr>
        <w:t>jest</w:t>
      </w:r>
      <w:r w:rsidR="00D05D71" w:rsidRPr="007071D9">
        <w:rPr>
          <w:rFonts w:eastAsia="Calibri" w:cs="Calibri"/>
          <w:b/>
          <w:bCs/>
          <w:color w:val="2F5496" w:themeColor="accent1" w:themeShade="BF"/>
        </w:rPr>
        <w:t xml:space="preserve"> </w:t>
      </w:r>
      <w:r w:rsidRPr="007071D9">
        <w:rPr>
          <w:rFonts w:eastAsia="Calibri" w:cs="Calibri"/>
          <w:b/>
          <w:bCs/>
          <w:color w:val="2F5496" w:themeColor="accent1" w:themeShade="BF"/>
        </w:rPr>
        <w:t>gromadzenie, przetwarzanie i analizowanie szczegółowych danych o</w:t>
      </w:r>
      <w:r w:rsidR="00D05D71">
        <w:rPr>
          <w:rFonts w:eastAsia="Calibri" w:cs="Calibri"/>
          <w:b/>
          <w:bCs/>
          <w:color w:val="2F5496" w:themeColor="accent1" w:themeShade="BF"/>
        </w:rPr>
        <w:t xml:space="preserve"> </w:t>
      </w:r>
      <w:r w:rsidRPr="007071D9">
        <w:rPr>
          <w:rFonts w:eastAsia="Calibri" w:cs="Calibri"/>
          <w:b/>
          <w:bCs/>
          <w:color w:val="2F5496" w:themeColor="accent1" w:themeShade="BF"/>
        </w:rPr>
        <w:t>budynkach w całej Polsce</w:t>
      </w:r>
      <w:r w:rsidRPr="0035160C">
        <w:rPr>
          <w:rFonts w:eastAsia="Calibri" w:cs="Calibri"/>
        </w:rPr>
        <w:t xml:space="preserve">. Na podstawie art. 18 pkt 6 ustawy z dnia 28 października 2020 r. o zmianie </w:t>
      </w:r>
      <w:r w:rsidRPr="0035160C">
        <w:rPr>
          <w:rFonts w:eastAsia="Calibri" w:cs="Calibri"/>
          <w:i/>
        </w:rPr>
        <w:t>ustawy o wspieraniu termomodernizacji i remontów oraz niektórych innych ustaw</w:t>
      </w:r>
      <w:r w:rsidRPr="0035160C">
        <w:rPr>
          <w:rFonts w:eastAsia="Calibri" w:cs="Calibri"/>
        </w:rPr>
        <w:t xml:space="preserve"> Ministerstwo Rozwoju, Pracy i Technologii od 1 lipca 2021 r. wdraża rozwiązania techniczne umożliwiające złożenie deklaracji o źródłach ciepła lub źródłach spalania paliw z wykorzystaniem systemu teleinformatycznego obsługującego </w:t>
      </w:r>
      <w:r w:rsidR="005B7431">
        <w:rPr>
          <w:rFonts w:eastAsia="Calibri" w:cs="Calibri"/>
        </w:rPr>
        <w:t>CEEB</w:t>
      </w:r>
      <w:r w:rsidRPr="0035160C">
        <w:rPr>
          <w:rFonts w:eastAsia="Calibri" w:cs="Calibri"/>
        </w:rPr>
        <w:t xml:space="preserve">. W ramach zadania zostanie </w:t>
      </w:r>
      <w:r w:rsidR="000D0D38" w:rsidRPr="0035160C">
        <w:rPr>
          <w:rFonts w:eastAsia="Calibri" w:cs="Calibri"/>
        </w:rPr>
        <w:t>uruchomi</w:t>
      </w:r>
      <w:r w:rsidR="000D0D38">
        <w:rPr>
          <w:rFonts w:eastAsia="Calibri" w:cs="Calibri"/>
        </w:rPr>
        <w:t xml:space="preserve">ony </w:t>
      </w:r>
      <w:r w:rsidRPr="0035160C">
        <w:rPr>
          <w:rFonts w:eastAsia="Calibri" w:cs="Calibri"/>
        </w:rPr>
        <w:t xml:space="preserve">szereg e-usług dla obywateli, takich jak zamówienie przeglądu kominiarskiego i inwentaryzacji budynku, co będzie miało wpływ na poprawę stanu technicznego budynków w zakresie bezpieczeństwa. </w:t>
      </w:r>
    </w:p>
    <w:p w14:paraId="094B733A" w14:textId="6977FBDB" w:rsidR="00D375AE" w:rsidRPr="007071D9" w:rsidRDefault="00D375AE" w:rsidP="00D375AE">
      <w:pPr>
        <w:spacing w:before="120" w:after="0" w:line="276" w:lineRule="auto"/>
        <w:jc w:val="both"/>
        <w:rPr>
          <w:rFonts w:eastAsia="Calibri" w:cs="Calibri"/>
          <w:b/>
          <w:iCs/>
          <w:color w:val="2F5496" w:themeColor="accent1" w:themeShade="BF"/>
        </w:rPr>
      </w:pPr>
      <w:r w:rsidRPr="007071D9">
        <w:rPr>
          <w:rFonts w:eastAsia="Calibri" w:cs="Calibri"/>
          <w:b/>
          <w:iCs/>
          <w:color w:val="2F5496" w:themeColor="accent1" w:themeShade="BF"/>
        </w:rPr>
        <w:t xml:space="preserve">Kolejnym, ważnym etapem w realizacji założeń poprawy jakości powietrza w Polsce jest konieczność tworzenia nowych oraz modyfikacji obowiązujących mechanizmów – narzędzi prawnych, organizacyjnych i kontrolnych, które przyczynią się do efektywnej realizacji działań naprawczych określonych w </w:t>
      </w:r>
      <w:r w:rsidRPr="007071D9">
        <w:rPr>
          <w:rFonts w:eastAsia="Calibri" w:cs="Calibri"/>
          <w:b/>
          <w:bCs/>
          <w:iCs/>
          <w:color w:val="2F5496" w:themeColor="accent1" w:themeShade="BF"/>
        </w:rPr>
        <w:t xml:space="preserve">ramach 31 uchwał sejmików województw w sprawie </w:t>
      </w:r>
      <w:r w:rsidR="007071D9">
        <w:rPr>
          <w:rFonts w:eastAsia="Calibri" w:cs="Calibri"/>
          <w:b/>
          <w:bCs/>
          <w:iCs/>
          <w:color w:val="2F5496" w:themeColor="accent1" w:themeShade="BF"/>
        </w:rPr>
        <w:t>POP,</w:t>
      </w:r>
      <w:r w:rsidRPr="007071D9">
        <w:rPr>
          <w:rFonts w:eastAsia="Calibri" w:cs="Calibri"/>
          <w:b/>
          <w:bCs/>
          <w:iCs/>
          <w:color w:val="2F5496" w:themeColor="accent1" w:themeShade="BF"/>
        </w:rPr>
        <w:t xml:space="preserve"> których realizacja powinna dać efekty w postaci pilnej poprawy jakości powietrza.</w:t>
      </w:r>
    </w:p>
    <w:p w14:paraId="2E901FC9" w14:textId="6D7709BF" w:rsidR="00D375AE" w:rsidRPr="0035160C" w:rsidRDefault="00D375AE" w:rsidP="00D375AE">
      <w:pPr>
        <w:spacing w:before="120" w:after="0" w:line="276" w:lineRule="auto"/>
        <w:jc w:val="both"/>
        <w:rPr>
          <w:rFonts w:eastAsia="Calibri" w:cs="Calibri"/>
          <w:bCs/>
          <w:iCs/>
        </w:rPr>
      </w:pPr>
      <w:r w:rsidRPr="0035160C">
        <w:rPr>
          <w:rFonts w:eastAsia="Calibri" w:cs="Calibri"/>
          <w:bCs/>
          <w:iCs/>
        </w:rPr>
        <w:lastRenderedPageBreak/>
        <w:t xml:space="preserve">Należeć do nich będzie z pewnością możliwość </w:t>
      </w:r>
      <w:r w:rsidR="007071D9" w:rsidRPr="007071D9">
        <w:rPr>
          <w:rFonts w:eastAsia="Calibri" w:cs="Calibri"/>
          <w:bCs/>
          <w:iCs/>
        </w:rPr>
        <w:t>kontroli właścicieli nieruchomości w zakresie stosowania indywidualnych źródeł spalania w sektorze bytowo-komunalnym</w:t>
      </w:r>
      <w:r w:rsidRPr="0035160C">
        <w:rPr>
          <w:rFonts w:eastAsia="Calibri" w:cs="Calibri"/>
          <w:bCs/>
          <w:iCs/>
        </w:rPr>
        <w:t xml:space="preserve">, przez dookreślenie w systemie prawnym organów do tego wyznaczonych. W tym zakresie planuje się nowelizację </w:t>
      </w:r>
      <w:r w:rsidR="005B7431">
        <w:rPr>
          <w:rFonts w:eastAsia="Calibri" w:cs="Calibri"/>
          <w:bCs/>
          <w:iCs/>
        </w:rPr>
        <w:t>OŚ</w:t>
      </w:r>
      <w:r w:rsidRPr="0035160C">
        <w:rPr>
          <w:rFonts w:eastAsia="Calibri" w:cs="Calibri"/>
          <w:bCs/>
          <w:iCs/>
        </w:rPr>
        <w:t xml:space="preserve">, która pozwoli egzekwować realizację zakazów i nakazów określonych w ww. uchwałach sejmików województw. </w:t>
      </w:r>
    </w:p>
    <w:p w14:paraId="6A201FD5" w14:textId="0ABDCC9E" w:rsidR="00D375AE" w:rsidRPr="0035160C" w:rsidRDefault="00D375AE" w:rsidP="00D375AE">
      <w:pPr>
        <w:spacing w:before="120" w:after="0" w:line="276" w:lineRule="auto"/>
        <w:jc w:val="both"/>
        <w:rPr>
          <w:rFonts w:eastAsia="Yu Gothic UI Semilight" w:cs="Calibri"/>
          <w:b/>
          <w:bCs/>
          <w:color w:val="FF0000"/>
        </w:rPr>
      </w:pPr>
      <w:r w:rsidRPr="0035160C">
        <w:rPr>
          <w:rFonts w:eastAsia="Times New Roman" w:cs="Calibri"/>
          <w:lang w:eastAsia="pl-PL"/>
        </w:rPr>
        <w:t>Następnym z preferowanych rozwiązań problemu zanieczyszczenia powietrza pochodzącego z ogrzewnictwa indywidualnego jest przyłączanie gospodarstw domowych do sieci ciepłowniczej. Dzięki rygorystycznym normom emisji wprowadzonym m.in. przez prawodawstwo Unii Europejskiej, ciepłownie i elektrociepłownie, działające nawet na bazie paliw stałych, mają znacznie niższe emisje zanieczyszczeń do powietrza na jednostkę wyprodukowanego ciepła, w porównaniu do kotła indywidualnego spalającego analogiczne paliwa. Jednocześnie, emisje zanieczyszczeń powietrza, których nie można wyeliminować w całości, są odprowadzane przez wysokie kominy, skutkując ograniczeni</w:t>
      </w:r>
      <w:r w:rsidR="000D0D38">
        <w:rPr>
          <w:rFonts w:eastAsia="Times New Roman" w:cs="Calibri"/>
          <w:lang w:eastAsia="pl-PL"/>
        </w:rPr>
        <w:t>em</w:t>
      </w:r>
      <w:r w:rsidRPr="0035160C">
        <w:rPr>
          <w:rFonts w:eastAsia="Times New Roman" w:cs="Calibri"/>
          <w:lang w:eastAsia="pl-PL"/>
        </w:rPr>
        <w:t xml:space="preserve"> zjawiska tzw. niskiej emisji. </w:t>
      </w:r>
    </w:p>
    <w:p w14:paraId="6D7228F6" w14:textId="77777777" w:rsidR="00D375AE" w:rsidRPr="0035160C" w:rsidRDefault="00D375AE" w:rsidP="00D375AE">
      <w:pPr>
        <w:spacing w:before="120" w:after="0" w:line="276" w:lineRule="auto"/>
        <w:jc w:val="both"/>
        <w:rPr>
          <w:rFonts w:eastAsia="Yu Gothic UI Semilight" w:cs="Calibri"/>
        </w:rPr>
      </w:pPr>
      <w:r w:rsidRPr="0035160C">
        <w:rPr>
          <w:rFonts w:eastAsia="Yu Gothic UI Semilight" w:cs="Calibri"/>
        </w:rPr>
        <w:t xml:space="preserve">W najbliższej dekadzie ciepłownictwo sieciowe podlegać będzie procesom modernizacyjnym m.in. na skutek polityki klimatyczno-energetycznej UE. Podkreślić jednak należy, że dostarczające ciepło 16 milionom Polaków ciepłownictwo systemowe znajduje się obecnie w skomplikowanej sytuacji – większość aktywów jest już zamortyzowana, a wskaźniki finansowe znacznie się pogarszają. W ciągu jednego roku – 2019, o 10% zwiększyło się zadłużenie oraz o 25% spadła płynność finansowa. W latach 2010-2019 inwestycje w sektorze ciepłowniczym sięgnęły ok. 31 mld zł, co nie przełożyło się na znaczące obniżenie wskaźnika dekapitalizacji majątku, wynoszącego obecnie 48,87%, ze spadkiem wynoszącym 10 p.p. od roku 2010. </w:t>
      </w:r>
    </w:p>
    <w:p w14:paraId="4F9A4580" w14:textId="77777777" w:rsidR="00D375AE" w:rsidRPr="0035160C" w:rsidRDefault="00D375AE" w:rsidP="00D375AE">
      <w:pPr>
        <w:spacing w:before="120" w:after="0" w:line="276" w:lineRule="auto"/>
        <w:jc w:val="both"/>
        <w:rPr>
          <w:rFonts w:eastAsia="Yu Gothic UI Semilight" w:cs="Calibri"/>
        </w:rPr>
      </w:pPr>
      <w:r w:rsidRPr="0035160C">
        <w:rPr>
          <w:rFonts w:eastAsia="Yu Gothic UI Semilight" w:cs="Calibri"/>
        </w:rPr>
        <w:t>Pod kątem technologii, kluczowym paliwem w ciepłownictwie nadal jest węgiel, odpowiadający za produkcję 71% ciepła systemowego, skutkiem czego są znaczne emisje CO</w:t>
      </w:r>
      <w:r w:rsidRPr="0035160C">
        <w:rPr>
          <w:rFonts w:eastAsia="Yu Gothic UI Semilight" w:cs="Calibri"/>
          <w:vertAlign w:val="subscript"/>
        </w:rPr>
        <w:t>2</w:t>
      </w:r>
      <w:r w:rsidRPr="0035160C">
        <w:rPr>
          <w:rFonts w:eastAsia="Yu Gothic UI Semilight" w:cs="Calibri"/>
        </w:rPr>
        <w:t>. Intensywność emisji CO</w:t>
      </w:r>
      <w:r w:rsidRPr="0035160C">
        <w:rPr>
          <w:rFonts w:eastAsia="Yu Gothic UI Semilight" w:cs="Calibri"/>
          <w:vertAlign w:val="subscript"/>
        </w:rPr>
        <w:t>2</w:t>
      </w:r>
      <w:r w:rsidRPr="0035160C">
        <w:rPr>
          <w:rFonts w:eastAsia="Yu Gothic UI Semilight" w:cs="Calibri"/>
        </w:rPr>
        <w:t xml:space="preserve"> wynosi obecnie 96,5 ton na TJ, a całkowita produkcja wynosi 365 628,7 TJ. Wszystkie obiekty energetycznego spalania o nominalnej mocy cieplnej co najmniej 20 MW, czyli również ciepłownie i elektrociepłownie w średnich i dużych miastach, podlegają pod system handlu uprawnieniami do emisji (EU ETS).</w:t>
      </w:r>
    </w:p>
    <w:p w14:paraId="6C691B23" w14:textId="4E5334F4" w:rsidR="00D375AE" w:rsidRPr="0035160C" w:rsidRDefault="00D375AE" w:rsidP="00D375AE">
      <w:pPr>
        <w:spacing w:before="120" w:after="0" w:line="276" w:lineRule="auto"/>
        <w:jc w:val="both"/>
        <w:rPr>
          <w:rFonts w:eastAsia="Yu Gothic UI Semilight" w:cs="Calibri"/>
        </w:rPr>
      </w:pPr>
      <w:r w:rsidRPr="0035160C">
        <w:rPr>
          <w:rFonts w:eastAsia="Yu Gothic UI Semilight" w:cs="Calibri"/>
        </w:rPr>
        <w:t>Notowania uprawnień do emisji CO</w:t>
      </w:r>
      <w:r w:rsidRPr="0035160C">
        <w:rPr>
          <w:rFonts w:eastAsia="Yu Gothic UI Semilight" w:cs="Calibri"/>
          <w:vertAlign w:val="subscript"/>
        </w:rPr>
        <w:t xml:space="preserve">2 </w:t>
      </w:r>
      <w:r w:rsidRPr="0035160C">
        <w:rPr>
          <w:rFonts w:eastAsia="Yu Gothic UI Semilight" w:cs="Calibri"/>
        </w:rPr>
        <w:t>z 2017 r. kształtowały się na poziomie ok. 5 euro, w 2020 r. cena uprawnień do emisji osiągnęła poziom 30 euro, natomiast na początku 2021 r. przekroczyła próg 50 euro. Wg danych Prezesa U</w:t>
      </w:r>
      <w:r w:rsidR="005B7431">
        <w:rPr>
          <w:rFonts w:eastAsia="Yu Gothic UI Semilight" w:cs="Calibri"/>
        </w:rPr>
        <w:t xml:space="preserve">rzędu </w:t>
      </w:r>
      <w:r w:rsidRPr="0035160C">
        <w:rPr>
          <w:rFonts w:eastAsia="Yu Gothic UI Semilight" w:cs="Calibri"/>
        </w:rPr>
        <w:t>R</w:t>
      </w:r>
      <w:r w:rsidR="005B7431">
        <w:rPr>
          <w:rFonts w:eastAsia="Yu Gothic UI Semilight" w:cs="Calibri"/>
        </w:rPr>
        <w:t xml:space="preserve">egulacji </w:t>
      </w:r>
      <w:r w:rsidRPr="0035160C">
        <w:rPr>
          <w:rFonts w:eastAsia="Yu Gothic UI Semilight" w:cs="Calibri"/>
        </w:rPr>
        <w:t>E</w:t>
      </w:r>
      <w:r w:rsidR="005B7431">
        <w:rPr>
          <w:rFonts w:eastAsia="Yu Gothic UI Semilight" w:cs="Calibri"/>
        </w:rPr>
        <w:t>nergetyki</w:t>
      </w:r>
      <w:r w:rsidRPr="0035160C">
        <w:rPr>
          <w:rFonts w:eastAsia="Yu Gothic UI Semilight" w:cs="Calibri"/>
        </w:rPr>
        <w:t xml:space="preserve"> łączny koszt zakupu uprawnień do emisji CO</w:t>
      </w:r>
      <w:r w:rsidRPr="0035160C">
        <w:rPr>
          <w:rFonts w:eastAsia="Yu Gothic UI Semilight" w:cs="Calibri"/>
          <w:vertAlign w:val="subscript"/>
        </w:rPr>
        <w:t xml:space="preserve">2 </w:t>
      </w:r>
      <w:r w:rsidRPr="0035160C">
        <w:rPr>
          <w:rFonts w:eastAsia="Yu Gothic UI Semilight" w:cs="Calibri"/>
        </w:rPr>
        <w:t>w  2019 r. wyniósł ponad 6,9 mld zł przy średniej cenie 24,51 euro za tonę CO</w:t>
      </w:r>
      <w:r w:rsidRPr="0035160C">
        <w:rPr>
          <w:rFonts w:eastAsia="Yu Gothic UI Semilight" w:cs="Calibri"/>
          <w:vertAlign w:val="subscript"/>
        </w:rPr>
        <w:t>2</w:t>
      </w:r>
      <w:r w:rsidRPr="0035160C">
        <w:rPr>
          <w:rFonts w:eastAsia="Yu Gothic UI Semilight" w:cs="Calibri"/>
        </w:rPr>
        <w:t xml:space="preserve">. Stanowi to ok. 14,6% wszystkich kosztów przedsiębiorstw sektora. </w:t>
      </w:r>
    </w:p>
    <w:p w14:paraId="1742ED2D" w14:textId="31CFD38E" w:rsidR="00D375AE" w:rsidRPr="0035160C" w:rsidRDefault="00D375AE" w:rsidP="00D375AE">
      <w:pPr>
        <w:spacing w:before="120" w:after="0" w:line="276" w:lineRule="auto"/>
        <w:jc w:val="both"/>
        <w:rPr>
          <w:rFonts w:eastAsia="Yu Gothic UI Semilight" w:cs="Calibri"/>
        </w:rPr>
      </w:pPr>
      <w:r w:rsidRPr="0035160C">
        <w:rPr>
          <w:rFonts w:eastAsia="Yu Gothic UI Semilight" w:cs="Calibri"/>
        </w:rPr>
        <w:t xml:space="preserve">Najbardziej dotknięte są systemy w względnie mniej zamożnych i mniejszych ośrodkach miejskich. Jednocześnie systemy te są w znacznej większości systemami nie posiadającymi statusu efektywnego, zatem nie będzie możliwości ich wsparcia </w:t>
      </w:r>
      <w:r w:rsidR="0072137C">
        <w:rPr>
          <w:rFonts w:eastAsia="Yu Gothic UI Semilight" w:cs="Calibri"/>
        </w:rPr>
        <w:t>środkami publicznymi.</w:t>
      </w:r>
      <w:r w:rsidRPr="0035160C">
        <w:rPr>
          <w:rFonts w:eastAsia="Yu Gothic UI Semilight" w:cs="Calibri"/>
        </w:rPr>
        <w:t xml:space="preserve"> </w:t>
      </w:r>
      <w:bookmarkStart w:id="60" w:name="_Hlk67407295"/>
      <w:r w:rsidRPr="0035160C">
        <w:rPr>
          <w:rFonts w:eastAsia="Yu Gothic UI Semilight" w:cs="Calibri"/>
        </w:rPr>
        <w:t>Raport „Czyste Ciepło 2020” analizując wszystkie systemy ciepłownicze w kraju wskazuje, że udział systemów efektywnych wynosi jedynie ok. 10%</w:t>
      </w:r>
      <w:r w:rsidR="0072137C">
        <w:rPr>
          <w:rFonts w:eastAsia="Yu Gothic UI Semilight" w:cs="Calibri"/>
        </w:rPr>
        <w:t>, natomiast na podstawie badań Izby Gospodarczej Ciepłownictwo Polskie, przeprowadzonych u swoich członków, udział ten wynosi blisko 20%</w:t>
      </w:r>
      <w:r w:rsidRPr="0035160C">
        <w:rPr>
          <w:rFonts w:eastAsia="Yu Gothic UI Semilight" w:cs="Calibri"/>
        </w:rPr>
        <w:t xml:space="preserve">. </w:t>
      </w:r>
      <w:bookmarkEnd w:id="60"/>
      <w:r w:rsidRPr="0035160C">
        <w:rPr>
          <w:rFonts w:eastAsia="Yu Gothic UI Semilight" w:cs="Calibri"/>
        </w:rPr>
        <w:t>Systemy efektywne zlokalizowane są głównie w największych miastach i charakteryzują się największymi mocami zainstalowanymi. W związku z powyższym, 68% wolumenu ciepła systemowego dostarczane jest przez systemy efektywne, najczęściej wielkomiejskie, stanowiące jednocześnie jedynie ok. 10% liczby wszystkich systemów w Polsce ogółem.</w:t>
      </w:r>
    </w:p>
    <w:p w14:paraId="7D919AB4" w14:textId="77777777" w:rsidR="00D375AE" w:rsidRPr="00EB1F99" w:rsidRDefault="00D375AE" w:rsidP="00D375AE">
      <w:pPr>
        <w:spacing w:before="120" w:after="0" w:line="276" w:lineRule="auto"/>
        <w:jc w:val="both"/>
        <w:rPr>
          <w:rFonts w:eastAsia="Yu Gothic UI Semilight" w:cs="Calibri"/>
          <w:b/>
          <w:bCs/>
          <w:color w:val="2F5496" w:themeColor="accent1" w:themeShade="BF"/>
        </w:rPr>
      </w:pPr>
      <w:r w:rsidRPr="00EB1F99">
        <w:rPr>
          <w:rFonts w:eastAsia="Yu Gothic UI Semilight" w:cs="Calibri"/>
          <w:b/>
          <w:bCs/>
          <w:color w:val="2F5496" w:themeColor="accent1" w:themeShade="BF"/>
        </w:rPr>
        <w:lastRenderedPageBreak/>
        <w:t>Niewielka liczba efektywnych systemów ciepłowniczych w Polsce związana jest z faktem, że</w:t>
      </w:r>
      <w:r w:rsidRPr="00EB1F99">
        <w:rPr>
          <w:rFonts w:eastAsia="Yu Gothic UI Semilight" w:cs="Calibri"/>
          <w:color w:val="2F5496" w:themeColor="accent1" w:themeShade="BF"/>
        </w:rPr>
        <w:t xml:space="preserve"> </w:t>
      </w:r>
      <w:r w:rsidRPr="00EB1F99">
        <w:rPr>
          <w:rFonts w:eastAsia="Yu Gothic UI Semilight" w:cs="Calibri"/>
          <w:b/>
          <w:bCs/>
          <w:color w:val="2F5496" w:themeColor="accent1" w:themeShade="BF"/>
        </w:rPr>
        <w:t>w większości systemów ciepło wytwarzane jest w kotłach wodnych, opalanych paliwem węglowym.</w:t>
      </w:r>
    </w:p>
    <w:p w14:paraId="55E8F6E8" w14:textId="157EFB4F" w:rsidR="00D375AE" w:rsidRPr="0035160C" w:rsidRDefault="00D375AE" w:rsidP="00D375AE">
      <w:pPr>
        <w:spacing w:before="120" w:after="0" w:line="276" w:lineRule="auto"/>
        <w:jc w:val="both"/>
        <w:rPr>
          <w:rFonts w:eastAsia="Yu Gothic UI Semilight" w:cs="Calibri"/>
        </w:rPr>
      </w:pPr>
      <w:r w:rsidRPr="0035160C">
        <w:rPr>
          <w:rFonts w:eastAsia="Yu Gothic UI Semilight" w:cs="Calibri"/>
        </w:rPr>
        <w:t xml:space="preserve">Obecne szacunki </w:t>
      </w:r>
      <w:r w:rsidR="0072137C">
        <w:rPr>
          <w:rFonts w:eastAsia="Yu Gothic UI Semilight" w:cs="Calibri"/>
        </w:rPr>
        <w:t xml:space="preserve">Izby Gospodarczej Ciepłownictwo Polskie </w:t>
      </w:r>
      <w:r w:rsidRPr="0035160C">
        <w:rPr>
          <w:rFonts w:eastAsia="Yu Gothic UI Semilight" w:cs="Calibri"/>
        </w:rPr>
        <w:t xml:space="preserve">prognozują koszt transformacji sektora ciepłownictwa systemowego na </w:t>
      </w:r>
      <w:r w:rsidR="0072137C">
        <w:rPr>
          <w:rFonts w:eastAsia="Yu Gothic UI Semilight" w:cs="Calibri"/>
        </w:rPr>
        <w:t xml:space="preserve">około </w:t>
      </w:r>
      <w:r w:rsidRPr="0035160C">
        <w:rPr>
          <w:rFonts w:eastAsia="Yu Gothic UI Semilight" w:cs="Calibri"/>
        </w:rPr>
        <w:t>100 mld zł do 2030 r.</w:t>
      </w:r>
    </w:p>
    <w:p w14:paraId="65550483" w14:textId="2FC68D10" w:rsidR="00D375AE" w:rsidRPr="0035160C" w:rsidRDefault="00D375AE" w:rsidP="00D375AE">
      <w:pPr>
        <w:spacing w:before="120" w:line="276" w:lineRule="auto"/>
        <w:jc w:val="both"/>
        <w:rPr>
          <w:rFonts w:eastAsia="Yu Gothic UI Semilight" w:cs="Calibri"/>
        </w:rPr>
      </w:pPr>
      <w:r w:rsidRPr="0035160C">
        <w:rPr>
          <w:rFonts w:eastAsia="Yu Gothic UI Semilight" w:cs="Calibri"/>
        </w:rPr>
        <w:t>Alternatywą dla paliwa węglowego w systemach ciepłowniczych jest budowa jednostek wysokosprawnej kogeneracji (wytwarzanie energii elektrycznej i ciepła w skojarzeniu w jednym procesie), zasilanych gazem ziemnym. Wykorzystanie tej technologii jako technologii pomostowej pozwoli zmniejszyć intensywność emisji sektora poprzez zastąpienie węgla kamiennego oraz pozwoli na uzyskanie statusu efektywnego systemu ciepłowniczego. Ponadto, ze względu na dużą dojrzałość tej technologii gaz ziemny będzie wykorzystywany w długiej perspektywie</w:t>
      </w:r>
      <w:r w:rsidR="006018BA">
        <w:rPr>
          <w:rFonts w:eastAsia="Yu Gothic UI Semilight" w:cs="Calibri"/>
        </w:rPr>
        <w:t>,</w:t>
      </w:r>
      <w:r w:rsidRPr="0035160C">
        <w:rPr>
          <w:rFonts w:eastAsia="Yu Gothic UI Semilight" w:cs="Calibri"/>
        </w:rPr>
        <w:t xml:space="preserve"> a dysponując stabilnymi, efektywnymi źródłami wykorzystującymi paliwa gazowe, możliwe będzie wdrażanie na szeroką skalę komplementarnych technologii opartych o energię odnawialną. Rozpocznie to przyspieszenie procesu transformacji sektora ciepłowniczego i osiągnięcie celu neutralności klimatycznej, przy zachowaniu kontroli nad zmianami cen ciepła skutkując kosztami akceptowalnymi przez odbiorców.</w:t>
      </w:r>
    </w:p>
    <w:p w14:paraId="099AF474" w14:textId="77777777" w:rsidR="00D375AE" w:rsidRPr="0035160C" w:rsidRDefault="00D375AE" w:rsidP="00D375AE">
      <w:pPr>
        <w:spacing w:after="240" w:line="276" w:lineRule="auto"/>
        <w:jc w:val="both"/>
        <w:rPr>
          <w:rFonts w:eastAsia="Yu Gothic UI Semilight" w:cs="Calibri"/>
        </w:rPr>
      </w:pPr>
      <w:r w:rsidRPr="0035160C">
        <w:rPr>
          <w:rFonts w:eastAsia="Yu Gothic UI Semilight" w:cs="Calibri"/>
        </w:rPr>
        <w:t xml:space="preserve">Gaz ziemny stanowiący paliwo przejściowe w systemach ciepłowniczych zasilanych z jednostek kogeneracji gazowej, będzie stopniowo uzupełniany źródłami OZE o mniejszej mocy, szczególnie w  obszarach sieci zasilających w ciepło nowobudowane osiedla lub obiekty. Tak zaprojektowany system „wyspowy” funkcjonowałby współistniejąc z systemem macierzystym, do którego byłby przyłączony. Przez większą część roku zasilanie takiego sytemu pochodziłoby z własnego źródła OZE, natomiast ciepło z systemu macierzystego pełniłoby funkcję stabilizującą zasilanie, a w czasie zwiększonego zapotrzebowania lub braku możliwości korzystania z OZE, pełniłoby rolę źródła szczytowego. </w:t>
      </w:r>
    </w:p>
    <w:p w14:paraId="18A0B7F8" w14:textId="77777777" w:rsidR="00D375AE" w:rsidRPr="0035160C" w:rsidRDefault="00D375AE" w:rsidP="007071D9">
      <w:pPr>
        <w:spacing w:after="120" w:line="276" w:lineRule="auto"/>
        <w:jc w:val="both"/>
        <w:rPr>
          <w:rFonts w:eastAsia="Yu Gothic UI Semilight" w:cs="Calibri"/>
        </w:rPr>
      </w:pPr>
      <w:r w:rsidRPr="0035160C">
        <w:rPr>
          <w:rFonts w:eastAsia="Yu Gothic UI Semilight" w:cs="Calibri"/>
        </w:rPr>
        <w:t>Do alternatywnych technologii wytwarzania ciepła, ograniczających emisję CO</w:t>
      </w:r>
      <w:r w:rsidRPr="0035160C">
        <w:rPr>
          <w:rFonts w:eastAsia="Yu Gothic UI Semilight" w:cs="Calibri"/>
          <w:vertAlign w:val="subscript"/>
        </w:rPr>
        <w:t>2,</w:t>
      </w:r>
      <w:r w:rsidRPr="0035160C">
        <w:rPr>
          <w:rFonts w:eastAsia="Yu Gothic UI Semilight" w:cs="Calibri"/>
        </w:rPr>
        <w:t xml:space="preserve"> mogących pokryć w części zapotrzebowanie na ciepło w takich systemach, możemy zaliczyć m. in.:</w:t>
      </w:r>
    </w:p>
    <w:p w14:paraId="68BE76EA" w14:textId="77777777" w:rsidR="00D375AE" w:rsidRPr="0035160C" w:rsidRDefault="00D375AE" w:rsidP="00CA3BB7">
      <w:pPr>
        <w:numPr>
          <w:ilvl w:val="0"/>
          <w:numId w:val="53"/>
        </w:numPr>
        <w:spacing w:after="120" w:line="276" w:lineRule="auto"/>
        <w:ind w:left="714" w:hanging="357"/>
        <w:contextualSpacing/>
        <w:jc w:val="both"/>
        <w:rPr>
          <w:rFonts w:eastAsia="Yu Gothic UI Semilight" w:cs="Calibri"/>
        </w:rPr>
      </w:pPr>
      <w:r w:rsidRPr="0035160C">
        <w:rPr>
          <w:rFonts w:eastAsia="Yu Gothic UI Semilight" w:cs="Calibri"/>
        </w:rPr>
        <w:t>geotermię, zarówno klasyczną jak i płytką,</w:t>
      </w:r>
    </w:p>
    <w:p w14:paraId="6DE4D655" w14:textId="77777777" w:rsidR="00D375AE" w:rsidRPr="0035160C" w:rsidRDefault="00D375AE" w:rsidP="00CA3BB7">
      <w:pPr>
        <w:numPr>
          <w:ilvl w:val="0"/>
          <w:numId w:val="53"/>
        </w:numPr>
        <w:spacing w:after="240" w:line="276" w:lineRule="auto"/>
        <w:contextualSpacing/>
        <w:jc w:val="both"/>
        <w:rPr>
          <w:rFonts w:eastAsia="Yu Gothic UI Semilight" w:cs="Calibri"/>
        </w:rPr>
      </w:pPr>
      <w:r w:rsidRPr="0035160C">
        <w:rPr>
          <w:rFonts w:eastAsia="Yu Gothic UI Semilight" w:cs="Calibri"/>
        </w:rPr>
        <w:t>wielkoskalowe kolektory słoneczne,</w:t>
      </w:r>
    </w:p>
    <w:p w14:paraId="7EFF6739" w14:textId="77777777" w:rsidR="00D375AE" w:rsidRPr="0035160C" w:rsidRDefault="00D375AE" w:rsidP="00CA3BB7">
      <w:pPr>
        <w:numPr>
          <w:ilvl w:val="0"/>
          <w:numId w:val="53"/>
        </w:numPr>
        <w:spacing w:after="240" w:line="276" w:lineRule="auto"/>
        <w:contextualSpacing/>
        <w:jc w:val="both"/>
        <w:rPr>
          <w:rFonts w:eastAsia="Yu Gothic UI Semilight" w:cs="Calibri"/>
        </w:rPr>
      </w:pPr>
      <w:r w:rsidRPr="0035160C">
        <w:rPr>
          <w:rFonts w:eastAsia="Yu Gothic UI Semilight" w:cs="Calibri"/>
        </w:rPr>
        <w:t>pompy ciepła,</w:t>
      </w:r>
    </w:p>
    <w:p w14:paraId="2727E8B9" w14:textId="77777777" w:rsidR="00D375AE" w:rsidRPr="0035160C" w:rsidRDefault="00D375AE" w:rsidP="00CA3BB7">
      <w:pPr>
        <w:numPr>
          <w:ilvl w:val="0"/>
          <w:numId w:val="53"/>
        </w:numPr>
        <w:spacing w:after="240" w:line="276" w:lineRule="auto"/>
        <w:contextualSpacing/>
        <w:jc w:val="both"/>
        <w:rPr>
          <w:rFonts w:eastAsia="Yu Gothic UI Semilight" w:cs="Calibri"/>
        </w:rPr>
      </w:pPr>
      <w:r w:rsidRPr="0035160C">
        <w:rPr>
          <w:rFonts w:eastAsia="Yu Gothic UI Semilight" w:cs="Calibri"/>
        </w:rPr>
        <w:t xml:space="preserve">elektrociepłownie opalane zdekarbonizowanymi gazami – biometanem i wodorem, </w:t>
      </w:r>
    </w:p>
    <w:p w14:paraId="4117D427" w14:textId="77777777" w:rsidR="00D375AE" w:rsidRPr="0035160C" w:rsidRDefault="00D375AE" w:rsidP="00CA3BB7">
      <w:pPr>
        <w:numPr>
          <w:ilvl w:val="0"/>
          <w:numId w:val="53"/>
        </w:numPr>
        <w:spacing w:before="120" w:after="240" w:line="276" w:lineRule="auto"/>
        <w:ind w:left="714" w:hanging="357"/>
        <w:contextualSpacing/>
        <w:jc w:val="both"/>
        <w:rPr>
          <w:rFonts w:eastAsia="Yu Gothic UI Semilight" w:cs="Calibri"/>
        </w:rPr>
      </w:pPr>
      <w:r w:rsidRPr="0035160C">
        <w:rPr>
          <w:rFonts w:eastAsia="Yu Gothic UI Semilight" w:cs="Calibri"/>
        </w:rPr>
        <w:t>kotły opalane biomasą.</w:t>
      </w:r>
    </w:p>
    <w:p w14:paraId="4A32B8EE" w14:textId="7B1F1D58" w:rsidR="00D375AE" w:rsidRPr="0035160C" w:rsidRDefault="00D375AE" w:rsidP="007071D9">
      <w:pPr>
        <w:spacing w:before="120" w:after="120" w:line="276" w:lineRule="auto"/>
        <w:jc w:val="both"/>
        <w:rPr>
          <w:rFonts w:eastAsia="Yu Gothic UI Semilight" w:cs="Calibri"/>
          <w:bCs/>
        </w:rPr>
      </w:pPr>
      <w:r w:rsidRPr="0035160C">
        <w:rPr>
          <w:rFonts w:eastAsia="Yu Gothic UI Semilight" w:cs="Calibri"/>
        </w:rPr>
        <w:t xml:space="preserve">Artykuł 23 Dyrektywy </w:t>
      </w:r>
      <w:r w:rsidR="00CE253B">
        <w:rPr>
          <w:rFonts w:eastAsia="Yu Gothic UI Semilight" w:cs="Calibri"/>
        </w:rPr>
        <w:t>Parlamentu Europejskiego i Rady (UE) 2018/2001 w sprawie promowania stosowania energii ze źródeł odnawialnych (</w:t>
      </w:r>
      <w:r w:rsidRPr="0035160C">
        <w:rPr>
          <w:rFonts w:eastAsia="Yu Gothic UI Semilight" w:cs="Calibri"/>
        </w:rPr>
        <w:t>RED II</w:t>
      </w:r>
      <w:r w:rsidR="00CE253B">
        <w:rPr>
          <w:rFonts w:eastAsia="Yu Gothic UI Semilight" w:cs="Calibri"/>
        </w:rPr>
        <w:t>)</w:t>
      </w:r>
      <w:r w:rsidRPr="0035160C">
        <w:rPr>
          <w:rFonts w:eastAsia="Yu Gothic UI Semilight" w:cs="Calibri"/>
        </w:rPr>
        <w:t xml:space="preserve"> ustala coroczny poziom wzrostu udziału ciepła i chłodu z OZE, który wynosi minimum 1,1 p.p. jako średnia wyliczona dla okresów 2021–2025 i 2026–2030, w stosunku do udziału energii odnawialnej w sektorze ogrzewania i chłodzenia osiągniętego w 2020 r. </w:t>
      </w:r>
      <w:r w:rsidRPr="007071D9">
        <w:rPr>
          <w:rFonts w:eastAsia="Yu Gothic UI Semilight" w:cs="Calibri"/>
          <w:b/>
          <w:bCs/>
          <w:color w:val="2F5496" w:themeColor="accent1" w:themeShade="BF"/>
        </w:rPr>
        <w:t>Zgodnie z celem zapisanym w PEP2040 udział OZE w polskim ciepłownictwie w roku 2030 powinien wynosić 28,4%. W związku z postępującą urbanizacją i sub</w:t>
      </w:r>
      <w:r w:rsidR="00EB1F99">
        <w:rPr>
          <w:rFonts w:eastAsia="Yu Gothic UI Semilight" w:cs="Calibri"/>
          <w:b/>
          <w:bCs/>
          <w:color w:val="2F5496" w:themeColor="accent1" w:themeShade="BF"/>
        </w:rPr>
        <w:t>-</w:t>
      </w:r>
      <w:r w:rsidRPr="007071D9">
        <w:rPr>
          <w:rFonts w:eastAsia="Yu Gothic UI Semilight" w:cs="Calibri"/>
          <w:b/>
          <w:bCs/>
          <w:color w:val="2F5496" w:themeColor="accent1" w:themeShade="BF"/>
        </w:rPr>
        <w:t xml:space="preserve">urbanizacją, przewiduje się, </w:t>
      </w:r>
      <w:r w:rsidR="006018BA">
        <w:rPr>
          <w:rFonts w:eastAsia="Yu Gothic UI Semilight" w:cs="Calibri"/>
          <w:b/>
          <w:bCs/>
          <w:color w:val="2F5496" w:themeColor="accent1" w:themeShade="BF"/>
        </w:rPr>
        <w:t>ż</w:t>
      </w:r>
      <w:r w:rsidR="006018BA" w:rsidRPr="007071D9">
        <w:rPr>
          <w:rFonts w:eastAsia="Yu Gothic UI Semilight" w:cs="Calibri"/>
          <w:b/>
          <w:bCs/>
          <w:color w:val="2F5496" w:themeColor="accent1" w:themeShade="BF"/>
        </w:rPr>
        <w:t xml:space="preserve">e </w:t>
      </w:r>
      <w:r w:rsidRPr="007071D9">
        <w:rPr>
          <w:rFonts w:eastAsia="Yu Gothic UI Semilight" w:cs="Calibri"/>
          <w:b/>
          <w:bCs/>
          <w:color w:val="2F5496" w:themeColor="accent1" w:themeShade="BF"/>
        </w:rPr>
        <w:t>liczba budynków przyłączanych do sieci systematycznie będzie się zwiększała. Zgodnie z PEP2040</w:t>
      </w:r>
      <w:r w:rsidR="006018BA">
        <w:rPr>
          <w:rFonts w:eastAsia="Yu Gothic UI Semilight" w:cs="Calibri"/>
          <w:b/>
          <w:bCs/>
          <w:color w:val="2F5496" w:themeColor="accent1" w:themeShade="BF"/>
        </w:rPr>
        <w:t>,</w:t>
      </w:r>
      <w:r w:rsidRPr="007071D9">
        <w:rPr>
          <w:rFonts w:eastAsia="Yu Gothic UI Semilight" w:cs="Calibri"/>
          <w:b/>
          <w:bCs/>
          <w:color w:val="2F5496" w:themeColor="accent1" w:themeShade="BF"/>
        </w:rPr>
        <w:t xml:space="preserve"> w perspektywie </w:t>
      </w:r>
      <w:r w:rsidR="006018BA">
        <w:rPr>
          <w:rFonts w:eastAsia="Yu Gothic UI Semilight" w:cs="Calibri"/>
          <w:b/>
          <w:bCs/>
          <w:color w:val="2F5496" w:themeColor="accent1" w:themeShade="BF"/>
        </w:rPr>
        <w:t xml:space="preserve">do </w:t>
      </w:r>
      <w:r w:rsidRPr="007071D9">
        <w:rPr>
          <w:rFonts w:eastAsia="Yu Gothic UI Semilight" w:cs="Calibri"/>
          <w:b/>
          <w:bCs/>
          <w:color w:val="2F5496" w:themeColor="accent1" w:themeShade="BF"/>
        </w:rPr>
        <w:t>2030 r. do sieci ciepłowniczej zostanie przyłączonych ok. 70% gospodarstw domowych w gminach miejskich, co oznacza ok. 1,5 mln więcej gospodarstw domowych zasilanych przez ciepłownictwo systemowe w porównaniu z 2018 r.</w:t>
      </w:r>
      <w:r w:rsidRPr="007071D9" w:rsidDel="008237D6">
        <w:rPr>
          <w:rFonts w:eastAsia="Yu Gothic UI Semilight" w:cs="Calibri"/>
          <w:b/>
          <w:bCs/>
          <w:color w:val="2F5496" w:themeColor="accent1" w:themeShade="BF"/>
        </w:rPr>
        <w:t xml:space="preserve"> </w:t>
      </w:r>
      <w:r w:rsidRPr="0035160C">
        <w:rPr>
          <w:rFonts w:eastAsia="Yu Gothic UI Semilight" w:cs="Calibri"/>
          <w:bCs/>
        </w:rPr>
        <w:t xml:space="preserve">Realizacja tego celu wymaga aktywnej roli i współpracy jednostek samorządu terytorialnego i przedsiębiorstw ciepłowniczych przy przygotowaniu </w:t>
      </w:r>
      <w:r w:rsidRPr="0035160C">
        <w:rPr>
          <w:rFonts w:eastAsia="Yu Gothic UI Semilight" w:cs="Calibri"/>
          <w:bCs/>
        </w:rPr>
        <w:lastRenderedPageBreak/>
        <w:t xml:space="preserve">planów zaopatrzenia w ciepło oraz ułatwień regulacyjnych dla przyłączania nowych odbiorców do wyspowych sieci ciepłowniczych funkcjonujących w oparciu o technologie OZE. </w:t>
      </w:r>
    </w:p>
    <w:p w14:paraId="16ED575C" w14:textId="77777777" w:rsidR="00D375AE" w:rsidRPr="0035160C" w:rsidRDefault="00D375AE" w:rsidP="00D375AE">
      <w:pPr>
        <w:spacing w:after="240" w:line="276" w:lineRule="auto"/>
        <w:jc w:val="both"/>
        <w:rPr>
          <w:rFonts w:eastAsia="Yu Gothic UI Semilight" w:cs="Calibri"/>
        </w:rPr>
      </w:pPr>
      <w:r w:rsidRPr="0035160C">
        <w:rPr>
          <w:rFonts w:eastAsia="Calibri" w:cs="Times New Roman"/>
        </w:rPr>
        <w:t xml:space="preserve">Ciepłownictwo systemowe powinno optymalnie wykorzystywać lokalne zasoby i źródła energii, w tym efektywne wykorzystanie ciepła i energii elektrycznej wytworzonych w </w:t>
      </w:r>
      <w:r w:rsidRPr="0035160C">
        <w:rPr>
          <w:rFonts w:eastAsia="Yu Gothic UI Semilight" w:cs="Calibri"/>
        </w:rPr>
        <w:t xml:space="preserve">skojarzeniu w </w:t>
      </w:r>
      <w:r w:rsidRPr="0035160C">
        <w:rPr>
          <w:rFonts w:eastAsia="Calibri" w:cs="Times New Roman"/>
        </w:rPr>
        <w:t xml:space="preserve">instalacjach </w:t>
      </w:r>
      <w:r w:rsidRPr="0035160C">
        <w:rPr>
          <w:rFonts w:eastAsia="Yu Gothic UI Semilight" w:cs="Calibri"/>
        </w:rPr>
        <w:t xml:space="preserve">do </w:t>
      </w:r>
      <w:r w:rsidRPr="0035160C">
        <w:rPr>
          <w:rFonts w:eastAsia="Calibri" w:cs="Times New Roman"/>
        </w:rPr>
        <w:t xml:space="preserve">termicznego przekształcania </w:t>
      </w:r>
      <w:r w:rsidRPr="0035160C">
        <w:rPr>
          <w:rFonts w:eastAsia="Yu Gothic UI Semilight" w:cs="Calibri"/>
        </w:rPr>
        <w:t xml:space="preserve">wysokokalorycznej frakcji </w:t>
      </w:r>
      <w:r w:rsidRPr="0035160C">
        <w:rPr>
          <w:rFonts w:eastAsia="Calibri" w:cs="Times New Roman"/>
        </w:rPr>
        <w:t xml:space="preserve">odpadów komunalnych i pochodzących z przetwarzania odpadów komunalnych oraz ciepło odpadowe z procesów przemysłowych. </w:t>
      </w:r>
    </w:p>
    <w:p w14:paraId="2A3D102F" w14:textId="3EF65418" w:rsidR="00D375AE" w:rsidRPr="0035160C" w:rsidRDefault="00D375AE" w:rsidP="00D375AE">
      <w:pPr>
        <w:spacing w:before="120" w:after="0" w:line="276" w:lineRule="auto"/>
        <w:jc w:val="both"/>
        <w:rPr>
          <w:rFonts w:eastAsia="Yu Gothic UI Semilight" w:cs="Calibri"/>
        </w:rPr>
      </w:pPr>
      <w:r w:rsidRPr="0035160C">
        <w:rPr>
          <w:rFonts w:eastAsia="Yu Gothic UI Semilight" w:cs="Calibri"/>
        </w:rPr>
        <w:t>Gaz ziemny wykorzystywany w wysokosprawnej kogeneracji gazowej będzie stopniowo zastępowany przez gazy zdekarbonizowane, przede wszystkim poprzez domieszkę biometanu. W dalszej perspektywie możliwy będzie udział wodoru w produkcji ciepła lub chłodu w systemach ciepłowniczych.</w:t>
      </w:r>
    </w:p>
    <w:p w14:paraId="03A2918D" w14:textId="77777777" w:rsidR="00D375AE" w:rsidRPr="0035160C" w:rsidRDefault="00D375AE" w:rsidP="00D375AE">
      <w:pPr>
        <w:spacing w:before="120" w:after="0" w:line="276" w:lineRule="auto"/>
        <w:jc w:val="both"/>
        <w:rPr>
          <w:rFonts w:eastAsia="Calibri" w:cs="Calibri"/>
          <w:b/>
          <w:color w:val="2E74B5"/>
        </w:rPr>
      </w:pPr>
      <w:r w:rsidRPr="0035160C">
        <w:rPr>
          <w:rFonts w:eastAsia="Calibri" w:cs="Calibri"/>
          <w:bCs/>
        </w:rPr>
        <w:t xml:space="preserve">Aby realizować cele zawarte w dokumentach strategicznych </w:t>
      </w:r>
      <w:r w:rsidRPr="007071D9">
        <w:rPr>
          <w:rFonts w:eastAsia="Calibri" w:cs="Calibri"/>
          <w:b/>
          <w:color w:val="2F5496" w:themeColor="accent1" w:themeShade="BF"/>
        </w:rPr>
        <w:t>planowane są następujące działania</w:t>
      </w:r>
      <w:r w:rsidRPr="007071D9">
        <w:rPr>
          <w:rFonts w:eastAsia="Calibri" w:cs="Calibri"/>
          <w:b/>
        </w:rPr>
        <w:t>:</w:t>
      </w:r>
    </w:p>
    <w:p w14:paraId="054B3DAC" w14:textId="775CF300" w:rsidR="004F0F02" w:rsidRPr="0035160C" w:rsidRDefault="00D375AE" w:rsidP="004F0F02">
      <w:pPr>
        <w:spacing w:before="120" w:after="0" w:line="276" w:lineRule="auto"/>
        <w:ind w:left="284" w:hanging="142"/>
        <w:jc w:val="both"/>
        <w:rPr>
          <w:rFonts w:eastAsia="Calibri" w:cs="Calibri"/>
          <w:bCs/>
        </w:rPr>
      </w:pPr>
      <w:r w:rsidRPr="0035160C">
        <w:rPr>
          <w:rFonts w:eastAsia="Calibri" w:cs="Calibri"/>
          <w:bCs/>
        </w:rPr>
        <w:t xml:space="preserve">- </w:t>
      </w:r>
      <w:r w:rsidR="004F0F02" w:rsidRPr="004F0F02">
        <w:rPr>
          <w:rFonts w:eastAsia="Calibri" w:cs="Calibri"/>
          <w:bCs/>
        </w:rPr>
        <w:t>wsparcie projektów inwestycyjnych w jednostki kogeneracji o mocy powyżej 50 MW w ramach programów finansowanych ze środków Funduszu Modernizacyjnego</w:t>
      </w:r>
    </w:p>
    <w:p w14:paraId="0AE81E36" w14:textId="77777777" w:rsidR="00D375AE" w:rsidRPr="0035160C" w:rsidRDefault="00D375AE" w:rsidP="00D375AE">
      <w:pPr>
        <w:spacing w:after="0" w:line="276" w:lineRule="auto"/>
        <w:ind w:left="284" w:hanging="142"/>
        <w:jc w:val="both"/>
        <w:rPr>
          <w:rFonts w:eastAsia="Calibri" w:cs="Calibri"/>
          <w:bCs/>
        </w:rPr>
      </w:pPr>
      <w:r w:rsidRPr="0035160C">
        <w:rPr>
          <w:rFonts w:eastAsia="Calibri" w:cs="Calibri"/>
          <w:bCs/>
        </w:rPr>
        <w:t xml:space="preserve">- </w:t>
      </w:r>
      <w:r w:rsidRPr="0035160C">
        <w:rPr>
          <w:rFonts w:eastAsia="Yu Gothic UI Semilight" w:cs="Calibri"/>
        </w:rPr>
        <w:t>działający obecnie program „Ciepłownictwo powiatowe”, prowadzony przez NFOŚiGW zapewni 500 mln zł na modernizację niewielkich systemów ciepłowniczych, o mocach wytwórczych nie przekraczających 50 MW;</w:t>
      </w:r>
    </w:p>
    <w:p w14:paraId="05DBB478" w14:textId="73B5A131" w:rsidR="00D375AE" w:rsidRPr="0035160C" w:rsidRDefault="00D375AE" w:rsidP="00D375AE">
      <w:pPr>
        <w:spacing w:after="0" w:line="276" w:lineRule="auto"/>
        <w:ind w:left="284" w:hanging="142"/>
        <w:jc w:val="both"/>
        <w:rPr>
          <w:rFonts w:eastAsia="Calibri" w:cs="Calibri"/>
        </w:rPr>
      </w:pPr>
      <w:r w:rsidRPr="0035160C">
        <w:rPr>
          <w:rFonts w:eastAsia="Calibri" w:cs="Calibri"/>
          <w:bCs/>
        </w:rPr>
        <w:t xml:space="preserve">- </w:t>
      </w:r>
      <w:r w:rsidRPr="0035160C">
        <w:rPr>
          <w:rFonts w:eastAsia="Yu Gothic UI Semilight" w:cs="Calibri"/>
        </w:rPr>
        <w:t xml:space="preserve">program kształcenia ekspertów energetycznych dla jednostek administracji terytorialnej w ramach Projektu </w:t>
      </w:r>
      <w:r w:rsidRPr="0035160C">
        <w:rPr>
          <w:rFonts w:eastAsia="Yu Gothic UI Semilight" w:cs="Calibri"/>
          <w:i/>
          <w:iCs/>
        </w:rPr>
        <w:t>„Ogólnopolski system wsparcia doradczego dla sektora publicznego, mieszkaniowego oraz przedsiębiorstw w zakresie efektywności energetycznej oraz OZE”</w:t>
      </w:r>
      <w:r w:rsidRPr="0035160C">
        <w:rPr>
          <w:rFonts w:eastAsia="Yu Gothic UI Semilight" w:cs="Calibri"/>
        </w:rPr>
        <w:t xml:space="preserve"> prowadzony przez NFOŚiGW poprzez </w:t>
      </w:r>
      <w:r w:rsidR="005B7431">
        <w:rPr>
          <w:rFonts w:eastAsia="Yu Gothic UI Semilight" w:cs="Calibri"/>
        </w:rPr>
        <w:t>WFOŚiGW</w:t>
      </w:r>
      <w:r w:rsidRPr="0035160C">
        <w:rPr>
          <w:rFonts w:eastAsia="Yu Gothic UI Semilight" w:cs="Calibri"/>
        </w:rPr>
        <w:t>;</w:t>
      </w:r>
    </w:p>
    <w:p w14:paraId="58A71192" w14:textId="12C303F0" w:rsidR="00D375AE" w:rsidRDefault="00D375AE" w:rsidP="00D375AE">
      <w:pPr>
        <w:spacing w:after="0" w:line="276" w:lineRule="auto"/>
        <w:ind w:left="284" w:hanging="142"/>
        <w:jc w:val="both"/>
        <w:rPr>
          <w:rFonts w:eastAsia="Calibri" w:cs="Calibri"/>
        </w:rPr>
      </w:pPr>
      <w:r w:rsidRPr="0035160C">
        <w:rPr>
          <w:rFonts w:eastAsia="Calibri" w:cs="Calibri"/>
        </w:rPr>
        <w:t xml:space="preserve">- </w:t>
      </w:r>
      <w:r w:rsidRPr="0035160C">
        <w:rPr>
          <w:rFonts w:eastAsia="Calibri" w:cs="Calibri"/>
          <w:bCs/>
        </w:rPr>
        <w:t xml:space="preserve">poszerzenie katalogu możliwości realizacji obowiązku oszczędności energii przez podmioty zobowiązane w ramach systemu </w:t>
      </w:r>
      <w:r w:rsidRPr="0035160C">
        <w:rPr>
          <w:rFonts w:eastAsia="Calibri" w:cs="Calibri"/>
          <w:bCs/>
          <w:i/>
        </w:rPr>
        <w:t>białych certyfikatów</w:t>
      </w:r>
      <w:r w:rsidRPr="0035160C">
        <w:rPr>
          <w:rFonts w:eastAsia="Calibri" w:cs="Calibri"/>
          <w:bCs/>
        </w:rPr>
        <w:t xml:space="preserve">. </w:t>
      </w:r>
      <w:r w:rsidRPr="0035160C">
        <w:rPr>
          <w:rFonts w:eastAsia="Calibri" w:cs="Calibri"/>
        </w:rPr>
        <w:t xml:space="preserve">Nowelizacja ustawy z dnia 20 maja 2016 r. </w:t>
      </w:r>
      <w:r w:rsidRPr="0035160C">
        <w:rPr>
          <w:rFonts w:eastAsia="Calibri" w:cs="Calibri"/>
          <w:i/>
        </w:rPr>
        <w:t>o efektywności energetycznej</w:t>
      </w:r>
      <w:r w:rsidRPr="0035160C">
        <w:rPr>
          <w:rFonts w:eastAsia="Calibri" w:cs="Calibri"/>
          <w:i/>
          <w:vertAlign w:val="superscript"/>
        </w:rPr>
        <w:footnoteReference w:id="18"/>
      </w:r>
      <w:r w:rsidRPr="0035160C">
        <w:rPr>
          <w:rFonts w:eastAsia="Calibri" w:cs="Calibri"/>
        </w:rPr>
        <w:t xml:space="preserve"> stworzyła podstawy dla nowych rozwiązań wynikających z wdrożenia znowelizowanej w 2018 r. dyrektywy 2012/27/UE </w:t>
      </w:r>
      <w:r w:rsidRPr="0035160C">
        <w:rPr>
          <w:rFonts w:eastAsia="Calibri" w:cs="Times New Roman"/>
        </w:rPr>
        <w:t>w sprawie</w:t>
      </w:r>
      <w:r w:rsidRPr="0035160C">
        <w:rPr>
          <w:rFonts w:eastAsia="Calibri" w:cs="Calibri"/>
          <w:i/>
        </w:rPr>
        <w:t xml:space="preserve"> efektywności energet</w:t>
      </w:r>
      <w:r w:rsidRPr="0035160C">
        <w:rPr>
          <w:rFonts w:eastAsia="Calibri" w:cs="Calibri"/>
        </w:rPr>
        <w:t xml:space="preserve">ycznej, zmierzających do osiągnięcia krajowego celu oszczędności energii finalnej wyznaczonego na 2030 r. </w:t>
      </w:r>
      <w:r w:rsidRPr="0035160C">
        <w:rPr>
          <w:rFonts w:eastAsia="Calibri" w:cs="Calibri"/>
          <w:bCs/>
        </w:rPr>
        <w:t xml:space="preserve">Nowelizacja ustawy o efektywności energetycznej wprowadziła tzw. programy bezzwrotnych dofinansowań w ramach systemu </w:t>
      </w:r>
      <w:r w:rsidRPr="0035160C">
        <w:rPr>
          <w:rFonts w:eastAsia="Calibri" w:cs="Calibri"/>
          <w:bCs/>
          <w:i/>
        </w:rPr>
        <w:t>białych certyfikatów</w:t>
      </w:r>
      <w:r w:rsidRPr="0035160C">
        <w:rPr>
          <w:rFonts w:eastAsia="Calibri" w:cs="Calibri"/>
          <w:bCs/>
        </w:rPr>
        <w:t xml:space="preserve">. </w:t>
      </w:r>
      <w:r w:rsidRPr="0035160C">
        <w:rPr>
          <w:rFonts w:eastAsia="Calibri" w:cs="Times New Roman"/>
        </w:rPr>
        <w:t>Wprowadzono możliwość rozliczania zobowiązań dotyczących oszczędności energii poprzez realizację przedsięwzięć służących poprawie efektywności energetycznej u odbiorców końcowych w ramach programów bezzwrotnych dofinansowań.</w:t>
      </w:r>
      <w:r w:rsidRPr="0035160C">
        <w:rPr>
          <w:rFonts w:eastAsia="Calibri" w:cs="Calibri"/>
          <w:bCs/>
        </w:rPr>
        <w:t xml:space="preserve"> Z</w:t>
      </w:r>
      <w:r w:rsidRPr="0035160C">
        <w:rPr>
          <w:rFonts w:eastAsia="Calibri" w:cs="Calibri"/>
        </w:rPr>
        <w:t xml:space="preserve">miany w regulacjach będą miały pozytywny wpływ na poprawę efektywności energetycznej w obszarze do tej pory niezagospodarowanym, tj. wśród odbiorców końcowych zużywających mniej niż 10 toe energii. Planuje się, że programy dofinansowań spotkają się z zainteresowaniem minimum 25 tys. odbiorców rocznie, zastępujących piec na paliwa stałe kotłem gazowym i 5 tys. odbiorców wymieniających wyeksploatowany kocioł gazowy na nowy o wyższej sprawności energetycznej. Skutkować to będzie w perspektywie 10-letniej wymianą około 300 tys. urządzeń grzewczych, a co za tym idzie przepływem pieniężnym w wysokości ponad 5 mld zł. </w:t>
      </w:r>
    </w:p>
    <w:p w14:paraId="5E7ABD04" w14:textId="77777777" w:rsidR="00270F78" w:rsidRPr="0035160C" w:rsidRDefault="00270F78" w:rsidP="00D375AE">
      <w:pPr>
        <w:spacing w:after="0" w:line="276" w:lineRule="auto"/>
        <w:ind w:left="284" w:hanging="142"/>
        <w:jc w:val="both"/>
        <w:rPr>
          <w:rFonts w:eastAsia="Calibri" w:cs="Calibri"/>
          <w:bCs/>
        </w:rPr>
      </w:pPr>
    </w:p>
    <w:p w14:paraId="1C59EDCD" w14:textId="77777777" w:rsidR="00D375AE" w:rsidRPr="00EB1F99" w:rsidRDefault="00D375AE" w:rsidP="00D375AE">
      <w:pPr>
        <w:spacing w:before="120" w:after="0" w:line="276" w:lineRule="auto"/>
        <w:jc w:val="both"/>
        <w:rPr>
          <w:rFonts w:eastAsia="Calibri" w:cs="Times New Roman"/>
          <w:b/>
          <w:bCs/>
          <w:color w:val="2F5496" w:themeColor="accent1" w:themeShade="BF"/>
        </w:rPr>
      </w:pPr>
      <w:r w:rsidRPr="0035160C">
        <w:rPr>
          <w:rFonts w:eastAsia="Yu Gothic UI Semilight" w:cs="Calibri"/>
          <w:color w:val="000000"/>
        </w:rPr>
        <w:lastRenderedPageBreak/>
        <w:t>Natomiast</w:t>
      </w:r>
      <w:r w:rsidRPr="00EB1F99">
        <w:rPr>
          <w:rFonts w:eastAsia="Yu Gothic UI Semilight" w:cs="Calibri"/>
          <w:color w:val="2F5496" w:themeColor="accent1" w:themeShade="BF"/>
        </w:rPr>
        <w:t xml:space="preserve"> </w:t>
      </w:r>
      <w:r w:rsidRPr="00EB1F99">
        <w:rPr>
          <w:rFonts w:eastAsia="Yu Gothic UI Semilight" w:cs="Calibri"/>
          <w:b/>
          <w:bCs/>
          <w:color w:val="2F5496" w:themeColor="accent1" w:themeShade="BF"/>
        </w:rPr>
        <w:t>w ramach</w:t>
      </w:r>
      <w:r w:rsidRPr="00EB1F99">
        <w:rPr>
          <w:rFonts w:eastAsia="Yu Gothic UI Semilight" w:cs="Calibri"/>
          <w:color w:val="2F5496" w:themeColor="accent1" w:themeShade="BF"/>
        </w:rPr>
        <w:t xml:space="preserve"> </w:t>
      </w:r>
      <w:r w:rsidRPr="00EB1F99">
        <w:rPr>
          <w:rFonts w:eastAsia="Calibri" w:cs="Times New Roman"/>
          <w:b/>
          <w:bCs/>
          <w:color w:val="2F5496" w:themeColor="accent1" w:themeShade="BF"/>
        </w:rPr>
        <w:t>procesu regulacyjno-administracyjnego przeprowadzone zostaną następujące działania:</w:t>
      </w:r>
    </w:p>
    <w:p w14:paraId="41048A32" w14:textId="77777777" w:rsidR="00D375AE" w:rsidRPr="00EB1F99" w:rsidRDefault="00D375AE" w:rsidP="00CA3BB7">
      <w:pPr>
        <w:numPr>
          <w:ilvl w:val="0"/>
          <w:numId w:val="54"/>
        </w:numPr>
        <w:contextualSpacing/>
        <w:rPr>
          <w:rFonts w:eastAsia="Calibri" w:cs="Times New Roman"/>
          <w:b/>
          <w:bCs/>
          <w:color w:val="2F5496" w:themeColor="accent1" w:themeShade="BF"/>
        </w:rPr>
      </w:pPr>
      <w:r w:rsidRPr="00EB1F99">
        <w:rPr>
          <w:rFonts w:eastAsia="Calibri" w:cs="Times New Roman"/>
          <w:b/>
          <w:bCs/>
          <w:color w:val="2F5496" w:themeColor="accent1" w:themeShade="BF"/>
        </w:rPr>
        <w:t>wprowadzenie hierarchii źródeł ciepła;</w:t>
      </w:r>
    </w:p>
    <w:p w14:paraId="663666E5" w14:textId="77777777" w:rsidR="00D375AE" w:rsidRPr="00EB1F99" w:rsidRDefault="00D375AE" w:rsidP="00CA3BB7">
      <w:pPr>
        <w:numPr>
          <w:ilvl w:val="0"/>
          <w:numId w:val="54"/>
        </w:numPr>
        <w:contextualSpacing/>
        <w:rPr>
          <w:rFonts w:eastAsia="Calibri" w:cs="Times New Roman"/>
          <w:b/>
          <w:bCs/>
          <w:color w:val="2F5496" w:themeColor="accent1" w:themeShade="BF"/>
        </w:rPr>
      </w:pPr>
      <w:r w:rsidRPr="00EB1F99">
        <w:rPr>
          <w:rFonts w:eastAsia="Calibri" w:cs="Times New Roman"/>
          <w:b/>
          <w:bCs/>
          <w:color w:val="2F5496" w:themeColor="accent1" w:themeShade="BF"/>
        </w:rPr>
        <w:t>wprowadzenie gwarancji pochodzenia ciepła ze źródeł odnawialnych;</w:t>
      </w:r>
    </w:p>
    <w:p w14:paraId="50164B03" w14:textId="77777777" w:rsidR="00D375AE" w:rsidRPr="00EB1F99" w:rsidRDefault="00D375AE" w:rsidP="00CA3BB7">
      <w:pPr>
        <w:numPr>
          <w:ilvl w:val="0"/>
          <w:numId w:val="54"/>
        </w:numPr>
        <w:contextualSpacing/>
        <w:rPr>
          <w:rFonts w:eastAsia="Calibri" w:cs="Times New Roman"/>
          <w:b/>
          <w:bCs/>
          <w:color w:val="2F5496" w:themeColor="accent1" w:themeShade="BF"/>
        </w:rPr>
      </w:pPr>
      <w:r w:rsidRPr="00EB1F99">
        <w:rPr>
          <w:rFonts w:eastAsia="Calibri" w:cs="Times New Roman"/>
          <w:b/>
          <w:bCs/>
          <w:color w:val="2F5496" w:themeColor="accent1" w:themeShade="BF"/>
        </w:rPr>
        <w:t>zmiana modelu taryfowania;</w:t>
      </w:r>
    </w:p>
    <w:p w14:paraId="02489A8B" w14:textId="77777777" w:rsidR="00D375AE" w:rsidRPr="00EB1F99" w:rsidRDefault="00D375AE" w:rsidP="00CA3BB7">
      <w:pPr>
        <w:numPr>
          <w:ilvl w:val="0"/>
          <w:numId w:val="54"/>
        </w:numPr>
        <w:contextualSpacing/>
        <w:rPr>
          <w:rFonts w:eastAsia="Calibri" w:cs="Times New Roman"/>
          <w:b/>
          <w:bCs/>
          <w:color w:val="2F5496" w:themeColor="accent1" w:themeShade="BF"/>
        </w:rPr>
      </w:pPr>
      <w:r w:rsidRPr="00EB1F99">
        <w:rPr>
          <w:rFonts w:eastAsia="Calibri" w:cs="Times New Roman"/>
          <w:b/>
          <w:bCs/>
          <w:color w:val="2F5496" w:themeColor="accent1" w:themeShade="BF"/>
        </w:rPr>
        <w:t>rozwój chłodu z ciepła sieciowego;</w:t>
      </w:r>
    </w:p>
    <w:p w14:paraId="365D81EA" w14:textId="77777777" w:rsidR="00D375AE" w:rsidRPr="00EB1F99" w:rsidRDefault="00D375AE" w:rsidP="00CA3BB7">
      <w:pPr>
        <w:numPr>
          <w:ilvl w:val="0"/>
          <w:numId w:val="54"/>
        </w:numPr>
        <w:contextualSpacing/>
        <w:rPr>
          <w:rFonts w:eastAsia="Calibri" w:cs="Times New Roman"/>
          <w:b/>
          <w:bCs/>
          <w:color w:val="2F5496" w:themeColor="accent1" w:themeShade="BF"/>
        </w:rPr>
      </w:pPr>
      <w:r w:rsidRPr="00EB1F99">
        <w:rPr>
          <w:rFonts w:eastAsia="Calibri" w:cs="Times New Roman"/>
          <w:b/>
          <w:bCs/>
          <w:color w:val="2F5496" w:themeColor="accent1" w:themeShade="BF"/>
        </w:rPr>
        <w:t xml:space="preserve">intensyfikacja zaangażowania gmin. </w:t>
      </w:r>
    </w:p>
    <w:p w14:paraId="3C4DC96C" w14:textId="0F8D4257" w:rsidR="00D375AE" w:rsidRPr="0035160C" w:rsidRDefault="00D375AE" w:rsidP="00D375AE">
      <w:pPr>
        <w:jc w:val="both"/>
        <w:rPr>
          <w:rFonts w:eastAsia="Calibri" w:cs="Times New Roman"/>
          <w:color w:val="000000"/>
        </w:rPr>
      </w:pPr>
      <w:r w:rsidRPr="0035160C">
        <w:rPr>
          <w:rFonts w:eastAsia="Yu Gothic UI Semilight" w:cs="Calibri"/>
        </w:rPr>
        <w:t>Zgodnie z art. 19 ustawy - Prawo energetyczne, wójt (burmistrz, prezydent miasta) opracowuje projekt założeń do planu zaopatrzenia w</w:t>
      </w:r>
      <w:r w:rsidRPr="0035160C">
        <w:rPr>
          <w:rFonts w:eastAsia="Calibri" w:cs="Times New Roman"/>
        </w:rPr>
        <w:t xml:space="preserve"> </w:t>
      </w:r>
      <w:r w:rsidRPr="0035160C">
        <w:rPr>
          <w:rFonts w:eastAsia="Yu Gothic UI Semilight" w:cs="Calibri"/>
        </w:rPr>
        <w:t>ciepło, energię elektryczną i paliwa gazowe. Istnieje potrzeba opracowania oraz późniejszej implementacji założeń planu zaopatrzenia m.in. w ciepło na poziomie lokalnym. W 2020 r</w:t>
      </w:r>
      <w:r w:rsidR="00863191">
        <w:rPr>
          <w:rFonts w:eastAsia="Yu Gothic UI Semilight" w:cs="Calibri"/>
        </w:rPr>
        <w:t>.</w:t>
      </w:r>
      <w:r w:rsidRPr="0035160C">
        <w:rPr>
          <w:rFonts w:eastAsia="Yu Gothic UI Semilight" w:cs="Calibri"/>
        </w:rPr>
        <w:t xml:space="preserve"> jedynie 20% gmin posiadało ten dokument. Stworzenie założeń planu, w oparciu o wymagania projektu </w:t>
      </w:r>
      <w:r w:rsidRPr="0035160C">
        <w:rPr>
          <w:rFonts w:eastAsia="Yu Gothic UI Semilight" w:cs="Calibri"/>
          <w:i/>
          <w:iCs/>
        </w:rPr>
        <w:t>Strategii dla ciepłownictwa</w:t>
      </w:r>
      <w:r w:rsidRPr="0035160C">
        <w:rPr>
          <w:rFonts w:eastAsia="Yu Gothic UI Semilight" w:cs="Calibri"/>
        </w:rPr>
        <w:t xml:space="preserve"> powinno być obowiązkowe w przypadku ubiegania się o wsparcie finansowe ze środków publicznych, zarówno krajowych jak i unijnych.</w:t>
      </w:r>
    </w:p>
    <w:p w14:paraId="0F3515CB" w14:textId="77777777" w:rsidR="00D375AE" w:rsidRPr="00EB1F99" w:rsidRDefault="00D375AE" w:rsidP="00D375AE">
      <w:pPr>
        <w:autoSpaceDE w:val="0"/>
        <w:autoSpaceDN w:val="0"/>
        <w:adjustRightInd w:val="0"/>
        <w:spacing w:before="120" w:after="0" w:line="276" w:lineRule="auto"/>
        <w:jc w:val="both"/>
        <w:rPr>
          <w:rFonts w:eastAsia="Calibri" w:cs="Calibri"/>
          <w:b/>
          <w:color w:val="2F5496" w:themeColor="accent1" w:themeShade="BF"/>
        </w:rPr>
      </w:pPr>
      <w:r w:rsidRPr="00EB1F99">
        <w:rPr>
          <w:rFonts w:eastAsia="Calibri" w:cs="Calibri"/>
          <w:b/>
          <w:color w:val="2F5496" w:themeColor="accent1" w:themeShade="BF"/>
        </w:rPr>
        <w:t>Do poprawy jakości powietrza przyczyniają się inwestycje w obszarze ciepła z gazu:</w:t>
      </w:r>
    </w:p>
    <w:p w14:paraId="0291D342" w14:textId="77777777" w:rsidR="00D375AE" w:rsidRPr="00EB1F99" w:rsidRDefault="00D375AE" w:rsidP="00CA3BB7">
      <w:pPr>
        <w:numPr>
          <w:ilvl w:val="0"/>
          <w:numId w:val="26"/>
        </w:numPr>
        <w:autoSpaceDE w:val="0"/>
        <w:autoSpaceDN w:val="0"/>
        <w:adjustRightInd w:val="0"/>
        <w:spacing w:before="120" w:after="0" w:line="276" w:lineRule="auto"/>
        <w:ind w:left="284" w:hanging="284"/>
        <w:jc w:val="both"/>
        <w:rPr>
          <w:rFonts w:eastAsia="Calibri" w:cs="Calibri"/>
          <w:bCs/>
          <w:color w:val="2F5496" w:themeColor="accent1" w:themeShade="BF"/>
        </w:rPr>
      </w:pPr>
      <w:r w:rsidRPr="00EB1F99">
        <w:rPr>
          <w:rFonts w:eastAsia="Calibri" w:cs="Calibri"/>
          <w:b/>
          <w:bCs/>
          <w:color w:val="2F5496" w:themeColor="accent1" w:themeShade="BF"/>
        </w:rPr>
        <w:t xml:space="preserve">rozbudowa sieci gazowej w celu wzrostu stopnia gazyfikacji kraju do 76%: </w:t>
      </w:r>
    </w:p>
    <w:p w14:paraId="2F623B88" w14:textId="77777777" w:rsidR="00D375AE" w:rsidRPr="0035160C" w:rsidRDefault="00D375AE" w:rsidP="00CA3BB7">
      <w:pPr>
        <w:numPr>
          <w:ilvl w:val="0"/>
          <w:numId w:val="24"/>
        </w:numPr>
        <w:autoSpaceDE w:val="0"/>
        <w:autoSpaceDN w:val="0"/>
        <w:adjustRightInd w:val="0"/>
        <w:spacing w:before="120" w:after="0" w:line="276" w:lineRule="auto"/>
        <w:ind w:left="567" w:hanging="283"/>
        <w:jc w:val="both"/>
        <w:rPr>
          <w:rFonts w:eastAsia="Calibri" w:cs="Calibri"/>
          <w:bCs/>
        </w:rPr>
      </w:pPr>
      <w:r w:rsidRPr="0035160C">
        <w:rPr>
          <w:rFonts w:eastAsia="Calibri" w:cs="Calibri"/>
          <w:bCs/>
        </w:rPr>
        <w:t xml:space="preserve">rozbudowa sieci gazowej przyczyni się do zwiększenia lokalnego bezpieczeństwa energetycznego, a także pozwoli na realizację skutecznej polityki poprawy jakości powietrza oraz dekarbonizacji; </w:t>
      </w:r>
    </w:p>
    <w:p w14:paraId="66929EDB" w14:textId="02963841" w:rsidR="00D375AE" w:rsidRPr="0035160C" w:rsidRDefault="00D375AE" w:rsidP="00CA3BB7">
      <w:pPr>
        <w:numPr>
          <w:ilvl w:val="0"/>
          <w:numId w:val="24"/>
        </w:numPr>
        <w:autoSpaceDE w:val="0"/>
        <w:autoSpaceDN w:val="0"/>
        <w:adjustRightInd w:val="0"/>
        <w:spacing w:before="120" w:after="0" w:line="276" w:lineRule="auto"/>
        <w:ind w:left="567" w:hanging="283"/>
        <w:jc w:val="both"/>
        <w:rPr>
          <w:rFonts w:eastAsia="Calibri" w:cs="Calibri"/>
          <w:bCs/>
        </w:rPr>
      </w:pPr>
      <w:r w:rsidRPr="0035160C">
        <w:rPr>
          <w:rFonts w:eastAsia="Calibri" w:cs="Calibri"/>
          <w:bCs/>
        </w:rPr>
        <w:t>promowanie zmian w otoczeniu regulacyjnym mających na celu likwidację barier inwestycyjno-budowlanych wpływających na dynamikę rozbudowy krajowej sieci gazowej. W przedmiotowym zakresie niezbędna jest współpraca resortów odpowiedzialnych za kształtowanie procesu inwestycyjno-budowlanego, przede wszystkim Ministerstwa Infrastruktury, Minist</w:t>
      </w:r>
      <w:r w:rsidR="005B7431">
        <w:rPr>
          <w:rFonts w:eastAsia="Calibri" w:cs="Calibri"/>
          <w:bCs/>
        </w:rPr>
        <w:t>erstwa</w:t>
      </w:r>
      <w:r w:rsidRPr="0035160C">
        <w:rPr>
          <w:rFonts w:eastAsia="Calibri" w:cs="Calibri"/>
          <w:bCs/>
        </w:rPr>
        <w:t xml:space="preserve"> </w:t>
      </w:r>
      <w:r w:rsidR="005B7431">
        <w:rPr>
          <w:rFonts w:eastAsia="Calibri" w:cs="Calibri"/>
          <w:bCs/>
        </w:rPr>
        <w:t xml:space="preserve">Rozwoju, </w:t>
      </w:r>
      <w:r w:rsidRPr="0035160C">
        <w:rPr>
          <w:rFonts w:eastAsia="Calibri" w:cs="Calibri"/>
          <w:bCs/>
        </w:rPr>
        <w:t>Pracy</w:t>
      </w:r>
      <w:r w:rsidR="005B7431">
        <w:rPr>
          <w:rFonts w:eastAsia="Calibri" w:cs="Calibri"/>
          <w:bCs/>
        </w:rPr>
        <w:t xml:space="preserve"> </w:t>
      </w:r>
      <w:r w:rsidRPr="0035160C">
        <w:rPr>
          <w:rFonts w:eastAsia="Calibri" w:cs="Calibri"/>
          <w:bCs/>
        </w:rPr>
        <w:t>i Technologii;</w:t>
      </w:r>
    </w:p>
    <w:p w14:paraId="21E52F39" w14:textId="2848AFBB" w:rsidR="00D375AE" w:rsidRPr="0035160C" w:rsidRDefault="00D375AE" w:rsidP="00CA3BB7">
      <w:pPr>
        <w:numPr>
          <w:ilvl w:val="0"/>
          <w:numId w:val="24"/>
        </w:numPr>
        <w:autoSpaceDE w:val="0"/>
        <w:autoSpaceDN w:val="0"/>
        <w:adjustRightInd w:val="0"/>
        <w:spacing w:before="120" w:after="0" w:line="276" w:lineRule="auto"/>
        <w:ind w:left="567" w:hanging="283"/>
        <w:jc w:val="both"/>
        <w:rPr>
          <w:rFonts w:eastAsia="Calibri" w:cs="Calibri"/>
          <w:bCs/>
        </w:rPr>
      </w:pPr>
      <w:r w:rsidRPr="0035160C">
        <w:rPr>
          <w:rFonts w:eastAsia="Calibri" w:cs="Calibri"/>
          <w:bCs/>
        </w:rPr>
        <w:t>realizowany przez P</w:t>
      </w:r>
      <w:r w:rsidR="00D22DDA">
        <w:rPr>
          <w:rFonts w:eastAsia="Calibri" w:cs="Calibri"/>
          <w:bCs/>
        </w:rPr>
        <w:t xml:space="preserve">olskie </w:t>
      </w:r>
      <w:r w:rsidRPr="0035160C">
        <w:rPr>
          <w:rFonts w:eastAsia="Calibri" w:cs="Calibri"/>
          <w:bCs/>
        </w:rPr>
        <w:t>S</w:t>
      </w:r>
      <w:r w:rsidR="00D22DDA">
        <w:rPr>
          <w:rFonts w:eastAsia="Calibri" w:cs="Calibri"/>
          <w:bCs/>
        </w:rPr>
        <w:t xml:space="preserve">ieci </w:t>
      </w:r>
      <w:r w:rsidRPr="0035160C">
        <w:rPr>
          <w:rFonts w:eastAsia="Calibri" w:cs="Calibri"/>
          <w:bCs/>
        </w:rPr>
        <w:t>G</w:t>
      </w:r>
      <w:r w:rsidR="00D22DDA">
        <w:rPr>
          <w:rFonts w:eastAsia="Calibri" w:cs="Calibri"/>
          <w:bCs/>
        </w:rPr>
        <w:t>azowe</w:t>
      </w:r>
      <w:r w:rsidRPr="0035160C">
        <w:rPr>
          <w:rFonts w:eastAsia="Calibri" w:cs="Calibri"/>
          <w:bCs/>
        </w:rPr>
        <w:t xml:space="preserve"> </w:t>
      </w:r>
      <w:r w:rsidRPr="0035160C">
        <w:rPr>
          <w:rFonts w:eastAsia="Calibri" w:cs="Calibri"/>
          <w:bCs/>
          <w:i/>
          <w:iCs/>
        </w:rPr>
        <w:t>Program przyśpieszenia inwestycji w sieć gazową Polski</w:t>
      </w:r>
      <w:r w:rsidRPr="0035160C">
        <w:rPr>
          <w:rFonts w:eastAsia="Calibri" w:cs="Calibri"/>
          <w:bCs/>
        </w:rPr>
        <w:t xml:space="preserve"> umożliwi w perspektywie do 2024 r. gazyfikacje 300 gmin. Szeroka gazyfikacja kraju ułatwi gminom przechodzenie z indywidualnego ciepłownictwa na czystsze paliwo gazowe, eliminując kotły na paliwa stałe o niskiej jakości. Prowadzony jest stały monitoring realizacji </w:t>
      </w:r>
      <w:r w:rsidRPr="0035160C">
        <w:rPr>
          <w:rFonts w:eastAsia="Calibri" w:cs="Calibri"/>
          <w:bCs/>
          <w:i/>
          <w:iCs/>
        </w:rPr>
        <w:t>Programu</w:t>
      </w:r>
      <w:r w:rsidRPr="0035160C">
        <w:rPr>
          <w:rFonts w:eastAsia="Calibri" w:cs="Calibri"/>
          <w:bCs/>
        </w:rPr>
        <w:t>;</w:t>
      </w:r>
    </w:p>
    <w:p w14:paraId="70515441" w14:textId="77777777" w:rsidR="00D375AE" w:rsidRPr="0035160C" w:rsidRDefault="00D375AE" w:rsidP="00CA3BB7">
      <w:pPr>
        <w:numPr>
          <w:ilvl w:val="0"/>
          <w:numId w:val="24"/>
        </w:numPr>
        <w:autoSpaceDE w:val="0"/>
        <w:autoSpaceDN w:val="0"/>
        <w:adjustRightInd w:val="0"/>
        <w:spacing w:before="120" w:after="0" w:line="276" w:lineRule="auto"/>
        <w:ind w:left="567" w:hanging="283"/>
        <w:jc w:val="both"/>
        <w:rPr>
          <w:rFonts w:eastAsia="Calibri" w:cs="Calibri"/>
          <w:bCs/>
        </w:rPr>
      </w:pPr>
      <w:r w:rsidRPr="0035160C">
        <w:rPr>
          <w:rFonts w:eastAsia="Calibri" w:cs="Calibri"/>
          <w:bCs/>
        </w:rPr>
        <w:t>gazyfikacja prowadzona będzie również za pomocą stacji regazyfikacji LNG tworząc tzw. „wyspowe” strefy dystrybucyjne, w przypadku gdy nie ma uzasadnienia dla budowy gazociągu lub istniejące połączenie sieciowe jest niewystarczające;</w:t>
      </w:r>
    </w:p>
    <w:p w14:paraId="7B1A2471" w14:textId="0DE29DE0" w:rsidR="00D375AE" w:rsidRPr="0035160C" w:rsidRDefault="00D375AE" w:rsidP="00CA3BB7">
      <w:pPr>
        <w:numPr>
          <w:ilvl w:val="0"/>
          <w:numId w:val="24"/>
        </w:numPr>
        <w:autoSpaceDE w:val="0"/>
        <w:autoSpaceDN w:val="0"/>
        <w:adjustRightInd w:val="0"/>
        <w:spacing w:before="120" w:after="0" w:line="276" w:lineRule="auto"/>
        <w:ind w:left="567" w:hanging="283"/>
        <w:jc w:val="both"/>
        <w:rPr>
          <w:rFonts w:eastAsia="Calibri" w:cs="Calibri"/>
          <w:bCs/>
        </w:rPr>
      </w:pPr>
      <w:r w:rsidRPr="0035160C">
        <w:rPr>
          <w:rFonts w:eastAsia="Calibri" w:cs="Calibri"/>
          <w:bCs/>
        </w:rPr>
        <w:t xml:space="preserve">rozbudowa i modernizacja gazowej sieci dystrybucyjnej wpisuje się w kluczowe plany określone w </w:t>
      </w:r>
      <w:r w:rsidR="00D22DDA">
        <w:rPr>
          <w:rFonts w:eastAsia="Calibri" w:cs="Calibri"/>
          <w:bCs/>
          <w:i/>
          <w:iCs/>
        </w:rPr>
        <w:t>SOR</w:t>
      </w:r>
      <w:r w:rsidRPr="0035160C">
        <w:rPr>
          <w:rFonts w:eastAsia="Calibri" w:cs="Calibri"/>
          <w:bCs/>
        </w:rPr>
        <w:t xml:space="preserve"> oraz ujęta została w </w:t>
      </w:r>
      <w:r w:rsidR="00D22DDA">
        <w:rPr>
          <w:rFonts w:eastAsia="Calibri" w:cs="Calibri"/>
          <w:bCs/>
          <w:i/>
          <w:iCs/>
        </w:rPr>
        <w:t>PEP2040</w:t>
      </w:r>
      <w:r w:rsidRPr="0035160C">
        <w:rPr>
          <w:rFonts w:eastAsia="Calibri" w:cs="Calibri"/>
          <w:bCs/>
        </w:rPr>
        <w:t xml:space="preserve"> (działanie 3A.7), przyczynia się również do realizacji Programu Priorytetowego „</w:t>
      </w:r>
      <w:r w:rsidRPr="0035160C">
        <w:rPr>
          <w:rFonts w:eastAsia="Calibri" w:cs="Calibri"/>
          <w:bCs/>
          <w:i/>
          <w:iCs/>
        </w:rPr>
        <w:t>Czyste powietrze</w:t>
      </w:r>
      <w:r w:rsidRPr="0035160C">
        <w:rPr>
          <w:rFonts w:eastAsia="Calibri" w:cs="Calibri"/>
          <w:bCs/>
        </w:rPr>
        <w:t>”.</w:t>
      </w:r>
    </w:p>
    <w:p w14:paraId="34F4F35F" w14:textId="77777777" w:rsidR="00D375AE" w:rsidRPr="0035160C" w:rsidRDefault="00D375AE" w:rsidP="00D375AE">
      <w:pPr>
        <w:autoSpaceDE w:val="0"/>
        <w:autoSpaceDN w:val="0"/>
        <w:adjustRightInd w:val="0"/>
        <w:spacing w:before="120" w:after="0" w:line="276" w:lineRule="auto"/>
        <w:jc w:val="both"/>
        <w:rPr>
          <w:rFonts w:eastAsia="Calibri" w:cs="Calibri"/>
          <w:bCs/>
          <w:color w:val="000000"/>
        </w:rPr>
      </w:pPr>
      <w:r w:rsidRPr="0035160C">
        <w:rPr>
          <w:rFonts w:eastAsia="Calibri" w:cs="Calibri"/>
          <w:bCs/>
          <w:color w:val="000000"/>
        </w:rPr>
        <w:t>Propozycje działań legislacyjnych:</w:t>
      </w:r>
    </w:p>
    <w:p w14:paraId="342941C7" w14:textId="49CF520C" w:rsidR="00D375AE" w:rsidRPr="0035160C" w:rsidRDefault="00D375AE" w:rsidP="00CA3BB7">
      <w:pPr>
        <w:numPr>
          <w:ilvl w:val="0"/>
          <w:numId w:val="24"/>
        </w:numPr>
        <w:autoSpaceDE w:val="0"/>
        <w:autoSpaceDN w:val="0"/>
        <w:adjustRightInd w:val="0"/>
        <w:spacing w:before="120" w:after="0" w:line="276" w:lineRule="auto"/>
        <w:ind w:left="567" w:hanging="283"/>
        <w:jc w:val="both"/>
        <w:rPr>
          <w:rFonts w:eastAsia="Calibri" w:cs="Calibri"/>
          <w:bCs/>
        </w:rPr>
      </w:pPr>
      <w:r w:rsidRPr="0035160C">
        <w:rPr>
          <w:rFonts w:eastAsia="Calibri" w:cs="Calibri"/>
          <w:bCs/>
        </w:rPr>
        <w:t xml:space="preserve">propozycja zmiany brzmienia art. 40 ust. 8 ustawy z dnia 21 marca 1985 r. o drogach publicznych (Dz. U. z 2020 r. poz. 470, 471 i 1087), w wyniku której możliwe byłoby obniżenie opłat za umieszczenie nowo wybudowanej sieci gazowej w pasie drogi gminnej, powiatowej, wojewódzkiej i krajowej </w:t>
      </w:r>
    </w:p>
    <w:p w14:paraId="2DCD46F6" w14:textId="77777777" w:rsidR="00D375AE" w:rsidRPr="0035160C" w:rsidRDefault="00D375AE" w:rsidP="00D375AE">
      <w:pPr>
        <w:autoSpaceDE w:val="0"/>
        <w:autoSpaceDN w:val="0"/>
        <w:adjustRightInd w:val="0"/>
        <w:spacing w:before="120" w:after="0" w:line="276" w:lineRule="auto"/>
        <w:jc w:val="both"/>
        <w:rPr>
          <w:rFonts w:eastAsia="Calibri" w:cs="Calibri"/>
          <w:bCs/>
        </w:rPr>
      </w:pPr>
      <w:r w:rsidRPr="0035160C">
        <w:rPr>
          <w:rFonts w:eastAsia="Calibri" w:cs="Calibri"/>
          <w:bCs/>
        </w:rPr>
        <w:t xml:space="preserve">Zgodnie z obowiązującymi przepisami wykorzystanie dróg publicznych na potrzeby realizacji inwestycji gazowych jest znacząco utrudnione przez wysokość opłat za zajęcie pasa drogowego. Podkreślenia </w:t>
      </w:r>
      <w:r w:rsidRPr="0035160C">
        <w:rPr>
          <w:rFonts w:eastAsia="Calibri" w:cs="Calibri"/>
          <w:bCs/>
        </w:rPr>
        <w:lastRenderedPageBreak/>
        <w:t>wymaga fakt, że widełki dla opłat za zajęcie pasa drogowego zostały zróżnicowane w zależności od rodzaju infrastruktury. Pomimo kluczowego znaczenia infrastruktury gazowej dla jakości życia obywateli oraz transformacji energetycznej Polski, inwestycje energetyczne wciąż obowiązane są do ponoszenia znacznie wyższych kosztów za zajęcie pasa drogowego niż np. inwestycje światłowodowe, co znacząco wpływa na opłacalność inwestycji, a tym samym na jej realizację.</w:t>
      </w:r>
    </w:p>
    <w:p w14:paraId="372812C6" w14:textId="318B6EA0" w:rsidR="00D375AE" w:rsidRPr="0035160C" w:rsidRDefault="00D375AE" w:rsidP="00CA3BB7">
      <w:pPr>
        <w:numPr>
          <w:ilvl w:val="0"/>
          <w:numId w:val="24"/>
        </w:numPr>
        <w:autoSpaceDE w:val="0"/>
        <w:autoSpaceDN w:val="0"/>
        <w:adjustRightInd w:val="0"/>
        <w:spacing w:before="120" w:after="0" w:line="276" w:lineRule="auto"/>
        <w:ind w:left="567" w:hanging="283"/>
        <w:jc w:val="both"/>
        <w:rPr>
          <w:rFonts w:eastAsia="Calibri" w:cs="Calibri"/>
          <w:bCs/>
        </w:rPr>
      </w:pPr>
      <w:r w:rsidRPr="0035160C">
        <w:rPr>
          <w:rFonts w:eastAsia="Calibri" w:cs="Calibri"/>
          <w:bCs/>
        </w:rPr>
        <w:t xml:space="preserve">wydanie nowego rozporządzenia Ministra Klimatu i Środowiska </w:t>
      </w:r>
      <w:r w:rsidRPr="0035160C">
        <w:rPr>
          <w:rFonts w:eastAsia="Calibri" w:cs="Calibri"/>
          <w:bCs/>
          <w:i/>
          <w:iCs/>
        </w:rPr>
        <w:t>w sprawie warunków technicznych, jakim powinny odpowiadać sieci gazowe i ich usytuowanie</w:t>
      </w:r>
      <w:r w:rsidRPr="0035160C">
        <w:rPr>
          <w:rFonts w:eastAsia="Calibri" w:cs="Calibri"/>
          <w:bCs/>
        </w:rPr>
        <w:t xml:space="preserve"> </w:t>
      </w:r>
    </w:p>
    <w:p w14:paraId="176513BE" w14:textId="4F365D39" w:rsidR="00D375AE" w:rsidRPr="0035160C" w:rsidRDefault="00D375AE" w:rsidP="00D375AE">
      <w:pPr>
        <w:autoSpaceDE w:val="0"/>
        <w:autoSpaceDN w:val="0"/>
        <w:adjustRightInd w:val="0"/>
        <w:spacing w:before="120" w:after="0" w:line="276" w:lineRule="auto"/>
        <w:jc w:val="both"/>
        <w:rPr>
          <w:rFonts w:eastAsia="Calibri" w:cs="Calibri"/>
          <w:bCs/>
        </w:rPr>
      </w:pPr>
      <w:r w:rsidRPr="0035160C">
        <w:rPr>
          <w:rFonts w:eastAsia="Calibri" w:cs="Calibri"/>
          <w:bCs/>
        </w:rPr>
        <w:t xml:space="preserve">Nowe rozporządzenie zastąpi obecnie obowiązujące rozporządzenie Ministra Gospodarki z dnia 26 kwietnia 2013 r. </w:t>
      </w:r>
      <w:r w:rsidRPr="0035160C">
        <w:rPr>
          <w:rFonts w:eastAsia="Calibri" w:cs="Calibri"/>
          <w:bCs/>
          <w:i/>
          <w:iCs/>
        </w:rPr>
        <w:t>w sprawie warunków technicznych, jakim powinny odpowiadać sieci gazowe i ich usytuowanie</w:t>
      </w:r>
      <w:r w:rsidRPr="0035160C">
        <w:rPr>
          <w:rFonts w:eastAsia="Calibri" w:cs="Calibri"/>
          <w:bCs/>
        </w:rPr>
        <w:t xml:space="preserve"> (Dz. U. poz. 640). Projekt dostosowuje się do najnowszej wiedzy technicznej zasady budowania i lokowania gazociągów w Polsce poprzez m.in. poszerzenie o materiały kompozytowe katalogu materiałów, które mogą być wykorzystane do budowy gazociągów oraz określenia szczegółowych zasad stosowania tych materiałów. Szczegółowe wymaganie techniczne ujęte w projekcie rozporządzenia dla budowy i usytuowania gazociągów przyczynią się do bezpieczeństwa mienia i osób znajdujących się w okolicy gazociągów, sprawnego funkcjonowania sieci gazowej i bezpieczeństwa dostaw gazu ziemnego do odbiorców, jak również do ograniczenia wpływu sieci gazowej na środowisko naturalne, w tym ograniczenia zjawiska ucieczki emisji metanu. W chwili obecnej trwają konsultacje społeczne nowego projektu rozporządzenia technicznego. </w:t>
      </w:r>
    </w:p>
    <w:p w14:paraId="1BB32363" w14:textId="4D1FC8EA" w:rsidR="00D375AE" w:rsidRPr="0035160C" w:rsidRDefault="00D375AE" w:rsidP="00CA3BB7">
      <w:pPr>
        <w:numPr>
          <w:ilvl w:val="0"/>
          <w:numId w:val="24"/>
        </w:numPr>
        <w:autoSpaceDE w:val="0"/>
        <w:autoSpaceDN w:val="0"/>
        <w:adjustRightInd w:val="0"/>
        <w:spacing w:before="120" w:after="0" w:line="276" w:lineRule="auto"/>
        <w:ind w:left="567" w:hanging="283"/>
        <w:jc w:val="both"/>
        <w:rPr>
          <w:rFonts w:eastAsia="Calibri" w:cs="Calibri"/>
          <w:bCs/>
        </w:rPr>
      </w:pPr>
      <w:r w:rsidRPr="0035160C">
        <w:rPr>
          <w:rFonts w:eastAsia="Calibri" w:cs="Calibri"/>
          <w:bCs/>
        </w:rPr>
        <w:t xml:space="preserve">zmiana rozporządzenia Ministra Infrastruktury z dnia 12 kwietnia 2002 r. </w:t>
      </w:r>
      <w:r w:rsidRPr="0035160C">
        <w:rPr>
          <w:rFonts w:eastAsia="Calibri" w:cs="Calibri"/>
          <w:bCs/>
          <w:i/>
          <w:iCs/>
        </w:rPr>
        <w:t>w sprawie warunków technicznych, jakim powinny odpowiadać budynki i ich usytuowanie</w:t>
      </w:r>
      <w:r w:rsidRPr="0035160C">
        <w:rPr>
          <w:rFonts w:eastAsia="Calibri" w:cs="Calibri"/>
          <w:bCs/>
        </w:rPr>
        <w:t xml:space="preserve"> (Dz.U. Nr 75 poz. 690)</w:t>
      </w:r>
    </w:p>
    <w:p w14:paraId="42614BC1" w14:textId="77777777" w:rsidR="00D375AE" w:rsidRPr="0035160C" w:rsidRDefault="00D375AE" w:rsidP="00D375AE">
      <w:pPr>
        <w:autoSpaceDE w:val="0"/>
        <w:autoSpaceDN w:val="0"/>
        <w:adjustRightInd w:val="0"/>
        <w:spacing w:before="120" w:after="0" w:line="276" w:lineRule="auto"/>
        <w:jc w:val="both"/>
        <w:rPr>
          <w:rFonts w:eastAsia="Calibri" w:cs="Calibri"/>
          <w:bCs/>
        </w:rPr>
      </w:pPr>
      <w:r w:rsidRPr="0035160C">
        <w:rPr>
          <w:rFonts w:eastAsia="Calibri" w:cs="Calibri"/>
          <w:bCs/>
        </w:rPr>
        <w:t>Zmiana brzmienia § 329 rozporządzenia w sposób umożliwiający pełne wykorzystanie potencjału gazu ziemnego dla dekarbonizacji lokalnych systemów ciepłowniczych, w tym ciepłownictwa indywidualnego oraz realizacji celów polityki z zakresu jakości powietrza. Obecne brzmienie § 329 określa cząstkowe wartości maksymalnego wskaźnika zapotrzebowania na nieodnawialną energię pierwotną dla ogrzewania, wentylacji oraz przygotowania ciepłej wody użytkowej na poziomie, który powoduje istotne ograniczenie możliwości wykorzystania gazu ziemnego na potrzeby cieplne w gospodarstwach domowych. Utrzymanie przepisu w obecnym brzmieniu może doprowadzić do powstania niezrozumiałej dla obywateli bariery dla rozwoju lokalnych systemów niskoemisyjnych.</w:t>
      </w:r>
    </w:p>
    <w:p w14:paraId="29A40D32" w14:textId="77777777" w:rsidR="00D375AE" w:rsidRPr="00EB1F99" w:rsidRDefault="00D375AE" w:rsidP="00CA3BB7">
      <w:pPr>
        <w:numPr>
          <w:ilvl w:val="0"/>
          <w:numId w:val="26"/>
        </w:numPr>
        <w:autoSpaceDE w:val="0"/>
        <w:autoSpaceDN w:val="0"/>
        <w:adjustRightInd w:val="0"/>
        <w:spacing w:before="120" w:after="0" w:line="276" w:lineRule="auto"/>
        <w:ind w:left="426" w:hanging="284"/>
        <w:jc w:val="both"/>
        <w:rPr>
          <w:rFonts w:eastAsia="Calibri" w:cs="Calibri"/>
          <w:b/>
          <w:bCs/>
          <w:color w:val="2F5496" w:themeColor="accent1" w:themeShade="BF"/>
        </w:rPr>
      </w:pPr>
      <w:r w:rsidRPr="00EB1F99">
        <w:rPr>
          <w:rFonts w:eastAsia="Calibri" w:cs="Calibri"/>
          <w:b/>
          <w:bCs/>
          <w:color w:val="2F5496" w:themeColor="accent1" w:themeShade="BF"/>
        </w:rPr>
        <w:t>Umożliwienie transportu sieciami gazowymi gazów zdekarbonizowanych (wodoru i biometanu):</w:t>
      </w:r>
    </w:p>
    <w:p w14:paraId="159B0817" w14:textId="5654B056" w:rsidR="00D375AE" w:rsidRPr="0035160C" w:rsidRDefault="00D375AE" w:rsidP="00CA3BB7">
      <w:pPr>
        <w:numPr>
          <w:ilvl w:val="0"/>
          <w:numId w:val="24"/>
        </w:numPr>
        <w:autoSpaceDE w:val="0"/>
        <w:autoSpaceDN w:val="0"/>
        <w:adjustRightInd w:val="0"/>
        <w:spacing w:before="120" w:after="0" w:line="276" w:lineRule="auto"/>
        <w:ind w:left="567" w:hanging="283"/>
        <w:jc w:val="both"/>
        <w:rPr>
          <w:rFonts w:eastAsia="Calibri" w:cs="Calibri"/>
          <w:bCs/>
        </w:rPr>
      </w:pPr>
      <w:r w:rsidRPr="0035160C">
        <w:rPr>
          <w:rFonts w:eastAsia="Calibri" w:cs="Calibri"/>
          <w:bCs/>
        </w:rPr>
        <w:t>cel osiągnięcia do 2030 r. zdolności transportu sieciami gazowymi mieszaniny zawierającej ok. 10% gazów zdekarbonizowanych, w szczególności biometanu i wodoru został ujęty w </w:t>
      </w:r>
      <w:r w:rsidR="00D22DDA">
        <w:rPr>
          <w:rFonts w:eastAsia="Calibri" w:cs="Calibri"/>
          <w:bCs/>
          <w:i/>
          <w:iCs/>
        </w:rPr>
        <w:t>PEP2040</w:t>
      </w:r>
    </w:p>
    <w:p w14:paraId="7792146C" w14:textId="77777777" w:rsidR="00D375AE" w:rsidRPr="0035160C" w:rsidRDefault="00D375AE" w:rsidP="00D375AE">
      <w:pPr>
        <w:autoSpaceDE w:val="0"/>
        <w:autoSpaceDN w:val="0"/>
        <w:adjustRightInd w:val="0"/>
        <w:spacing w:before="120" w:after="0" w:line="276" w:lineRule="auto"/>
        <w:jc w:val="both"/>
        <w:rPr>
          <w:rFonts w:eastAsia="Calibri" w:cs="Calibri"/>
          <w:bCs/>
        </w:rPr>
      </w:pPr>
      <w:r w:rsidRPr="0035160C">
        <w:rPr>
          <w:rFonts w:eastAsia="Calibri" w:cs="Calibri"/>
          <w:bCs/>
        </w:rPr>
        <w:t xml:space="preserve">Propozycje zmian legislacyjnych: </w:t>
      </w:r>
    </w:p>
    <w:p w14:paraId="169C57AB" w14:textId="77777777" w:rsidR="005609B6" w:rsidRPr="005609B6" w:rsidRDefault="00D375AE" w:rsidP="00E1263E">
      <w:pPr>
        <w:numPr>
          <w:ilvl w:val="0"/>
          <w:numId w:val="26"/>
        </w:numPr>
        <w:autoSpaceDE w:val="0"/>
        <w:autoSpaceDN w:val="0"/>
        <w:adjustRightInd w:val="0"/>
        <w:spacing w:before="120" w:after="0" w:line="276" w:lineRule="auto"/>
        <w:ind w:left="426" w:hanging="284"/>
        <w:jc w:val="both"/>
        <w:rPr>
          <w:rFonts w:eastAsia="Calibri" w:cs="Calibri"/>
          <w:b/>
          <w:bCs/>
          <w:color w:val="2F5496" w:themeColor="accent1" w:themeShade="BF"/>
        </w:rPr>
      </w:pPr>
      <w:r w:rsidRPr="00E1263E">
        <w:rPr>
          <w:rFonts w:eastAsia="Calibri" w:cs="Calibri"/>
          <w:bCs/>
        </w:rPr>
        <w:t xml:space="preserve">nowelizacja rozporządzenia Ministra Gospodarki z dnia 2 lipca 2010 r. </w:t>
      </w:r>
      <w:r w:rsidRPr="0081782B">
        <w:rPr>
          <w:rFonts w:eastAsia="Calibri" w:cs="Calibri"/>
          <w:bCs/>
          <w:i/>
          <w:iCs/>
        </w:rPr>
        <w:t>w sprawie szczegółowych warunków funkcjonowania systemu gazowego</w:t>
      </w:r>
      <w:r w:rsidRPr="00E1263E">
        <w:rPr>
          <w:rFonts w:eastAsia="Calibri" w:cs="Calibri"/>
          <w:bCs/>
        </w:rPr>
        <w:t xml:space="preserve"> (Dz. U. z 2018 r. poz. 1158) – opracowanie warunków technicznych dla zatłaczania biometanu do sieci gazowej przyczyni się do bezpiecznego zwiększania udziału biometanu w sieci gazowej. </w:t>
      </w:r>
    </w:p>
    <w:p w14:paraId="6ED710A3" w14:textId="1134187E" w:rsidR="00D375AE" w:rsidRPr="00E1263E" w:rsidRDefault="00D375AE" w:rsidP="00E1263E">
      <w:pPr>
        <w:numPr>
          <w:ilvl w:val="0"/>
          <w:numId w:val="26"/>
        </w:numPr>
        <w:autoSpaceDE w:val="0"/>
        <w:autoSpaceDN w:val="0"/>
        <w:adjustRightInd w:val="0"/>
        <w:spacing w:before="120" w:after="0" w:line="276" w:lineRule="auto"/>
        <w:ind w:left="426" w:hanging="284"/>
        <w:jc w:val="both"/>
        <w:rPr>
          <w:rFonts w:eastAsia="Calibri" w:cs="Calibri"/>
          <w:b/>
          <w:bCs/>
          <w:color w:val="2F5496" w:themeColor="accent1" w:themeShade="BF"/>
        </w:rPr>
      </w:pPr>
      <w:r w:rsidRPr="00E1263E">
        <w:rPr>
          <w:rFonts w:eastAsia="Calibri" w:cs="Calibri"/>
          <w:b/>
          <w:bCs/>
          <w:color w:val="2F5496" w:themeColor="accent1" w:themeShade="BF"/>
        </w:rPr>
        <w:t>Współpraca ze stroną s</w:t>
      </w:r>
      <w:r w:rsidRPr="0081782B">
        <w:rPr>
          <w:rFonts w:eastAsia="Calibri" w:cs="Calibri"/>
          <w:b/>
          <w:bCs/>
          <w:color w:val="2F5496" w:themeColor="accent1" w:themeShade="BF"/>
        </w:rPr>
        <w:t>amorządową w celu zapewniania lokalnego bezpieczeństwa energetycznego:</w:t>
      </w:r>
    </w:p>
    <w:p w14:paraId="7BDC4CB5" w14:textId="4BA63A58" w:rsidR="00D375AE" w:rsidRPr="0035160C" w:rsidRDefault="00D375AE" w:rsidP="00DD0E4C">
      <w:pPr>
        <w:tabs>
          <w:tab w:val="left" w:pos="0"/>
        </w:tabs>
        <w:jc w:val="both"/>
        <w:rPr>
          <w:b/>
          <w:bCs/>
          <w:color w:val="2F5496" w:themeColor="accent1" w:themeShade="BF"/>
        </w:rPr>
      </w:pPr>
      <w:r w:rsidRPr="0035160C">
        <w:rPr>
          <w:rFonts w:eastAsia="Calibri" w:cs="Calibri"/>
          <w:bCs/>
        </w:rPr>
        <w:lastRenderedPageBreak/>
        <w:t>strona samorządowa odgrywa kluczową rolę w zakresie zaspakajania lokalnego zapotrzebowania na energię elektryczną, gaz ziemny i ciepło.</w:t>
      </w:r>
    </w:p>
    <w:p w14:paraId="0B31E424" w14:textId="67D8BB50" w:rsidR="00282106" w:rsidRPr="00B63546" w:rsidRDefault="00AC3FF4" w:rsidP="00B63546">
      <w:pPr>
        <w:rPr>
          <w:b/>
          <w:bCs/>
          <w:color w:val="2F5496" w:themeColor="accent1" w:themeShade="BF"/>
        </w:rPr>
      </w:pPr>
      <w:r w:rsidRPr="0035160C">
        <w:rPr>
          <w:b/>
          <w:bCs/>
          <w:color w:val="2F5496" w:themeColor="accent1" w:themeShade="BF"/>
        </w:rPr>
        <w:br w:type="page"/>
      </w:r>
      <w:r w:rsidR="00A652D0" w:rsidRPr="0035160C">
        <w:rPr>
          <w:b/>
        </w:rPr>
        <w:lastRenderedPageBreak/>
        <w:t>9</w:t>
      </w:r>
      <w:r w:rsidR="00282106" w:rsidRPr="0035160C">
        <w:rPr>
          <w:b/>
        </w:rPr>
        <w:t>.</w:t>
      </w:r>
      <w:r w:rsidR="00204EF5" w:rsidRPr="0035160C">
        <w:rPr>
          <w:b/>
        </w:rPr>
        <w:t>2</w:t>
      </w:r>
      <w:r w:rsidR="00282106" w:rsidRPr="0035160C">
        <w:rPr>
          <w:b/>
        </w:rPr>
        <w:tab/>
        <w:t>Kierunek Interwencji 2 – OGRANICZENIE EMISJI ZANIECZYSZCZEŃ POWIETRZA Z SEKTORA TRANSPORTU DROGOWEGO</w:t>
      </w:r>
    </w:p>
    <w:p w14:paraId="7EDAD147" w14:textId="57BBBF7D" w:rsidR="00396D6A" w:rsidRPr="0035160C" w:rsidRDefault="00396D6A" w:rsidP="00396D6A">
      <w:pPr>
        <w:jc w:val="both"/>
      </w:pPr>
      <w:r w:rsidRPr="00EB1F99">
        <w:rPr>
          <w:b/>
          <w:bCs/>
          <w:color w:val="2F5496" w:themeColor="accent1" w:themeShade="BF"/>
        </w:rPr>
        <w:t xml:space="preserve">Zgodnie z danymi Europejskiej Agencji Środowiska, </w:t>
      </w:r>
      <w:r w:rsidR="00CD6FB1" w:rsidRPr="00EB1F99">
        <w:rPr>
          <w:b/>
          <w:bCs/>
          <w:color w:val="2F5496" w:themeColor="accent1" w:themeShade="BF"/>
        </w:rPr>
        <w:t xml:space="preserve">sektor </w:t>
      </w:r>
      <w:r w:rsidRPr="00EB1F99">
        <w:rPr>
          <w:b/>
          <w:bCs/>
          <w:color w:val="2F5496" w:themeColor="accent1" w:themeShade="BF"/>
        </w:rPr>
        <w:t>transport</w:t>
      </w:r>
      <w:r w:rsidR="00CD6FB1" w:rsidRPr="00EB1F99">
        <w:rPr>
          <w:b/>
          <w:bCs/>
          <w:color w:val="2F5496" w:themeColor="accent1" w:themeShade="BF"/>
        </w:rPr>
        <w:t>u</w:t>
      </w:r>
      <w:r w:rsidRPr="00EB1F99">
        <w:rPr>
          <w:b/>
          <w:bCs/>
          <w:color w:val="2F5496" w:themeColor="accent1" w:themeShade="BF"/>
        </w:rPr>
        <w:t xml:space="preserve"> zużywa jedną trzecią całej energii końcowej w U</w:t>
      </w:r>
      <w:r w:rsidR="00D22DDA">
        <w:rPr>
          <w:b/>
          <w:bCs/>
          <w:color w:val="2F5496" w:themeColor="accent1" w:themeShade="BF"/>
        </w:rPr>
        <w:t xml:space="preserve">nii </w:t>
      </w:r>
      <w:r w:rsidRPr="00EB1F99">
        <w:rPr>
          <w:b/>
          <w:bCs/>
          <w:color w:val="2F5496" w:themeColor="accent1" w:themeShade="BF"/>
        </w:rPr>
        <w:t>E</w:t>
      </w:r>
      <w:r w:rsidR="00D22DDA">
        <w:rPr>
          <w:b/>
          <w:bCs/>
          <w:color w:val="2F5496" w:themeColor="accent1" w:themeShade="BF"/>
        </w:rPr>
        <w:t>uropejskiej</w:t>
      </w:r>
      <w:r w:rsidRPr="0035160C">
        <w:t xml:space="preserve">. Znaczna część tej energii pochodzi z ropy naftowej. Oznacza to, że </w:t>
      </w:r>
      <w:r w:rsidRPr="00EB1F99">
        <w:rPr>
          <w:b/>
          <w:bCs/>
          <w:color w:val="2F5496" w:themeColor="accent1" w:themeShade="BF"/>
        </w:rPr>
        <w:t xml:space="preserve">transport w znaczącym stopniu przyczynia się do </w:t>
      </w:r>
      <w:hyperlink r:id="rId102" w:tgtFrame="_self" w:history="1">
        <w:r w:rsidRPr="00EB1F99">
          <w:rPr>
            <w:rStyle w:val="Hipercze"/>
            <w:b/>
            <w:bCs/>
            <w:color w:val="2F5496" w:themeColor="accent1" w:themeShade="BF"/>
            <w:u w:val="none"/>
          </w:rPr>
          <w:t>zmian klimatu</w:t>
        </w:r>
      </w:hyperlink>
      <w:r w:rsidR="00CD6FB1" w:rsidRPr="00EB1F99">
        <w:rPr>
          <w:rStyle w:val="Hipercze"/>
          <w:b/>
          <w:bCs/>
          <w:color w:val="2F5496" w:themeColor="accent1" w:themeShade="BF"/>
          <w:u w:val="none"/>
        </w:rPr>
        <w:t xml:space="preserve"> na obszarze całej Unii Europejskiej</w:t>
      </w:r>
      <w:r w:rsidRPr="00EB1F99">
        <w:rPr>
          <w:b/>
          <w:bCs/>
          <w:color w:val="2F5496" w:themeColor="accent1" w:themeShade="BF"/>
        </w:rPr>
        <w:t xml:space="preserve">. Podczas gdy większość pozostałych sektorów gospodarki, takich jak </w:t>
      </w:r>
      <w:hyperlink r:id="rId103" w:tgtFrame="_self" w:history="1">
        <w:r w:rsidRPr="00EB1F99">
          <w:rPr>
            <w:rStyle w:val="Hipercze"/>
            <w:b/>
            <w:bCs/>
            <w:color w:val="2F5496" w:themeColor="accent1" w:themeShade="BF"/>
            <w:u w:val="none"/>
          </w:rPr>
          <w:t>energetyka</w:t>
        </w:r>
      </w:hyperlink>
      <w:r w:rsidRPr="00EB1F99">
        <w:rPr>
          <w:b/>
          <w:bCs/>
          <w:color w:val="2F5496" w:themeColor="accent1" w:themeShade="BF"/>
        </w:rPr>
        <w:t xml:space="preserve"> i </w:t>
      </w:r>
      <w:hyperlink r:id="rId104" w:tgtFrame="_self" w:history="1">
        <w:r w:rsidRPr="00EB1F99">
          <w:rPr>
            <w:rStyle w:val="Hipercze"/>
            <w:b/>
            <w:bCs/>
            <w:color w:val="2F5496" w:themeColor="accent1" w:themeShade="BF"/>
            <w:u w:val="none"/>
          </w:rPr>
          <w:t>przemysł</w:t>
        </w:r>
      </w:hyperlink>
      <w:r w:rsidRPr="00EB1F99">
        <w:rPr>
          <w:b/>
          <w:bCs/>
          <w:color w:val="2F5496" w:themeColor="accent1" w:themeShade="BF"/>
        </w:rPr>
        <w:t xml:space="preserve">, </w:t>
      </w:r>
      <w:r w:rsidR="00CD6FB1" w:rsidRPr="00EB1F99">
        <w:rPr>
          <w:b/>
          <w:bCs/>
          <w:color w:val="2F5496" w:themeColor="accent1" w:themeShade="BF"/>
        </w:rPr>
        <w:t xml:space="preserve">poczyniła znaczące redukcje wielkości emisji począwszy </w:t>
      </w:r>
      <w:r w:rsidRPr="00EB1F99">
        <w:rPr>
          <w:b/>
          <w:bCs/>
          <w:color w:val="2F5496" w:themeColor="accent1" w:themeShade="BF"/>
        </w:rPr>
        <w:t xml:space="preserve">od 1990 r., </w:t>
      </w:r>
      <w:r w:rsidR="00CD6FB1" w:rsidRPr="00EB1F99">
        <w:rPr>
          <w:b/>
          <w:bCs/>
          <w:color w:val="2F5496" w:themeColor="accent1" w:themeShade="BF"/>
        </w:rPr>
        <w:t>to emisja gazów cieplarnianych oraz podstawowych zanieczyszczeń powietrza pochodzących z sektora transportu, a zwłaszcza z sektora transportu drogowego znacząco wzrosła</w:t>
      </w:r>
      <w:r w:rsidR="00CD6FB1" w:rsidRPr="0035160C">
        <w:t xml:space="preserve">. </w:t>
      </w:r>
    </w:p>
    <w:p w14:paraId="2B9B92DF" w14:textId="5C5A89B4" w:rsidR="00396D6A" w:rsidRPr="0035160C" w:rsidRDefault="00396D6A" w:rsidP="00396D6A">
      <w:pPr>
        <w:jc w:val="both"/>
      </w:pPr>
      <w:r w:rsidRPr="0035160C">
        <w:t>T</w:t>
      </w:r>
      <w:r w:rsidR="007B1314" w:rsidRPr="0035160C">
        <w:t>ym samym, t</w:t>
      </w:r>
      <w:r w:rsidRPr="0035160C">
        <w:t xml:space="preserve">ransport </w:t>
      </w:r>
      <w:r w:rsidR="007B1314" w:rsidRPr="0035160C">
        <w:t xml:space="preserve">drogowy stanowi jedno z głównych </w:t>
      </w:r>
      <w:r w:rsidRPr="0035160C">
        <w:t>źród</w:t>
      </w:r>
      <w:r w:rsidR="007B1314" w:rsidRPr="0035160C">
        <w:t>e</w:t>
      </w:r>
      <w:r w:rsidRPr="0035160C">
        <w:t xml:space="preserve">ł </w:t>
      </w:r>
      <w:hyperlink r:id="rId105" w:tgtFrame="_self" w:history="1">
        <w:r w:rsidRPr="0035160C">
          <w:rPr>
            <w:rStyle w:val="Hipercze"/>
            <w:color w:val="auto"/>
            <w:u w:val="none"/>
          </w:rPr>
          <w:t>zanieczyszczenia powietrza</w:t>
        </w:r>
      </w:hyperlink>
      <w:r w:rsidRPr="0035160C">
        <w:t xml:space="preserve">, </w:t>
      </w:r>
      <w:r w:rsidR="007B1314" w:rsidRPr="0035160C">
        <w:t xml:space="preserve">i </w:t>
      </w:r>
      <w:r w:rsidR="00266F41" w:rsidRPr="0035160C">
        <w:t>dotyczy</w:t>
      </w:r>
      <w:r w:rsidR="007B1314" w:rsidRPr="0035160C">
        <w:t xml:space="preserve"> to zwłaszcza obszarów miejskich</w:t>
      </w:r>
      <w:r w:rsidRPr="0035160C">
        <w:t xml:space="preserve">. Chociaż zanieczyszczenie powietrza pochodzące z transportu </w:t>
      </w:r>
      <w:r w:rsidR="000D0D38" w:rsidRPr="0035160C">
        <w:t>drogow</w:t>
      </w:r>
      <w:r w:rsidR="000D0D38">
        <w:t>ego</w:t>
      </w:r>
      <w:r w:rsidR="000D0D38" w:rsidRPr="0035160C">
        <w:t xml:space="preserve"> </w:t>
      </w:r>
      <w:r w:rsidRPr="0035160C">
        <w:t xml:space="preserve">zmniejszyło się w ostatniej dekadzie w wyniku wprowadzenia norm jakości paliwa, norm emisji spalin dla pojazdów Euro oraz stosowania czystszych technologii, </w:t>
      </w:r>
      <w:r w:rsidR="007B1314" w:rsidRPr="0035160C">
        <w:t xml:space="preserve">to jednak </w:t>
      </w:r>
      <w:r w:rsidRPr="0035160C">
        <w:t>stężeni</w:t>
      </w:r>
      <w:r w:rsidR="007B1314" w:rsidRPr="0035160C">
        <w:t>a</w:t>
      </w:r>
      <w:r w:rsidRPr="0035160C">
        <w:t xml:space="preserve"> </w:t>
      </w:r>
      <w:r w:rsidR="007B1314" w:rsidRPr="0035160C">
        <w:t xml:space="preserve">wybranych </w:t>
      </w:r>
      <w:r w:rsidRPr="0035160C">
        <w:t xml:space="preserve">zanieczyszczeń powietrza </w:t>
      </w:r>
      <w:r w:rsidR="007B1314" w:rsidRPr="0035160C">
        <w:t xml:space="preserve">są </w:t>
      </w:r>
      <w:r w:rsidRPr="0035160C">
        <w:t>nadal zbyt wysokie.</w:t>
      </w:r>
    </w:p>
    <w:p w14:paraId="7EC1501A" w14:textId="2365A9FC" w:rsidR="00396D6A" w:rsidRPr="0035160C" w:rsidRDefault="00396D6A" w:rsidP="00396D6A">
      <w:pPr>
        <w:jc w:val="both"/>
      </w:pPr>
      <w:r w:rsidRPr="0035160C">
        <w:t>Ograniczenie negatywnych skutków</w:t>
      </w:r>
      <w:r w:rsidR="007B1314" w:rsidRPr="0035160C">
        <w:t xml:space="preserve"> środowiskowych pochodzących z</w:t>
      </w:r>
      <w:r w:rsidRPr="0035160C">
        <w:t xml:space="preserve"> transportu jest ważnym celem polityki </w:t>
      </w:r>
      <w:r w:rsidR="00D22DDA">
        <w:t>unijnej</w:t>
      </w:r>
      <w:r w:rsidRPr="0035160C">
        <w:t xml:space="preserve">. Głównymi aspektami działalności jest </w:t>
      </w:r>
      <w:r w:rsidR="007B1314" w:rsidRPr="0035160C">
        <w:t>wymiana wysokoemisyjnych środków</w:t>
      </w:r>
      <w:r w:rsidRPr="0035160C">
        <w:t xml:space="preserve"> transportu na </w:t>
      </w:r>
      <w:r w:rsidR="007B1314" w:rsidRPr="0035160C">
        <w:t xml:space="preserve">czyste, ekologiczne </w:t>
      </w:r>
      <w:r w:rsidRPr="0035160C">
        <w:t xml:space="preserve">środki transportu, wykorzystanie </w:t>
      </w:r>
      <w:r w:rsidR="007B1314" w:rsidRPr="0035160C">
        <w:t xml:space="preserve">nowych technologii </w:t>
      </w:r>
      <w:r w:rsidRPr="0035160C">
        <w:t xml:space="preserve">transportowych, paliw i infrastruktury oraz </w:t>
      </w:r>
      <w:r w:rsidR="007B1314" w:rsidRPr="0035160C">
        <w:t xml:space="preserve">uzależnienie </w:t>
      </w:r>
      <w:r w:rsidRPr="0035160C">
        <w:t>cen</w:t>
      </w:r>
      <w:r w:rsidR="007B1314" w:rsidRPr="0035160C">
        <w:t xml:space="preserve"> środków</w:t>
      </w:r>
      <w:r w:rsidRPr="0035160C">
        <w:t xml:space="preserve"> transportu </w:t>
      </w:r>
      <w:r w:rsidR="0093559E" w:rsidRPr="0093559E">
        <w:t xml:space="preserve">i paliw </w:t>
      </w:r>
      <w:r w:rsidR="007B1314" w:rsidRPr="0035160C">
        <w:t xml:space="preserve">od ich negatywnego wpływu na środowisko i zdrowie. </w:t>
      </w:r>
    </w:p>
    <w:p w14:paraId="592AFDBE" w14:textId="0E36EF35" w:rsidR="00396D6A" w:rsidRPr="0035160C" w:rsidRDefault="00396D6A" w:rsidP="006D7504">
      <w:pPr>
        <w:jc w:val="both"/>
      </w:pPr>
      <w:r w:rsidRPr="0035160C">
        <w:t>Dokumenty strategiczne U</w:t>
      </w:r>
      <w:r w:rsidR="00D22DDA">
        <w:t xml:space="preserve">nii </w:t>
      </w:r>
      <w:r w:rsidRPr="0035160C">
        <w:t>E</w:t>
      </w:r>
      <w:r w:rsidR="00D22DDA">
        <w:t>uropejskiej</w:t>
      </w:r>
      <w:r w:rsidRPr="0035160C">
        <w:t xml:space="preserve"> koncentrują się na obniżeniu emisyjności transportu. </w:t>
      </w:r>
      <w:r w:rsidR="006D7504" w:rsidRPr="0035160C">
        <w:t xml:space="preserve">Aktualna </w:t>
      </w:r>
      <w:r w:rsidRPr="0035160C">
        <w:t xml:space="preserve">Strategia Komisji Europejskiej </w:t>
      </w:r>
      <w:r w:rsidR="006D7504" w:rsidRPr="0035160C">
        <w:t xml:space="preserve">pn. „Czysta planeta dla wszystkich - Europejska długoterminowa wizja strategiczna dobrze prosperującej, nowoczesnej, konkurencyjnej i neutralnej dla klimatu gospodarki” </w:t>
      </w:r>
      <w:r w:rsidRPr="0035160C">
        <w:t xml:space="preserve">ma na celu wytyczenie </w:t>
      </w:r>
      <w:r w:rsidR="0093559E">
        <w:t>sposobu</w:t>
      </w:r>
      <w:r w:rsidRPr="0035160C">
        <w:t xml:space="preserve"> przejścia do neutralności emisyjnej gazów cieplarnianych w U</w:t>
      </w:r>
      <w:r w:rsidR="00D22DDA">
        <w:t>nii</w:t>
      </w:r>
      <w:r w:rsidRPr="0035160C">
        <w:t xml:space="preserve"> do 2050 r. W odniesieniu do transportu podkreśla się tam potrzebę podejścia systemowego, znaczenie przejścia na niskoemisyjne środki transportu i pojazdy bezemisyjne, centralną rolę elektryfikacji i odnawialnych źródeł energii. Wzywa się również do lepszego planowania przestrzeni miejskiej i pełnego wykorzystania korzyści płynących z transportu publicznego. </w:t>
      </w:r>
      <w:r w:rsidR="006D7504" w:rsidRPr="0035160C">
        <w:t>Wcześniej,</w:t>
      </w:r>
      <w:r w:rsidRPr="0035160C">
        <w:t xml:space="preserve"> począwszy od 2016 r. </w:t>
      </w:r>
      <w:r w:rsidR="006D7504" w:rsidRPr="0035160C">
        <w:t xml:space="preserve">w realizowanej </w:t>
      </w:r>
      <w:r w:rsidRPr="0035160C">
        <w:t>w „</w:t>
      </w:r>
      <w:hyperlink r:id="rId106" w:history="1">
        <w:r w:rsidRPr="0035160C">
          <w:rPr>
            <w:rStyle w:val="Hipercze"/>
            <w:color w:val="auto"/>
            <w:u w:val="none"/>
          </w:rPr>
          <w:t>Europejskiej strategii na rzecz mobilności niskoemisyjnej</w:t>
        </w:r>
      </w:hyperlink>
      <w:r w:rsidRPr="0035160C">
        <w:t>” jako priorytetowe obszary działania wyznaczono bardziej wydajny system transportu, szyb</w:t>
      </w:r>
      <w:r w:rsidR="006D7504" w:rsidRPr="0035160C">
        <w:t>sze</w:t>
      </w:r>
      <w:r w:rsidRPr="0035160C">
        <w:t xml:space="preserve"> wprowadzenie paliw niskoemisyjnych oraz przejście na </w:t>
      </w:r>
      <w:r w:rsidR="0093559E" w:rsidRPr="0093559E">
        <w:t>środki transportu - nisko i zeroemisyjne</w:t>
      </w:r>
      <w:r w:rsidR="007F1C3F" w:rsidRPr="0035160C">
        <w:t>.</w:t>
      </w:r>
    </w:p>
    <w:p w14:paraId="61553C03" w14:textId="3B79745A" w:rsidR="00396D6A" w:rsidRPr="0035160C" w:rsidRDefault="00396D6A" w:rsidP="00396D6A">
      <w:pPr>
        <w:jc w:val="both"/>
      </w:pPr>
      <w:r w:rsidRPr="0035160C">
        <w:t>Ponadto prawodawstwo U</w:t>
      </w:r>
      <w:r w:rsidR="00D22DDA">
        <w:t xml:space="preserve">nii </w:t>
      </w:r>
      <w:r w:rsidRPr="0035160C">
        <w:t>E</w:t>
      </w:r>
      <w:r w:rsidR="00D22DDA">
        <w:t>uropejskiej</w:t>
      </w:r>
      <w:r w:rsidRPr="0035160C">
        <w:t xml:space="preserve"> bezpośrednio odnosi się do wpływu transportu na środowisko i zdrowie poprzez ustanowienie wiążących zasad. Obejmują one limity emisji dla samochodów osobowych, samochodów dostawczych, ciężarówek i autobusów, szczegółowe wymogi dotyczące </w:t>
      </w:r>
      <w:r w:rsidR="0093559E">
        <w:t>jakości</w:t>
      </w:r>
      <w:r w:rsidR="0093559E" w:rsidRPr="0035160C">
        <w:t xml:space="preserve"> </w:t>
      </w:r>
      <w:r w:rsidRPr="0035160C">
        <w:t>paliw transportowych oraz mapy hałasu i plany działania w zakresie zarządzania hałasem dla głównej infrastruktury transportowej, takiej jak lotniska.</w:t>
      </w:r>
    </w:p>
    <w:p w14:paraId="06628A2E" w14:textId="6C8382BE" w:rsidR="00396D6A" w:rsidRPr="0035160C" w:rsidRDefault="006D7504" w:rsidP="00396D6A">
      <w:pPr>
        <w:jc w:val="both"/>
      </w:pPr>
      <w:r w:rsidRPr="0035160C">
        <w:t>Nie bez znaczenia jest także działalność Europejskiej Agencji Środowiska</w:t>
      </w:r>
      <w:r w:rsidR="00D22DDA">
        <w:t xml:space="preserve"> (</w:t>
      </w:r>
      <w:r w:rsidR="00547FE4">
        <w:t>„EEA”)</w:t>
      </w:r>
      <w:r w:rsidRPr="0035160C">
        <w:t xml:space="preserve">, </w:t>
      </w:r>
      <w:r w:rsidR="000D0D38" w:rsidRPr="0035160C">
        <w:t>któr</w:t>
      </w:r>
      <w:r w:rsidR="000D0D38">
        <w:t>a</w:t>
      </w:r>
      <w:r w:rsidR="000D0D38" w:rsidRPr="0035160C">
        <w:t xml:space="preserve"> </w:t>
      </w:r>
      <w:r w:rsidR="00396D6A" w:rsidRPr="0035160C">
        <w:t xml:space="preserve">gromadzi i publikuje dane dotyczące wszystkich nowych </w:t>
      </w:r>
      <w:hyperlink r:id="rId107" w:history="1">
        <w:r w:rsidR="00396D6A" w:rsidRPr="0035160C">
          <w:rPr>
            <w:rStyle w:val="Hipercze"/>
            <w:color w:val="auto"/>
            <w:u w:val="none"/>
          </w:rPr>
          <w:t>samochodów osobowych</w:t>
        </w:r>
      </w:hyperlink>
      <w:r w:rsidR="00396D6A" w:rsidRPr="0035160C">
        <w:t xml:space="preserve"> i </w:t>
      </w:r>
      <w:hyperlink r:id="rId108" w:history="1">
        <w:r w:rsidR="00396D6A" w:rsidRPr="0035160C">
          <w:rPr>
            <w:rStyle w:val="Hipercze"/>
            <w:color w:val="auto"/>
            <w:u w:val="none"/>
          </w:rPr>
          <w:t>dostawczych</w:t>
        </w:r>
      </w:hyperlink>
      <w:r w:rsidR="00396D6A" w:rsidRPr="0035160C">
        <w:t xml:space="preserve"> zarejestrowanych w Europie, zgodnie z rozporządzeniami UE (WE) nr 443/2009 i (UE) nr 510/2011. EEA gromadzi również krajowe dane inwentaryzacyjne dotyczące gazów cieplarnianych i zanieczyszczeń powietrza w państwach członkowskich</w:t>
      </w:r>
      <w:r w:rsidRPr="0035160C">
        <w:t xml:space="preserve"> U</w:t>
      </w:r>
      <w:r w:rsidR="00547FE4">
        <w:t>nii</w:t>
      </w:r>
      <w:r w:rsidR="00396D6A" w:rsidRPr="0035160C">
        <w:t xml:space="preserve">, które zapewniają ważny wgląd we wkład transportu w zmiany klimatu i zanieczyszczenie powietrza w Europie. </w:t>
      </w:r>
    </w:p>
    <w:p w14:paraId="4F9BC300" w14:textId="2594C932" w:rsidR="00E212F5" w:rsidRPr="0035160C" w:rsidRDefault="00E212F5" w:rsidP="00396D6A">
      <w:pPr>
        <w:jc w:val="both"/>
      </w:pPr>
    </w:p>
    <w:p w14:paraId="0A823782" w14:textId="525E9B68" w:rsidR="00E212F5" w:rsidRPr="0035160C" w:rsidRDefault="00E212F5" w:rsidP="00E212F5">
      <w:pPr>
        <w:jc w:val="both"/>
      </w:pPr>
      <w:r w:rsidRPr="00EB1F99">
        <w:rPr>
          <w:b/>
          <w:bCs/>
          <w:color w:val="2F5496" w:themeColor="accent1" w:themeShade="BF"/>
        </w:rPr>
        <w:lastRenderedPageBreak/>
        <w:t>Głównymi źródłami emisji NO</w:t>
      </w:r>
      <w:r w:rsidRPr="00EB1F99">
        <w:rPr>
          <w:b/>
          <w:bCs/>
          <w:color w:val="2F5496" w:themeColor="accent1" w:themeShade="BF"/>
          <w:vertAlign w:val="subscript"/>
        </w:rPr>
        <w:t>X</w:t>
      </w:r>
      <w:r w:rsidRPr="00EB1F99">
        <w:rPr>
          <w:b/>
          <w:bCs/>
          <w:color w:val="2F5496" w:themeColor="accent1" w:themeShade="BF"/>
        </w:rPr>
        <w:t xml:space="preserve"> w 2019 r., podobnie jak w latach poprzednich, były sektor </w:t>
      </w:r>
      <w:r w:rsidRPr="00EB1F99">
        <w:rPr>
          <w:b/>
          <w:bCs/>
          <w:i/>
          <w:iCs/>
          <w:color w:val="2F5496" w:themeColor="accent1" w:themeShade="BF"/>
        </w:rPr>
        <w:t>Transportu</w:t>
      </w:r>
      <w:r w:rsidRPr="00EB1F99">
        <w:rPr>
          <w:b/>
          <w:bCs/>
          <w:color w:val="2F5496" w:themeColor="accent1" w:themeShade="BF"/>
        </w:rPr>
        <w:t xml:space="preserve"> (transport drogowy jest odpowiedzialny za większość emisji),</w:t>
      </w:r>
      <w:r w:rsidRPr="00EB1F99">
        <w:rPr>
          <w:color w:val="2F5496" w:themeColor="accent1" w:themeShade="BF"/>
        </w:rPr>
        <w:t xml:space="preserve"> </w:t>
      </w:r>
      <w:r w:rsidRPr="0035160C">
        <w:rPr>
          <w:i/>
          <w:iCs/>
        </w:rPr>
        <w:t>Inne sektory</w:t>
      </w:r>
      <w:r w:rsidRPr="0035160C">
        <w:t xml:space="preserve"> (spalanie stacjonarne w gospodarstwach domowych) i </w:t>
      </w:r>
      <w:r w:rsidRPr="0035160C">
        <w:rPr>
          <w:i/>
          <w:iCs/>
        </w:rPr>
        <w:t>Przemysł energetyczny</w:t>
      </w:r>
      <w:r w:rsidRPr="0035160C">
        <w:t>. Udział sektorów w krajowych emisjach NO</w:t>
      </w:r>
      <w:r w:rsidRPr="0035160C">
        <w:rPr>
          <w:vertAlign w:val="subscript"/>
        </w:rPr>
        <w:t>X</w:t>
      </w:r>
      <w:r w:rsidRPr="0035160C">
        <w:t xml:space="preserve"> w 2019 r. przedstawiono na rysunku nr </w:t>
      </w:r>
      <w:r w:rsidR="002C38C8">
        <w:t>54</w:t>
      </w:r>
      <w:r w:rsidRPr="0035160C">
        <w:t xml:space="preserve">. </w:t>
      </w:r>
    </w:p>
    <w:p w14:paraId="409837A4" w14:textId="77777777" w:rsidR="00E212F5" w:rsidRPr="0035160C" w:rsidRDefault="00E212F5" w:rsidP="00E212F5">
      <w:pPr>
        <w:jc w:val="both"/>
      </w:pPr>
      <w:r w:rsidRPr="0035160C">
        <w:rPr>
          <w:noProof/>
          <w:lang w:eastAsia="pl-PL"/>
        </w:rPr>
        <w:drawing>
          <wp:inline distT="0" distB="0" distL="0" distR="0" wp14:anchorId="49A90A31" wp14:editId="74F8DB48">
            <wp:extent cx="5635487" cy="2743200"/>
            <wp:effectExtent l="0" t="0" r="3810" b="0"/>
            <wp:docPr id="231" name="Obraz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83263" cy="2766456"/>
                    </a:xfrm>
                    <a:prstGeom prst="rect">
                      <a:avLst/>
                    </a:prstGeom>
                    <a:noFill/>
                    <a:ln>
                      <a:noFill/>
                    </a:ln>
                  </pic:spPr>
                </pic:pic>
              </a:graphicData>
            </a:graphic>
          </wp:inline>
        </w:drawing>
      </w:r>
    </w:p>
    <w:p w14:paraId="2A9B5802" w14:textId="4090ACA4" w:rsidR="00E212F5" w:rsidRPr="002C38C8" w:rsidRDefault="00E212F5" w:rsidP="00E212F5">
      <w:pPr>
        <w:jc w:val="both"/>
        <w:rPr>
          <w:i/>
          <w:iCs/>
          <w:sz w:val="20"/>
          <w:szCs w:val="20"/>
        </w:rPr>
      </w:pPr>
      <w:r w:rsidRPr="002C38C8">
        <w:rPr>
          <w:sz w:val="20"/>
          <w:szCs w:val="20"/>
        </w:rPr>
        <w:t xml:space="preserve">Rysunek nr </w:t>
      </w:r>
      <w:r w:rsidR="002C38C8" w:rsidRPr="002C38C8">
        <w:rPr>
          <w:sz w:val="20"/>
          <w:szCs w:val="20"/>
        </w:rPr>
        <w:t>54</w:t>
      </w:r>
      <w:r w:rsidRPr="002C38C8">
        <w:rPr>
          <w:sz w:val="20"/>
          <w:szCs w:val="20"/>
        </w:rPr>
        <w:t>. Udziały poszczególnych sektorów w wielkości emisji NO</w:t>
      </w:r>
      <w:r w:rsidRPr="002C38C8">
        <w:rPr>
          <w:sz w:val="20"/>
          <w:szCs w:val="20"/>
          <w:vertAlign w:val="subscript"/>
        </w:rPr>
        <w:t>X</w:t>
      </w:r>
      <w:r w:rsidRPr="002C38C8">
        <w:rPr>
          <w:sz w:val="20"/>
          <w:szCs w:val="20"/>
        </w:rPr>
        <w:t xml:space="preserve"> w 2019 r., źródło: POLAND’S INFORMATIVE INVENTORY REPORT2021</w:t>
      </w:r>
    </w:p>
    <w:p w14:paraId="248C1EDE" w14:textId="77777777" w:rsidR="00E212F5" w:rsidRPr="0035160C" w:rsidRDefault="00E212F5" w:rsidP="00E212F5">
      <w:pPr>
        <w:jc w:val="both"/>
      </w:pPr>
      <w:r w:rsidRPr="0035160C">
        <w:t>W latach 1990 - 2019 emisje NO</w:t>
      </w:r>
      <w:r w:rsidRPr="0035160C">
        <w:rPr>
          <w:vertAlign w:val="subscript"/>
        </w:rPr>
        <w:t>X</w:t>
      </w:r>
      <w:r w:rsidRPr="0035160C">
        <w:t xml:space="preserve"> spadły o 39%. Podobnie jak w przypadku dwutlenku siarki, większość redukcji była spowodowana spadkiem emisji z przemysłu ciężkiego i mniejszym udziałem węgla </w:t>
      </w:r>
      <w:r w:rsidRPr="0035160C">
        <w:br/>
        <w:t xml:space="preserve">w paliwach spalanych na przełomie lat 80. </w:t>
      </w:r>
    </w:p>
    <w:tbl>
      <w:tblPr>
        <w:tblStyle w:val="Tabela-Siatka"/>
        <w:tblW w:w="0" w:type="auto"/>
        <w:jc w:val="center"/>
        <w:tblLook w:val="04A0" w:firstRow="1" w:lastRow="0" w:firstColumn="1" w:lastColumn="0" w:noHBand="0" w:noVBand="1"/>
      </w:tblPr>
      <w:tblGrid>
        <w:gridCol w:w="1441"/>
        <w:gridCol w:w="1543"/>
        <w:gridCol w:w="1544"/>
        <w:gridCol w:w="1544"/>
        <w:gridCol w:w="1544"/>
        <w:gridCol w:w="1444"/>
      </w:tblGrid>
      <w:tr w:rsidR="00E212F5" w:rsidRPr="0035160C" w14:paraId="56B24148" w14:textId="77777777" w:rsidTr="00266F41">
        <w:trPr>
          <w:jc w:val="center"/>
        </w:trPr>
        <w:tc>
          <w:tcPr>
            <w:tcW w:w="9062" w:type="dxa"/>
            <w:gridSpan w:val="6"/>
            <w:shd w:val="clear" w:color="auto" w:fill="E7E6E6" w:themeFill="background2"/>
            <w:vAlign w:val="center"/>
          </w:tcPr>
          <w:p w14:paraId="2E88F1D5" w14:textId="77777777" w:rsidR="00E212F5" w:rsidRPr="0035160C" w:rsidRDefault="00E212F5" w:rsidP="00E212F5">
            <w:pPr>
              <w:spacing w:after="160" w:line="259" w:lineRule="auto"/>
              <w:jc w:val="both"/>
            </w:pPr>
            <w:r w:rsidRPr="0035160C">
              <w:t>Zmiany wielkości emisji całkowitej NO</w:t>
            </w:r>
            <w:r w:rsidRPr="0035160C">
              <w:rPr>
                <w:vertAlign w:val="subscript"/>
              </w:rPr>
              <w:t>X</w:t>
            </w:r>
            <w:r w:rsidRPr="0035160C">
              <w:t xml:space="preserve"> na przestrzeni lat 1990 - 2019</w:t>
            </w:r>
          </w:p>
        </w:tc>
      </w:tr>
      <w:tr w:rsidR="00E212F5" w:rsidRPr="0035160C" w14:paraId="4E198B61" w14:textId="77777777" w:rsidTr="00266F41">
        <w:trPr>
          <w:jc w:val="center"/>
        </w:trPr>
        <w:tc>
          <w:tcPr>
            <w:tcW w:w="1442" w:type="dxa"/>
            <w:shd w:val="clear" w:color="auto" w:fill="E7E6E6" w:themeFill="background2"/>
            <w:vAlign w:val="center"/>
          </w:tcPr>
          <w:p w14:paraId="0F7F5D3F" w14:textId="77777777" w:rsidR="00E212F5" w:rsidRPr="0035160C" w:rsidRDefault="00E212F5" w:rsidP="00E212F5">
            <w:pPr>
              <w:spacing w:after="160" w:line="259" w:lineRule="auto"/>
              <w:jc w:val="both"/>
            </w:pPr>
            <w:r w:rsidRPr="0035160C">
              <w:t>Rok</w:t>
            </w:r>
          </w:p>
        </w:tc>
        <w:tc>
          <w:tcPr>
            <w:tcW w:w="1544" w:type="dxa"/>
            <w:vAlign w:val="center"/>
          </w:tcPr>
          <w:p w14:paraId="2428F78E" w14:textId="77777777" w:rsidR="00E212F5" w:rsidRPr="0035160C" w:rsidRDefault="00E212F5" w:rsidP="00E212F5">
            <w:pPr>
              <w:spacing w:after="160" w:line="259" w:lineRule="auto"/>
              <w:jc w:val="both"/>
            </w:pPr>
            <w:r w:rsidRPr="0035160C">
              <w:t>1990</w:t>
            </w:r>
          </w:p>
        </w:tc>
        <w:tc>
          <w:tcPr>
            <w:tcW w:w="1544" w:type="dxa"/>
            <w:vAlign w:val="center"/>
          </w:tcPr>
          <w:p w14:paraId="52ADC8DE" w14:textId="77777777" w:rsidR="00E212F5" w:rsidRPr="0035160C" w:rsidRDefault="00E212F5" w:rsidP="00E212F5">
            <w:pPr>
              <w:spacing w:after="160" w:line="259" w:lineRule="auto"/>
              <w:jc w:val="both"/>
            </w:pPr>
            <w:r w:rsidRPr="0035160C">
              <w:t>2005</w:t>
            </w:r>
          </w:p>
        </w:tc>
        <w:tc>
          <w:tcPr>
            <w:tcW w:w="1544" w:type="dxa"/>
            <w:vAlign w:val="center"/>
          </w:tcPr>
          <w:p w14:paraId="6FFFD505" w14:textId="77777777" w:rsidR="00E212F5" w:rsidRPr="0035160C" w:rsidRDefault="00E212F5" w:rsidP="00E212F5">
            <w:pPr>
              <w:spacing w:after="160" w:line="259" w:lineRule="auto"/>
              <w:jc w:val="both"/>
            </w:pPr>
            <w:r w:rsidRPr="0035160C">
              <w:t>2010</w:t>
            </w:r>
          </w:p>
        </w:tc>
        <w:tc>
          <w:tcPr>
            <w:tcW w:w="1544" w:type="dxa"/>
            <w:vAlign w:val="center"/>
          </w:tcPr>
          <w:p w14:paraId="449C21FE" w14:textId="77777777" w:rsidR="00E212F5" w:rsidRPr="0035160C" w:rsidRDefault="00E212F5" w:rsidP="00E212F5">
            <w:pPr>
              <w:spacing w:after="160" w:line="259" w:lineRule="auto"/>
              <w:jc w:val="both"/>
            </w:pPr>
            <w:r w:rsidRPr="0035160C">
              <w:t>2018</w:t>
            </w:r>
          </w:p>
        </w:tc>
        <w:tc>
          <w:tcPr>
            <w:tcW w:w="1444" w:type="dxa"/>
            <w:vAlign w:val="center"/>
          </w:tcPr>
          <w:p w14:paraId="34D0ECCF" w14:textId="77777777" w:rsidR="00E212F5" w:rsidRPr="0035160C" w:rsidRDefault="00E212F5" w:rsidP="00E212F5">
            <w:pPr>
              <w:spacing w:after="160" w:line="259" w:lineRule="auto"/>
              <w:jc w:val="both"/>
            </w:pPr>
            <w:r w:rsidRPr="0035160C">
              <w:t>2019</w:t>
            </w:r>
          </w:p>
        </w:tc>
      </w:tr>
      <w:tr w:rsidR="00E212F5" w:rsidRPr="0035160C" w14:paraId="5CA2A214" w14:textId="77777777" w:rsidTr="00266F41">
        <w:trPr>
          <w:jc w:val="center"/>
        </w:trPr>
        <w:tc>
          <w:tcPr>
            <w:tcW w:w="1442" w:type="dxa"/>
            <w:shd w:val="clear" w:color="auto" w:fill="E7E6E6" w:themeFill="background2"/>
            <w:vAlign w:val="center"/>
          </w:tcPr>
          <w:p w14:paraId="4504DB55" w14:textId="77777777" w:rsidR="00E212F5" w:rsidRPr="0035160C" w:rsidRDefault="00E212F5" w:rsidP="00E212F5">
            <w:pPr>
              <w:spacing w:after="160" w:line="259" w:lineRule="auto"/>
              <w:jc w:val="both"/>
            </w:pPr>
            <w:r w:rsidRPr="0035160C">
              <w:t>Wielkość emisji [kt]</w:t>
            </w:r>
          </w:p>
        </w:tc>
        <w:tc>
          <w:tcPr>
            <w:tcW w:w="1544" w:type="dxa"/>
            <w:vAlign w:val="center"/>
          </w:tcPr>
          <w:p w14:paraId="665F3693" w14:textId="77777777" w:rsidR="00E212F5" w:rsidRPr="0035160C" w:rsidRDefault="00E212F5" w:rsidP="00E212F5">
            <w:pPr>
              <w:spacing w:after="160" w:line="259" w:lineRule="auto"/>
              <w:jc w:val="both"/>
            </w:pPr>
            <w:r w:rsidRPr="0035160C">
              <w:t>1116,85</w:t>
            </w:r>
          </w:p>
        </w:tc>
        <w:tc>
          <w:tcPr>
            <w:tcW w:w="1544" w:type="dxa"/>
            <w:vAlign w:val="center"/>
          </w:tcPr>
          <w:p w14:paraId="6DBD986A" w14:textId="77777777" w:rsidR="00E212F5" w:rsidRPr="0035160C" w:rsidRDefault="00E212F5" w:rsidP="00E212F5">
            <w:pPr>
              <w:spacing w:after="160" w:line="259" w:lineRule="auto"/>
              <w:jc w:val="both"/>
            </w:pPr>
            <w:r w:rsidRPr="0035160C">
              <w:t>886,2</w:t>
            </w:r>
          </w:p>
        </w:tc>
        <w:tc>
          <w:tcPr>
            <w:tcW w:w="1544" w:type="dxa"/>
            <w:vAlign w:val="center"/>
          </w:tcPr>
          <w:p w14:paraId="1D8D13BF" w14:textId="77777777" w:rsidR="00E212F5" w:rsidRPr="0035160C" w:rsidRDefault="00E212F5" w:rsidP="00E212F5">
            <w:pPr>
              <w:spacing w:after="160" w:line="259" w:lineRule="auto"/>
              <w:jc w:val="both"/>
            </w:pPr>
            <w:r w:rsidRPr="0035160C">
              <w:t>877,46</w:t>
            </w:r>
          </w:p>
        </w:tc>
        <w:tc>
          <w:tcPr>
            <w:tcW w:w="1544" w:type="dxa"/>
            <w:vAlign w:val="center"/>
          </w:tcPr>
          <w:p w14:paraId="483B35F7" w14:textId="77777777" w:rsidR="00E212F5" w:rsidRPr="0035160C" w:rsidRDefault="00E212F5" w:rsidP="00E212F5">
            <w:pPr>
              <w:spacing w:after="160" w:line="259" w:lineRule="auto"/>
              <w:jc w:val="both"/>
            </w:pPr>
            <w:r w:rsidRPr="0035160C">
              <w:t>725,37</w:t>
            </w:r>
          </w:p>
        </w:tc>
        <w:tc>
          <w:tcPr>
            <w:tcW w:w="1444" w:type="dxa"/>
            <w:vAlign w:val="center"/>
          </w:tcPr>
          <w:p w14:paraId="22922BAF" w14:textId="77777777" w:rsidR="00E212F5" w:rsidRPr="0035160C" w:rsidRDefault="00E212F5" w:rsidP="00E212F5">
            <w:pPr>
              <w:spacing w:after="160" w:line="259" w:lineRule="auto"/>
              <w:jc w:val="both"/>
            </w:pPr>
            <w:r w:rsidRPr="0035160C">
              <w:t>681,52</w:t>
            </w:r>
          </w:p>
        </w:tc>
      </w:tr>
    </w:tbl>
    <w:p w14:paraId="6630BA5F" w14:textId="77777777" w:rsidR="00E212F5" w:rsidRPr="0035160C" w:rsidRDefault="00E212F5" w:rsidP="00E212F5">
      <w:pPr>
        <w:jc w:val="both"/>
      </w:pPr>
    </w:p>
    <w:p w14:paraId="766AB7EF" w14:textId="480E6E16" w:rsidR="00E212F5" w:rsidRPr="0035160C" w:rsidRDefault="00E212F5" w:rsidP="00E212F5">
      <w:pPr>
        <w:jc w:val="both"/>
      </w:pPr>
      <w:r w:rsidRPr="0035160C">
        <w:t>Od końca lat 90-tych największym źródłem emisji NO</w:t>
      </w:r>
      <w:r w:rsidRPr="0035160C">
        <w:rPr>
          <w:vertAlign w:val="subscript"/>
        </w:rPr>
        <w:t>X</w:t>
      </w:r>
      <w:r w:rsidRPr="0035160C">
        <w:t xml:space="preserve"> jest spalanie paliw w transporcie drogowym, </w:t>
      </w:r>
      <w:r w:rsidRPr="0035160C">
        <w:br/>
        <w:t>z którego emisje stale rosną. Wynika to głównie ze wzrostu liczby pojazdów o 280% od 1990 r. Tendencja w zakresie emisji całkowitej NO</w:t>
      </w:r>
      <w:r w:rsidRPr="0035160C">
        <w:rPr>
          <w:vertAlign w:val="subscript"/>
        </w:rPr>
        <w:t>X</w:t>
      </w:r>
      <w:r w:rsidRPr="0035160C">
        <w:t xml:space="preserve"> w latach 1990 - 2019 jest przedstawiona na Rysunku nr </w:t>
      </w:r>
      <w:r w:rsidR="002C38C8">
        <w:t>55</w:t>
      </w:r>
      <w:r w:rsidRPr="0035160C">
        <w:t xml:space="preserve">. </w:t>
      </w:r>
    </w:p>
    <w:p w14:paraId="771F3B77" w14:textId="77777777" w:rsidR="00E212F5" w:rsidRPr="0035160C" w:rsidRDefault="00E212F5" w:rsidP="00E212F5">
      <w:pPr>
        <w:jc w:val="both"/>
      </w:pPr>
      <w:r w:rsidRPr="0035160C">
        <w:rPr>
          <w:noProof/>
          <w:lang w:eastAsia="pl-PL"/>
        </w:rPr>
        <w:lastRenderedPageBreak/>
        <w:drawing>
          <wp:inline distT="0" distB="0" distL="0" distR="0" wp14:anchorId="0A013F10" wp14:editId="6CDCFD7C">
            <wp:extent cx="4846320" cy="2474444"/>
            <wp:effectExtent l="0" t="0" r="0" b="2540"/>
            <wp:docPr id="232" name="Obraz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867659" cy="2485339"/>
                    </a:xfrm>
                    <a:prstGeom prst="rect">
                      <a:avLst/>
                    </a:prstGeom>
                    <a:noFill/>
                    <a:ln>
                      <a:noFill/>
                    </a:ln>
                  </pic:spPr>
                </pic:pic>
              </a:graphicData>
            </a:graphic>
          </wp:inline>
        </w:drawing>
      </w:r>
    </w:p>
    <w:p w14:paraId="043936F3" w14:textId="4137B5E1" w:rsidR="00E212F5" w:rsidRPr="002C38C8" w:rsidRDefault="00E212F5" w:rsidP="002C38C8">
      <w:pPr>
        <w:jc w:val="center"/>
        <w:rPr>
          <w:sz w:val="20"/>
          <w:szCs w:val="20"/>
        </w:rPr>
      </w:pPr>
      <w:r w:rsidRPr="002C38C8">
        <w:rPr>
          <w:sz w:val="20"/>
          <w:szCs w:val="20"/>
        </w:rPr>
        <w:t xml:space="preserve">Rysunek nr </w:t>
      </w:r>
      <w:r w:rsidR="002C38C8" w:rsidRPr="002C38C8">
        <w:rPr>
          <w:sz w:val="20"/>
          <w:szCs w:val="20"/>
        </w:rPr>
        <w:t>55</w:t>
      </w:r>
      <w:r w:rsidRPr="002C38C8">
        <w:rPr>
          <w:sz w:val="20"/>
          <w:szCs w:val="20"/>
        </w:rPr>
        <w:t>. Całkowite wielkości emisji NO</w:t>
      </w:r>
      <w:r w:rsidRPr="002C38C8">
        <w:rPr>
          <w:sz w:val="20"/>
          <w:szCs w:val="20"/>
          <w:vertAlign w:val="subscript"/>
        </w:rPr>
        <w:t>X</w:t>
      </w:r>
      <w:r w:rsidRPr="002C38C8">
        <w:rPr>
          <w:sz w:val="20"/>
          <w:szCs w:val="20"/>
        </w:rPr>
        <w:t xml:space="preserve"> w Polsce w latach 1990-2019, źródło: POLAND’S INFORMATIVE INVENTORY REPORT2021</w:t>
      </w:r>
    </w:p>
    <w:p w14:paraId="21FDBF5A" w14:textId="406908A4" w:rsidR="00E212F5" w:rsidRPr="0035160C" w:rsidRDefault="00E212F5" w:rsidP="00E212F5">
      <w:pPr>
        <w:jc w:val="both"/>
      </w:pPr>
      <w:r w:rsidRPr="0035160C">
        <w:t xml:space="preserve">Natomiast na rysunku nr </w:t>
      </w:r>
      <w:r w:rsidR="002C38C8">
        <w:t>56</w:t>
      </w:r>
      <w:r w:rsidRPr="0035160C">
        <w:t xml:space="preserve"> przedstawiono wielkości emisji NO</w:t>
      </w:r>
      <w:r w:rsidRPr="0035160C">
        <w:rPr>
          <w:vertAlign w:val="subscript"/>
        </w:rPr>
        <w:t>x</w:t>
      </w:r>
      <w:r w:rsidRPr="0035160C">
        <w:t xml:space="preserve"> na przestrzeni lat z sektora transportu. W porównaniu z 2010 r., w 2019 r. odnotowano redukcję wielkości emisji dla tego zanieczyszczenia o ok. 5 %, natomiast w stosunku do 2018 r. emisja ta spadła o ok. 3,3%.</w:t>
      </w:r>
    </w:p>
    <w:p w14:paraId="1EA2A694" w14:textId="77777777" w:rsidR="00E212F5" w:rsidRPr="0035160C" w:rsidRDefault="00E212F5" w:rsidP="00266F41">
      <w:pPr>
        <w:jc w:val="center"/>
      </w:pPr>
      <w:r w:rsidRPr="0035160C">
        <w:rPr>
          <w:noProof/>
          <w:lang w:eastAsia="pl-PL"/>
        </w:rPr>
        <w:drawing>
          <wp:inline distT="0" distB="0" distL="0" distR="0" wp14:anchorId="74F5727C" wp14:editId="51A90D2E">
            <wp:extent cx="4831080" cy="2567940"/>
            <wp:effectExtent l="0" t="0" r="7620" b="3810"/>
            <wp:docPr id="233" name="Wykres 233">
              <a:extLst xmlns:a="http://schemas.openxmlformats.org/drawingml/2006/main">
                <a:ext uri="{FF2B5EF4-FFF2-40B4-BE49-F238E27FC236}">
                  <a16:creationId xmlns:a16="http://schemas.microsoft.com/office/drawing/2014/main" id="{19C1B8DF-1C6B-46B3-95C5-500E2AB0F4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60DD4F29" w14:textId="12F7D1EF" w:rsidR="00E212F5" w:rsidRPr="0035160C" w:rsidRDefault="00E212F5" w:rsidP="00E212F5">
      <w:pPr>
        <w:jc w:val="both"/>
        <w:rPr>
          <w:i/>
          <w:iCs/>
        </w:rPr>
      </w:pPr>
      <w:r w:rsidRPr="0035160C">
        <w:t xml:space="preserve">Rysunek nr </w:t>
      </w:r>
      <w:r w:rsidR="002C38C8">
        <w:t>56</w:t>
      </w:r>
      <w:r w:rsidRPr="0035160C">
        <w:t>. Wielkości emisji NOx z sektora transportu, opracowanie własne na podstawie POLAND’S INFORMATIVE INVENTORY REPORT2021</w:t>
      </w:r>
    </w:p>
    <w:p w14:paraId="2532B81B" w14:textId="289904BE" w:rsidR="00E212F5" w:rsidRPr="0035160C" w:rsidRDefault="00E212F5" w:rsidP="00E212F5">
      <w:pPr>
        <w:jc w:val="both"/>
      </w:pPr>
      <w:r w:rsidRPr="0035160C">
        <w:t xml:space="preserve">Udziały emisji z sektora transportu w kraju ogółem dla poszczególnych zanieczyszczeń w 2019 r. przedstawia rysunek nr </w:t>
      </w:r>
      <w:r w:rsidR="002C38C8">
        <w:t>57</w:t>
      </w:r>
      <w:r w:rsidRPr="0035160C">
        <w:t>. Udziały wielkości emisji zanieczyszczeń do powietrza z tej kategorii kształtują się poniżej 45% (większość zanieczyszczeń nie przekracza 10%) – czyli sektor transportu odpowiada za: 41% całkowitej emisji NO</w:t>
      </w:r>
      <w:r w:rsidRPr="0035160C">
        <w:rPr>
          <w:vertAlign w:val="subscript"/>
        </w:rPr>
        <w:t>X</w:t>
      </w:r>
      <w:r w:rsidRPr="0035160C">
        <w:t xml:space="preserve">; 45% całkowitej emisji BC; 25% całkowitej emisji CO. </w:t>
      </w:r>
    </w:p>
    <w:p w14:paraId="25CD9FFA" w14:textId="77777777" w:rsidR="00E212F5" w:rsidRPr="0035160C" w:rsidRDefault="00E212F5" w:rsidP="00E212F5">
      <w:pPr>
        <w:jc w:val="both"/>
      </w:pPr>
      <w:r w:rsidRPr="0035160C">
        <w:rPr>
          <w:noProof/>
          <w:lang w:eastAsia="pl-PL"/>
        </w:rPr>
        <w:lastRenderedPageBreak/>
        <w:drawing>
          <wp:inline distT="0" distB="0" distL="0" distR="0" wp14:anchorId="3960BC1B" wp14:editId="7C57B91A">
            <wp:extent cx="5753100" cy="2800750"/>
            <wp:effectExtent l="0" t="0" r="0" b="0"/>
            <wp:docPr id="234" name="Obraz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55510" cy="2801923"/>
                    </a:xfrm>
                    <a:prstGeom prst="rect">
                      <a:avLst/>
                    </a:prstGeom>
                    <a:noFill/>
                    <a:ln>
                      <a:noFill/>
                    </a:ln>
                  </pic:spPr>
                </pic:pic>
              </a:graphicData>
            </a:graphic>
          </wp:inline>
        </w:drawing>
      </w:r>
    </w:p>
    <w:p w14:paraId="11503583" w14:textId="7C388A50" w:rsidR="00E212F5" w:rsidRPr="002C38C8" w:rsidRDefault="00E212F5" w:rsidP="002C38C8">
      <w:pPr>
        <w:jc w:val="center"/>
        <w:rPr>
          <w:i/>
          <w:iCs/>
          <w:sz w:val="20"/>
          <w:szCs w:val="20"/>
        </w:rPr>
      </w:pPr>
      <w:r w:rsidRPr="002C38C8">
        <w:rPr>
          <w:sz w:val="20"/>
          <w:szCs w:val="20"/>
        </w:rPr>
        <w:t xml:space="preserve">Rysunek nr </w:t>
      </w:r>
      <w:r w:rsidR="002C38C8" w:rsidRPr="002C38C8">
        <w:rPr>
          <w:sz w:val="20"/>
          <w:szCs w:val="20"/>
        </w:rPr>
        <w:t>57</w:t>
      </w:r>
      <w:r w:rsidRPr="002C38C8">
        <w:rPr>
          <w:i/>
          <w:iCs/>
          <w:sz w:val="20"/>
          <w:szCs w:val="20"/>
        </w:rPr>
        <w:t>.</w:t>
      </w:r>
      <w:r w:rsidRPr="002C38C8">
        <w:rPr>
          <w:sz w:val="20"/>
          <w:szCs w:val="20"/>
        </w:rPr>
        <w:t xml:space="preserve"> Udziały emisji z sektora transportu w kraju ogółem dla poszczególnych zanieczyszczeń </w:t>
      </w:r>
      <w:r w:rsidRPr="002C38C8">
        <w:rPr>
          <w:sz w:val="20"/>
          <w:szCs w:val="20"/>
        </w:rPr>
        <w:br/>
        <w:t>w 2019 r., źródło: POLAND’S INFORMATIVE INVENTORY REPORT2021</w:t>
      </w:r>
    </w:p>
    <w:p w14:paraId="4D218F8C" w14:textId="36576080" w:rsidR="00E212F5" w:rsidRPr="0035160C" w:rsidRDefault="00E212F5" w:rsidP="00E212F5">
      <w:pPr>
        <w:jc w:val="both"/>
      </w:pPr>
      <w:r w:rsidRPr="0035160C">
        <w:rPr>
          <w:noProof/>
          <w:lang w:eastAsia="pl-PL"/>
        </w:rPr>
        <w:drawing>
          <wp:anchor distT="0" distB="0" distL="114300" distR="114300" simplePos="0" relativeHeight="251670528" behindDoc="1" locked="0" layoutInCell="1" allowOverlap="1" wp14:anchorId="2EC71650" wp14:editId="06C25180">
            <wp:simplePos x="0" y="0"/>
            <wp:positionH relativeFrom="column">
              <wp:posOffset>52705</wp:posOffset>
            </wp:positionH>
            <wp:positionV relativeFrom="paragraph">
              <wp:posOffset>833120</wp:posOffset>
            </wp:positionV>
            <wp:extent cx="5966460" cy="3260725"/>
            <wp:effectExtent l="0" t="0" r="15240" b="15875"/>
            <wp:wrapTight wrapText="bothSides">
              <wp:wrapPolygon edited="0">
                <wp:start x="0" y="0"/>
                <wp:lineTo x="0" y="21579"/>
                <wp:lineTo x="21586" y="21579"/>
                <wp:lineTo x="21586" y="0"/>
                <wp:lineTo x="0" y="0"/>
              </wp:wrapPolygon>
            </wp:wrapTight>
            <wp:docPr id="236" name="Wykres 236">
              <a:extLst xmlns:a="http://schemas.openxmlformats.org/drawingml/2006/main">
                <a:ext uri="{FF2B5EF4-FFF2-40B4-BE49-F238E27FC236}">
                  <a16:creationId xmlns:a16="http://schemas.microsoft.com/office/drawing/2014/main" id="{31FE8C95-E011-46C8-B7EB-ECBFAB2123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14:sizeRelH relativeFrom="margin">
              <wp14:pctWidth>0</wp14:pctWidth>
            </wp14:sizeRelH>
            <wp14:sizeRelV relativeFrom="margin">
              <wp14:pctHeight>0</wp14:pctHeight>
            </wp14:sizeRelV>
          </wp:anchor>
        </w:drawing>
      </w:r>
      <w:r w:rsidRPr="0035160C">
        <w:t>Dodatkowo na rysunku nr 5</w:t>
      </w:r>
      <w:r w:rsidR="002C38C8">
        <w:t>8</w:t>
      </w:r>
      <w:r w:rsidRPr="0035160C">
        <w:t xml:space="preserve"> przedstawiono udziały krajowej emisji rocznej CO</w:t>
      </w:r>
      <w:r w:rsidRPr="0035160C">
        <w:rPr>
          <w:vertAlign w:val="subscript"/>
        </w:rPr>
        <w:t>2</w:t>
      </w:r>
      <w:r w:rsidRPr="0035160C">
        <w:t>, NO</w:t>
      </w:r>
      <w:r w:rsidRPr="0035160C">
        <w:rPr>
          <w:vertAlign w:val="subscript"/>
        </w:rPr>
        <w:t>X</w:t>
      </w:r>
      <w:r w:rsidRPr="0035160C">
        <w:t xml:space="preserve">, niemetanowych lotnych związków organicznych (NMVOC) i pyłu całkowitego (TSP) z samochodów osobowych (SO) wszystkich (w) i rzeczywiście jeżdżących (j) w krajowej emisji rocznej z transportu drogowego </w:t>
      </w:r>
    </w:p>
    <w:p w14:paraId="7AA25570" w14:textId="247A238C" w:rsidR="002C38C8" w:rsidRDefault="00E212F5" w:rsidP="002C38C8">
      <w:pPr>
        <w:jc w:val="center"/>
        <w:rPr>
          <w:sz w:val="20"/>
          <w:szCs w:val="20"/>
        </w:rPr>
      </w:pPr>
      <w:r w:rsidRPr="002C38C8">
        <w:rPr>
          <w:sz w:val="20"/>
          <w:szCs w:val="20"/>
        </w:rPr>
        <w:t>Rysunek nr 5</w:t>
      </w:r>
      <w:r w:rsidR="002C38C8" w:rsidRPr="002C38C8">
        <w:rPr>
          <w:sz w:val="20"/>
          <w:szCs w:val="20"/>
        </w:rPr>
        <w:t>8</w:t>
      </w:r>
      <w:r w:rsidRPr="002C38C8">
        <w:rPr>
          <w:i/>
          <w:iCs/>
          <w:sz w:val="20"/>
          <w:szCs w:val="20"/>
        </w:rPr>
        <w:t>.</w:t>
      </w:r>
      <w:r w:rsidRPr="002C38C8">
        <w:rPr>
          <w:sz w:val="20"/>
          <w:szCs w:val="20"/>
        </w:rPr>
        <w:t xml:space="preserve"> przedstawiono udziały krajowej emisji rocznej CO</w:t>
      </w:r>
      <w:r w:rsidRPr="002C38C8">
        <w:rPr>
          <w:sz w:val="20"/>
          <w:szCs w:val="20"/>
          <w:vertAlign w:val="subscript"/>
        </w:rPr>
        <w:t>2</w:t>
      </w:r>
      <w:r w:rsidRPr="002C38C8">
        <w:rPr>
          <w:sz w:val="20"/>
          <w:szCs w:val="20"/>
        </w:rPr>
        <w:t>, NO</w:t>
      </w:r>
      <w:r w:rsidRPr="002C38C8">
        <w:rPr>
          <w:sz w:val="20"/>
          <w:szCs w:val="20"/>
          <w:vertAlign w:val="subscript"/>
        </w:rPr>
        <w:t>X</w:t>
      </w:r>
      <w:r w:rsidRPr="002C38C8">
        <w:rPr>
          <w:sz w:val="20"/>
          <w:szCs w:val="20"/>
        </w:rPr>
        <w:t>, niemetanowych lotnych związków organicznych (NMVOC) i pyłu całkowitego (TSP) z samochodów osobowych (SO) wszystkich (w) i rzeczywiście jeżdżących (j) w krajowej emisji rocznej z transportu drogowego</w:t>
      </w:r>
    </w:p>
    <w:p w14:paraId="1B8CC71A" w14:textId="0124C4E6" w:rsidR="00E212F5" w:rsidRPr="002C38C8" w:rsidRDefault="00E212F5" w:rsidP="002C38C8">
      <w:pPr>
        <w:jc w:val="center"/>
        <w:rPr>
          <w:sz w:val="20"/>
          <w:szCs w:val="20"/>
        </w:rPr>
      </w:pPr>
      <w:r w:rsidRPr="002C38C8">
        <w:rPr>
          <w:sz w:val="20"/>
          <w:szCs w:val="20"/>
        </w:rPr>
        <w:t>źródło: KOBiZE</w:t>
      </w:r>
    </w:p>
    <w:p w14:paraId="02BEF0BD" w14:textId="618A5431" w:rsidR="00E212F5" w:rsidRPr="0035160C" w:rsidRDefault="00E212F5" w:rsidP="00E212F5">
      <w:pPr>
        <w:jc w:val="both"/>
      </w:pPr>
      <w:r w:rsidRPr="0035160C">
        <w:t xml:space="preserve">Na wielkości emisji z sektora transportu ma wpływ ilość i rodzaj pojazdów. Na rysunku nr </w:t>
      </w:r>
      <w:r w:rsidR="002C38C8">
        <w:t>59</w:t>
      </w:r>
      <w:r w:rsidRPr="0035160C">
        <w:t xml:space="preserve"> przedstawiono ilość pojazdów w podziale na kategorie pojazdów i rodzaj stosowanego paliwa. </w:t>
      </w:r>
      <w:r w:rsidRPr="0035160C">
        <w:lastRenderedPageBreak/>
        <w:t xml:space="preserve">Dodatkowo na rysunku nr </w:t>
      </w:r>
      <w:r w:rsidR="002C38C8">
        <w:t>60</w:t>
      </w:r>
      <w:r w:rsidRPr="0035160C">
        <w:t xml:space="preserve"> przedstawiono zmianę zużycia paliw w sektorze transportu drogowego na przestrzeni lat 2010-2019. </w:t>
      </w:r>
    </w:p>
    <w:p w14:paraId="7226304A" w14:textId="77777777" w:rsidR="00E212F5" w:rsidRPr="0035160C" w:rsidRDefault="00E212F5" w:rsidP="00266F41">
      <w:pPr>
        <w:jc w:val="center"/>
      </w:pPr>
      <w:r w:rsidRPr="0035160C">
        <w:rPr>
          <w:noProof/>
          <w:lang w:eastAsia="pl-PL"/>
        </w:rPr>
        <w:drawing>
          <wp:inline distT="0" distB="0" distL="0" distR="0" wp14:anchorId="4153E16E" wp14:editId="49FBFEF2">
            <wp:extent cx="4495800" cy="2818795"/>
            <wp:effectExtent l="0" t="0" r="0" b="635"/>
            <wp:docPr id="237" name="Obraz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525613" cy="2837487"/>
                    </a:xfrm>
                    <a:prstGeom prst="rect">
                      <a:avLst/>
                    </a:prstGeom>
                    <a:noFill/>
                    <a:ln>
                      <a:noFill/>
                    </a:ln>
                  </pic:spPr>
                </pic:pic>
              </a:graphicData>
            </a:graphic>
          </wp:inline>
        </w:drawing>
      </w:r>
    </w:p>
    <w:p w14:paraId="2575B8F6" w14:textId="4AE3D238" w:rsidR="00E212F5" w:rsidRPr="002C38C8" w:rsidRDefault="00E212F5" w:rsidP="002C38C8">
      <w:pPr>
        <w:jc w:val="center"/>
        <w:rPr>
          <w:i/>
          <w:iCs/>
          <w:sz w:val="20"/>
          <w:szCs w:val="20"/>
        </w:rPr>
      </w:pPr>
      <w:r w:rsidRPr="002C38C8">
        <w:rPr>
          <w:sz w:val="20"/>
          <w:szCs w:val="20"/>
        </w:rPr>
        <w:t xml:space="preserve">Rysunek nr </w:t>
      </w:r>
      <w:r w:rsidR="002C38C8" w:rsidRPr="002C38C8">
        <w:rPr>
          <w:sz w:val="20"/>
          <w:szCs w:val="20"/>
        </w:rPr>
        <w:t>59</w:t>
      </w:r>
      <w:r w:rsidRPr="002C38C8">
        <w:rPr>
          <w:sz w:val="20"/>
          <w:szCs w:val="20"/>
        </w:rPr>
        <w:t>. Ilość pojazdów w podziale na rodzaj i kategorię pojazdów, źródło: POLAND’S INFORMATIVE INVENTORY REPORT2021</w:t>
      </w:r>
    </w:p>
    <w:p w14:paraId="30458AA3" w14:textId="77777777" w:rsidR="00E212F5" w:rsidRPr="0035160C" w:rsidRDefault="00E212F5" w:rsidP="00E212F5">
      <w:pPr>
        <w:jc w:val="both"/>
      </w:pPr>
      <w:r w:rsidRPr="0035160C">
        <w:rPr>
          <w:noProof/>
          <w:lang w:eastAsia="pl-PL"/>
        </w:rPr>
        <w:drawing>
          <wp:inline distT="0" distB="0" distL="0" distR="0" wp14:anchorId="6370566A" wp14:editId="14DB1155">
            <wp:extent cx="5688330" cy="3501390"/>
            <wp:effectExtent l="0" t="0" r="7620" b="3810"/>
            <wp:docPr id="238" name="Wykres 238">
              <a:extLst xmlns:a="http://schemas.openxmlformats.org/drawingml/2006/main">
                <a:ext uri="{FF2B5EF4-FFF2-40B4-BE49-F238E27FC236}">
                  <a16:creationId xmlns:a16="http://schemas.microsoft.com/office/drawing/2014/main" id="{F4E9EC90-171A-44C6-AA08-866DB88D8C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31EFE328" w14:textId="04BD86F3" w:rsidR="00E212F5" w:rsidRPr="002C38C8" w:rsidRDefault="00E212F5" w:rsidP="002C38C8">
      <w:pPr>
        <w:jc w:val="center"/>
        <w:rPr>
          <w:i/>
          <w:iCs/>
          <w:sz w:val="20"/>
          <w:szCs w:val="20"/>
        </w:rPr>
      </w:pPr>
      <w:r w:rsidRPr="002C38C8">
        <w:rPr>
          <w:sz w:val="20"/>
          <w:szCs w:val="20"/>
        </w:rPr>
        <w:t xml:space="preserve">Rysunek nr </w:t>
      </w:r>
      <w:r w:rsidR="002C38C8" w:rsidRPr="002C38C8">
        <w:rPr>
          <w:sz w:val="20"/>
          <w:szCs w:val="20"/>
        </w:rPr>
        <w:t>60</w:t>
      </w:r>
      <w:r w:rsidRPr="002C38C8">
        <w:rPr>
          <w:sz w:val="20"/>
          <w:szCs w:val="20"/>
        </w:rPr>
        <w:t>. Zużycie paliw w transporcie drogowym [kt], opracowanie własne na podstawie POLAND’S INFORMATIVE INVENTORY REPORT2021</w:t>
      </w:r>
    </w:p>
    <w:p w14:paraId="5AEA5344" w14:textId="3334B675" w:rsidR="00E212F5" w:rsidRPr="0035160C" w:rsidRDefault="00E212F5" w:rsidP="00E212F5">
      <w:pPr>
        <w:jc w:val="both"/>
      </w:pPr>
      <w:r w:rsidRPr="0035160C">
        <w:t xml:space="preserve">Na wielkość emisji zanieczyszczeń powietrza z sektora transportu wpływają przede wszystkim: zapotrzebowanie na przewóz pasażerów i zagadnienia związane z politykami w obszarze: gospodarczym, rolnym, osadniczym, pracowniczym, edukacyjnym, turystycznym, finansowym, itp., sposób realizacji (organizacji) usług przewozowych (np. stopień wykorzystania logistyki i inteligentnych </w:t>
      </w:r>
      <w:r w:rsidRPr="0035160C">
        <w:lastRenderedPageBreak/>
        <w:t>technologii, w tym szczególnie  technologii zarządzania ruchem, intermodalności, przewozów zbiorowych, organizacji przewozów „ostatniej mili”21 itp.), rozwiązania techniczne zastosowane w pojazdach (napędy i paliwa) i infrastrukturze, przeciętna długość codziennych przejazdów.</w:t>
      </w:r>
    </w:p>
    <w:p w14:paraId="6A893A75" w14:textId="77777777" w:rsidR="00E212F5" w:rsidRPr="0035160C" w:rsidRDefault="00E212F5" w:rsidP="00E212F5">
      <w:pPr>
        <w:jc w:val="both"/>
      </w:pPr>
      <w:r w:rsidRPr="0035160C">
        <w:t>Transport drogowy stanowi jedno z kluczowych źródeł emisji NO</w:t>
      </w:r>
      <w:r w:rsidRPr="0035160C">
        <w:rPr>
          <w:vertAlign w:val="subscript"/>
        </w:rPr>
        <w:t>X</w:t>
      </w:r>
      <w:r w:rsidRPr="0035160C">
        <w:t xml:space="preserve">, dlatego też pakiet działań mających na celu ograniczenie jego negatywnego wpływu na stan powietrza, jak i ich charakter powinien być bardzo szeroki. </w:t>
      </w:r>
    </w:p>
    <w:p w14:paraId="2D9483C8" w14:textId="77777777" w:rsidR="00E212F5" w:rsidRPr="002C38C8" w:rsidRDefault="00E212F5" w:rsidP="00E212F5">
      <w:pPr>
        <w:jc w:val="both"/>
        <w:rPr>
          <w:b/>
          <w:bCs/>
          <w:color w:val="2F5496" w:themeColor="accent1" w:themeShade="BF"/>
          <w:u w:val="single"/>
        </w:rPr>
      </w:pPr>
      <w:r w:rsidRPr="002C38C8">
        <w:rPr>
          <w:b/>
          <w:bCs/>
          <w:color w:val="2F5496" w:themeColor="accent1" w:themeShade="BF"/>
          <w:u w:val="single"/>
        </w:rPr>
        <w:t>Dokumenty strategiczne:</w:t>
      </w:r>
    </w:p>
    <w:p w14:paraId="35904B00" w14:textId="77777777" w:rsidR="00E212F5" w:rsidRPr="0035160C" w:rsidRDefault="00E212F5" w:rsidP="00E212F5">
      <w:pPr>
        <w:jc w:val="both"/>
      </w:pPr>
      <w:r w:rsidRPr="0035160C">
        <w:t xml:space="preserve">Warto wskazać, iż kwestie ograniczenia emisji z sektora transportu drogowego określone zostały </w:t>
      </w:r>
      <w:r w:rsidRPr="0035160C">
        <w:br/>
        <w:t>w dokumentach strategicznych, w tym w:</w:t>
      </w:r>
    </w:p>
    <w:p w14:paraId="7B9A1371" w14:textId="77777777" w:rsidR="00E212F5" w:rsidRPr="002C38C8" w:rsidRDefault="00E212F5" w:rsidP="00CA3BB7">
      <w:pPr>
        <w:numPr>
          <w:ilvl w:val="0"/>
          <w:numId w:val="33"/>
        </w:numPr>
        <w:jc w:val="both"/>
        <w:rPr>
          <w:b/>
          <w:bCs/>
          <w:i/>
          <w:iCs/>
          <w:color w:val="2F5496" w:themeColor="accent1" w:themeShade="BF"/>
        </w:rPr>
      </w:pPr>
      <w:r w:rsidRPr="002C38C8">
        <w:rPr>
          <w:b/>
          <w:bCs/>
          <w:i/>
          <w:iCs/>
          <w:color w:val="2F5496" w:themeColor="accent1" w:themeShade="BF"/>
        </w:rPr>
        <w:t>na poziomie europejskim:</w:t>
      </w:r>
    </w:p>
    <w:p w14:paraId="60E8CB16" w14:textId="7CB26BAA" w:rsidR="00E212F5" w:rsidRPr="002C38C8" w:rsidRDefault="00E212F5" w:rsidP="00CA3BB7">
      <w:pPr>
        <w:numPr>
          <w:ilvl w:val="0"/>
          <w:numId w:val="34"/>
        </w:numPr>
        <w:jc w:val="both"/>
        <w:rPr>
          <w:b/>
          <w:bCs/>
          <w:color w:val="2F5496" w:themeColor="accent1" w:themeShade="BF"/>
        </w:rPr>
      </w:pPr>
      <w:r w:rsidRPr="002C38C8">
        <w:rPr>
          <w:b/>
          <w:bCs/>
          <w:color w:val="2F5496" w:themeColor="accent1" w:themeShade="BF"/>
        </w:rPr>
        <w:t>Komunika</w:t>
      </w:r>
      <w:r w:rsidR="00547FE4">
        <w:rPr>
          <w:b/>
          <w:bCs/>
          <w:color w:val="2F5496" w:themeColor="accent1" w:themeShade="BF"/>
        </w:rPr>
        <w:t>cie</w:t>
      </w:r>
      <w:r w:rsidRPr="002C38C8">
        <w:rPr>
          <w:b/>
          <w:bCs/>
          <w:color w:val="2F5496" w:themeColor="accent1" w:themeShade="BF"/>
        </w:rPr>
        <w:t xml:space="preserve"> Komisji do Parlamentu Europejskiego, Rady, Europejskiego Komitetu Ekonomiczno-Społecznego i Komitetu Regionów </w:t>
      </w:r>
    </w:p>
    <w:p w14:paraId="435BE0F1" w14:textId="77777777" w:rsidR="00E212F5" w:rsidRPr="0035160C" w:rsidRDefault="00E212F5" w:rsidP="00E212F5">
      <w:pPr>
        <w:jc w:val="both"/>
      </w:pPr>
      <w:r w:rsidRPr="0035160C">
        <w:t>Strategia na rzecz zrównoważonej i inteligentnej mobilności – europejski transport na drodze ku przyszłości - Bruksela, dnia 9.12.2020 r.COM(2020)789 final</w:t>
      </w:r>
    </w:p>
    <w:p w14:paraId="36D15871" w14:textId="77777777" w:rsidR="00E212F5" w:rsidRPr="0035160C" w:rsidRDefault="00E212F5" w:rsidP="00E212F5">
      <w:pPr>
        <w:jc w:val="both"/>
      </w:pPr>
      <w:r w:rsidRPr="0035160C">
        <w:t>Wyzwanie środowiskowe dla sektora transportu to ograniczenie wielkości emisji oraz zapewnienie bardziej zrównoważonego charakteru tego sektora.</w:t>
      </w:r>
    </w:p>
    <w:p w14:paraId="183AA731" w14:textId="77777777" w:rsidR="00E212F5" w:rsidRPr="0035160C" w:rsidRDefault="00E212F5" w:rsidP="00E212F5">
      <w:pPr>
        <w:jc w:val="both"/>
      </w:pPr>
      <w:r w:rsidRPr="002C38C8">
        <w:rPr>
          <w:b/>
          <w:bCs/>
          <w:color w:val="2F5496" w:themeColor="accent1" w:themeShade="BF"/>
        </w:rPr>
        <w:t>Założenia i cele</w:t>
      </w:r>
      <w:r w:rsidRPr="0035160C">
        <w:rPr>
          <w:b/>
          <w:bCs/>
        </w:rPr>
        <w:t>:</w:t>
      </w:r>
      <w:r w:rsidRPr="0035160C">
        <w:t xml:space="preserve"> Ograniczenie emisji z sektora transportu o 90% do 2050 r.</w:t>
      </w:r>
    </w:p>
    <w:p w14:paraId="1D2CC8DC" w14:textId="77777777" w:rsidR="00E212F5" w:rsidRPr="002C38C8" w:rsidRDefault="00E212F5" w:rsidP="00E212F5">
      <w:pPr>
        <w:jc w:val="both"/>
        <w:rPr>
          <w:b/>
          <w:bCs/>
          <w:color w:val="2F5496" w:themeColor="accent1" w:themeShade="BF"/>
        </w:rPr>
      </w:pPr>
      <w:r w:rsidRPr="002C38C8">
        <w:rPr>
          <w:b/>
          <w:bCs/>
          <w:color w:val="2F5496" w:themeColor="accent1" w:themeShade="BF"/>
        </w:rPr>
        <w:t>Cele pośrednie:</w:t>
      </w:r>
    </w:p>
    <w:p w14:paraId="5A227364" w14:textId="77777777" w:rsidR="00E212F5" w:rsidRPr="002C38C8" w:rsidRDefault="00E212F5" w:rsidP="00CA3BB7">
      <w:pPr>
        <w:numPr>
          <w:ilvl w:val="0"/>
          <w:numId w:val="33"/>
        </w:numPr>
        <w:spacing w:after="0"/>
        <w:ind w:left="714" w:hanging="357"/>
        <w:jc w:val="both"/>
        <w:rPr>
          <w:b/>
          <w:bCs/>
          <w:color w:val="2F5496" w:themeColor="accent1" w:themeShade="BF"/>
        </w:rPr>
      </w:pPr>
      <w:r w:rsidRPr="002C38C8">
        <w:rPr>
          <w:b/>
          <w:bCs/>
          <w:color w:val="2F5496" w:themeColor="accent1" w:themeShade="BF"/>
        </w:rPr>
        <w:t>do 2030 r.:</w:t>
      </w:r>
    </w:p>
    <w:p w14:paraId="76B1AA80" w14:textId="77777777" w:rsidR="00E212F5" w:rsidRPr="0035160C" w:rsidRDefault="00E212F5" w:rsidP="00CA3BB7">
      <w:pPr>
        <w:numPr>
          <w:ilvl w:val="0"/>
          <w:numId w:val="35"/>
        </w:numPr>
        <w:spacing w:after="0"/>
        <w:ind w:left="714" w:hanging="357"/>
        <w:jc w:val="both"/>
      </w:pPr>
      <w:r w:rsidRPr="0035160C">
        <w:t>po europejskich drogach będzie jeździć co najmniej 30 mln pojazdów bezemisyjnych;</w:t>
      </w:r>
    </w:p>
    <w:p w14:paraId="18E6F547" w14:textId="77777777" w:rsidR="00E212F5" w:rsidRPr="0035160C" w:rsidRDefault="00E212F5" w:rsidP="00CA3BB7">
      <w:pPr>
        <w:numPr>
          <w:ilvl w:val="0"/>
          <w:numId w:val="35"/>
        </w:numPr>
        <w:spacing w:after="0"/>
        <w:ind w:left="714" w:hanging="357"/>
        <w:jc w:val="both"/>
      </w:pPr>
      <w:r w:rsidRPr="0035160C">
        <w:t>100 europejskich miast będzie neutralnych dla klimatu;</w:t>
      </w:r>
    </w:p>
    <w:p w14:paraId="6F5C532C" w14:textId="77777777" w:rsidR="00E212F5" w:rsidRPr="0035160C" w:rsidRDefault="00E212F5" w:rsidP="00CA3BB7">
      <w:pPr>
        <w:numPr>
          <w:ilvl w:val="0"/>
          <w:numId w:val="35"/>
        </w:numPr>
        <w:spacing w:after="0"/>
        <w:ind w:left="714" w:hanging="357"/>
        <w:jc w:val="both"/>
      </w:pPr>
      <w:r w:rsidRPr="0035160C">
        <w:t>dwukrotnie zwiększy się ruch kolei dużych prędkości;</w:t>
      </w:r>
    </w:p>
    <w:p w14:paraId="43EFA988" w14:textId="77777777" w:rsidR="00E212F5" w:rsidRPr="0035160C" w:rsidRDefault="00E212F5" w:rsidP="00CA3BB7">
      <w:pPr>
        <w:numPr>
          <w:ilvl w:val="0"/>
          <w:numId w:val="35"/>
        </w:numPr>
        <w:spacing w:after="0"/>
        <w:ind w:left="714" w:hanging="357"/>
        <w:jc w:val="both"/>
      </w:pPr>
      <w:r w:rsidRPr="0035160C">
        <w:t>regularny transport zbiorowy do 500 km powinien być neutralny pod względem emisji CO</w:t>
      </w:r>
      <w:r w:rsidRPr="0035160C">
        <w:rPr>
          <w:vertAlign w:val="subscript"/>
        </w:rPr>
        <w:t>2</w:t>
      </w:r>
      <w:r w:rsidRPr="0035160C">
        <w:t xml:space="preserve"> w obrębie UE; </w:t>
      </w:r>
    </w:p>
    <w:p w14:paraId="5C47ABA2" w14:textId="77777777" w:rsidR="00E212F5" w:rsidRPr="0035160C" w:rsidRDefault="00E212F5" w:rsidP="00CA3BB7">
      <w:pPr>
        <w:numPr>
          <w:ilvl w:val="0"/>
          <w:numId w:val="35"/>
        </w:numPr>
        <w:spacing w:after="0"/>
        <w:ind w:left="714" w:hanging="357"/>
        <w:jc w:val="both"/>
      </w:pPr>
      <w:r w:rsidRPr="0035160C">
        <w:t>wdrożenie na szeroką skalę zautomatyzowanej mobilności;</w:t>
      </w:r>
    </w:p>
    <w:p w14:paraId="6F2FC0B8" w14:textId="129E3205" w:rsidR="00E212F5" w:rsidRPr="0035160C" w:rsidRDefault="00E212F5" w:rsidP="00CA3BB7">
      <w:pPr>
        <w:numPr>
          <w:ilvl w:val="0"/>
          <w:numId w:val="35"/>
        </w:numPr>
        <w:spacing w:after="120"/>
        <w:ind w:left="714" w:hanging="357"/>
        <w:jc w:val="both"/>
      </w:pPr>
      <w:r w:rsidRPr="0035160C">
        <w:t>przygotowanie bezemisyjnych statków do wprowadzenia na rynek;</w:t>
      </w:r>
    </w:p>
    <w:p w14:paraId="160133A7" w14:textId="77777777" w:rsidR="00E212F5" w:rsidRPr="0035160C" w:rsidRDefault="00E212F5" w:rsidP="00CA3BB7">
      <w:pPr>
        <w:numPr>
          <w:ilvl w:val="0"/>
          <w:numId w:val="33"/>
        </w:numPr>
        <w:jc w:val="both"/>
      </w:pPr>
      <w:r w:rsidRPr="002C38C8">
        <w:rPr>
          <w:b/>
          <w:bCs/>
          <w:color w:val="2F5496" w:themeColor="accent1" w:themeShade="BF"/>
        </w:rPr>
        <w:t>do 2035 r.</w:t>
      </w:r>
      <w:r w:rsidRPr="002C38C8">
        <w:rPr>
          <w:color w:val="2F5496" w:themeColor="accent1" w:themeShade="BF"/>
        </w:rPr>
        <w:t xml:space="preserve"> </w:t>
      </w:r>
      <w:r w:rsidRPr="0035160C">
        <w:t>- przygotowanie bezemisyjnych dużych statków powietrznych do wprowadzenia na rynek;</w:t>
      </w:r>
    </w:p>
    <w:p w14:paraId="47275B38" w14:textId="77777777" w:rsidR="00E212F5" w:rsidRPr="002C38C8" w:rsidRDefault="00E212F5" w:rsidP="00CA3BB7">
      <w:pPr>
        <w:numPr>
          <w:ilvl w:val="0"/>
          <w:numId w:val="33"/>
        </w:numPr>
        <w:jc w:val="both"/>
        <w:rPr>
          <w:b/>
          <w:bCs/>
          <w:color w:val="2F5496" w:themeColor="accent1" w:themeShade="BF"/>
        </w:rPr>
      </w:pPr>
      <w:r w:rsidRPr="002C38C8">
        <w:rPr>
          <w:b/>
          <w:bCs/>
          <w:color w:val="2F5496" w:themeColor="accent1" w:themeShade="BF"/>
        </w:rPr>
        <w:t>do 2050 r.:</w:t>
      </w:r>
    </w:p>
    <w:p w14:paraId="4BE34D1C" w14:textId="77777777" w:rsidR="00E212F5" w:rsidRPr="0035160C" w:rsidRDefault="00E212F5" w:rsidP="00CA3BB7">
      <w:pPr>
        <w:numPr>
          <w:ilvl w:val="0"/>
          <w:numId w:val="36"/>
        </w:numPr>
        <w:spacing w:after="0"/>
        <w:ind w:left="714" w:hanging="357"/>
        <w:jc w:val="both"/>
      </w:pPr>
      <w:r w:rsidRPr="0035160C">
        <w:t>niemal wszystkie samochody osobowe, samochody dostawcze, autobusy oraz nowe pojazdy ciężkie będą bezemisyjne;</w:t>
      </w:r>
    </w:p>
    <w:p w14:paraId="6A11F5E0" w14:textId="77777777" w:rsidR="00E212F5" w:rsidRPr="0035160C" w:rsidRDefault="00E212F5" w:rsidP="00CA3BB7">
      <w:pPr>
        <w:numPr>
          <w:ilvl w:val="0"/>
          <w:numId w:val="36"/>
        </w:numPr>
        <w:spacing w:after="0"/>
        <w:ind w:left="714" w:hanging="357"/>
        <w:jc w:val="both"/>
      </w:pPr>
      <w:r w:rsidRPr="0035160C">
        <w:t>dwukrotnie zwiększy się ruch, jeżeli chodzi o kolejowe przewozy towarowe;</w:t>
      </w:r>
    </w:p>
    <w:p w14:paraId="4E126FE3" w14:textId="77777777" w:rsidR="00E212F5" w:rsidRPr="0035160C" w:rsidRDefault="00E212F5" w:rsidP="00CA3BB7">
      <w:pPr>
        <w:numPr>
          <w:ilvl w:val="0"/>
          <w:numId w:val="36"/>
        </w:numPr>
        <w:spacing w:after="0"/>
        <w:ind w:left="714" w:hanging="357"/>
        <w:jc w:val="both"/>
      </w:pPr>
      <w:r w:rsidRPr="0035160C">
        <w:t>trzykrotnie zwiększy się ruch kolei dużych prędkości;</w:t>
      </w:r>
    </w:p>
    <w:p w14:paraId="2804AA9D" w14:textId="7C18E781" w:rsidR="00E212F5" w:rsidRPr="0035160C" w:rsidRDefault="00E212F5" w:rsidP="00CA3BB7">
      <w:pPr>
        <w:numPr>
          <w:ilvl w:val="0"/>
          <w:numId w:val="36"/>
        </w:numPr>
        <w:spacing w:after="120"/>
        <w:ind w:left="714" w:hanging="357"/>
        <w:jc w:val="both"/>
      </w:pPr>
      <w:r w:rsidRPr="0035160C">
        <w:t>multimodalna transeuropejska sieć transportowa (TEN-T) wyposażona na potrzeby zrównoważonego i inteligentnego transportu zapewniającego szybkie połączenia będzie działać w ramach sieci kompleksowej.</w:t>
      </w:r>
    </w:p>
    <w:p w14:paraId="561201AE" w14:textId="63D94AFC" w:rsidR="00E212F5" w:rsidRPr="002C38C8" w:rsidRDefault="00E212F5" w:rsidP="00CA3BB7">
      <w:pPr>
        <w:numPr>
          <w:ilvl w:val="0"/>
          <w:numId w:val="34"/>
        </w:numPr>
        <w:jc w:val="both"/>
        <w:rPr>
          <w:b/>
          <w:bCs/>
          <w:color w:val="2F5496" w:themeColor="accent1" w:themeShade="BF"/>
        </w:rPr>
      </w:pPr>
      <w:r w:rsidRPr="002C38C8">
        <w:rPr>
          <w:b/>
          <w:bCs/>
          <w:color w:val="2F5496" w:themeColor="accent1" w:themeShade="BF"/>
        </w:rPr>
        <w:t>Pakie</w:t>
      </w:r>
      <w:r w:rsidR="00547FE4">
        <w:rPr>
          <w:b/>
          <w:bCs/>
          <w:color w:val="2F5496" w:themeColor="accent1" w:themeShade="BF"/>
        </w:rPr>
        <w:t>cie</w:t>
      </w:r>
      <w:r w:rsidRPr="002C38C8">
        <w:rPr>
          <w:b/>
          <w:bCs/>
          <w:color w:val="2F5496" w:themeColor="accent1" w:themeShade="BF"/>
        </w:rPr>
        <w:t xml:space="preserve"> „fit for 55”:</w:t>
      </w:r>
    </w:p>
    <w:p w14:paraId="0BD75657" w14:textId="77777777" w:rsidR="00E212F5" w:rsidRPr="0035160C" w:rsidRDefault="00E212F5" w:rsidP="00E212F5">
      <w:pPr>
        <w:jc w:val="both"/>
        <w:rPr>
          <w:i/>
        </w:rPr>
      </w:pPr>
      <w:r w:rsidRPr="0035160C">
        <w:t>Pakiet legislacyjny UE dostosowujący wybrane obszary regulacji do nowego celu redukcji emisji gazów cieplarnianych o 55% do 2030 r.</w:t>
      </w:r>
      <w:r w:rsidRPr="0035160C">
        <w:rPr>
          <w:i/>
        </w:rPr>
        <w:t xml:space="preserve"> </w:t>
      </w:r>
    </w:p>
    <w:p w14:paraId="5F18112F" w14:textId="77777777" w:rsidR="00E212F5" w:rsidRPr="0035160C" w:rsidRDefault="00E212F5" w:rsidP="00E212F5">
      <w:pPr>
        <w:jc w:val="both"/>
        <w:rPr>
          <w:iCs/>
        </w:rPr>
      </w:pPr>
      <w:r w:rsidRPr="0035160C">
        <w:rPr>
          <w:iCs/>
        </w:rPr>
        <w:lastRenderedPageBreak/>
        <w:t>W ramach pakietu planowane jest przedstawienie także projektów związanych z czystym transportem – mające wpływ na ograniczenie emisji z sektora transportu:</w:t>
      </w:r>
    </w:p>
    <w:p w14:paraId="39582026" w14:textId="77777777" w:rsidR="00E212F5" w:rsidRPr="0035160C" w:rsidRDefault="00E212F5" w:rsidP="00CA3BB7">
      <w:pPr>
        <w:numPr>
          <w:ilvl w:val="3"/>
          <w:numId w:val="37"/>
        </w:numPr>
        <w:ind w:left="426" w:hanging="284"/>
        <w:jc w:val="both"/>
      </w:pPr>
      <w:r w:rsidRPr="0035160C">
        <w:t xml:space="preserve">Rewizja rozporządzenia PE i Rady (UE) 2019/631 ustanawiającego </w:t>
      </w:r>
      <w:r w:rsidRPr="002C38C8">
        <w:rPr>
          <w:b/>
          <w:bCs/>
          <w:color w:val="2F5496" w:themeColor="accent1" w:themeShade="BF"/>
        </w:rPr>
        <w:t>standardy emisyjne CO</w:t>
      </w:r>
      <w:r w:rsidRPr="00DD0E4C">
        <w:rPr>
          <w:b/>
          <w:bCs/>
          <w:color w:val="2F5496" w:themeColor="accent1" w:themeShade="BF"/>
          <w:vertAlign w:val="subscript"/>
        </w:rPr>
        <w:t>2</w:t>
      </w:r>
      <w:r w:rsidRPr="002C38C8">
        <w:rPr>
          <w:b/>
          <w:bCs/>
          <w:color w:val="2F5496" w:themeColor="accent1" w:themeShade="BF"/>
        </w:rPr>
        <w:t xml:space="preserve"> dla nowych samochodów osobowych i nowych lekkich pojazdów użytkowych</w:t>
      </w:r>
      <w:r w:rsidRPr="002C38C8">
        <w:rPr>
          <w:color w:val="2F5496" w:themeColor="accent1" w:themeShade="BF"/>
        </w:rPr>
        <w:t xml:space="preserve"> </w:t>
      </w:r>
      <w:r w:rsidRPr="0035160C">
        <w:t>(IV kw. 2021)</w:t>
      </w:r>
    </w:p>
    <w:p w14:paraId="04D6371D" w14:textId="1A9ADDD3" w:rsidR="00E212F5" w:rsidRPr="0035160C" w:rsidRDefault="00E212F5" w:rsidP="00CA3BB7">
      <w:pPr>
        <w:numPr>
          <w:ilvl w:val="3"/>
          <w:numId w:val="37"/>
        </w:numPr>
        <w:ind w:left="426" w:hanging="284"/>
        <w:jc w:val="both"/>
      </w:pPr>
      <w:r w:rsidRPr="0035160C">
        <w:t xml:space="preserve">Rewizja dyrektywy 2014/94 </w:t>
      </w:r>
      <w:r w:rsidRPr="002C38C8">
        <w:rPr>
          <w:b/>
          <w:bCs/>
          <w:color w:val="2F5496" w:themeColor="accent1" w:themeShade="BF"/>
        </w:rPr>
        <w:t>w sprawie rozwoju infrastruktury paliw alternatywnych</w:t>
      </w:r>
      <w:r w:rsidRPr="002C38C8">
        <w:rPr>
          <w:color w:val="2F5496" w:themeColor="accent1" w:themeShade="BF"/>
        </w:rPr>
        <w:t xml:space="preserve"> </w:t>
      </w:r>
      <w:r w:rsidRPr="0035160C">
        <w:t>(IV kw. 2021)</w:t>
      </w:r>
    </w:p>
    <w:p w14:paraId="290CF6D4" w14:textId="4FB50B81" w:rsidR="00E212F5" w:rsidRPr="0035160C" w:rsidRDefault="00E212F5" w:rsidP="00CA3BB7">
      <w:pPr>
        <w:numPr>
          <w:ilvl w:val="3"/>
          <w:numId w:val="37"/>
        </w:numPr>
        <w:ind w:left="426" w:hanging="284"/>
        <w:jc w:val="both"/>
      </w:pPr>
      <w:r w:rsidRPr="0060643E">
        <w:rPr>
          <w:b/>
          <w:bCs/>
          <w:color w:val="2F5496" w:themeColor="accent1" w:themeShade="BF"/>
        </w:rPr>
        <w:t>Zmiana dyrektywy w sprawie</w:t>
      </w:r>
      <w:r w:rsidRPr="0060643E">
        <w:rPr>
          <w:color w:val="2F5496" w:themeColor="accent1" w:themeShade="BF"/>
        </w:rPr>
        <w:t xml:space="preserve"> </w:t>
      </w:r>
      <w:r w:rsidRPr="002C38C8">
        <w:rPr>
          <w:b/>
          <w:color w:val="2F5496" w:themeColor="accent1" w:themeShade="BF"/>
        </w:rPr>
        <w:t>odnawialnych źródeł energii</w:t>
      </w:r>
      <w:r w:rsidRPr="002C38C8">
        <w:rPr>
          <w:color w:val="2F5496" w:themeColor="accent1" w:themeShade="BF"/>
        </w:rPr>
        <w:t xml:space="preserve"> </w:t>
      </w:r>
      <w:r w:rsidRPr="0035160C">
        <w:t>w celu realizacji nowego celu klimatycznego na 2030 r. (14.07.2021)</w:t>
      </w:r>
      <w:r w:rsidR="0093559E">
        <w:rPr>
          <w:b/>
        </w:rPr>
        <w:t xml:space="preserve"> </w:t>
      </w:r>
      <w:r w:rsidR="0036637B">
        <w:rPr>
          <w:b/>
        </w:rPr>
        <w:t>–</w:t>
      </w:r>
      <w:r w:rsidR="0093559E">
        <w:rPr>
          <w:b/>
        </w:rPr>
        <w:t xml:space="preserve"> </w:t>
      </w:r>
      <w:r w:rsidR="0036637B">
        <w:rPr>
          <w:b/>
        </w:rPr>
        <w:t xml:space="preserve">należy przypuszczać, że w trakcie zmiany </w:t>
      </w:r>
      <w:r w:rsidR="0093559E">
        <w:rPr>
          <w:bCs/>
        </w:rPr>
        <w:t xml:space="preserve">dyrektywy </w:t>
      </w:r>
      <w:r w:rsidR="0093559E" w:rsidRPr="0060643E">
        <w:rPr>
          <w:bCs/>
        </w:rPr>
        <w:t>REDII</w:t>
      </w:r>
      <w:r w:rsidR="0036637B">
        <w:rPr>
          <w:bCs/>
        </w:rPr>
        <w:t xml:space="preserve">, </w:t>
      </w:r>
      <w:r w:rsidR="0093559E" w:rsidRPr="0060643E">
        <w:rPr>
          <w:bCs/>
        </w:rPr>
        <w:t xml:space="preserve">zmieniona </w:t>
      </w:r>
      <w:r w:rsidR="0036637B">
        <w:rPr>
          <w:bCs/>
        </w:rPr>
        <w:t xml:space="preserve">zostanie </w:t>
      </w:r>
      <w:r w:rsidR="0093559E" w:rsidRPr="0060643E">
        <w:rPr>
          <w:bCs/>
        </w:rPr>
        <w:t>także dyrektywa 98/70/UE i uchylona dyrektywa 2015/652</w:t>
      </w:r>
      <w:r w:rsidR="0093559E">
        <w:rPr>
          <w:bCs/>
        </w:rPr>
        <w:t>,</w:t>
      </w:r>
    </w:p>
    <w:p w14:paraId="7165EBB2" w14:textId="6F873245" w:rsidR="00E212F5" w:rsidRPr="0035160C" w:rsidRDefault="00E212F5" w:rsidP="00CA3BB7">
      <w:pPr>
        <w:numPr>
          <w:ilvl w:val="3"/>
          <w:numId w:val="37"/>
        </w:numPr>
        <w:ind w:left="426" w:hanging="284"/>
        <w:jc w:val="both"/>
      </w:pPr>
      <w:r w:rsidRPr="002C38C8">
        <w:rPr>
          <w:b/>
          <w:color w:val="2F5496" w:themeColor="accent1" w:themeShade="BF"/>
        </w:rPr>
        <w:t>Rewizja unijnego systemu handlu uprawnieniami do emisji (ETS),</w:t>
      </w:r>
      <w:r w:rsidRPr="0035160C">
        <w:t xml:space="preserve"> łącznie z transportem morskim, lotnictwem (z uwzględnieniem CORSIA) oraz propozycją aby ETS stał się zasobem własnym (14.07.2021)</w:t>
      </w:r>
    </w:p>
    <w:p w14:paraId="73FE0AEF" w14:textId="3C858ED7" w:rsidR="00E212F5" w:rsidRPr="0035160C" w:rsidRDefault="00E212F5" w:rsidP="00CA3BB7">
      <w:pPr>
        <w:numPr>
          <w:ilvl w:val="3"/>
          <w:numId w:val="37"/>
        </w:numPr>
        <w:ind w:left="426" w:hanging="284"/>
        <w:jc w:val="both"/>
      </w:pPr>
      <w:r w:rsidRPr="0035160C">
        <w:t xml:space="preserve">Rewizja Dyrektywy 2003/96/WE </w:t>
      </w:r>
      <w:r w:rsidRPr="002C38C8">
        <w:rPr>
          <w:b/>
          <w:bCs/>
          <w:color w:val="2F5496" w:themeColor="accent1" w:themeShade="BF"/>
        </w:rPr>
        <w:t>w sprawie opodatkowania wyrobów energetycznych oraz energii elektrycznej</w:t>
      </w:r>
      <w:r w:rsidRPr="0035160C">
        <w:t xml:space="preserve"> (14.07.2021)</w:t>
      </w:r>
    </w:p>
    <w:p w14:paraId="73F66563" w14:textId="221E8F46" w:rsidR="00E212F5" w:rsidRPr="002C38C8" w:rsidRDefault="00E212F5" w:rsidP="00CA3BB7">
      <w:pPr>
        <w:numPr>
          <w:ilvl w:val="0"/>
          <w:numId w:val="34"/>
        </w:numPr>
        <w:jc w:val="both"/>
        <w:rPr>
          <w:b/>
          <w:bCs/>
          <w:color w:val="2F5496" w:themeColor="accent1" w:themeShade="BF"/>
        </w:rPr>
      </w:pPr>
      <w:r w:rsidRPr="002C38C8">
        <w:rPr>
          <w:b/>
          <w:bCs/>
          <w:color w:val="2F5496" w:themeColor="accent1" w:themeShade="BF"/>
        </w:rPr>
        <w:t>K</w:t>
      </w:r>
      <w:r w:rsidR="00266F41" w:rsidRPr="002C38C8">
        <w:rPr>
          <w:b/>
          <w:bCs/>
          <w:color w:val="2F5496" w:themeColor="accent1" w:themeShade="BF"/>
        </w:rPr>
        <w:t>omunika</w:t>
      </w:r>
      <w:r w:rsidR="00547FE4">
        <w:rPr>
          <w:b/>
          <w:bCs/>
          <w:color w:val="2F5496" w:themeColor="accent1" w:themeShade="BF"/>
        </w:rPr>
        <w:t>cie</w:t>
      </w:r>
      <w:r w:rsidRPr="002C38C8">
        <w:rPr>
          <w:b/>
          <w:bCs/>
          <w:color w:val="2F5496" w:themeColor="accent1" w:themeShade="BF"/>
        </w:rPr>
        <w:t xml:space="preserve"> K</w:t>
      </w:r>
      <w:r w:rsidR="00266F41" w:rsidRPr="002C38C8">
        <w:rPr>
          <w:b/>
          <w:bCs/>
          <w:color w:val="2F5496" w:themeColor="accent1" w:themeShade="BF"/>
        </w:rPr>
        <w:t>omisji</w:t>
      </w:r>
      <w:r w:rsidRPr="002C38C8">
        <w:rPr>
          <w:b/>
          <w:bCs/>
          <w:color w:val="2F5496" w:themeColor="accent1" w:themeShade="BF"/>
        </w:rPr>
        <w:t xml:space="preserve"> </w:t>
      </w:r>
      <w:r w:rsidR="00547FE4">
        <w:rPr>
          <w:b/>
          <w:bCs/>
          <w:color w:val="2F5496" w:themeColor="accent1" w:themeShade="BF"/>
        </w:rPr>
        <w:t xml:space="preserve">- </w:t>
      </w:r>
      <w:r w:rsidRPr="002C38C8">
        <w:rPr>
          <w:b/>
          <w:bCs/>
          <w:color w:val="2F5496" w:themeColor="accent1" w:themeShade="BF"/>
        </w:rPr>
        <w:t>Roczna strategia zrównoważonego wzrostu gospodarczego na rok 2021 COM(2020)575 final</w:t>
      </w:r>
    </w:p>
    <w:p w14:paraId="4E9C7CD4" w14:textId="77777777" w:rsidR="00E212F5" w:rsidRPr="0035160C" w:rsidRDefault="00E212F5" w:rsidP="00D375AE">
      <w:pPr>
        <w:spacing w:after="0"/>
        <w:jc w:val="both"/>
      </w:pPr>
      <w:r w:rsidRPr="0035160C">
        <w:t>Założenia dokumentu obejmują inwestowanie w mobilność zgodnie z zasadami zrównoważonego rozwoju, które przyczynią się do znacznej redukcji wielkości emisji gazów cieplarnianych i poprawy jakości powietrza. Wspierane powinny być inwestycje w zakresie:</w:t>
      </w:r>
    </w:p>
    <w:p w14:paraId="646DA037" w14:textId="096B2F39" w:rsidR="00E212F5" w:rsidRPr="0035160C" w:rsidRDefault="00E212F5" w:rsidP="00DD0E4C">
      <w:pPr>
        <w:pStyle w:val="Akapitzlist"/>
        <w:numPr>
          <w:ilvl w:val="0"/>
          <w:numId w:val="84"/>
        </w:numPr>
        <w:spacing w:after="0"/>
        <w:jc w:val="both"/>
      </w:pPr>
      <w:r w:rsidRPr="0035160C">
        <w:t>modernizacji transeuropejskich sieci transportowych dla pasażerów i towarów,</w:t>
      </w:r>
    </w:p>
    <w:p w14:paraId="5CA83798" w14:textId="6FFF596C" w:rsidR="00E212F5" w:rsidRPr="0035160C" w:rsidRDefault="00E212F5" w:rsidP="00DD0E4C">
      <w:pPr>
        <w:pStyle w:val="Akapitzlist"/>
        <w:numPr>
          <w:ilvl w:val="0"/>
          <w:numId w:val="84"/>
        </w:numPr>
        <w:spacing w:after="0"/>
        <w:jc w:val="both"/>
      </w:pPr>
      <w:r w:rsidRPr="0035160C">
        <w:t>zwiększenie popytu na pojazdy bezemisyjne i niskoemisyjne,</w:t>
      </w:r>
    </w:p>
    <w:p w14:paraId="3C69A559" w14:textId="32167B85" w:rsidR="00E212F5" w:rsidRPr="0035160C" w:rsidRDefault="00E212F5" w:rsidP="00DD0E4C">
      <w:pPr>
        <w:pStyle w:val="Akapitzlist"/>
        <w:numPr>
          <w:ilvl w:val="0"/>
          <w:numId w:val="84"/>
        </w:numPr>
        <w:spacing w:after="0"/>
        <w:jc w:val="both"/>
      </w:pPr>
      <w:r w:rsidRPr="0035160C">
        <w:t>przyspieszenie rozwoju infrastruktury ładowania i tankowania paliwa</w:t>
      </w:r>
      <w:r w:rsidR="00266F41" w:rsidRPr="0035160C">
        <w:t>,</w:t>
      </w:r>
    </w:p>
    <w:p w14:paraId="61437217" w14:textId="061DFFD4" w:rsidR="00E212F5" w:rsidRPr="0035160C" w:rsidRDefault="00E212F5" w:rsidP="00DD0E4C">
      <w:pPr>
        <w:pStyle w:val="Akapitzlist"/>
        <w:numPr>
          <w:ilvl w:val="0"/>
          <w:numId w:val="84"/>
        </w:numPr>
        <w:spacing w:after="0"/>
        <w:jc w:val="both"/>
      </w:pPr>
      <w:r w:rsidRPr="0035160C">
        <w:t xml:space="preserve">inwestycje w niskoemisyjne technologie energetyczne i łańcuchy wartości, w tym w technologie wodorowe lub baterie oraz w zrównoważoną infrastrukturę energetyczną. </w:t>
      </w:r>
    </w:p>
    <w:p w14:paraId="737CD909" w14:textId="77777777" w:rsidR="00E212F5" w:rsidRPr="002C38C8" w:rsidRDefault="00E212F5" w:rsidP="00CA3BB7">
      <w:pPr>
        <w:numPr>
          <w:ilvl w:val="0"/>
          <w:numId w:val="33"/>
        </w:numPr>
        <w:jc w:val="both"/>
        <w:rPr>
          <w:b/>
          <w:bCs/>
          <w:i/>
          <w:iCs/>
          <w:color w:val="2F5496" w:themeColor="accent1" w:themeShade="BF"/>
        </w:rPr>
      </w:pPr>
      <w:r w:rsidRPr="002C38C8">
        <w:rPr>
          <w:b/>
          <w:bCs/>
          <w:i/>
          <w:iCs/>
          <w:color w:val="2F5496" w:themeColor="accent1" w:themeShade="BF"/>
        </w:rPr>
        <w:t>na poziomie krajowym:</w:t>
      </w:r>
    </w:p>
    <w:p w14:paraId="179F11B4" w14:textId="453B613A" w:rsidR="00E212F5" w:rsidRPr="002C38C8" w:rsidRDefault="00547FE4" w:rsidP="00CA3BB7">
      <w:pPr>
        <w:numPr>
          <w:ilvl w:val="0"/>
          <w:numId w:val="38"/>
        </w:numPr>
        <w:jc w:val="both"/>
        <w:rPr>
          <w:color w:val="2F5496" w:themeColor="accent1" w:themeShade="BF"/>
        </w:rPr>
      </w:pPr>
      <w:r>
        <w:rPr>
          <w:b/>
          <w:bCs/>
          <w:color w:val="2F5496" w:themeColor="accent1" w:themeShade="BF"/>
        </w:rPr>
        <w:t>PEP2040</w:t>
      </w:r>
    </w:p>
    <w:p w14:paraId="4C76DB5D" w14:textId="332BA4CE" w:rsidR="00E212F5" w:rsidRPr="0035160C" w:rsidRDefault="00E212F5" w:rsidP="00E212F5">
      <w:pPr>
        <w:jc w:val="both"/>
        <w:rPr>
          <w:i/>
          <w:iCs/>
        </w:rPr>
      </w:pPr>
      <w:r w:rsidRPr="0035160C">
        <w:t>Głównym celem PEP2040 jest zapewnienie bezpieczeństwa energetycznego kraju, przy zapewnieniu konkurencyjności gospodarki, efektywności energetycznej i zmniejszenia oddziaływania sektora energii na środowisko, przy jednoczesnym optymalnym wykorzystaniu własnych zasobów energetycznych.</w:t>
      </w:r>
    </w:p>
    <w:p w14:paraId="06CA68BD" w14:textId="77777777" w:rsidR="00E212F5" w:rsidRPr="0035160C" w:rsidRDefault="00E212F5" w:rsidP="00266F41">
      <w:pPr>
        <w:spacing w:after="0"/>
        <w:jc w:val="both"/>
        <w:rPr>
          <w:bCs/>
        </w:rPr>
      </w:pPr>
      <w:r w:rsidRPr="0035160C">
        <w:t xml:space="preserve">Kluczowe elementy PEP2040 zakładają wzrost </w:t>
      </w:r>
      <w:r w:rsidRPr="0035160C">
        <w:rPr>
          <w:bCs/>
        </w:rPr>
        <w:t>udziału OZE</w:t>
      </w:r>
      <w:r w:rsidRPr="0035160C">
        <w:t xml:space="preserve"> we wszystkich sektorach i technologiach, w tym również w sektorze transportu. W 2030 r. udział OZE w końcowym zużyciu energii brutto </w:t>
      </w:r>
      <w:r w:rsidRPr="0035160C">
        <w:rPr>
          <w:bCs/>
        </w:rPr>
        <w:t>wyniesie co najmniej 23% oraz:</w:t>
      </w:r>
    </w:p>
    <w:p w14:paraId="1E20C7FF" w14:textId="2C5E38BF" w:rsidR="00E212F5" w:rsidRPr="0035160C" w:rsidRDefault="00E212F5" w:rsidP="00DD0E4C">
      <w:pPr>
        <w:pStyle w:val="Akapitzlist"/>
        <w:numPr>
          <w:ilvl w:val="0"/>
          <w:numId w:val="85"/>
        </w:numPr>
        <w:spacing w:after="0"/>
        <w:jc w:val="both"/>
      </w:pPr>
      <w:r w:rsidRPr="0035160C">
        <w:t>nie mniej niż 32% w elektroenergetyce (głównie en. wiatrowa i PV),</w:t>
      </w:r>
    </w:p>
    <w:p w14:paraId="6AA530FD" w14:textId="35B3BCEC" w:rsidR="00E212F5" w:rsidRPr="0035160C" w:rsidRDefault="00E212F5" w:rsidP="00DD0E4C">
      <w:pPr>
        <w:pStyle w:val="Akapitzlist"/>
        <w:numPr>
          <w:ilvl w:val="0"/>
          <w:numId w:val="85"/>
        </w:numPr>
        <w:spacing w:after="0"/>
        <w:jc w:val="both"/>
      </w:pPr>
      <w:r w:rsidRPr="0035160C">
        <w:t>28% w ciepłownictwie (wzrost 1,1 pp. r/r),</w:t>
      </w:r>
    </w:p>
    <w:p w14:paraId="5E555252" w14:textId="4B6372CA" w:rsidR="00E212F5" w:rsidRPr="0035160C" w:rsidRDefault="00E212F5" w:rsidP="00DD0E4C">
      <w:pPr>
        <w:pStyle w:val="Akapitzlist"/>
        <w:numPr>
          <w:ilvl w:val="0"/>
          <w:numId w:val="85"/>
        </w:numPr>
        <w:spacing w:after="0"/>
        <w:jc w:val="both"/>
      </w:pPr>
      <w:r w:rsidRPr="0035160C">
        <w:t>14% w transporcie (z dużym wkładem elektromobilności).</w:t>
      </w:r>
    </w:p>
    <w:p w14:paraId="0A43E9A9" w14:textId="564EFD93" w:rsidR="00E212F5" w:rsidRDefault="00E212F5" w:rsidP="00E212F5">
      <w:pPr>
        <w:jc w:val="both"/>
      </w:pPr>
      <w:r w:rsidRPr="0035160C">
        <w:t>Dodatkowo w ramach działań ukierunkowanych na poprawę jakości powietrza zakłada się rozwój transportu zero i niskoemisyjnego, w szczególności dążenie do zeroemisyjnej komunikacji publicznej do 2030 r.</w:t>
      </w:r>
      <w:r w:rsidRPr="0035160C">
        <w:rPr>
          <w:b/>
        </w:rPr>
        <w:t xml:space="preserve"> </w:t>
      </w:r>
      <w:r w:rsidRPr="0035160C">
        <w:t>w miastach pow. 100 tys. mieszkańców. Zakłada się również rozwój technologii energetycznych i inwestycje w sektor badań i rozwoju obejmujący m.in. technologie magazynowania energii, elektromobilność i paliwa alternatywne oraz technologie wodorowe.</w:t>
      </w:r>
    </w:p>
    <w:p w14:paraId="6A67B203" w14:textId="77777777" w:rsidR="00E212F5" w:rsidRPr="002C38C8" w:rsidRDefault="00E212F5" w:rsidP="00E212F5">
      <w:pPr>
        <w:jc w:val="both"/>
        <w:rPr>
          <w:color w:val="2F5496" w:themeColor="accent1" w:themeShade="BF"/>
        </w:rPr>
      </w:pPr>
      <w:r w:rsidRPr="002C38C8">
        <w:rPr>
          <w:b/>
          <w:bCs/>
          <w:color w:val="2F5496" w:themeColor="accent1" w:themeShade="BF"/>
        </w:rPr>
        <w:lastRenderedPageBreak/>
        <w:t>W ramach celów PEP2040 przyjęto, iż</w:t>
      </w:r>
      <w:r w:rsidRPr="002C38C8">
        <w:rPr>
          <w:color w:val="2F5496" w:themeColor="accent1" w:themeShade="BF"/>
        </w:rPr>
        <w:t>:</w:t>
      </w:r>
    </w:p>
    <w:p w14:paraId="27251115" w14:textId="7B674AFD" w:rsidR="00E212F5" w:rsidRPr="0035160C" w:rsidRDefault="00E212F5" w:rsidP="00DD0E4C">
      <w:pPr>
        <w:pStyle w:val="Akapitzlist"/>
        <w:numPr>
          <w:ilvl w:val="0"/>
          <w:numId w:val="86"/>
        </w:numPr>
        <w:jc w:val="both"/>
      </w:pPr>
      <w:r w:rsidRPr="0035160C">
        <w:t>część popytu na ropę i gaz ziemny zostanie zmniejszony poprzez wzrost znaczenia biopaliw i paliw alternatywnych (m.in. energia elektryczna, biometan, wodór),</w:t>
      </w:r>
    </w:p>
    <w:p w14:paraId="540D0CFF" w14:textId="014C780E" w:rsidR="00E212F5" w:rsidRPr="0035160C" w:rsidRDefault="00E212F5" w:rsidP="00DD0E4C">
      <w:pPr>
        <w:pStyle w:val="Akapitzlist"/>
        <w:numPr>
          <w:ilvl w:val="0"/>
          <w:numId w:val="86"/>
        </w:numPr>
        <w:jc w:val="both"/>
      </w:pPr>
      <w:r w:rsidRPr="0035160C">
        <w:t xml:space="preserve">część popytu na produkty naftowe zostanie pokryta przez większe wykorzystanie biokomponentów oraz paliw alternatywnych (LNG, CNG, biometan, wodór, paliwa syntetyczne) i rozwój elektromobilności, </w:t>
      </w:r>
    </w:p>
    <w:p w14:paraId="13B87F96" w14:textId="248C2D0E" w:rsidR="00E212F5" w:rsidRPr="0035160C" w:rsidRDefault="00E212F5" w:rsidP="00DD0E4C">
      <w:pPr>
        <w:pStyle w:val="Akapitzlist"/>
        <w:numPr>
          <w:ilvl w:val="0"/>
          <w:numId w:val="86"/>
        </w:numPr>
        <w:jc w:val="both"/>
      </w:pPr>
      <w:r w:rsidRPr="0035160C">
        <w:t>wzrost udziału OZE oraz rozwój technologii wodorowych przy jednoczesnym rozwoju łańcucha wartości gospodarki wodorowej, który będzie stanowić narzędzie dekarbonizacji transportu i przemysłu,</w:t>
      </w:r>
    </w:p>
    <w:p w14:paraId="28035504" w14:textId="30A93A8B" w:rsidR="00E212F5" w:rsidRPr="0035160C" w:rsidRDefault="00E212F5" w:rsidP="00DD0E4C">
      <w:pPr>
        <w:pStyle w:val="Akapitzlist"/>
        <w:numPr>
          <w:ilvl w:val="0"/>
          <w:numId w:val="86"/>
        </w:numPr>
        <w:jc w:val="both"/>
      </w:pPr>
      <w:r w:rsidRPr="0035160C">
        <w:t>konieczne jest zwiększenie wykorzystania biopaliw zaawansowanych i energii elektrycznej,</w:t>
      </w:r>
    </w:p>
    <w:p w14:paraId="37188DB0" w14:textId="6737B2C5" w:rsidR="00E212F5" w:rsidRPr="0035160C" w:rsidRDefault="00E212F5" w:rsidP="00DD0E4C">
      <w:pPr>
        <w:pStyle w:val="Akapitzlist"/>
        <w:numPr>
          <w:ilvl w:val="0"/>
          <w:numId w:val="86"/>
        </w:numPr>
        <w:jc w:val="both"/>
      </w:pPr>
      <w:r w:rsidRPr="0035160C">
        <w:t>na zmniejszenie wielkości emisji zanieczyszczeń powietrza z tego sektora oddziaływać będzie rozwój elektromobilności i wodoromobilności oraz szereg działań zaplanowanych do realizacji w ramach rozwoju rynku paliw alternatywnych.</w:t>
      </w:r>
    </w:p>
    <w:p w14:paraId="44007B65" w14:textId="77777777" w:rsidR="00E212F5" w:rsidRPr="002C38C8" w:rsidRDefault="00E212F5" w:rsidP="00CA3BB7">
      <w:pPr>
        <w:numPr>
          <w:ilvl w:val="0"/>
          <w:numId w:val="38"/>
        </w:numPr>
        <w:jc w:val="both"/>
        <w:rPr>
          <w:b/>
          <w:bCs/>
          <w:color w:val="2F5496" w:themeColor="accent1" w:themeShade="BF"/>
        </w:rPr>
      </w:pPr>
      <w:r w:rsidRPr="002C38C8">
        <w:rPr>
          <w:b/>
          <w:bCs/>
          <w:color w:val="2F5496" w:themeColor="accent1" w:themeShade="BF"/>
        </w:rPr>
        <w:t>Strategia Zrównoważonego Rozwoju Transportu do roku 2030 - ograniczenie negatywnego wpływu transportu na środowisko</w:t>
      </w:r>
    </w:p>
    <w:p w14:paraId="618A9F17" w14:textId="5ED22C52" w:rsidR="00E212F5" w:rsidRPr="0035160C" w:rsidRDefault="00E212F5" w:rsidP="00E212F5">
      <w:pPr>
        <w:jc w:val="both"/>
      </w:pPr>
      <w:r w:rsidRPr="0035160C">
        <w:t xml:space="preserve">Zgodnie z założeniami ww. Strategii, polski system transportowy będzie uwzględniał pojazdy o nowym rodzaju napędu, w tym samochody elektryczne oraz pojazdy napędzane innymi paliwami alternatywnymi, w tym LNG, CNG i ogniwami wodorowymi, a także bezzałogowe środki transportu. Realizacja szeregu działań ujętych w dokumencie przyczyni się w sposób pośredni </w:t>
      </w:r>
      <w:r w:rsidRPr="0035160C">
        <w:br/>
        <w:t xml:space="preserve">i bezpośredni do poprawy jakości powierza w kraju. </w:t>
      </w:r>
    </w:p>
    <w:p w14:paraId="1E06278C" w14:textId="649961AF" w:rsidR="00E212F5" w:rsidRPr="002C38C8" w:rsidRDefault="00E212F5" w:rsidP="00E212F5">
      <w:pPr>
        <w:jc w:val="both"/>
        <w:rPr>
          <w:b/>
          <w:bCs/>
          <w:color w:val="2F5496" w:themeColor="accent1" w:themeShade="BF"/>
        </w:rPr>
      </w:pPr>
      <w:r w:rsidRPr="002C38C8">
        <w:rPr>
          <w:b/>
          <w:bCs/>
          <w:color w:val="2F5496" w:themeColor="accent1" w:themeShade="BF"/>
        </w:rPr>
        <w:t>Wśród wskaźników realizacji Strategii przyjęto</w:t>
      </w:r>
      <w:r w:rsidR="00547FE4">
        <w:rPr>
          <w:b/>
          <w:bCs/>
          <w:color w:val="2F5496" w:themeColor="accent1" w:themeShade="BF"/>
        </w:rPr>
        <w:t>, że</w:t>
      </w:r>
      <w:r w:rsidRPr="002C38C8">
        <w:rPr>
          <w:b/>
          <w:bCs/>
          <w:color w:val="2F5496" w:themeColor="accent1" w:themeShade="BF"/>
        </w:rPr>
        <w:t>:</w:t>
      </w:r>
    </w:p>
    <w:p w14:paraId="6D27F8CD" w14:textId="3FFB3030" w:rsidR="00E212F5" w:rsidRPr="00DD0E4C" w:rsidRDefault="00E212F5" w:rsidP="00DD0E4C">
      <w:pPr>
        <w:pStyle w:val="Akapitzlist"/>
        <w:numPr>
          <w:ilvl w:val="0"/>
          <w:numId w:val="87"/>
        </w:numPr>
        <w:jc w:val="both"/>
        <w:rPr>
          <w:b/>
          <w:bCs/>
          <w:color w:val="2F5496" w:themeColor="accent1" w:themeShade="BF"/>
        </w:rPr>
      </w:pPr>
      <w:r w:rsidRPr="00DD0E4C">
        <w:rPr>
          <w:b/>
          <w:bCs/>
          <w:color w:val="2F5496" w:themeColor="accent1" w:themeShade="BF"/>
        </w:rPr>
        <w:t>udział autobusów na alternatywne paliwo w ogólnej liczbie autobusów służących do obsługi transportu miejskiego w 2030 r. wyniesie 16%;</w:t>
      </w:r>
    </w:p>
    <w:p w14:paraId="3180D399" w14:textId="22747895" w:rsidR="00E212F5" w:rsidRPr="00DD0E4C" w:rsidRDefault="00E212F5" w:rsidP="00DD0E4C">
      <w:pPr>
        <w:pStyle w:val="Akapitzlist"/>
        <w:numPr>
          <w:ilvl w:val="0"/>
          <w:numId w:val="87"/>
        </w:numPr>
        <w:jc w:val="both"/>
        <w:rPr>
          <w:b/>
          <w:bCs/>
          <w:color w:val="2F5496" w:themeColor="accent1" w:themeShade="BF"/>
        </w:rPr>
      </w:pPr>
      <w:r w:rsidRPr="00DD0E4C">
        <w:rPr>
          <w:b/>
          <w:bCs/>
          <w:color w:val="2F5496" w:themeColor="accent1" w:themeShade="BF"/>
        </w:rPr>
        <w:t xml:space="preserve">ograniczenie do 2030 r. wzrostu rocznego zużycia energii finalnej przez sektor transportu do poziomu maksymalnie +15 punktu procentowego (25,8 Mtoe) względem roku bazowego 2017; </w:t>
      </w:r>
    </w:p>
    <w:p w14:paraId="2CDAFF2F" w14:textId="6942A91E" w:rsidR="00E212F5" w:rsidRPr="00DD0E4C" w:rsidRDefault="00E212F5" w:rsidP="00DD0E4C">
      <w:pPr>
        <w:pStyle w:val="Akapitzlist"/>
        <w:numPr>
          <w:ilvl w:val="0"/>
          <w:numId w:val="87"/>
        </w:numPr>
        <w:jc w:val="both"/>
        <w:rPr>
          <w:b/>
          <w:bCs/>
          <w:color w:val="2F5496" w:themeColor="accent1" w:themeShade="BF"/>
        </w:rPr>
      </w:pPr>
      <w:r w:rsidRPr="00DD0E4C">
        <w:rPr>
          <w:b/>
          <w:bCs/>
          <w:color w:val="2F5496" w:themeColor="accent1" w:themeShade="BF"/>
        </w:rPr>
        <w:t>nieprzekroczenie w perspektywie do 2030 r. wielkość emisji gazów cieplarnianych (dwutlenek węgla, metan, podtlenek azotu) z transportu, do poziomu 53,11 Mt CO</w:t>
      </w:r>
      <w:r w:rsidRPr="00DD0E4C">
        <w:rPr>
          <w:b/>
          <w:bCs/>
          <w:color w:val="2F5496" w:themeColor="accent1" w:themeShade="BF"/>
          <w:vertAlign w:val="subscript"/>
        </w:rPr>
        <w:t>2</w:t>
      </w:r>
      <w:r w:rsidRPr="00DD0E4C">
        <w:rPr>
          <w:b/>
          <w:bCs/>
          <w:color w:val="2F5496" w:themeColor="accent1" w:themeShade="BF"/>
        </w:rPr>
        <w:t>eq wielkości rocznej emisji gazów cieplarnianych z sektora transportu.</w:t>
      </w:r>
    </w:p>
    <w:p w14:paraId="687C82AB" w14:textId="77777777" w:rsidR="00E212F5" w:rsidRPr="002C38C8" w:rsidRDefault="00E212F5" w:rsidP="00CA3BB7">
      <w:pPr>
        <w:numPr>
          <w:ilvl w:val="0"/>
          <w:numId w:val="38"/>
        </w:numPr>
        <w:jc w:val="both"/>
        <w:rPr>
          <w:b/>
          <w:bCs/>
          <w:color w:val="2F5496" w:themeColor="accent1" w:themeShade="BF"/>
        </w:rPr>
      </w:pPr>
      <w:r w:rsidRPr="002C38C8">
        <w:rPr>
          <w:b/>
          <w:bCs/>
          <w:color w:val="2F5496" w:themeColor="accent1" w:themeShade="BF"/>
        </w:rPr>
        <w:t>Krajowa Polityka Miejska 2023</w:t>
      </w:r>
      <w:r w:rsidRPr="002C38C8">
        <w:rPr>
          <w:b/>
          <w:bCs/>
          <w:color w:val="2F5496" w:themeColor="accent1" w:themeShade="BF"/>
          <w:vertAlign w:val="superscript"/>
        </w:rPr>
        <w:footnoteReference w:id="19"/>
      </w:r>
    </w:p>
    <w:p w14:paraId="0BADB6BC" w14:textId="649171E6" w:rsidR="00E212F5" w:rsidRPr="0035160C" w:rsidRDefault="00E212F5" w:rsidP="00E212F5">
      <w:pPr>
        <w:jc w:val="both"/>
      </w:pPr>
      <w:r w:rsidRPr="0035160C">
        <w:t xml:space="preserve">Działania z zakresu zmniejszania emisyjności sektora transportu drogowego w miastach zostały ujęte w głównej mierze w ramach Celu II Miasto zwarte i zrównoważone w Krajowej polityce miejskiej. </w:t>
      </w:r>
      <w:r w:rsidR="00266F41" w:rsidRPr="0035160C">
        <w:br/>
      </w:r>
      <w:r w:rsidRPr="0035160C">
        <w:t xml:space="preserve">W ramach wątków tematycznych </w:t>
      </w:r>
      <w:r w:rsidRPr="0035160C">
        <w:rPr>
          <w:i/>
          <w:iCs/>
        </w:rPr>
        <w:t>Transport i mobilność miejska</w:t>
      </w:r>
      <w:r w:rsidRPr="0035160C">
        <w:t xml:space="preserve"> oraz </w:t>
      </w:r>
      <w:r w:rsidRPr="0035160C">
        <w:rPr>
          <w:i/>
          <w:iCs/>
        </w:rPr>
        <w:t xml:space="preserve">Niskoemisyjność </w:t>
      </w:r>
      <w:r w:rsidRPr="0035160C">
        <w:rPr>
          <w:i/>
          <w:iCs/>
        </w:rPr>
        <w:br/>
        <w:t>i efektywność energetyczna</w:t>
      </w:r>
      <w:r w:rsidRPr="0035160C">
        <w:t xml:space="preserve">, a także </w:t>
      </w:r>
      <w:r w:rsidRPr="0035160C">
        <w:rPr>
          <w:i/>
          <w:iCs/>
        </w:rPr>
        <w:t>ochrona środowiska i adaptacja do zmian klimatu</w:t>
      </w:r>
      <w:r w:rsidRPr="0035160C">
        <w:t xml:space="preserve"> wskazano na konieczność wspierania zrównoważonych i efektywnych działań w sektorze transportu, zwłaszcza rozwijania efektywnych i niezawodnych sieci transportu w miejskich obszarach funkcjonalnych ze szczególnym naciskiem na upowszechnianie transportu zbiorowego oraz promowanie ruchu rowerowego i pieszego. Wśród ważnych zadań, które przyczynić się mogą do zmniejszenia zużycia energii i redukcji spalin wymienia się działania w</w:t>
      </w:r>
      <w:r w:rsidR="005E0AD9">
        <w:t xml:space="preserve"> </w:t>
      </w:r>
      <w:r w:rsidRPr="0035160C">
        <w:t xml:space="preserve">zakresie optymalizacji ruchu, politykę parkingową czy wspierania usług w zakresie logistyki miejskiej. </w:t>
      </w:r>
    </w:p>
    <w:p w14:paraId="22481142" w14:textId="77777777" w:rsidR="00E212F5" w:rsidRPr="0035160C" w:rsidRDefault="00E212F5" w:rsidP="00D375AE">
      <w:pPr>
        <w:spacing w:after="0"/>
        <w:jc w:val="both"/>
      </w:pPr>
      <w:r w:rsidRPr="0035160C">
        <w:lastRenderedPageBreak/>
        <w:t>W ramach Krajowej Polityki Miejskiej przyjęto realizację m.in. projektów w zakresie:</w:t>
      </w:r>
    </w:p>
    <w:p w14:paraId="41CAC4FA" w14:textId="3D5EDE8E" w:rsidR="00E212F5" w:rsidRPr="0035160C" w:rsidRDefault="00E212F5" w:rsidP="00DD0E4C">
      <w:pPr>
        <w:pStyle w:val="Akapitzlist"/>
        <w:numPr>
          <w:ilvl w:val="0"/>
          <w:numId w:val="88"/>
        </w:numPr>
        <w:spacing w:after="0"/>
        <w:jc w:val="both"/>
      </w:pPr>
      <w:r w:rsidRPr="0035160C">
        <w:t>wzmocnienia roli zintegrowanego węzła przesiadkowego jako elementu miastotwórczego,</w:t>
      </w:r>
    </w:p>
    <w:p w14:paraId="1AF386E9" w14:textId="7B8CD4AF" w:rsidR="00E212F5" w:rsidRPr="0035160C" w:rsidRDefault="00E212F5" w:rsidP="00DD0E4C">
      <w:pPr>
        <w:pStyle w:val="Akapitzlist"/>
        <w:numPr>
          <w:ilvl w:val="0"/>
          <w:numId w:val="88"/>
        </w:numPr>
        <w:spacing w:after="0"/>
        <w:jc w:val="both"/>
      </w:pPr>
      <w:r w:rsidRPr="0035160C">
        <w:t>poprawy stanu transportu,</w:t>
      </w:r>
    </w:p>
    <w:p w14:paraId="0B8B5531" w14:textId="64C83B60" w:rsidR="00E212F5" w:rsidRPr="0035160C" w:rsidRDefault="00E212F5" w:rsidP="00DD0E4C">
      <w:pPr>
        <w:pStyle w:val="Akapitzlist"/>
        <w:numPr>
          <w:ilvl w:val="0"/>
          <w:numId w:val="88"/>
        </w:numPr>
        <w:spacing w:after="0"/>
        <w:jc w:val="both"/>
      </w:pPr>
      <w:r w:rsidRPr="0035160C">
        <w:t>zwiększenia dostępności komunikacyjnej,</w:t>
      </w:r>
    </w:p>
    <w:p w14:paraId="7B4FE348" w14:textId="709AD12D" w:rsidR="00E212F5" w:rsidRPr="0035160C" w:rsidRDefault="00E212F5" w:rsidP="00DD0E4C">
      <w:pPr>
        <w:pStyle w:val="Akapitzlist"/>
        <w:numPr>
          <w:ilvl w:val="0"/>
          <w:numId w:val="88"/>
        </w:numPr>
        <w:spacing w:after="0"/>
        <w:jc w:val="both"/>
      </w:pPr>
      <w:r w:rsidRPr="0035160C">
        <w:t>ulepszenia systemu zieleni miejskiej.</w:t>
      </w:r>
    </w:p>
    <w:p w14:paraId="23FCD8E4" w14:textId="2FACA9F1" w:rsidR="00E212F5" w:rsidRPr="0035160C" w:rsidRDefault="00E212F5" w:rsidP="00E212F5">
      <w:pPr>
        <w:jc w:val="both"/>
      </w:pPr>
      <w:r w:rsidRPr="0035160C">
        <w:t xml:space="preserve">Realizacja ww. projektów przełoży się na rzecz realizacji idei miasta zwartego i niskoemisyjnego, </w:t>
      </w:r>
      <w:r w:rsidR="00266F41" w:rsidRPr="0035160C">
        <w:br/>
      </w:r>
      <w:r w:rsidRPr="0035160C">
        <w:t xml:space="preserve">w zakresie ukształtowania struktury urbanistycznej oraz projektowania i planowania transportu dla wybranego obszaru zgodnie z zasadą zrównoważonej mobilności. </w:t>
      </w:r>
    </w:p>
    <w:p w14:paraId="0A2CA52B" w14:textId="75ABA577" w:rsidR="00E212F5" w:rsidRPr="002C38C8" w:rsidRDefault="00E212F5" w:rsidP="00CA3BB7">
      <w:pPr>
        <w:numPr>
          <w:ilvl w:val="0"/>
          <w:numId w:val="38"/>
        </w:numPr>
        <w:jc w:val="both"/>
        <w:rPr>
          <w:color w:val="2F5496" w:themeColor="accent1" w:themeShade="BF"/>
        </w:rPr>
      </w:pPr>
      <w:r w:rsidRPr="002C38C8">
        <w:rPr>
          <w:b/>
          <w:bCs/>
          <w:color w:val="2F5496" w:themeColor="accent1" w:themeShade="BF"/>
        </w:rPr>
        <w:t>Pakiet na rzecz Czystego Transportu, w tym: Plan Rozwoju Elektromobilności w Polsce - Energia do Przyszłości i Krajowe ramy polityki rozwoju infrastruktury paliw alternatywnych</w:t>
      </w:r>
    </w:p>
    <w:p w14:paraId="6DC91A5E" w14:textId="41FDFFAC" w:rsidR="00E212F5" w:rsidRPr="0035160C" w:rsidRDefault="00E212F5" w:rsidP="005E0AD9">
      <w:pPr>
        <w:spacing w:after="0"/>
        <w:jc w:val="both"/>
      </w:pPr>
      <w:r w:rsidRPr="0035160C">
        <w:t xml:space="preserve">Krajowe ramy polityki rozwoju infrastruktury paliw alternatywnych przyjęte uchwałą Rady Ministrów w dniu 29 marca 2017 r. stanowią kluczowy </w:t>
      </w:r>
      <w:r w:rsidR="00266F41" w:rsidRPr="0035160C">
        <w:t xml:space="preserve">dokument </w:t>
      </w:r>
      <w:r w:rsidRPr="0035160C">
        <w:t xml:space="preserve">dla wsparcia rozwoju rynku i infrastruktury </w:t>
      </w:r>
      <w:r w:rsidR="00266F41" w:rsidRPr="0035160C">
        <w:br/>
      </w:r>
      <w:r w:rsidRPr="0035160C">
        <w:t>w odniesieniu do energii elektrycznej i gazu ziemnego w postaci CNG i LNG stosowanych w transporcie drogowym oraz transporcie wodnym. Ramy zawierają:</w:t>
      </w:r>
    </w:p>
    <w:p w14:paraId="57056762" w14:textId="7E579C7C" w:rsidR="00E212F5" w:rsidRPr="0035160C" w:rsidRDefault="00E212F5" w:rsidP="00DD0E4C">
      <w:pPr>
        <w:pStyle w:val="Akapitzlist"/>
        <w:numPr>
          <w:ilvl w:val="0"/>
          <w:numId w:val="89"/>
        </w:numPr>
        <w:spacing w:after="0"/>
        <w:jc w:val="both"/>
      </w:pPr>
      <w:r w:rsidRPr="0035160C">
        <w:t>ocenę aktualnego stanu i możliwości przyszłego rozwoju rynku w odniesieniu do paliw alternatywnych w sektorze transportu,</w:t>
      </w:r>
    </w:p>
    <w:p w14:paraId="055BEF59" w14:textId="021B4C0B" w:rsidR="00E212F5" w:rsidRPr="0035160C" w:rsidRDefault="00E212F5" w:rsidP="00DD0E4C">
      <w:pPr>
        <w:pStyle w:val="Akapitzlist"/>
        <w:numPr>
          <w:ilvl w:val="0"/>
          <w:numId w:val="89"/>
        </w:numPr>
        <w:spacing w:after="0"/>
        <w:jc w:val="both"/>
      </w:pPr>
      <w:r w:rsidRPr="0035160C">
        <w:t>krajowe cele ogólne i szczegółowe dotyczące rozbudowy infrastruktury do ładowania pojazdów elektrycznych i do tankowania gazu ziemnego w postaci CNG i LNG oraz rynku pojazdów napędzanych tymi paliwami,</w:t>
      </w:r>
    </w:p>
    <w:p w14:paraId="32F9ED85" w14:textId="6C40F35F" w:rsidR="00E212F5" w:rsidRPr="0035160C" w:rsidRDefault="00E212F5" w:rsidP="00DD0E4C">
      <w:pPr>
        <w:pStyle w:val="Akapitzlist"/>
        <w:numPr>
          <w:ilvl w:val="0"/>
          <w:numId w:val="89"/>
        </w:numPr>
        <w:spacing w:after="0"/>
        <w:jc w:val="both"/>
      </w:pPr>
      <w:r w:rsidRPr="0035160C">
        <w:t>instrumenty wspierające osiągnięcie ww. celów oraz niezbędne do wdrożenia Planu Rozwoju Elektromobilności,</w:t>
      </w:r>
    </w:p>
    <w:p w14:paraId="2CCEFC05" w14:textId="12C57841" w:rsidR="00E212F5" w:rsidRPr="0035160C" w:rsidRDefault="00E212F5" w:rsidP="00DD0E4C">
      <w:pPr>
        <w:pStyle w:val="Akapitzlist"/>
        <w:numPr>
          <w:ilvl w:val="0"/>
          <w:numId w:val="89"/>
        </w:numPr>
        <w:spacing w:after="0"/>
        <w:jc w:val="both"/>
      </w:pPr>
      <w:r w:rsidRPr="0035160C">
        <w:t>listę aglomeracji miejskich i obszarów gęsto zaludnionych, w których mają powstać publicznie dostępne punkty ładowania pojazdów elektrycznych i punkty tankowania CNG.</w:t>
      </w:r>
    </w:p>
    <w:p w14:paraId="1BA720DD" w14:textId="77777777" w:rsidR="00E212F5" w:rsidRPr="0035160C" w:rsidRDefault="00E212F5" w:rsidP="005E0AD9">
      <w:pPr>
        <w:spacing w:before="120" w:after="120"/>
        <w:jc w:val="both"/>
      </w:pPr>
      <w:r w:rsidRPr="0035160C">
        <w:t xml:space="preserve">Krajowe ramy zawierają przepisy wskazujące cele ilościowe w zakresie infrastruktury do tankowania gazu ziemnego w postaci CNG i LNG, a także cele ilościowe w zakresie pojazdów napędzanych tego rodzaju paliwem. </w:t>
      </w:r>
    </w:p>
    <w:p w14:paraId="75A477FA" w14:textId="19803EEC" w:rsidR="00E212F5" w:rsidRPr="0035160C" w:rsidRDefault="00E212F5" w:rsidP="00E212F5">
      <w:pPr>
        <w:jc w:val="both"/>
      </w:pPr>
      <w:r w:rsidRPr="0035160C">
        <w:t>W dokumencie założono rozmieszczenie do 2020 r. 70 publicznie dostępnych punktów tankowania sprężonego gazu ziemnego (CNG) w 32 aglomeracjach oraz poruszanie się po drogach 3 tys. pojazdów napędzanych CNG. Zaś do 2025 r. przewid</w:t>
      </w:r>
      <w:r w:rsidR="009051A5">
        <w:t>ziano</w:t>
      </w:r>
      <w:r w:rsidRPr="0035160C">
        <w:t xml:space="preserve"> rozmieszczenie wzdłuż sieci dróg TEN-T 32 publicznie dostępnych punktów tankowania sprężonego gazu ziemnego (CNG) oraz 14 publicznie dostępnych punktów tankowania skroplonego gazu ziemnego (LNG), po drogach do tego czasu będzie poruszało się 54 tys. pojazdów napędzanych CNG i 3 tys. pojazdów napędzanych LNG.</w:t>
      </w:r>
    </w:p>
    <w:p w14:paraId="14BDAD1D" w14:textId="0FC95EB2" w:rsidR="00E212F5" w:rsidRPr="0035160C" w:rsidRDefault="00E212F5" w:rsidP="00E212F5">
      <w:pPr>
        <w:jc w:val="both"/>
      </w:pPr>
      <w:r w:rsidRPr="0035160C">
        <w:t>Krajowe ramy przewidują również do 2025 r. dostępność usługi bunkrowania statków skroplonym gazem ziemnym (LNG) w portach: Gdańsk, Gdynia, Szczecin i Świnoujście.</w:t>
      </w:r>
    </w:p>
    <w:p w14:paraId="5C227BF8" w14:textId="4B731CEB" w:rsidR="00E212F5" w:rsidRPr="002C38C8" w:rsidRDefault="00E212F5" w:rsidP="00CA3BB7">
      <w:pPr>
        <w:numPr>
          <w:ilvl w:val="0"/>
          <w:numId w:val="38"/>
        </w:numPr>
        <w:jc w:val="both"/>
        <w:rPr>
          <w:b/>
          <w:bCs/>
          <w:color w:val="2F5496" w:themeColor="accent1" w:themeShade="BF"/>
        </w:rPr>
      </w:pPr>
      <w:r w:rsidRPr="002C38C8">
        <w:rPr>
          <w:b/>
          <w:bCs/>
          <w:color w:val="2F5496" w:themeColor="accent1" w:themeShade="BF"/>
        </w:rPr>
        <w:t>Polska strategia wodorowa do roku 2030</w:t>
      </w:r>
      <w:bookmarkStart w:id="61" w:name="_Hlk54633839"/>
      <w:r w:rsidRPr="002C38C8">
        <w:rPr>
          <w:b/>
          <w:bCs/>
          <w:color w:val="2F5496" w:themeColor="accent1" w:themeShade="BF"/>
        </w:rPr>
        <w:t xml:space="preserve"> z perspektywą do </w:t>
      </w:r>
      <w:bookmarkEnd w:id="61"/>
      <w:r w:rsidRPr="002C38C8">
        <w:rPr>
          <w:b/>
          <w:bCs/>
          <w:color w:val="2F5496" w:themeColor="accent1" w:themeShade="BF"/>
        </w:rPr>
        <w:t>2040 r. – projekt</w:t>
      </w:r>
    </w:p>
    <w:p w14:paraId="7A8402EC" w14:textId="36F43387" w:rsidR="00E212F5" w:rsidRPr="0035160C" w:rsidRDefault="00E212F5" w:rsidP="00E212F5">
      <w:pPr>
        <w:jc w:val="both"/>
      </w:pPr>
      <w:r w:rsidRPr="0035160C">
        <w:t>Ze względu na ambitne cele stawiane przez Unię Europejską w zakresie</w:t>
      </w:r>
      <w:r w:rsidRPr="0035160C">
        <w:rPr>
          <w:i/>
          <w:iCs/>
        </w:rPr>
        <w:t xml:space="preserve"> </w:t>
      </w:r>
      <w:r w:rsidRPr="0035160C">
        <w:t xml:space="preserve">polityki energetyczno-klimatycznej, zwiększenie wolumenu energii elektrycznej pochodzącej z OZE oraz konieczność racjonalnego i zrównoważonego wykorzystywania zasobów i surowców energetycznych, technologie wodorowe stanowić będą, zgodnie z opublikowanym w dniu 8 lipca 2020 r. Komunikacie Komisji pn. </w:t>
      </w:r>
      <w:r w:rsidRPr="0035160C">
        <w:rPr>
          <w:i/>
          <w:iCs/>
        </w:rPr>
        <w:t>„Strategia w zakresie wodoru na rzecz Europy neutralnej dla klimatu”</w:t>
      </w:r>
      <w:r w:rsidRPr="0035160C">
        <w:t xml:space="preserve">, jeden z filarów transformacji europejskiego rynku energii. Zgodnie z założeniami projektu Polskiej Strategii Wodorowej to właśnie wykorzystanie pojazdów wodorowych w transporcie, obok pojazdów elektrycznych, przełoży się na ograniczenie wielkości emisji zanieczyszczeń do powietrza z sektora transportu drogowego oraz </w:t>
      </w:r>
      <w:r w:rsidRPr="0035160C">
        <w:lastRenderedPageBreak/>
        <w:t xml:space="preserve">poprawę zdrowia i życia ludzi. W myśl przedstawionych założeń, paliwa konwencjonalne szczególnie </w:t>
      </w:r>
      <w:r w:rsidR="00266F41" w:rsidRPr="0035160C">
        <w:br/>
      </w:r>
      <w:r w:rsidRPr="0035160C">
        <w:t xml:space="preserve">w transporcie miejskim, transporcie drogowym, transporcie kolejowym oraz transporcie morskim, </w:t>
      </w:r>
      <w:r w:rsidR="00266F41" w:rsidRPr="0035160C">
        <w:br/>
      </w:r>
      <w:r w:rsidRPr="0035160C">
        <w:t>a w dalszej perspektywie również w lotnictwie mają zostać zastąpione paliwem wodorowym.</w:t>
      </w:r>
    </w:p>
    <w:p w14:paraId="35711970" w14:textId="77777777" w:rsidR="00E212F5" w:rsidRPr="002C38C8" w:rsidRDefault="00E212F5" w:rsidP="00CA3BB7">
      <w:pPr>
        <w:numPr>
          <w:ilvl w:val="0"/>
          <w:numId w:val="38"/>
        </w:numPr>
        <w:jc w:val="both"/>
        <w:rPr>
          <w:color w:val="2F5496" w:themeColor="accent1" w:themeShade="BF"/>
        </w:rPr>
      </w:pPr>
      <w:r w:rsidRPr="002C38C8">
        <w:rPr>
          <w:b/>
          <w:bCs/>
          <w:color w:val="2F5496" w:themeColor="accent1" w:themeShade="BF"/>
        </w:rPr>
        <w:t>Krajowy plan na rzecz energii i klimatu na lata 2021-2030 (KPEiK)</w:t>
      </w:r>
    </w:p>
    <w:p w14:paraId="36733FB2" w14:textId="0156E5DA" w:rsidR="00266F41" w:rsidRPr="002C38C8" w:rsidRDefault="00E212F5" w:rsidP="00E212F5">
      <w:pPr>
        <w:jc w:val="both"/>
        <w:rPr>
          <w:color w:val="2F5496" w:themeColor="accent1" w:themeShade="BF"/>
        </w:rPr>
      </w:pPr>
      <w:r w:rsidRPr="0035160C">
        <w:t xml:space="preserve">Ze względu na zaostrzenie polityki klimatyczno-energetycznej na poziomie europejskim, </w:t>
      </w:r>
      <w:r w:rsidRPr="0035160C">
        <w:br/>
        <w:t xml:space="preserve">w ramach KPEiK przyjęto szereg działań koniecznych do realizacji w celu obniżenie emisyjności, dywersyfikacji struktury polskiego bilansu energetycznego przy jednoczesnym zwiększeniu roli nisko-, zeroemisyjnych i wysokoefektywnych technologii i rozwiązań we wszystkich sektorach gospodarki. Realizacja działań określonych w planie przyczyni się również do ograniczenia emisji z sektora transportu drogowego, dlatego duży nacisk stawia się na rozwój niskoemisyjnego transportu, w tym poprzez rozwój paliw alternatywnych w transporcie, przede wszystkim energii elektrycznej oraz LNG </w:t>
      </w:r>
      <w:r w:rsidR="00266F41" w:rsidRPr="0035160C">
        <w:br/>
      </w:r>
      <w:r w:rsidRPr="0035160C">
        <w:t xml:space="preserve">i CNG. </w:t>
      </w:r>
    </w:p>
    <w:p w14:paraId="2D3C88B6" w14:textId="771762D4" w:rsidR="00266F41" w:rsidRPr="002C38C8" w:rsidRDefault="00266F41" w:rsidP="00CA3BB7">
      <w:pPr>
        <w:pStyle w:val="Akapitzlist"/>
        <w:numPr>
          <w:ilvl w:val="0"/>
          <w:numId w:val="38"/>
        </w:numPr>
        <w:jc w:val="both"/>
        <w:rPr>
          <w:color w:val="2F5496" w:themeColor="accent1" w:themeShade="BF"/>
        </w:rPr>
      </w:pPr>
      <w:r w:rsidRPr="002C38C8">
        <w:rPr>
          <w:b/>
          <w:bCs/>
          <w:color w:val="2F5496" w:themeColor="accent1" w:themeShade="BF"/>
        </w:rPr>
        <w:t>Krajowy Program Ograniczania Zanieczyszczeń Powietrza</w:t>
      </w:r>
    </w:p>
    <w:p w14:paraId="0D2DADF1" w14:textId="3AE24AC2" w:rsidR="006F7F0A" w:rsidRPr="002C38C8" w:rsidRDefault="00EB5311" w:rsidP="00E212F5">
      <w:pPr>
        <w:jc w:val="both"/>
      </w:pPr>
      <w:r>
        <w:t>KPOZP</w:t>
      </w:r>
      <w:r w:rsidR="006F7F0A" w:rsidRPr="0035160C">
        <w:t xml:space="preserve"> został przygotowany na podstawie art. 6 dyrektywy </w:t>
      </w:r>
      <w:r>
        <w:t xml:space="preserve">NEC. </w:t>
      </w:r>
      <w:r w:rsidR="006F7F0A" w:rsidRPr="0035160C">
        <w:t>Jest to</w:t>
      </w:r>
      <w:r w:rsidR="00266F41" w:rsidRPr="0035160C">
        <w:t xml:space="preserve"> dokument</w:t>
      </w:r>
      <w:r w:rsidR="006F7F0A" w:rsidRPr="0035160C">
        <w:t xml:space="preserve"> </w:t>
      </w:r>
      <w:r w:rsidR="00266F41" w:rsidRPr="0035160C">
        <w:t>koordynując</w:t>
      </w:r>
      <w:r w:rsidR="006F7F0A" w:rsidRPr="0035160C">
        <w:t>y</w:t>
      </w:r>
      <w:r w:rsidR="00266F41" w:rsidRPr="0035160C">
        <w:t xml:space="preserve"> działania w zakresie redukcji emisji wynikających z krajowych ram polityki dotyczącej jakości powietrza w powiązaniu z obszarami polityk odnoszących się do rolnictwa, przemysłu czy transportu. Realizacja działań określonych w ramach tego dokumentu strategicznego   w sektorze energetyki, rolnictwa, przemysłu, transportu, przyczyni się do redukcji emisji </w:t>
      </w:r>
      <w:r w:rsidRPr="0035160C">
        <w:t xml:space="preserve">zanieczyszczeń do atmosfery </w:t>
      </w:r>
      <w:r w:rsidR="00266F41" w:rsidRPr="0035160C">
        <w:t xml:space="preserve">do 2030 r.. Realizacja tego programu na poziomie krajowym pozwoli na podniesienie efektywności realizowanych na poziomie wojewódzkim i lokalnym </w:t>
      </w:r>
      <w:r>
        <w:t>POP</w:t>
      </w:r>
      <w:r w:rsidR="00266F41" w:rsidRPr="0035160C">
        <w:t>, a w efekcie przyśpieszy proces dotrzymania norm jakości powietrza w Polsce.</w:t>
      </w:r>
    </w:p>
    <w:p w14:paraId="6722E13B" w14:textId="67981697" w:rsidR="00E212F5" w:rsidRPr="002C38C8" w:rsidRDefault="00E212F5" w:rsidP="00E212F5">
      <w:pPr>
        <w:jc w:val="both"/>
        <w:rPr>
          <w:b/>
          <w:bCs/>
          <w:color w:val="2F5496" w:themeColor="accent1" w:themeShade="BF"/>
        </w:rPr>
      </w:pPr>
      <w:r w:rsidRPr="002C38C8">
        <w:rPr>
          <w:b/>
          <w:bCs/>
          <w:color w:val="2F5496" w:themeColor="accent1" w:themeShade="BF"/>
        </w:rPr>
        <w:t>Podstawy prawne podejmowanych działań w obszarze ograniczenia negatywnego wpływu transportu drogowego na stan powietrza</w:t>
      </w:r>
      <w:r w:rsidR="00FB1BC3">
        <w:rPr>
          <w:b/>
          <w:bCs/>
          <w:color w:val="2F5496" w:themeColor="accent1" w:themeShade="BF"/>
        </w:rPr>
        <w:t>:</w:t>
      </w:r>
    </w:p>
    <w:p w14:paraId="40278D4B" w14:textId="77777777" w:rsidR="00E212F5" w:rsidRPr="0035160C" w:rsidRDefault="00E212F5" w:rsidP="00FB1BC3">
      <w:pPr>
        <w:spacing w:after="0"/>
        <w:jc w:val="both"/>
        <w:rPr>
          <w:bCs/>
        </w:rPr>
      </w:pPr>
      <w:r w:rsidRPr="0035160C">
        <w:rPr>
          <w:bCs/>
        </w:rPr>
        <w:t xml:space="preserve">Podstawowym aktem prawnym, który reguluje rozwój niskoemisyjnego transportu jest ustawa z dnia 11 stycznia 2018 r. </w:t>
      </w:r>
      <w:r w:rsidRPr="0035160C">
        <w:rPr>
          <w:bCs/>
          <w:i/>
          <w:iCs/>
        </w:rPr>
        <w:t>o elektromobilności i paliwach alternatywnych</w:t>
      </w:r>
      <w:r w:rsidRPr="0035160C">
        <w:rPr>
          <w:bCs/>
        </w:rPr>
        <w:t xml:space="preserve"> (Dz. U. z 2021 r. poz. 110), w ramach której ustanowiono wymagania w zakresie:</w:t>
      </w:r>
    </w:p>
    <w:p w14:paraId="48644F8F" w14:textId="77777777" w:rsidR="00E212F5" w:rsidRPr="0035160C" w:rsidRDefault="00E212F5" w:rsidP="00FB1BC3">
      <w:pPr>
        <w:numPr>
          <w:ilvl w:val="0"/>
          <w:numId w:val="39"/>
        </w:numPr>
        <w:spacing w:after="0"/>
        <w:jc w:val="both"/>
      </w:pPr>
      <w:r w:rsidRPr="0035160C">
        <w:t>stacji i punktów ładowania pojazdów elektrycznych i hybrydowych,</w:t>
      </w:r>
    </w:p>
    <w:p w14:paraId="4B4D0E92" w14:textId="77777777" w:rsidR="00E212F5" w:rsidRPr="0035160C" w:rsidRDefault="00E212F5" w:rsidP="00FB1BC3">
      <w:pPr>
        <w:numPr>
          <w:ilvl w:val="0"/>
          <w:numId w:val="28"/>
        </w:numPr>
        <w:spacing w:after="0"/>
        <w:jc w:val="both"/>
      </w:pPr>
      <w:r w:rsidRPr="0035160C">
        <w:t>udziału, z podanymi w ustawie wyjątkami, pojazdów elektrycznych we flocie użytkowanych pojazdów w urzędach obsługujących naczelne i centralne organy administracji państwowej oraz jednostki samorządu terytorialnego (również sprawozdawanie liczby i udziału procentowego pojazdów elektrycznych lub pojazdów napędzanych gazem ziemnym),</w:t>
      </w:r>
    </w:p>
    <w:p w14:paraId="6634C6E9" w14:textId="346D6559" w:rsidR="00E212F5" w:rsidRPr="0035160C" w:rsidRDefault="00E212F5" w:rsidP="00FB1BC3">
      <w:pPr>
        <w:numPr>
          <w:ilvl w:val="0"/>
          <w:numId w:val="28"/>
        </w:numPr>
        <w:spacing w:after="0"/>
        <w:jc w:val="both"/>
      </w:pPr>
      <w:r w:rsidRPr="0035160C">
        <w:t>możliwości ustanawiania na obszarze gmin liczących powyżej 100 000 mieszkańców stref czystego transportu</w:t>
      </w:r>
      <w:r w:rsidR="000A4972">
        <w:t>,</w:t>
      </w:r>
    </w:p>
    <w:p w14:paraId="05CCA714" w14:textId="63D5E7D6" w:rsidR="00E212F5" w:rsidRPr="0035160C" w:rsidRDefault="00E212F5" w:rsidP="00FB1BC3">
      <w:pPr>
        <w:numPr>
          <w:ilvl w:val="0"/>
          <w:numId w:val="55"/>
        </w:numPr>
        <w:spacing w:after="0"/>
        <w:jc w:val="both"/>
      </w:pPr>
      <w:r w:rsidRPr="0035160C">
        <w:t xml:space="preserve">obowiązku budowy </w:t>
      </w:r>
      <w:r w:rsidR="00DC0847" w:rsidRPr="00DC0847">
        <w:t xml:space="preserve">sieci bazowej </w:t>
      </w:r>
      <w:r w:rsidRPr="0035160C">
        <w:t>stacji gazu ziemnego przeznaczonych do tankowania pojazdów sprężonym gazem ziemnym (CNG)</w:t>
      </w:r>
      <w:r w:rsidR="00DC0847">
        <w:t>,</w:t>
      </w:r>
    </w:p>
    <w:p w14:paraId="17326D08" w14:textId="2E10E382" w:rsidR="00E212F5" w:rsidRPr="0035160C" w:rsidRDefault="00E212F5" w:rsidP="00FB1BC3">
      <w:pPr>
        <w:numPr>
          <w:ilvl w:val="0"/>
          <w:numId w:val="55"/>
        </w:numPr>
        <w:spacing w:after="0"/>
        <w:jc w:val="both"/>
      </w:pPr>
      <w:r w:rsidRPr="0035160C">
        <w:t xml:space="preserve">udziału pojazdów napędzanych </w:t>
      </w:r>
      <w:r w:rsidR="00DC0847">
        <w:t xml:space="preserve">energią elektryczną lub </w:t>
      </w:r>
      <w:r w:rsidRPr="0035160C">
        <w:t>gazem ziemnym we flocie pojazdów wykorzystywanych do realizacji zadań publicznych przez jednostki samorządu terytorialnego</w:t>
      </w:r>
      <w:r w:rsidR="000A4972">
        <w:t>,</w:t>
      </w:r>
    </w:p>
    <w:p w14:paraId="4273CEC0" w14:textId="77777777" w:rsidR="00E212F5" w:rsidRPr="0035160C" w:rsidRDefault="00E212F5" w:rsidP="00FB1BC3">
      <w:pPr>
        <w:numPr>
          <w:ilvl w:val="0"/>
          <w:numId w:val="55"/>
        </w:numPr>
        <w:spacing w:after="0"/>
        <w:jc w:val="both"/>
      </w:pPr>
      <w:r w:rsidRPr="0035160C">
        <w:t>prowadzenia Ewidencji infrastruktury paliw alternatywnych;</w:t>
      </w:r>
    </w:p>
    <w:p w14:paraId="6FCF69AC" w14:textId="08BC934B" w:rsidR="00E212F5" w:rsidRPr="0035160C" w:rsidRDefault="00E212F5" w:rsidP="00FB1BC3">
      <w:pPr>
        <w:numPr>
          <w:ilvl w:val="0"/>
          <w:numId w:val="55"/>
        </w:numPr>
        <w:spacing w:after="0"/>
        <w:jc w:val="both"/>
      </w:pPr>
      <w:r w:rsidRPr="0035160C">
        <w:t>zasad budowy i eksploatacji punktów bunkrowania statków skroplonym gazem ziemnym (LNG).</w:t>
      </w:r>
    </w:p>
    <w:p w14:paraId="0315E818" w14:textId="2C76BC63" w:rsidR="00E212F5" w:rsidRPr="0035160C" w:rsidRDefault="00E212F5" w:rsidP="00E212F5">
      <w:pPr>
        <w:jc w:val="both"/>
      </w:pPr>
      <w:r w:rsidRPr="0035160C">
        <w:t xml:space="preserve">Na podstawie ustawy o elektromobilności, operator systemu dystrybucyjnego gazowego zobowiązany został do opracowania programu budowy stacji gazu ziemnego oraz przedsięwzięć w zakresie modernizacji, rozbudowy albo budowy sieci niezbędnych do przyłączenia tych stacji. Zgodnie </w:t>
      </w:r>
      <w:r w:rsidR="006F7F0A" w:rsidRPr="0035160C">
        <w:br/>
      </w:r>
      <w:r w:rsidRPr="0035160C">
        <w:lastRenderedPageBreak/>
        <w:t>z programem OSDg wybuduje 23 stacje gazu ziemnego, które będą wyposażone w 46 punktów tankowania sprężonego gazu ziemnego (CNG). Wszystkie stacje gazu ziemnego budowane przez OSDg na podstawie ww. planu zostaną oddane do użytku najpóźniej do końca 2021 r.</w:t>
      </w:r>
    </w:p>
    <w:p w14:paraId="7A7596E3" w14:textId="77777777" w:rsidR="00E212F5" w:rsidRPr="0035160C" w:rsidRDefault="00E212F5" w:rsidP="00E212F5">
      <w:pPr>
        <w:jc w:val="both"/>
      </w:pPr>
      <w:r w:rsidRPr="0035160C">
        <w:t xml:space="preserve">Jednocześnie, przepisy ustawy o elektromobilności zobowiązały jednostki samorządu terytorialnego, z wyłączeniem gmin i powiatów, których liczba mieszkańców nie przekracza 50 000 do wykonywania zadań publicznych lub zlecania wykonywania tych zadań, z wyłączeniem publicznego transportu zbiorowego, przy wykorzystaniu co najmniej 10%  pojazdów elektrycznych lub pojazdów napędzanych gazem ziemnym od dnia 1 stycznia 2022 r. oraz przy wykorzystaniu co najmniej 30% takich pojazdów od dnia 1 stycznia 2025 r. Wprowadzenie przepisów w tym zakresie ma na celu popularyzację paliw alternatywnych. </w:t>
      </w:r>
    </w:p>
    <w:p w14:paraId="0C2A8F30" w14:textId="77777777" w:rsidR="00E212F5" w:rsidRPr="0035160C" w:rsidRDefault="00E212F5" w:rsidP="00E212F5">
      <w:pPr>
        <w:jc w:val="both"/>
      </w:pPr>
      <w:r w:rsidRPr="0035160C">
        <w:t>Przepisy ustawy o elektromobilności regulują także kwestię zasad tworzenia i funkcjonowania stref czystego transportu. Zgodnie z obowiązującymi przepisami w celu zapobieżenia negatywnemu oddziaływaniu na zdrowie ludzi i środowisko w związku z emisją zanieczyszczeń z transportu w określonych gminach można ustanowić strefy czystego transportu, do których ogranicza się wjazd pojazdów innych niż elektryczne, napędzane wodorem i napędzane gazem ziemnym.</w:t>
      </w:r>
    </w:p>
    <w:p w14:paraId="57C3CD46" w14:textId="456B582C" w:rsidR="00E212F5" w:rsidRPr="0035160C" w:rsidRDefault="00E212F5" w:rsidP="00E212F5">
      <w:pPr>
        <w:jc w:val="both"/>
      </w:pPr>
      <w:r w:rsidRPr="0035160C">
        <w:t xml:space="preserve">Ustawa o elektromobilności określa również zasady tworzenia i funkcjonowania Ewidencji Infrastruktury Paliw Alternatywnych, tj. rejestru publicznego, który został stworzony i jest prowadzony w systemie teleinformatycznym przez Prezesa Urzędu Dozoru Technicznego. Celem utworzenia przedmiotowej ewidencji jest zapewnienie użytkownikom pojazdów napędzanych gazem ziemnym </w:t>
      </w:r>
      <w:r w:rsidR="006F7F0A" w:rsidRPr="0035160C">
        <w:br/>
      </w:r>
      <w:r w:rsidRPr="0035160C">
        <w:t>i elektrycznych dostępu do informacji ułatwiających korzystanie z tych pojazdów (np. o cenach paliwa alternatywnego, dostępności punktu tankowania/ładowania). Ewidencja funkcjonuje od 1 stycznia 2019 r.</w:t>
      </w:r>
    </w:p>
    <w:p w14:paraId="0DA6D00C" w14:textId="77777777" w:rsidR="00E212F5" w:rsidRPr="0035160C" w:rsidRDefault="00E212F5" w:rsidP="00E212F5">
      <w:pPr>
        <w:jc w:val="both"/>
      </w:pPr>
      <w:r w:rsidRPr="0035160C">
        <w:t>Ustawa o elektromobilności nakłada na podmiot zarządzający portem należącym do sieci bazowej TEN-T (port Gdańsk, Gdynia, Szczecin i Świnoujście) obowiązek przygotowania planu lokalizacji punktów bunkrowania skroplonego gazu ziemnego (LNG) lub możliwości bunkrowania za pomocą bunkierek oraz jego publikacji na swojej stronie internetowej. Zgodnie z ustawą o elektromobilności podmiot zarządzający portem należącym do sieci bazowej TEN-T zapewnia, aby w tym porcie od dnia 1 stycznia 2026 r. był dostępny punkt bunkrowania skroplonego gazu ziemnego (LNG).</w:t>
      </w:r>
    </w:p>
    <w:p w14:paraId="53881920" w14:textId="4222651A" w:rsidR="00E212F5" w:rsidRPr="0035160C" w:rsidRDefault="00E212F5" w:rsidP="00E212F5">
      <w:pPr>
        <w:jc w:val="both"/>
      </w:pPr>
      <w:r w:rsidRPr="0035160C">
        <w:t>Na mocy ustawy o elektromobilności i paliwach alternatywnych następuje stopniowy rozwój stacji gazu ziemnego przeznaczonych do tankowania pojazdów gazem ziemnym. Na koniec 2020 r. w Polsce funkcjonowało 24 stacje gazu ziemnego. W</w:t>
      </w:r>
      <w:r w:rsidR="00DC0847" w:rsidRPr="00DC0847">
        <w:t xml:space="preserve"> ramach stacji </w:t>
      </w:r>
      <w:r w:rsidRPr="0035160C">
        <w:t>było dostępnych 69 punktów tankowania sprężonego gazu ziemnego (CNG) oraz 6 punktów tankowania skroplonego gazu ziemnego (LNG). Jednocześnie zarejestrowanych było 8 485 pojazdów (osobowych, dostawczych i ciężarowych) napędzanych LNG i CNG. W porównaniu do roku 2019 był to wzrost o ok. 16%. Dodatkowo, na koniec 2020 r. po drogach jeździło 934 autobusów komunikacji miejskiej napędzanych LNG i CNG i był to wzrost w porównaniu do roku 2019 r. o ok. 22%.</w:t>
      </w:r>
    </w:p>
    <w:p w14:paraId="2738C661" w14:textId="7B2F48A4" w:rsidR="00E212F5" w:rsidRPr="0035160C" w:rsidRDefault="00E212F5" w:rsidP="00E212F5">
      <w:pPr>
        <w:jc w:val="both"/>
      </w:pPr>
      <w:r w:rsidRPr="0035160C">
        <w:t>Do końca 2021 r</w:t>
      </w:r>
      <w:r w:rsidR="005E0AD9">
        <w:t>.</w:t>
      </w:r>
      <w:r w:rsidRPr="0035160C">
        <w:t xml:space="preserve"> na terenie kraju przewiduje się funkcjonowanie 41 stacji CNG, 3 stacji LNG/CNG oraz 3 stacji LNG, a liczba ogólnodostępnych punktów tankowania CNG będzie wynosić 115. Nastąpi równoczesny wzrost ilości pojazdów napędzanych gazem ziemnym, niemniej jednak ich ilość jest trudna do przewidzenia.</w:t>
      </w:r>
    </w:p>
    <w:p w14:paraId="481F4457" w14:textId="77777777" w:rsidR="00E212F5" w:rsidRPr="0035160C" w:rsidRDefault="00E212F5" w:rsidP="00E212F5">
      <w:pPr>
        <w:jc w:val="both"/>
      </w:pPr>
      <w:r w:rsidRPr="0035160C">
        <w:t xml:space="preserve">Zastosowanie gazu ziemnego w transporcie jest upatrywane przede wszystkim w pojazdach ciężarowych, a to właśnie one są drugimi po pojazdach osobowych emitentami zanieczyszczeń do powietrza. O ile w tym momencie pojazdy osobowe i lekkie pojazdy poniżej 3,5 t mogą zostać </w:t>
      </w:r>
      <w:r w:rsidRPr="0035160C">
        <w:lastRenderedPageBreak/>
        <w:t xml:space="preserve">efektywnie zastąpione przez rozwijającą się flotę pojazdów elektrycznych, to dla pojazdów ciężarowych powyżej 3,5 t jedyną alternatywą obecnie jest wyłącznie gaz ziemny w postaci LNG i CNG. </w:t>
      </w:r>
    </w:p>
    <w:p w14:paraId="728D93EC" w14:textId="77777777" w:rsidR="00E212F5" w:rsidRPr="0035160C" w:rsidRDefault="00E212F5" w:rsidP="00E212F5">
      <w:pPr>
        <w:jc w:val="both"/>
      </w:pPr>
      <w:r w:rsidRPr="0035160C">
        <w:t>Od 14 sierpnia 2019 r. obowiązuje w Polsce zerowa stawka akcyzy na gaz ziemny w postaci CNG i LNG, biometan oraz biowodór zużywany na cele transportowe. Wprowadzenie zerowej stawki akcyzy na CNG i LNG spowodowało niższą ceną tego paliwa na stacjach gazu ziemnego, co przekłada się na większe zainteresowanie przedsiębiorstw zakupem pojazdów napędzanych gazem ziemnym.</w:t>
      </w:r>
    </w:p>
    <w:p w14:paraId="48F02E98" w14:textId="62238E95" w:rsidR="00E212F5" w:rsidRPr="0035160C" w:rsidRDefault="00E212F5" w:rsidP="00E212F5">
      <w:pPr>
        <w:jc w:val="both"/>
      </w:pPr>
      <w:r w:rsidRPr="0035160C">
        <w:t xml:space="preserve">Gaz ziemny w transporcie uznawany jest za paliwo przejściowe, niemniej jednak uwzględniając fakt, że w najbliższej przyszłości planowane jest zazielenianie sieci gazowej biometanem, biowodorem, </w:t>
      </w:r>
      <w:r w:rsidRPr="0035160C">
        <w:br/>
        <w:t>w celu dalszej dekarbonizacji kraju, zasadne jest wspieranie rozwoju gazomobilności. Postępujący rozwój rynku LNG i CNG, w kolejnych latach umożliwi płynne przejście na bio-CNG i bio-LNG, które posiada podobne właściwości do tradycyjnego LNG/CNG i nie wymaga wymiany floty oraz infrastruktury do tankowania pojazdów.</w:t>
      </w:r>
    </w:p>
    <w:p w14:paraId="4138672B" w14:textId="165AB7C4" w:rsidR="00E212F5" w:rsidRPr="0035160C" w:rsidRDefault="00E212F5" w:rsidP="00E212F5">
      <w:pPr>
        <w:jc w:val="both"/>
      </w:pPr>
      <w:r w:rsidRPr="0035160C">
        <w:t xml:space="preserve">W 2020 r. dostępna była usługa bunkrowania statków LNG z wykorzystaniem mobilnych punktów bunkrowania (cystern kriogenicznych) w portach Gdańsk, Gdynia, Szczecin i Świnoujście. Zarządy tych </w:t>
      </w:r>
      <w:r w:rsidR="00EB5311">
        <w:t>p</w:t>
      </w:r>
      <w:r w:rsidRPr="0035160C">
        <w:t>ortów, realizując obowiązki ustawowe, opracowały listy/plany nabrzeży, przy których istnieje możliwość mobilnego bunkrowania statków skroplonym gazem ziemnym (LNG) i podały je do publicznej wiadomości na stronach internetowych urzędów. W przypadku transportu morskiego, tak jak ma to miejsce w przypadku pojazdów ciężarowych, jedyną alternatywą na chwilę obecną dla paliwa żeglugowego jest skroplony gaz ziemny (LNG).</w:t>
      </w:r>
    </w:p>
    <w:p w14:paraId="2BDAB051" w14:textId="28FC1BC3" w:rsidR="00E212F5" w:rsidRPr="0035160C" w:rsidRDefault="00E212F5" w:rsidP="00E212F5">
      <w:pPr>
        <w:jc w:val="both"/>
      </w:pPr>
      <w:r w:rsidRPr="0035160C">
        <w:t xml:space="preserve">W ramach </w:t>
      </w:r>
      <w:r w:rsidR="00EB5311">
        <w:t>POŚ</w:t>
      </w:r>
      <w:r w:rsidRPr="0035160C">
        <w:t xml:space="preserve"> istnieje możliwość uzyskania dofinansowania z </w:t>
      </w:r>
      <w:r w:rsidR="005E0AD9">
        <w:t>NFOŚiGW</w:t>
      </w:r>
      <w:r w:rsidRPr="0035160C">
        <w:t xml:space="preserve"> na inwestycje związane z rozwojem wykorzystania gazu ziemnego w</w:t>
      </w:r>
      <w:r w:rsidR="005E0AD9">
        <w:t> </w:t>
      </w:r>
      <w:r w:rsidRPr="0035160C">
        <w:t>transporcie m.in. na budowę stacji gazu ziemnego, zakup nowego pojazdu napędzanego gazem ziemnym. Z NFOŚiGW istnieje możliwość dofinansowania także inwestycji w zakresie wytwarzania biokomponentów, biopaliw ciekłych lub innych paliw odnawialnych, a także promocji wytwarzania i wykorzystywania biokomponentów i biopaliw ciekłych.</w:t>
      </w:r>
    </w:p>
    <w:p w14:paraId="7FAAE924" w14:textId="77777777" w:rsidR="00E212F5" w:rsidRPr="0035160C" w:rsidRDefault="00E212F5" w:rsidP="00FB1BC3">
      <w:pPr>
        <w:spacing w:after="0"/>
        <w:jc w:val="both"/>
      </w:pPr>
      <w:r w:rsidRPr="0035160C">
        <w:t>Dodatkowo, w ramach prowadzonego procesu legislacyjnego nowelizacji ww. ustawy planuje się wprowadzenie dodatkowych wymagań m.in. w zakresie:</w:t>
      </w:r>
    </w:p>
    <w:p w14:paraId="678AA2A5" w14:textId="77777777" w:rsidR="00E212F5" w:rsidRPr="0035160C" w:rsidRDefault="00E212F5" w:rsidP="00FB1BC3">
      <w:pPr>
        <w:numPr>
          <w:ilvl w:val="0"/>
          <w:numId w:val="27"/>
        </w:numPr>
        <w:spacing w:after="0"/>
        <w:jc w:val="both"/>
      </w:pPr>
      <w:r w:rsidRPr="0035160C">
        <w:t xml:space="preserve">wprowadzenia ułatwień w budowie punktów ładowania w budynkach wielorodzinnych, </w:t>
      </w:r>
    </w:p>
    <w:p w14:paraId="4C8E83F5" w14:textId="77777777" w:rsidR="00E212F5" w:rsidRPr="0035160C" w:rsidRDefault="00E212F5" w:rsidP="00FB1BC3">
      <w:pPr>
        <w:numPr>
          <w:ilvl w:val="0"/>
          <w:numId w:val="27"/>
        </w:numPr>
        <w:spacing w:after="0"/>
        <w:jc w:val="both"/>
      </w:pPr>
      <w:r w:rsidRPr="0035160C">
        <w:t>wprowadzenia definicji niezbędnych dla powstania infrastruktury tankowania wodoru.</w:t>
      </w:r>
    </w:p>
    <w:p w14:paraId="12693D0D" w14:textId="0921C76B" w:rsidR="00E212F5" w:rsidRPr="0035160C" w:rsidRDefault="00E212F5" w:rsidP="00FB1BC3">
      <w:pPr>
        <w:spacing w:before="120" w:after="120"/>
        <w:jc w:val="both"/>
      </w:pPr>
      <w:r w:rsidRPr="0035160C">
        <w:t xml:space="preserve">Wspomniany wyżej projekt ustawy </w:t>
      </w:r>
      <w:r w:rsidRPr="0035160C">
        <w:rPr>
          <w:i/>
          <w:iCs/>
        </w:rPr>
        <w:t>o zmianie ustawy o elektromobilności i paliwach alternatywnych oraz niektórych innych ustaw</w:t>
      </w:r>
      <w:r w:rsidRPr="0035160C">
        <w:t xml:space="preserve"> został przyjęty przez Stały Komitet Rady Ministrów. </w:t>
      </w:r>
    </w:p>
    <w:p w14:paraId="6A57D68A" w14:textId="77777777" w:rsidR="00E212F5" w:rsidRPr="0035160C" w:rsidRDefault="00E212F5" w:rsidP="00E212F5">
      <w:pPr>
        <w:jc w:val="both"/>
      </w:pPr>
      <w:r w:rsidRPr="0035160C">
        <w:t>Jednocześnie kluczowe znaczenie dla ograniczenia negatywnego wpływu transportu drogowego na stan powietrza mają:</w:t>
      </w:r>
    </w:p>
    <w:p w14:paraId="46CE5C86" w14:textId="6AC1C727" w:rsidR="00E212F5" w:rsidRPr="0035160C" w:rsidRDefault="00E212F5" w:rsidP="00E212F5">
      <w:pPr>
        <w:jc w:val="both"/>
      </w:pPr>
      <w:r w:rsidRPr="0035160C">
        <w:t>- ustawa z dnia 25</w:t>
      </w:r>
      <w:r w:rsidR="009051A5">
        <w:t xml:space="preserve"> </w:t>
      </w:r>
      <w:r w:rsidRPr="0035160C">
        <w:t xml:space="preserve">sierpnia 2006 r. </w:t>
      </w:r>
      <w:r w:rsidRPr="0035160C">
        <w:rPr>
          <w:i/>
          <w:iCs/>
        </w:rPr>
        <w:t>o biokomponentach i biopaliwach ciekłych</w:t>
      </w:r>
      <w:r w:rsidRPr="0035160C">
        <w:t xml:space="preserve"> (Dz. U. z 2020 r. poz. 1233) - ze względu na wzrastający wymóg udziału OZE w transporcie. Przepisy ustawy stosuje się do biokomponentów, paliw, wodoru oraz energii elektrycznej wykorzystywanych w transporcie</w:t>
      </w:r>
      <w:r w:rsidR="00EB5311">
        <w:t>;</w:t>
      </w:r>
      <w:r w:rsidRPr="0035160C">
        <w:t xml:space="preserve"> </w:t>
      </w:r>
    </w:p>
    <w:p w14:paraId="7203D377" w14:textId="6FEC0CD0" w:rsidR="00E212F5" w:rsidRPr="0035160C" w:rsidRDefault="00E212F5" w:rsidP="00E212F5">
      <w:pPr>
        <w:jc w:val="both"/>
      </w:pPr>
      <w:r w:rsidRPr="0035160C">
        <w:t xml:space="preserve">- ustawa  z dnia 25 sierpnia 2006 r. </w:t>
      </w:r>
      <w:r w:rsidRPr="0035160C">
        <w:rPr>
          <w:i/>
          <w:iCs/>
        </w:rPr>
        <w:t xml:space="preserve">o systemie monitorowania i kontrolowania jakości paliw </w:t>
      </w:r>
      <w:r w:rsidRPr="0035160C">
        <w:t xml:space="preserve">– mająca na celu m.in. ograniczanie emisji gazów cieplarnianych z paliw zużywanych w sektorze transportu.  </w:t>
      </w:r>
    </w:p>
    <w:p w14:paraId="17D46EA6" w14:textId="77777777" w:rsidR="00E212F5" w:rsidRPr="0035160C" w:rsidRDefault="00E212F5" w:rsidP="00E212F5">
      <w:pPr>
        <w:jc w:val="both"/>
      </w:pPr>
      <w:r w:rsidRPr="0035160C">
        <w:t xml:space="preserve">Ustawa z dnia 25 sierpnia 2006 r. </w:t>
      </w:r>
      <w:r w:rsidRPr="0035160C">
        <w:rPr>
          <w:i/>
          <w:iCs/>
        </w:rPr>
        <w:t>o biokomponentach i biopaliwach ciekłych</w:t>
      </w:r>
      <w:r w:rsidRPr="0035160C">
        <w:t xml:space="preserve"> zawiera przepisy regulujące realizację Narodowego Celu Wskaźnikowego (NCW), tj. przepisy dotyczące udziału OZE </w:t>
      </w:r>
      <w:r w:rsidRPr="0035160C">
        <w:br/>
        <w:t xml:space="preserve">w transporcie, gdzie na każdy rok określany jest NCW, czyli minimalny udział paliw odnawialnych </w:t>
      </w:r>
      <w:r w:rsidRPr="0035160C">
        <w:br/>
        <w:t xml:space="preserve">i biokomponentów w ogólnej ilości paliw ciekłych i biopaliw ciekłych zużywanych w ciągu roku kalendarzowego w transporcie drogowym i kolejowym. </w:t>
      </w:r>
    </w:p>
    <w:p w14:paraId="4BA597DE" w14:textId="77777777" w:rsidR="00E212F5" w:rsidRPr="0035160C" w:rsidRDefault="00E212F5" w:rsidP="00E212F5">
      <w:pPr>
        <w:jc w:val="both"/>
      </w:pPr>
      <w:r w:rsidRPr="0035160C">
        <w:lastRenderedPageBreak/>
        <w:t xml:space="preserve">Działania w zakresie realizacji NCW przyczyniają się do powszechniejszego stosowania odnawialnych nośników energii, bezpośrednio do zmniejszenia wydobycia surowców ropopochodnych i emisji związanych z etapem wydobycia i przetworzenia np.: procesu emisji gazów z odwiertów i tzw. „flaring”, czy też z transportu dużych wolumenów paliw (ON, PB) do miejsca ich finalnego zużycia. </w:t>
      </w:r>
    </w:p>
    <w:p w14:paraId="2ABFF704" w14:textId="77777777" w:rsidR="00E212F5" w:rsidRPr="0035160C" w:rsidRDefault="00E212F5" w:rsidP="00FB1BC3">
      <w:pPr>
        <w:spacing w:after="0"/>
        <w:jc w:val="both"/>
      </w:pPr>
      <w:r w:rsidRPr="0035160C">
        <w:t>Prace rozwojowe dotyczące zmniejszenia uciążliwości z sektora transportu i ochrony powietrza koncentrują się na kilku podstawowych elementach:</w:t>
      </w:r>
    </w:p>
    <w:p w14:paraId="2174265A" w14:textId="77777777" w:rsidR="00E212F5" w:rsidRPr="0035160C" w:rsidRDefault="00E212F5" w:rsidP="00FB1BC3">
      <w:pPr>
        <w:numPr>
          <w:ilvl w:val="0"/>
          <w:numId w:val="56"/>
        </w:numPr>
        <w:spacing w:after="0"/>
        <w:jc w:val="both"/>
      </w:pPr>
      <w:r w:rsidRPr="0035160C">
        <w:t xml:space="preserve">zmniejszeniu emisji z obecnie używanych paliw transportowych; </w:t>
      </w:r>
    </w:p>
    <w:p w14:paraId="7FF0129F" w14:textId="77777777" w:rsidR="00E212F5" w:rsidRPr="0035160C" w:rsidRDefault="00E212F5" w:rsidP="00FB1BC3">
      <w:pPr>
        <w:numPr>
          <w:ilvl w:val="0"/>
          <w:numId w:val="56"/>
        </w:numPr>
        <w:spacing w:after="0"/>
        <w:jc w:val="both"/>
      </w:pPr>
      <w:r w:rsidRPr="0035160C">
        <w:t>dywersyfikacji i poszerzeniu portfela biokomponentów i biopaliw stosowanych w transporcie;</w:t>
      </w:r>
    </w:p>
    <w:p w14:paraId="0FD485A6" w14:textId="18676715" w:rsidR="00E212F5" w:rsidRPr="0035160C" w:rsidRDefault="00E212F5" w:rsidP="00FB1BC3">
      <w:pPr>
        <w:numPr>
          <w:ilvl w:val="0"/>
          <w:numId w:val="56"/>
        </w:numPr>
        <w:spacing w:after="0"/>
        <w:jc w:val="both"/>
      </w:pPr>
      <w:r w:rsidRPr="0035160C">
        <w:t>wsparciu realizacji ww. działań poprzez promocję stosowania niskoemisyjnych alternatyw.</w:t>
      </w:r>
    </w:p>
    <w:p w14:paraId="1DD29A40" w14:textId="27020FAA" w:rsidR="00E212F5" w:rsidRPr="0035160C" w:rsidRDefault="00E212F5" w:rsidP="00FB1BC3">
      <w:pPr>
        <w:spacing w:before="120" w:after="120"/>
        <w:jc w:val="both"/>
      </w:pPr>
      <w:r w:rsidRPr="0035160C">
        <w:t xml:space="preserve">Jednym z możliwych kierunków działań jest możliwość zwiększania udziału odnawialnych, niskoemisyjnych odpowiedników paliw transportowych w ramach tzw. blending’u, tj. dodawania: bioetanolu czy estrów do paliw – co jest obecnie masowo stosowane (wolumen 2020 r.: etOH 254 tys. ton; estry 1 218 tys. ton), pozwoliło na realizację 5,2% NCW względem założonego 8,5% celu. Zakładane jest dalsze stosowanie i upowszechniane ww. biokomponentów, w tym rozwój standardu paliwa E10 (wzorem </w:t>
      </w:r>
      <w:r w:rsidR="00EB5311">
        <w:t xml:space="preserve">państw członkowskich </w:t>
      </w:r>
      <w:r w:rsidRPr="0035160C">
        <w:t xml:space="preserve"> U</w:t>
      </w:r>
      <w:r w:rsidR="00EB5311">
        <w:t xml:space="preserve">nii </w:t>
      </w:r>
      <w:r w:rsidRPr="0035160C">
        <w:t>E</w:t>
      </w:r>
      <w:r w:rsidR="00EB5311">
        <w:t>uropejskiej</w:t>
      </w:r>
      <w:r w:rsidRPr="0035160C">
        <w:t xml:space="preserve">) zwiększającego wykorzystanie niskoemisyjnego bioetanolu. </w:t>
      </w:r>
    </w:p>
    <w:p w14:paraId="0D645C15" w14:textId="7F29AC37" w:rsidR="00E212F5" w:rsidRPr="0035160C" w:rsidRDefault="00E212F5" w:rsidP="00E212F5">
      <w:pPr>
        <w:jc w:val="both"/>
      </w:pPr>
      <w:r w:rsidRPr="0035160C">
        <w:t>Kolejnym działaniem jest możliwość komponowania paliw z dodatkiem niskoemisyjnych zamienników, tj.  biowęglowodorów – przy czym nie są one obecnie powszechnie stosowane w kraju (wolumen: 2</w:t>
      </w:r>
      <w:r w:rsidR="00FB1BC3">
        <w:t> </w:t>
      </w:r>
      <w:r w:rsidRPr="0035160C">
        <w:t>141 ton)</w:t>
      </w:r>
      <w:r w:rsidR="00EB5311">
        <w:t>.</w:t>
      </w:r>
      <w:r w:rsidRPr="0035160C">
        <w:t xml:space="preserve"> </w:t>
      </w:r>
      <w:r w:rsidR="00EB5311">
        <w:t>N</w:t>
      </w:r>
      <w:r w:rsidRPr="0035160C">
        <w:t>iemniej podejmowane są działania zmierzają do upowszechnienia ich stosowania m.in. w</w:t>
      </w:r>
      <w:r w:rsidR="00FB1BC3">
        <w:t> </w:t>
      </w:r>
      <w:r w:rsidRPr="0035160C">
        <w:t xml:space="preserve">ramach prac wdrażających dyrektywę RED II w ustawie z dnia 25 sierpnia 2006 r. </w:t>
      </w:r>
      <w:r w:rsidRPr="0035160C">
        <w:rPr>
          <w:i/>
          <w:iCs/>
        </w:rPr>
        <w:t>o biokomponentach i biopaliwach ciekłych</w:t>
      </w:r>
      <w:r w:rsidRPr="0035160C">
        <w:t>.</w:t>
      </w:r>
      <w:r w:rsidRPr="0035160C">
        <w:tab/>
      </w:r>
    </w:p>
    <w:p w14:paraId="5E2D45ED" w14:textId="071AE190" w:rsidR="00E212F5" w:rsidRPr="0035160C" w:rsidRDefault="00E212F5" w:rsidP="00E212F5">
      <w:pPr>
        <w:jc w:val="both"/>
      </w:pPr>
      <w:r w:rsidRPr="0035160C">
        <w:t xml:space="preserve">Ponadto kontynuowane i rozwijane są działania zmierzające do stosowania biometanu (zamiast gazu ziemnego GZ) w procesach rafineryjnych prowadzących do powstania paliw ciekłych. Działania te </w:t>
      </w:r>
      <w:r w:rsidR="00DC0847" w:rsidRPr="00DC0847">
        <w:t xml:space="preserve">będą  umocowane w ww. ustawie w ramach implementacji </w:t>
      </w:r>
      <w:r w:rsidR="00CE253B">
        <w:t xml:space="preserve">dyrektywy </w:t>
      </w:r>
      <w:r w:rsidR="00DC0847" w:rsidRPr="00DC0847">
        <w:t xml:space="preserve">REDII. </w:t>
      </w:r>
    </w:p>
    <w:p w14:paraId="08580EDF" w14:textId="5129C438" w:rsidR="00862E8E" w:rsidRPr="00862E8E" w:rsidRDefault="00E212F5" w:rsidP="00862E8E">
      <w:pPr>
        <w:jc w:val="both"/>
      </w:pPr>
      <w:r w:rsidRPr="0035160C">
        <w:t>Rozważane jest także stosowanie i promowanie innych form wodoru odnawialnego dla celów paliwowych np. pochodzenia elektrolitycznego z OZE</w:t>
      </w:r>
      <w:r w:rsidR="00862E8E">
        <w:t>.</w:t>
      </w:r>
      <w:r w:rsidR="00862E8E" w:rsidRPr="00862E8E">
        <w:t xml:space="preserve"> Te kierunki działań wymagają rozwiązań na poziomie U</w:t>
      </w:r>
      <w:r w:rsidR="00EB5311">
        <w:t xml:space="preserve">nii </w:t>
      </w:r>
      <w:r w:rsidR="00862E8E" w:rsidRPr="00862E8E">
        <w:t>E</w:t>
      </w:r>
      <w:r w:rsidR="00EB5311">
        <w:t>uropejskiej</w:t>
      </w:r>
      <w:r w:rsidR="00862E8E" w:rsidRPr="00862E8E">
        <w:t xml:space="preserve">, gdyż są nowe – dla ich rozwoju należy określić ramy możliwego wsparcia. </w:t>
      </w:r>
    </w:p>
    <w:p w14:paraId="3BE0D7CD" w14:textId="38BEF130" w:rsidR="00E212F5" w:rsidRPr="0035160C" w:rsidRDefault="00E212F5" w:rsidP="00E212F5">
      <w:pPr>
        <w:jc w:val="both"/>
      </w:pPr>
      <w:r w:rsidRPr="0035160C">
        <w:t xml:space="preserve">Kolejnym z kierunków działań jest poszerzenie portfela biopaliw i biokomponentów stosowanych </w:t>
      </w:r>
      <w:r w:rsidRPr="0035160C">
        <w:br/>
        <w:t xml:space="preserve">w transporcie, które mogą wielkoskalowo zastępować obecnie stosowane emisyjne paliwa ropopochodne. </w:t>
      </w:r>
    </w:p>
    <w:p w14:paraId="3BC3A2F9" w14:textId="77777777" w:rsidR="00E212F5" w:rsidRPr="0035160C" w:rsidRDefault="00E212F5" w:rsidP="00E212F5">
      <w:pPr>
        <w:jc w:val="both"/>
      </w:pPr>
      <w:r w:rsidRPr="0035160C">
        <w:t xml:space="preserve">Jednym z unikatowych na rynku UE rozwiązań jest powszechne stosowanie paliwa gazowego o niższej jednostkowej emisji gazów cieplarnianych jakim jest LPG – produkt przetwarzania ropy naftowej. Jego stosowanie, jako zamiennika paliw ciekłych przyczynia się istotnie do obniżenia emisji z transportu. </w:t>
      </w:r>
    </w:p>
    <w:p w14:paraId="5B4FF994" w14:textId="77777777" w:rsidR="00E212F5" w:rsidRPr="0035160C" w:rsidRDefault="00E212F5" w:rsidP="00E212F5">
      <w:pPr>
        <w:jc w:val="both"/>
      </w:pPr>
      <w:r w:rsidRPr="0035160C">
        <w:t>Ten kierunek rozwoju, tj. zastępowanie paliw ciekłych paliwami gazowymi o zerowej emisji cząstek stałych, niższej emisji NO</w:t>
      </w:r>
      <w:r w:rsidRPr="0035160C">
        <w:rPr>
          <w:vertAlign w:val="subscript"/>
        </w:rPr>
        <w:t>x</w:t>
      </w:r>
      <w:r w:rsidRPr="0035160C">
        <w:t xml:space="preserve"> jest również podjęty w działaniach zmierzających do promocji wykorzystania metanu w postaci LNG/CNG, gdyż rozwój floty i infrastruktury umożliwi w przyszłości bezpośrednie zastosowanie biometanu wytwarzanego lokalnie, jako odnawialnego paliwa gazowego zastępującego GZ – w postaci bioCNG/bioLNG. </w:t>
      </w:r>
    </w:p>
    <w:p w14:paraId="26269BC7" w14:textId="77777777" w:rsidR="00E212F5" w:rsidRPr="0035160C" w:rsidRDefault="00E212F5" w:rsidP="00E212F5">
      <w:pPr>
        <w:jc w:val="both"/>
      </w:pPr>
      <w:r w:rsidRPr="0035160C">
        <w:t xml:space="preserve">Możliwość stosowania odnawialnych zamienników emisyjnych paliw tradycyjnych jest uwarukowana możliwościami podaży zrównoważonego surowca dla potrzeb paliwowych, tj. spełniającego Kryteria Zrównoważonego Rozwoju (KZR), w tym ograniczenia emisji GHG, zapewnienia dostępności konkurencyjnych cenowo alternatyw, ale też możliwościami logistycznymi związanymi </w:t>
      </w:r>
      <w:r w:rsidRPr="0035160C">
        <w:br/>
      </w:r>
      <w:r w:rsidRPr="0035160C">
        <w:lastRenderedPageBreak/>
        <w:t xml:space="preserve">z magazynowaniem. Te uwarunkowania kształtują możliwości wykorzystania innych alternatywnych nośników dla transportu opartych np. o odpady i pozostałości. </w:t>
      </w:r>
    </w:p>
    <w:p w14:paraId="651BE416" w14:textId="210F6A90" w:rsidR="00E212F5" w:rsidRPr="0035160C" w:rsidRDefault="00E212F5" w:rsidP="00E212F5">
      <w:pPr>
        <w:jc w:val="both"/>
      </w:pPr>
      <w:r w:rsidRPr="0035160C">
        <w:t xml:space="preserve">Wykorzystywanie alternatywnych niskoemisyjnych paliw zwiększa elastyczność możliwych działań redukcyjnych i przybliża możliwości </w:t>
      </w:r>
      <w:r w:rsidR="00862E8E" w:rsidRPr="00862E8E">
        <w:t>ograniczenia</w:t>
      </w:r>
      <w:r w:rsidRPr="0035160C">
        <w:t xml:space="preserve"> wpływu emisji na zmiany klimatyczne. </w:t>
      </w:r>
    </w:p>
    <w:p w14:paraId="70205FBE" w14:textId="2AB70B75" w:rsidR="00E212F5" w:rsidRPr="0035160C" w:rsidRDefault="00E212F5" w:rsidP="00E212F5">
      <w:pPr>
        <w:jc w:val="both"/>
      </w:pPr>
      <w:r w:rsidRPr="0035160C">
        <w:t xml:space="preserve">Zgodnie z postanowieniem Dyrektywy RED II </w:t>
      </w:r>
      <w:r w:rsidR="00410A14">
        <w:t>p</w:t>
      </w:r>
      <w:r w:rsidRPr="0035160C">
        <w:t xml:space="preserve">aństwa </w:t>
      </w:r>
      <w:r w:rsidR="00410A14">
        <w:t>c</w:t>
      </w:r>
      <w:r w:rsidRPr="0035160C">
        <w:t xml:space="preserve">złonkowskie </w:t>
      </w:r>
      <w:r w:rsidR="00410A14">
        <w:t>Unii</w:t>
      </w:r>
      <w:r w:rsidRPr="0035160C">
        <w:t xml:space="preserve"> mogą wykorzystywać </w:t>
      </w:r>
      <w:r w:rsidRPr="0035160C">
        <w:br/>
        <w:t>w obliczaniu udziału energii odnawialnej w końcowym zużyciu energii w sektorze transportu pochodzące z recyklingu paliwa węglowe. Ta propozycja K</w:t>
      </w:r>
      <w:r w:rsidR="00410A14">
        <w:t xml:space="preserve">omisji </w:t>
      </w:r>
      <w:r w:rsidRPr="0035160C">
        <w:t>E</w:t>
      </w:r>
      <w:r w:rsidR="00410A14">
        <w:t>uropejskiej</w:t>
      </w:r>
      <w:r w:rsidRPr="0035160C">
        <w:t xml:space="preserve"> zostanie wykorzystana w propozycji zapisów ustawy określającej cele do roku 2030, gdyż pozwala na szersze wykorzystanie ciekłych i stałych strumieni odpadów, które nie nadają się do odzysku czy gazów odlotowych z procesów technologicznych i gazów spalinowych – co jest związane z potrzebą budowy gospodarki</w:t>
      </w:r>
      <w:r w:rsidR="00410A14">
        <w:t xml:space="preserve"> o obiegu zamkniętym</w:t>
      </w:r>
      <w:r w:rsidRPr="0035160C">
        <w:t xml:space="preserve">. </w:t>
      </w:r>
    </w:p>
    <w:p w14:paraId="6D154394" w14:textId="28A04B2B" w:rsidR="00E212F5" w:rsidRPr="0035160C" w:rsidRDefault="00E212F5" w:rsidP="00E212F5">
      <w:pPr>
        <w:jc w:val="both"/>
      </w:pPr>
      <w:r w:rsidRPr="0035160C">
        <w:t xml:space="preserve">Zwiększenie powszechności masowego stosowania alternatywnych niskoemisyjnych paliw transportowych wymaga koordynacji działań – zarówno pod względem zapewnienia podaży niskoemisyjnych nośników energii dla transportu, możliwości logistycznych ich dystrybucji, jak też zapewnienia popytu ze strony odbiorców poprzez zapewnienie odpowiedniej floty pojazdów.  </w:t>
      </w:r>
    </w:p>
    <w:p w14:paraId="63CE84E4" w14:textId="57FD0D89" w:rsidR="00E212F5" w:rsidRPr="0035160C" w:rsidRDefault="00E212F5" w:rsidP="0021115B">
      <w:pPr>
        <w:spacing w:after="0"/>
        <w:jc w:val="both"/>
      </w:pPr>
      <w:r w:rsidRPr="0035160C">
        <w:t xml:space="preserve">W ramach wdrożenia </w:t>
      </w:r>
      <w:r w:rsidR="00231AE5">
        <w:t xml:space="preserve">dyrektywy </w:t>
      </w:r>
      <w:r w:rsidRPr="0035160C">
        <w:t xml:space="preserve">RED II  planowane jest osiągnięcie min. 14% udziału OZE w 2030 r., co wydaje się możliwe pod warunkiem zaadresowania kilku zasadniczych kwestii, w tym: </w:t>
      </w:r>
      <w:r w:rsidRPr="0035160C">
        <w:tab/>
      </w:r>
    </w:p>
    <w:p w14:paraId="04CD100C" w14:textId="77777777" w:rsidR="00E212F5" w:rsidRPr="0035160C" w:rsidRDefault="00E212F5" w:rsidP="00CA3BB7">
      <w:pPr>
        <w:numPr>
          <w:ilvl w:val="0"/>
          <w:numId w:val="57"/>
        </w:numPr>
        <w:spacing w:after="0"/>
        <w:jc w:val="both"/>
      </w:pPr>
      <w:r w:rsidRPr="0035160C">
        <w:t xml:space="preserve">określenia obowiązków w zakresie stosowania biokomponentów, biopaliw ciekłych oraz innych niskoemisyjnych, odnawialnych nośników energii dla transportu; </w:t>
      </w:r>
      <w:r w:rsidRPr="0035160C">
        <w:tab/>
      </w:r>
    </w:p>
    <w:p w14:paraId="49ED6171" w14:textId="77777777" w:rsidR="00E212F5" w:rsidRPr="0035160C" w:rsidRDefault="00E212F5" w:rsidP="00CA3BB7">
      <w:pPr>
        <w:numPr>
          <w:ilvl w:val="0"/>
          <w:numId w:val="57"/>
        </w:numPr>
        <w:spacing w:after="0"/>
        <w:jc w:val="both"/>
      </w:pPr>
      <w:r w:rsidRPr="0035160C">
        <w:t xml:space="preserve">określenia form wsparcia nowych i innowacyjnych odnawialnych nośników energii, np. </w:t>
      </w:r>
      <w:r w:rsidRPr="0035160C">
        <w:br/>
        <w:t xml:space="preserve">w ramach funduszy celowych zgromadzonych na rachunku NFOŚiGW; </w:t>
      </w:r>
    </w:p>
    <w:p w14:paraId="32C01806" w14:textId="77777777" w:rsidR="00E212F5" w:rsidRPr="0035160C" w:rsidRDefault="00E212F5" w:rsidP="00CA3BB7">
      <w:pPr>
        <w:numPr>
          <w:ilvl w:val="0"/>
          <w:numId w:val="57"/>
        </w:numPr>
        <w:spacing w:after="0"/>
        <w:jc w:val="both"/>
      </w:pPr>
      <w:r w:rsidRPr="0035160C">
        <w:t xml:space="preserve">rozwoju infrastruktury i floty pojazdów alternatywnych; </w:t>
      </w:r>
    </w:p>
    <w:p w14:paraId="0A9E9A6F" w14:textId="6A5AEE26" w:rsidR="00E212F5" w:rsidRPr="0035160C" w:rsidRDefault="00E212F5" w:rsidP="00CA3BB7">
      <w:pPr>
        <w:numPr>
          <w:ilvl w:val="0"/>
          <w:numId w:val="57"/>
        </w:numPr>
        <w:spacing w:after="0"/>
        <w:jc w:val="both"/>
      </w:pPr>
      <w:r w:rsidRPr="0035160C">
        <w:t xml:space="preserve">zwiększenia roli el.-mobilności (e.e.o.) w realizacji celów OZE w transporcie (RES-T), </w:t>
      </w:r>
      <w:r w:rsidRPr="0035160C">
        <w:br/>
        <w:t xml:space="preserve">w zakresie stosowania energii OZE zarówno w transporcie drogowym, jak i kolejowym. </w:t>
      </w:r>
    </w:p>
    <w:p w14:paraId="24037123" w14:textId="6777CCEF" w:rsidR="00E212F5" w:rsidRPr="0035160C" w:rsidRDefault="00E212F5" w:rsidP="007769F1">
      <w:pPr>
        <w:spacing w:before="120" w:after="120"/>
        <w:jc w:val="both"/>
      </w:pPr>
      <w:r w:rsidRPr="0035160C">
        <w:t xml:space="preserve">Pełne wdrożenie postanowień </w:t>
      </w:r>
      <w:r w:rsidRPr="00F546FF">
        <w:t>dyrektywy REDII</w:t>
      </w:r>
      <w:r w:rsidRPr="0035160C">
        <w:t xml:space="preserve">, w tym w ustawie z dnia 25 sierpnia 2006 r. </w:t>
      </w:r>
      <w:r w:rsidRPr="0035160C">
        <w:br/>
      </w:r>
      <w:r w:rsidRPr="0035160C">
        <w:rPr>
          <w:i/>
          <w:iCs/>
        </w:rPr>
        <w:t>o biokomponentach i biopaliwach ciekłych</w:t>
      </w:r>
      <w:r w:rsidRPr="0035160C">
        <w:t>, stworzy możliwość realnego osiągnięcia celu w zaplanowanej perspektywie 2030 roku, tj. perspektywie planowania celów Narodowego Celu Wskaźnikowego.</w:t>
      </w:r>
    </w:p>
    <w:p w14:paraId="33181872" w14:textId="5653037F" w:rsidR="00E212F5" w:rsidRPr="0035160C" w:rsidRDefault="00E212F5" w:rsidP="007769F1">
      <w:pPr>
        <w:spacing w:after="0"/>
        <w:jc w:val="both"/>
      </w:pPr>
      <w:r w:rsidRPr="0035160C">
        <w:t xml:space="preserve">Nadmienić należy, że ww. działania są wpisane i wynikają z przyjętych polityk długoterminowych, </w:t>
      </w:r>
      <w:r w:rsidRPr="0035160C">
        <w:br/>
        <w:t>w tym w ramach strategii PEP2040, w zakresie m.in.:</w:t>
      </w:r>
    </w:p>
    <w:p w14:paraId="3E6E8C64" w14:textId="77777777" w:rsidR="00E212F5" w:rsidRPr="0035160C" w:rsidRDefault="00E212F5" w:rsidP="00CA3BB7">
      <w:pPr>
        <w:numPr>
          <w:ilvl w:val="0"/>
          <w:numId w:val="58"/>
        </w:numPr>
        <w:spacing w:after="0"/>
        <w:jc w:val="both"/>
      </w:pPr>
      <w:r w:rsidRPr="0035160C">
        <w:t>zmniejszania popytu na importowaną ropę i gaz ziemny;</w:t>
      </w:r>
    </w:p>
    <w:p w14:paraId="320CB8A6" w14:textId="77777777" w:rsidR="00E212F5" w:rsidRPr="0035160C" w:rsidRDefault="00E212F5" w:rsidP="00CA3BB7">
      <w:pPr>
        <w:numPr>
          <w:ilvl w:val="0"/>
          <w:numId w:val="58"/>
        </w:numPr>
        <w:spacing w:after="0"/>
        <w:jc w:val="both"/>
      </w:pPr>
      <w:r w:rsidRPr="0035160C">
        <w:t>wzrostu znaczenia biopaliw i paliw alternatywnych, w tym: e.e.o., (bio)LNG/CNG, biometanu, wodoru;</w:t>
      </w:r>
    </w:p>
    <w:p w14:paraId="2D149212" w14:textId="77777777" w:rsidR="00E212F5" w:rsidRPr="0035160C" w:rsidRDefault="00E212F5" w:rsidP="00CA3BB7">
      <w:pPr>
        <w:numPr>
          <w:ilvl w:val="0"/>
          <w:numId w:val="58"/>
        </w:numPr>
        <w:spacing w:after="0"/>
        <w:jc w:val="both"/>
      </w:pPr>
      <w:r w:rsidRPr="0035160C">
        <w:t>wykorzystania surowców pozyskiwanych ze źródeł w minimalnej odległości od wytworzenia;</w:t>
      </w:r>
    </w:p>
    <w:p w14:paraId="3F353309" w14:textId="441FC951" w:rsidR="00E212F5" w:rsidRPr="0035160C" w:rsidRDefault="00E212F5" w:rsidP="00CA3BB7">
      <w:pPr>
        <w:numPr>
          <w:ilvl w:val="0"/>
          <w:numId w:val="58"/>
        </w:numPr>
        <w:spacing w:after="0"/>
        <w:jc w:val="both"/>
      </w:pPr>
      <w:r w:rsidRPr="0035160C">
        <w:t>zmniejszeni</w:t>
      </w:r>
      <w:r w:rsidR="00754F07">
        <w:t>a</w:t>
      </w:r>
      <w:r w:rsidRPr="0035160C">
        <w:t xml:space="preserve"> emisji ze składowania odpadów, np. poprzez  ich zagospodarowanie na cele paliwowe.</w:t>
      </w:r>
    </w:p>
    <w:p w14:paraId="76F3AE1E" w14:textId="79FDD69F" w:rsidR="00E212F5" w:rsidRPr="0035160C" w:rsidRDefault="00E212F5" w:rsidP="00E212F5">
      <w:pPr>
        <w:jc w:val="both"/>
      </w:pPr>
      <w:r w:rsidRPr="0035160C">
        <w:t xml:space="preserve">Przepisy ustawy z dnia 25 sierpnia 2006 r. </w:t>
      </w:r>
      <w:r w:rsidRPr="0035160C">
        <w:rPr>
          <w:i/>
          <w:iCs/>
        </w:rPr>
        <w:t>o systemie monitorowania i kontrolowania jakości paliw</w:t>
      </w:r>
      <w:r w:rsidRPr="0035160C">
        <w:t xml:space="preserve"> regulują kwestię realizacji Narodowego Celu Redukcyjnego (NCR), tj. obowiązku osiągnięcia minimalnej wartości ograniczenia emisji gazów cieplarnianych z paliw zużywanych w transporcie. Minimalna wartość ograniczenia emisji gazów cieplarnianych do dnia 31 grudnia 2020 r. powinna wynieść 6%, w stosunku do emisji gazów cieplarnianych w przeliczeniu na jednostkę energii z 2010 r. (94,1 gCO</w:t>
      </w:r>
      <w:r w:rsidRPr="005E0AD9">
        <w:rPr>
          <w:vertAlign w:val="subscript"/>
        </w:rPr>
        <w:t>2</w:t>
      </w:r>
      <w:r w:rsidRPr="0035160C">
        <w:t xml:space="preserve">eq/MJ), a osiągnięty cel należy utrzymać na tym samym lub wyższym poziomie </w:t>
      </w:r>
      <w:r w:rsidRPr="0035160C">
        <w:br/>
        <w:t>w kolejnych latach.</w:t>
      </w:r>
    </w:p>
    <w:p w14:paraId="7D6BAA88" w14:textId="77777777" w:rsidR="00E212F5" w:rsidRPr="0035160C" w:rsidRDefault="00E212F5" w:rsidP="00E212F5">
      <w:pPr>
        <w:jc w:val="both"/>
      </w:pPr>
      <w:r w:rsidRPr="0035160C">
        <w:lastRenderedPageBreak/>
        <w:t xml:space="preserve">Obowiązek realizacji NCR ciąży na podmiotach wytwarzających i dokonujących obrotu paliwami przeznaczonymi na cele transportowe. W chwili obecnej głównymi instrumentami wykorzystywanymi do realizacji NCR są biokomponenty dodawane do benzyn silnikowych oraz oleju napędowego oraz gaz skroplony (LPG). </w:t>
      </w:r>
    </w:p>
    <w:p w14:paraId="267A2A81" w14:textId="5BF3A9D5" w:rsidR="00E212F5" w:rsidRPr="0035160C" w:rsidRDefault="00E212F5" w:rsidP="00E212F5">
      <w:pPr>
        <w:jc w:val="both"/>
      </w:pPr>
      <w:r w:rsidRPr="0035160C">
        <w:t xml:space="preserve">Podmioty zobowiązane do realizacji NCR mają również możliwość korzystania z innych instrumentów takich jak sprężony gaz ziemny (CNG), skroplony gaz ziemny (LNG), czy też energia elektryczna stosowana w pojazdach samochodowych. Niemniej jednak, z uwagi na mało rozwinięty rynek gazomogilności i elektromobilności oraz wysoki wskaźnik emisji gazów cieplarnianych przypisany energii elektrycznej paliwa te nie są </w:t>
      </w:r>
      <w:r w:rsidR="00862E8E">
        <w:t>obecnie</w:t>
      </w:r>
      <w:r w:rsidR="00862E8E" w:rsidRPr="0035160C">
        <w:t xml:space="preserve"> </w:t>
      </w:r>
      <w:r w:rsidRPr="0035160C">
        <w:t>wykorzystywane do realizacji NCR.</w:t>
      </w:r>
    </w:p>
    <w:p w14:paraId="37BD5D86" w14:textId="49BA1021" w:rsidR="00E212F5" w:rsidRPr="0035160C" w:rsidRDefault="00E212F5" w:rsidP="00E212F5">
      <w:pPr>
        <w:jc w:val="both"/>
      </w:pPr>
      <w:r w:rsidRPr="0035160C">
        <w:t>Uwzględniając, że NCR jest obowiązkiem długookresowym, przewiduje się, że w najbliższych latach wykorzystanie gazu ziemnego i energii elektrycznej do realizacji tego obowiązku zyska na znaczeniu. Po pierwsze przyczyni się do tego wzrost wykorzystania gazu ziemnego w transporcie spowodowany postępującym</w:t>
      </w:r>
      <w:r w:rsidR="00410A14">
        <w:t>,</w:t>
      </w:r>
      <w:r w:rsidRPr="0035160C">
        <w:t xml:space="preserve"> stopniowym zwiększeniem liczby dostępnych punktów tankowania gazu ziemnego </w:t>
      </w:r>
      <w:r w:rsidRPr="0035160C">
        <w:br/>
        <w:t>w postaci CNG, LNG oraz liczby pojazdów zasilanych tego rodzaju paliwem. Po drugie, wzrost udziału energii elektrycznej pochodzącej z odnawialnych źródeł energii w miksie energetycznym będzie stawiał w coraz lepszym świetle energię elektryczną stosowaną w pojazdach samochodowych i będzie ona wykorzystywana przez podmioty do realizacji NCR.</w:t>
      </w:r>
    </w:p>
    <w:p w14:paraId="3C79F9F6" w14:textId="2A1ABDF7" w:rsidR="006424CE" w:rsidRPr="0035160C" w:rsidRDefault="00E212F5" w:rsidP="00E212F5">
      <w:pPr>
        <w:jc w:val="both"/>
      </w:pPr>
      <w:r w:rsidRPr="0035160C">
        <w:t>Obowiązek realizacji NCR przynosi i będzie przynosił w kolejnych latach wymierne efekty w postaci ograniczania emisji gazów cieplarnianych (dwutlenek węgla, podtlenek azotu, metan,) z paliw zużywanych w transporcie, tym samym zmniejszał wpływ sektora transportu na środowisko</w:t>
      </w:r>
      <w:r w:rsidR="005E0AD9">
        <w:t xml:space="preserve"> jako całość</w:t>
      </w:r>
      <w:r w:rsidRPr="0035160C">
        <w:t>.</w:t>
      </w:r>
    </w:p>
    <w:p w14:paraId="56517814" w14:textId="5363CBD0" w:rsidR="006424CE" w:rsidRPr="0035160C" w:rsidRDefault="006424CE" w:rsidP="006424CE">
      <w:pPr>
        <w:spacing w:line="276" w:lineRule="auto"/>
        <w:jc w:val="both"/>
        <w:rPr>
          <w:rFonts w:cs="Times New Roman"/>
        </w:rPr>
      </w:pPr>
      <w:r w:rsidRPr="0035160C">
        <w:rPr>
          <w:rFonts w:cs="Times New Roman"/>
        </w:rPr>
        <w:t xml:space="preserve">Działania mające na celu ograniczenie emisji zanieczyszczeń do powietrza, w tym przede wszystkim emisji NOx pochodzącej z sektora transportu drogowego powinny być realizowane na wszystkich szczeblach zarządzania jakością powietrza i powinny one uwzględniać działania zarówno o charakterze legislacyjnym, jak i edukacyjno-promocyjnym, czy też być ukierunkowane na zmniejszenie emisyjności pojazdów, promowanie niskoemisyjnych pojazdów, w tym elektrycznych i wodorowych zarówno </w:t>
      </w:r>
      <w:r w:rsidR="00862E8E" w:rsidRPr="00862E8E">
        <w:rPr>
          <w:rFonts w:cs="Times New Roman"/>
        </w:rPr>
        <w:t xml:space="preserve">w ramach transportu </w:t>
      </w:r>
      <w:r w:rsidRPr="0035160C">
        <w:rPr>
          <w:rFonts w:cs="Times New Roman"/>
        </w:rPr>
        <w:t>indywidulanego</w:t>
      </w:r>
      <w:r w:rsidR="00862E8E">
        <w:rPr>
          <w:rFonts w:cs="Times New Roman"/>
        </w:rPr>
        <w:t>,</w:t>
      </w:r>
      <w:r w:rsidRPr="0035160C">
        <w:rPr>
          <w:rFonts w:cs="Times New Roman"/>
        </w:rPr>
        <w:t xml:space="preserve"> jak i zbiorowego. </w:t>
      </w:r>
    </w:p>
    <w:p w14:paraId="0E786F76" w14:textId="77777777" w:rsidR="006424CE" w:rsidRPr="0035160C" w:rsidRDefault="006424CE" w:rsidP="006424CE">
      <w:pPr>
        <w:spacing w:before="120" w:after="120" w:line="276" w:lineRule="auto"/>
        <w:jc w:val="both"/>
        <w:rPr>
          <w:b/>
          <w:bCs/>
          <w:color w:val="2F5496" w:themeColor="accent1" w:themeShade="BF"/>
        </w:rPr>
      </w:pPr>
      <w:r w:rsidRPr="0035160C">
        <w:rPr>
          <w:b/>
          <w:bCs/>
          <w:color w:val="2F5496" w:themeColor="accent1" w:themeShade="BF"/>
        </w:rPr>
        <w:t>Wśród działań legislacyjnych należy wymienić:</w:t>
      </w:r>
    </w:p>
    <w:p w14:paraId="3D58AD53" w14:textId="77777777" w:rsidR="006424CE" w:rsidRPr="0035160C" w:rsidRDefault="006424CE" w:rsidP="00CA3BB7">
      <w:pPr>
        <w:numPr>
          <w:ilvl w:val="0"/>
          <w:numId w:val="29"/>
        </w:numPr>
        <w:spacing w:before="120" w:after="0"/>
        <w:ind w:left="714" w:hanging="357"/>
        <w:jc w:val="both"/>
        <w:rPr>
          <w:rFonts w:cs="Times New Roman"/>
          <w:i/>
          <w:iCs/>
        </w:rPr>
      </w:pPr>
      <w:r w:rsidRPr="0035160C">
        <w:rPr>
          <w:rFonts w:eastAsia="+mj-ea" w:cs="Times New Roman"/>
          <w:kern w:val="24"/>
        </w:rPr>
        <w:t xml:space="preserve">pilne zakończenie prac legislacyjnych projektu ustawy </w:t>
      </w:r>
      <w:r w:rsidRPr="0035160C">
        <w:rPr>
          <w:rFonts w:eastAsia="+mj-ea" w:cs="Times New Roman"/>
          <w:i/>
          <w:iCs/>
          <w:kern w:val="24"/>
        </w:rPr>
        <w:t>o zmianie ustawy</w:t>
      </w:r>
      <w:r w:rsidRPr="0035160C">
        <w:rPr>
          <w:rFonts w:eastAsia="+mj-ea" w:cs="Times New Roman"/>
          <w:kern w:val="24"/>
        </w:rPr>
        <w:t xml:space="preserve"> </w:t>
      </w:r>
      <w:r w:rsidRPr="0035160C">
        <w:rPr>
          <w:rFonts w:eastAsia="+mj-ea" w:cs="Times New Roman"/>
          <w:i/>
          <w:iCs/>
          <w:kern w:val="24"/>
        </w:rPr>
        <w:t>o elektromobilności</w:t>
      </w:r>
      <w:r w:rsidRPr="0035160C">
        <w:rPr>
          <w:rFonts w:eastAsia="+mj-ea" w:cs="Times New Roman"/>
          <w:i/>
          <w:iCs/>
          <w:kern w:val="24"/>
        </w:rPr>
        <w:br/>
        <w:t xml:space="preserve"> i paliwach alternatywnych oraz niektórych innych ustaw,</w:t>
      </w:r>
    </w:p>
    <w:p w14:paraId="3489AAD0" w14:textId="09711444" w:rsidR="00862E8E" w:rsidRDefault="00862E8E" w:rsidP="00CA3BB7">
      <w:pPr>
        <w:numPr>
          <w:ilvl w:val="0"/>
          <w:numId w:val="29"/>
        </w:numPr>
        <w:spacing w:before="120" w:after="0"/>
        <w:ind w:left="714" w:hanging="357"/>
        <w:jc w:val="both"/>
        <w:rPr>
          <w:rFonts w:eastAsia="+mj-ea" w:cs="Times New Roman"/>
          <w:kern w:val="24"/>
        </w:rPr>
      </w:pPr>
      <w:r w:rsidRPr="00862E8E">
        <w:rPr>
          <w:rFonts w:eastAsia="+mj-ea" w:cs="Times New Roman"/>
          <w:kern w:val="24"/>
        </w:rPr>
        <w:t>zmianę przepisów ustawy o systemie monitorowania i kontrolowania jakości paliw</w:t>
      </w:r>
      <w:r>
        <w:rPr>
          <w:rFonts w:eastAsia="+mj-ea" w:cs="Times New Roman"/>
          <w:kern w:val="24"/>
        </w:rPr>
        <w:t>,</w:t>
      </w:r>
    </w:p>
    <w:p w14:paraId="609F664B" w14:textId="1A1F7DE3" w:rsidR="00A652D0" w:rsidRPr="0035160C" w:rsidRDefault="00862E8E" w:rsidP="00CA3BB7">
      <w:pPr>
        <w:numPr>
          <w:ilvl w:val="0"/>
          <w:numId w:val="29"/>
        </w:numPr>
        <w:spacing w:before="120" w:after="0"/>
        <w:ind w:left="714" w:hanging="357"/>
        <w:jc w:val="both"/>
        <w:rPr>
          <w:rFonts w:eastAsia="+mj-ea" w:cs="Times New Roman"/>
          <w:kern w:val="24"/>
        </w:rPr>
      </w:pPr>
      <w:r w:rsidRPr="0035160C">
        <w:rPr>
          <w:rFonts w:eastAsia="+mj-ea" w:cs="Times New Roman"/>
          <w:kern w:val="24"/>
        </w:rPr>
        <w:t>zmian</w:t>
      </w:r>
      <w:r>
        <w:rPr>
          <w:rFonts w:eastAsia="+mj-ea" w:cs="Times New Roman"/>
          <w:kern w:val="24"/>
        </w:rPr>
        <w:t>ę</w:t>
      </w:r>
      <w:r w:rsidRPr="0035160C">
        <w:rPr>
          <w:rFonts w:eastAsia="+mj-ea" w:cs="Times New Roman"/>
          <w:kern w:val="24"/>
        </w:rPr>
        <w:t xml:space="preserve"> </w:t>
      </w:r>
      <w:r w:rsidR="006424CE" w:rsidRPr="0035160C">
        <w:rPr>
          <w:rFonts w:eastAsia="+mj-ea" w:cs="Times New Roman"/>
          <w:kern w:val="24"/>
        </w:rPr>
        <w:t>przepisów prawnych dotyczących przeglądów technicznych pojazdów, w tym wycinania filtrów DPF w tych pojazdach. W tym zakresie konieczne będzie wprowadzenie zmian w:</w:t>
      </w:r>
      <w:bookmarkStart w:id="62" w:name="_Toc75946102"/>
      <w:bookmarkStart w:id="63" w:name="_Toc75946175"/>
      <w:bookmarkStart w:id="64" w:name="_Toc75946256"/>
    </w:p>
    <w:p w14:paraId="6B96A4AA" w14:textId="5E2445AD" w:rsidR="006424CE" w:rsidRPr="0035160C" w:rsidRDefault="006424CE" w:rsidP="00A652D0">
      <w:pPr>
        <w:spacing w:before="120" w:after="0"/>
        <w:ind w:left="714"/>
        <w:jc w:val="both"/>
        <w:rPr>
          <w:rFonts w:eastAsia="+mj-ea" w:cs="Times New Roman"/>
          <w:kern w:val="24"/>
        </w:rPr>
      </w:pPr>
      <w:r w:rsidRPr="0035160C">
        <w:rPr>
          <w:rFonts w:eastAsia="+mj-ea" w:cs="Times New Roman"/>
          <w:kern w:val="24"/>
        </w:rPr>
        <w:t xml:space="preserve">- ustawie z dnia 20 czerwca 1997 r. – </w:t>
      </w:r>
      <w:r w:rsidRPr="0035160C">
        <w:rPr>
          <w:rFonts w:eastAsia="+mj-ea" w:cs="Times New Roman"/>
          <w:i/>
          <w:iCs/>
          <w:kern w:val="24"/>
        </w:rPr>
        <w:t xml:space="preserve">Prawo o ruchu drogowym </w:t>
      </w:r>
      <w:r w:rsidRPr="0035160C">
        <w:rPr>
          <w:rFonts w:eastAsia="+mj-ea" w:cs="Times New Roman"/>
          <w:kern w:val="24"/>
        </w:rPr>
        <w:t xml:space="preserve">(Dz. U. z 2021 r. poz. 450, </w:t>
      </w:r>
      <w:r w:rsidRPr="0035160C">
        <w:rPr>
          <w:rFonts w:eastAsia="+mj-ea" w:cs="Times New Roman"/>
          <w:kern w:val="24"/>
        </w:rPr>
        <w:br/>
        <w:t>z późn. zm.),</w:t>
      </w:r>
      <w:bookmarkEnd w:id="62"/>
      <w:bookmarkEnd w:id="63"/>
      <w:bookmarkEnd w:id="64"/>
    </w:p>
    <w:p w14:paraId="0D3800A0" w14:textId="77777777" w:rsidR="006424CE" w:rsidRPr="0035160C" w:rsidRDefault="006424CE" w:rsidP="006424CE">
      <w:pPr>
        <w:spacing w:after="0"/>
        <w:ind w:left="709"/>
        <w:jc w:val="both"/>
        <w:rPr>
          <w:rFonts w:eastAsia="+mj-ea" w:cs="Times New Roman"/>
          <w:kern w:val="24"/>
        </w:rPr>
      </w:pPr>
      <w:r w:rsidRPr="0035160C">
        <w:rPr>
          <w:rFonts w:cs="Times New Roman"/>
        </w:rPr>
        <w:t>- r</w:t>
      </w:r>
      <w:r w:rsidRPr="0035160C">
        <w:rPr>
          <w:rFonts w:eastAsia="+mj-ea" w:cs="Times New Roman"/>
          <w:kern w:val="24"/>
        </w:rPr>
        <w:t xml:space="preserve">ozporządzeniu Ministra Infrastruktury z dnia 21 grudnia 2002 r. </w:t>
      </w:r>
      <w:r w:rsidRPr="0035160C">
        <w:rPr>
          <w:rFonts w:eastAsia="+mj-ea" w:cs="Times New Roman"/>
          <w:i/>
          <w:iCs/>
          <w:kern w:val="24"/>
        </w:rPr>
        <w:t>sprawie warunków technicznych pojazdów oraz zakresu ich niezbędnego wyposażenia</w:t>
      </w:r>
      <w:r w:rsidRPr="0035160C">
        <w:rPr>
          <w:rFonts w:eastAsia="+mj-ea" w:cs="Times New Roman"/>
          <w:kern w:val="24"/>
        </w:rPr>
        <w:t xml:space="preserve"> (Dz. U. z 2016 r. poz. 2022, z późn. zm.),</w:t>
      </w:r>
    </w:p>
    <w:p w14:paraId="24BD605B" w14:textId="02099889" w:rsidR="006424CE" w:rsidRPr="002C38C8" w:rsidRDefault="006424CE" w:rsidP="002C38C8">
      <w:pPr>
        <w:ind w:left="709"/>
        <w:jc w:val="both"/>
        <w:rPr>
          <w:rFonts w:eastAsia="+mj-ea" w:cs="Times New Roman"/>
          <w:kern w:val="24"/>
        </w:rPr>
      </w:pPr>
      <w:r w:rsidRPr="0035160C">
        <w:rPr>
          <w:rFonts w:cs="Times New Roman"/>
        </w:rPr>
        <w:t xml:space="preserve">- </w:t>
      </w:r>
      <w:r w:rsidRPr="0035160C">
        <w:rPr>
          <w:rFonts w:eastAsia="+mj-ea" w:cs="Times New Roman"/>
          <w:kern w:val="24"/>
        </w:rPr>
        <w:t>procedurze badań</w:t>
      </w:r>
      <w:r w:rsidR="00410A14">
        <w:rPr>
          <w:rFonts w:eastAsia="+mj-ea" w:cs="Times New Roman"/>
          <w:kern w:val="24"/>
        </w:rPr>
        <w:t>.</w:t>
      </w:r>
    </w:p>
    <w:p w14:paraId="10265735" w14:textId="4C2C46E9" w:rsidR="006424CE" w:rsidRPr="0035160C" w:rsidRDefault="006424CE" w:rsidP="006424CE">
      <w:pPr>
        <w:spacing w:before="120" w:after="120" w:line="276" w:lineRule="auto"/>
        <w:jc w:val="both"/>
        <w:rPr>
          <w:b/>
          <w:bCs/>
          <w:color w:val="2F5496" w:themeColor="accent1" w:themeShade="BF"/>
        </w:rPr>
      </w:pPr>
      <w:r w:rsidRPr="0035160C">
        <w:rPr>
          <w:b/>
          <w:bCs/>
          <w:color w:val="2F5496" w:themeColor="accent1" w:themeShade="BF"/>
        </w:rPr>
        <w:lastRenderedPageBreak/>
        <w:t xml:space="preserve">W celu ograniczenia wielkości emisji zanieczyszczeń powietrza pochodzących z sektora transportu drogowego koniecznym jest podnoszenie świadomości ekologicznej społeczeństwa </w:t>
      </w:r>
      <w:r w:rsidR="006518C0">
        <w:rPr>
          <w:b/>
          <w:bCs/>
          <w:color w:val="2F5496" w:themeColor="accent1" w:themeShade="BF"/>
        </w:rPr>
        <w:t xml:space="preserve">poprzez </w:t>
      </w:r>
      <w:r w:rsidRPr="0035160C">
        <w:rPr>
          <w:b/>
          <w:bCs/>
          <w:color w:val="2F5496" w:themeColor="accent1" w:themeShade="BF"/>
        </w:rPr>
        <w:t>działania z zakresu:</w:t>
      </w:r>
    </w:p>
    <w:p w14:paraId="29EC3F0F" w14:textId="77777777" w:rsidR="006424CE" w:rsidRPr="0035160C" w:rsidRDefault="006424CE" w:rsidP="00CA3BB7">
      <w:pPr>
        <w:numPr>
          <w:ilvl w:val="0"/>
          <w:numId w:val="30"/>
        </w:numPr>
        <w:spacing w:before="120" w:after="120"/>
        <w:contextualSpacing/>
        <w:jc w:val="both"/>
        <w:rPr>
          <w:rFonts w:eastAsia="+mj-ea" w:cs="Times New Roman"/>
          <w:kern w:val="24"/>
        </w:rPr>
      </w:pPr>
      <w:r w:rsidRPr="0035160C">
        <w:rPr>
          <w:rFonts w:eastAsia="+mj-ea" w:cs="Times New Roman"/>
          <w:kern w:val="24"/>
        </w:rPr>
        <w:t>zwiększania świadomości negatywnego wpływu emisji zanieczyszczeń powietrza powstających z sektora transportu drogowego na zdrowie i środowisko, propagowania czystych form transportu</w:t>
      </w:r>
    </w:p>
    <w:p w14:paraId="322CCE27" w14:textId="77777777" w:rsidR="00B723FA" w:rsidRPr="0035160C" w:rsidRDefault="006424CE" w:rsidP="00B723FA">
      <w:pPr>
        <w:spacing w:after="120"/>
        <w:ind w:left="709"/>
        <w:jc w:val="both"/>
        <w:rPr>
          <w:rFonts w:cs="Times New Roman"/>
        </w:rPr>
      </w:pPr>
      <w:r w:rsidRPr="0035160C">
        <w:rPr>
          <w:rFonts w:cs="Times New Roman"/>
        </w:rPr>
        <w:t>Prowadzenie ogólnopolskiej kampanii medialnej i informacyjnej dotyczącej wpływu emisji zanieczyszczeń z sektora transportu na zdrowie i życie oraz środowisko, propagowania czystych form transportu, a także możliwości uzyskania dofinansowania do zakupu samochodów elektrycznych czy też wodorowych.</w:t>
      </w:r>
      <w:bookmarkStart w:id="65" w:name="_Toc75946103"/>
      <w:bookmarkStart w:id="66" w:name="_Toc75946176"/>
      <w:bookmarkStart w:id="67" w:name="_Toc75946257"/>
      <w:bookmarkStart w:id="68" w:name="_Toc75946344"/>
    </w:p>
    <w:p w14:paraId="7E6AECAE" w14:textId="7292C26C" w:rsidR="006424CE" w:rsidRPr="0035160C" w:rsidRDefault="006518C0" w:rsidP="00CA3BB7">
      <w:pPr>
        <w:pStyle w:val="Akapitzlist"/>
        <w:numPr>
          <w:ilvl w:val="0"/>
          <w:numId w:val="30"/>
        </w:numPr>
        <w:spacing w:after="120"/>
        <w:jc w:val="both"/>
        <w:rPr>
          <w:rFonts w:cs="Times New Roman"/>
        </w:rPr>
      </w:pPr>
      <w:r>
        <w:rPr>
          <w:rFonts w:eastAsiaTheme="majorEastAsia" w:cs="Times New Roman"/>
          <w:bCs/>
        </w:rPr>
        <w:t>w</w:t>
      </w:r>
      <w:r w:rsidR="006424CE" w:rsidRPr="0035160C">
        <w:rPr>
          <w:rFonts w:eastAsiaTheme="majorEastAsia" w:cs="Times New Roman"/>
          <w:bCs/>
        </w:rPr>
        <w:t>znowieni</w:t>
      </w:r>
      <w:r w:rsidR="00754F07">
        <w:rPr>
          <w:rFonts w:eastAsiaTheme="majorEastAsia" w:cs="Times New Roman"/>
          <w:bCs/>
        </w:rPr>
        <w:t>a</w:t>
      </w:r>
      <w:r w:rsidR="00410A14">
        <w:rPr>
          <w:rFonts w:eastAsiaTheme="majorEastAsia" w:cs="Times New Roman"/>
          <w:bCs/>
        </w:rPr>
        <w:t>,</w:t>
      </w:r>
      <w:r w:rsidR="006424CE" w:rsidRPr="0035160C">
        <w:rPr>
          <w:rFonts w:eastAsiaTheme="majorEastAsia" w:cs="Times New Roman"/>
          <w:bCs/>
        </w:rPr>
        <w:t xml:space="preserve"> zainicjonowanej w 2017 r</w:t>
      </w:r>
      <w:r w:rsidR="00410A14">
        <w:rPr>
          <w:rFonts w:eastAsiaTheme="majorEastAsia" w:cs="Times New Roman"/>
          <w:bCs/>
        </w:rPr>
        <w:t>.,</w:t>
      </w:r>
      <w:r>
        <w:rPr>
          <w:rFonts w:eastAsiaTheme="majorEastAsia" w:cs="Times New Roman"/>
          <w:bCs/>
        </w:rPr>
        <w:t>.</w:t>
      </w:r>
      <w:r w:rsidR="006424CE" w:rsidRPr="0035160C">
        <w:rPr>
          <w:rFonts w:eastAsiaTheme="majorEastAsia" w:cs="Times New Roman"/>
          <w:bCs/>
        </w:rPr>
        <w:t xml:space="preserve"> współpracy z Policją i Inspekcją</w:t>
      </w:r>
      <w:r w:rsidRPr="0035160C">
        <w:rPr>
          <w:rFonts w:eastAsiaTheme="majorEastAsia" w:cs="Times New Roman"/>
          <w:bCs/>
        </w:rPr>
        <w:t xml:space="preserve"> </w:t>
      </w:r>
      <w:r w:rsidR="006424CE" w:rsidRPr="0035160C">
        <w:rPr>
          <w:rFonts w:eastAsiaTheme="majorEastAsia" w:cs="Times New Roman"/>
          <w:bCs/>
        </w:rPr>
        <w:t xml:space="preserve">Transportu Drogowego </w:t>
      </w:r>
      <w:r w:rsidR="006875F5">
        <w:rPr>
          <w:rFonts w:eastAsiaTheme="majorEastAsia" w:cs="Times New Roman"/>
          <w:bCs/>
        </w:rPr>
        <w:t xml:space="preserve">w </w:t>
      </w:r>
      <w:r w:rsidR="006424CE" w:rsidRPr="0035160C">
        <w:rPr>
          <w:rFonts w:eastAsiaTheme="majorEastAsia" w:cs="Times New Roman"/>
          <w:bCs/>
        </w:rPr>
        <w:t>akcji weryfikacji pojazdów poruszających się po drogach pod kątem emisji spalin</w:t>
      </w:r>
      <w:bookmarkEnd w:id="65"/>
      <w:bookmarkEnd w:id="66"/>
      <w:bookmarkEnd w:id="67"/>
      <w:bookmarkEnd w:id="68"/>
    </w:p>
    <w:p w14:paraId="09110120" w14:textId="4CB7C7AF" w:rsidR="006424CE" w:rsidRPr="002C38C8" w:rsidRDefault="006424CE" w:rsidP="002C38C8">
      <w:pPr>
        <w:spacing w:before="120" w:after="120"/>
        <w:ind w:left="720"/>
        <w:jc w:val="both"/>
        <w:rPr>
          <w:rFonts w:eastAsia="+mj-ea" w:cs="Times New Roman"/>
          <w:kern w:val="24"/>
        </w:rPr>
      </w:pPr>
      <w:r w:rsidRPr="0035160C">
        <w:rPr>
          <w:rFonts w:eastAsia="+mj-ea" w:cs="Times New Roman"/>
          <w:kern w:val="24"/>
        </w:rPr>
        <w:t>Doposażenie Policji w specjalistyczny sprzęt do kontroli emisji zanieczyszczeń ze źródeł transportowych (np. mobilne analizatory spalin i dymomierze przeznaczone do kontroli emisji spalin w ramach kontroli ruchu drogowego) – w tym uzupełnienie stanu wyposażenia lub wymiana wyeksploatowanego sprzętu, a także szkolenia dla Policji w zakresie m.in. kontroli układów pojazdu drogowego z wykorzystaniem urządzeń stanowiących wyposażenie Ekip Techniki Drogowej i Ekologii (ETDiE) – badanie emisji spalin pojazdów, wobec których istnieje uzasadnione przypuszczenie, że naruszają wymagania ochrony środowiska.</w:t>
      </w:r>
    </w:p>
    <w:p w14:paraId="6C64CED6" w14:textId="77777777" w:rsidR="006424CE" w:rsidRPr="0035160C" w:rsidRDefault="006424CE" w:rsidP="00FB1BC3">
      <w:pPr>
        <w:spacing w:after="0" w:line="276" w:lineRule="auto"/>
        <w:rPr>
          <w:rFonts w:cs="Times New Roman"/>
        </w:rPr>
      </w:pPr>
      <w:r w:rsidRPr="0035160C">
        <w:rPr>
          <w:rFonts w:cs="Times New Roman"/>
        </w:rPr>
        <w:t>Pozostałe działania miękkie, w tym zakresie powinny obejmować:</w:t>
      </w:r>
    </w:p>
    <w:p w14:paraId="725FDA01" w14:textId="77777777" w:rsidR="006424CE" w:rsidRPr="0035160C" w:rsidRDefault="006424CE" w:rsidP="00FB1BC3">
      <w:pPr>
        <w:numPr>
          <w:ilvl w:val="0"/>
          <w:numId w:val="31"/>
        </w:numPr>
        <w:spacing w:after="0" w:line="276" w:lineRule="auto"/>
        <w:ind w:left="714" w:hanging="357"/>
        <w:contextualSpacing/>
        <w:jc w:val="both"/>
        <w:rPr>
          <w:rFonts w:eastAsia="+mj-ea" w:cs="Times New Roman"/>
          <w:kern w:val="24"/>
        </w:rPr>
      </w:pPr>
      <w:r w:rsidRPr="0035160C">
        <w:rPr>
          <w:rFonts w:eastAsia="+mj-ea" w:cs="Times New Roman"/>
          <w:kern w:val="24"/>
        </w:rPr>
        <w:t xml:space="preserve">promowanie przemieszczania się przez znane osoby (np. Prezydent, Premier, Minister Klimatu </w:t>
      </w:r>
      <w:r w:rsidRPr="0035160C">
        <w:rPr>
          <w:rFonts w:eastAsia="+mj-ea" w:cs="Times New Roman"/>
          <w:kern w:val="24"/>
        </w:rPr>
        <w:br/>
        <w:t>i Środowiska) środkami transportu publicznego,</w:t>
      </w:r>
    </w:p>
    <w:p w14:paraId="623B58B7" w14:textId="3BC0A890" w:rsidR="006424CE" w:rsidRPr="0035160C" w:rsidRDefault="006424CE" w:rsidP="00FB1BC3">
      <w:pPr>
        <w:numPr>
          <w:ilvl w:val="0"/>
          <w:numId w:val="31"/>
        </w:numPr>
        <w:spacing w:after="0" w:line="276" w:lineRule="auto"/>
        <w:ind w:left="714" w:hanging="357"/>
        <w:contextualSpacing/>
        <w:jc w:val="both"/>
        <w:rPr>
          <w:rFonts w:eastAsia="+mj-ea" w:cs="Times New Roman"/>
          <w:kern w:val="24"/>
        </w:rPr>
      </w:pPr>
      <w:r w:rsidRPr="0035160C">
        <w:rPr>
          <w:rFonts w:eastAsia="+mj-ea" w:cs="Times New Roman"/>
          <w:kern w:val="24"/>
        </w:rPr>
        <w:t xml:space="preserve">promowanie wśród młodych ludzi dojazdu do szkoły/na uczelnie rowerami, w tym </w:t>
      </w:r>
      <w:r w:rsidRPr="0035160C">
        <w:rPr>
          <w:rFonts w:eastAsia="+mj-ea" w:cs="Times New Roman"/>
          <w:kern w:val="24"/>
        </w:rPr>
        <w:br/>
        <w:t>z wykorzystaniem rowerów miejskich,</w:t>
      </w:r>
    </w:p>
    <w:p w14:paraId="19C7442B" w14:textId="77777777" w:rsidR="006424CE" w:rsidRPr="0035160C" w:rsidRDefault="006424CE" w:rsidP="00FB1BC3">
      <w:pPr>
        <w:numPr>
          <w:ilvl w:val="0"/>
          <w:numId w:val="31"/>
        </w:numPr>
        <w:spacing w:after="0" w:line="276" w:lineRule="auto"/>
        <w:ind w:left="714" w:hanging="357"/>
        <w:contextualSpacing/>
        <w:jc w:val="both"/>
        <w:rPr>
          <w:rFonts w:eastAsia="+mj-ea" w:cs="Times New Roman"/>
          <w:kern w:val="24"/>
        </w:rPr>
      </w:pPr>
      <w:r w:rsidRPr="0035160C">
        <w:rPr>
          <w:rFonts w:eastAsia="+mj-ea" w:cs="Times New Roman"/>
          <w:kern w:val="24"/>
        </w:rPr>
        <w:t xml:space="preserve">kampanie informacyjne wspierające car-sharing, dzień bez samochodu, </w:t>
      </w:r>
    </w:p>
    <w:p w14:paraId="0C8ED760" w14:textId="77777777" w:rsidR="006424CE" w:rsidRPr="0035160C" w:rsidRDefault="006424CE" w:rsidP="00FB1BC3">
      <w:pPr>
        <w:numPr>
          <w:ilvl w:val="0"/>
          <w:numId w:val="31"/>
        </w:numPr>
        <w:spacing w:after="0" w:line="276" w:lineRule="auto"/>
        <w:ind w:left="714" w:hanging="357"/>
        <w:contextualSpacing/>
        <w:jc w:val="both"/>
        <w:rPr>
          <w:rFonts w:eastAsia="+mj-ea" w:cs="Times New Roman"/>
          <w:kern w:val="24"/>
        </w:rPr>
      </w:pPr>
      <w:r w:rsidRPr="0035160C">
        <w:rPr>
          <w:rFonts w:eastAsia="+mj-ea" w:cs="Times New Roman"/>
          <w:kern w:val="24"/>
        </w:rPr>
        <w:t xml:space="preserve">odpowiednie kampanie/spoty informacyjne skierowane do kierowców, którzy jako uczestnicy ruchu drogowego mają więcej obowiązków niż piesi, a tym samym większą odpowiedzialność za bezpieczeństwo na drodze (np. dostosowanie się do ograniczeń prędkości), </w:t>
      </w:r>
    </w:p>
    <w:p w14:paraId="5EE948BA" w14:textId="77777777" w:rsidR="006424CE" w:rsidRPr="0035160C" w:rsidRDefault="006424CE" w:rsidP="00FB1BC3">
      <w:pPr>
        <w:numPr>
          <w:ilvl w:val="0"/>
          <w:numId w:val="31"/>
        </w:numPr>
        <w:spacing w:after="0" w:line="276" w:lineRule="auto"/>
        <w:ind w:left="714" w:hanging="357"/>
        <w:contextualSpacing/>
        <w:jc w:val="both"/>
        <w:rPr>
          <w:rFonts w:eastAsia="+mj-ea" w:cs="Times New Roman"/>
          <w:kern w:val="24"/>
        </w:rPr>
      </w:pPr>
      <w:r w:rsidRPr="0035160C">
        <w:rPr>
          <w:rFonts w:eastAsia="+mj-ea" w:cs="Times New Roman"/>
          <w:kern w:val="24"/>
        </w:rPr>
        <w:t>promowanie ruchu pieszego – mapa z trasami i czasami przejścia,</w:t>
      </w:r>
    </w:p>
    <w:p w14:paraId="3697F305" w14:textId="77777777" w:rsidR="006424CE" w:rsidRPr="0035160C" w:rsidRDefault="006424CE" w:rsidP="00FB1BC3">
      <w:pPr>
        <w:numPr>
          <w:ilvl w:val="0"/>
          <w:numId w:val="31"/>
        </w:numPr>
        <w:spacing w:after="0" w:line="276" w:lineRule="auto"/>
        <w:ind w:left="714" w:hanging="357"/>
        <w:contextualSpacing/>
        <w:jc w:val="both"/>
        <w:rPr>
          <w:rFonts w:eastAsia="+mj-ea" w:cs="Times New Roman"/>
          <w:kern w:val="24"/>
        </w:rPr>
      </w:pPr>
      <w:r w:rsidRPr="0035160C">
        <w:rPr>
          <w:rFonts w:eastAsia="+mj-ea" w:cs="Times New Roman"/>
          <w:kern w:val="24"/>
        </w:rPr>
        <w:t>prowadzenie działań edukacyjnych w ramach przedmiotów ekologii w szkołach i przedszkolach przez straż miejską,</w:t>
      </w:r>
    </w:p>
    <w:p w14:paraId="4979419F" w14:textId="4E0C4699" w:rsidR="006424CE" w:rsidRPr="0035160C" w:rsidRDefault="006424CE" w:rsidP="00FB1BC3">
      <w:pPr>
        <w:numPr>
          <w:ilvl w:val="0"/>
          <w:numId w:val="31"/>
        </w:numPr>
        <w:spacing w:after="0" w:line="276" w:lineRule="auto"/>
        <w:ind w:left="714" w:hanging="357"/>
        <w:contextualSpacing/>
        <w:jc w:val="both"/>
        <w:rPr>
          <w:rFonts w:cs="Times New Roman"/>
          <w:b/>
          <w:bCs/>
        </w:rPr>
      </w:pPr>
      <w:r w:rsidRPr="0035160C">
        <w:rPr>
          <w:rFonts w:eastAsia="+mj-ea" w:cs="Times New Roman"/>
          <w:kern w:val="24"/>
        </w:rPr>
        <w:t>prac</w:t>
      </w:r>
      <w:r w:rsidR="00754F07">
        <w:rPr>
          <w:rFonts w:eastAsia="+mj-ea" w:cs="Times New Roman"/>
          <w:kern w:val="24"/>
        </w:rPr>
        <w:t>ę</w:t>
      </w:r>
      <w:r w:rsidRPr="0035160C">
        <w:rPr>
          <w:rFonts w:eastAsia="+mj-ea" w:cs="Times New Roman"/>
          <w:kern w:val="24"/>
        </w:rPr>
        <w:t xml:space="preserve"> zdaln</w:t>
      </w:r>
      <w:r w:rsidR="00754F07">
        <w:rPr>
          <w:rFonts w:eastAsia="+mj-ea" w:cs="Times New Roman"/>
          <w:kern w:val="24"/>
        </w:rPr>
        <w:t>ą</w:t>
      </w:r>
      <w:r w:rsidRPr="0035160C">
        <w:rPr>
          <w:rFonts w:eastAsia="+mj-ea" w:cs="Times New Roman"/>
          <w:kern w:val="24"/>
        </w:rPr>
        <w:t>, telekonferencje, elastyczny czas pracy i dywersyfikacj</w:t>
      </w:r>
      <w:r w:rsidR="00754F07">
        <w:rPr>
          <w:rFonts w:eastAsia="+mj-ea" w:cs="Times New Roman"/>
          <w:kern w:val="24"/>
        </w:rPr>
        <w:t xml:space="preserve">ę </w:t>
      </w:r>
      <w:r w:rsidRPr="0035160C">
        <w:rPr>
          <w:rFonts w:eastAsia="+mj-ea" w:cs="Times New Roman"/>
          <w:kern w:val="24"/>
        </w:rPr>
        <w:t xml:space="preserve">lokalizacji miejsc pracy jako sposób zmniejszenia ruchu ulicznego. </w:t>
      </w:r>
    </w:p>
    <w:p w14:paraId="4BD74A4D" w14:textId="703A9B62" w:rsidR="006424CE" w:rsidRPr="0035160C" w:rsidRDefault="006424CE" w:rsidP="006424CE">
      <w:pPr>
        <w:spacing w:before="120" w:after="120" w:line="276" w:lineRule="auto"/>
        <w:jc w:val="both"/>
        <w:rPr>
          <w:b/>
          <w:bCs/>
          <w:color w:val="2F5496" w:themeColor="accent1" w:themeShade="BF"/>
        </w:rPr>
      </w:pPr>
      <w:r w:rsidRPr="0035160C">
        <w:rPr>
          <w:b/>
          <w:bCs/>
          <w:color w:val="2F5496" w:themeColor="accent1" w:themeShade="BF"/>
        </w:rPr>
        <w:t>Do działań, które mogą przyczynić się do zmniejszenia emisyjności pojazdów</w:t>
      </w:r>
      <w:r w:rsidR="00754F07">
        <w:rPr>
          <w:b/>
          <w:bCs/>
          <w:color w:val="2F5496" w:themeColor="accent1" w:themeShade="BF"/>
        </w:rPr>
        <w:t>,</w:t>
      </w:r>
      <w:r w:rsidRPr="0035160C">
        <w:rPr>
          <w:b/>
          <w:bCs/>
          <w:color w:val="2F5496" w:themeColor="accent1" w:themeShade="BF"/>
        </w:rPr>
        <w:t xml:space="preserve"> należy </w:t>
      </w:r>
      <w:r w:rsidR="00754F07">
        <w:rPr>
          <w:b/>
          <w:bCs/>
          <w:color w:val="2F5496" w:themeColor="accent1" w:themeShade="BF"/>
        </w:rPr>
        <w:t>zaliczyć</w:t>
      </w:r>
      <w:r w:rsidRPr="0035160C">
        <w:rPr>
          <w:b/>
          <w:bCs/>
          <w:color w:val="2F5496" w:themeColor="accent1" w:themeShade="BF"/>
        </w:rPr>
        <w:t>:</w:t>
      </w:r>
    </w:p>
    <w:p w14:paraId="45BE2A3A" w14:textId="77777777" w:rsidR="006424CE" w:rsidRPr="0035160C" w:rsidRDefault="006424CE" w:rsidP="00CA3BB7">
      <w:pPr>
        <w:numPr>
          <w:ilvl w:val="0"/>
          <w:numId w:val="30"/>
        </w:numPr>
        <w:spacing w:after="0" w:line="276" w:lineRule="auto"/>
        <w:ind w:left="714" w:hanging="357"/>
        <w:jc w:val="both"/>
        <w:rPr>
          <w:rFonts w:cs="Times New Roman"/>
        </w:rPr>
      </w:pPr>
      <w:r w:rsidRPr="0035160C">
        <w:rPr>
          <w:rFonts w:cs="Times New Roman"/>
        </w:rPr>
        <w:t xml:space="preserve">stosowanie kryterium energetyczno-emisyjnego przy zakupie przez podmioty publiczne pojazdów drogowych oraz przez operatorów pojazdów do świadczenia usług publicznych </w:t>
      </w:r>
      <w:r w:rsidRPr="0035160C">
        <w:rPr>
          <w:rFonts w:cs="Times New Roman"/>
        </w:rPr>
        <w:br/>
        <w:t>w zakresie przewozów pasażerskich, a także obowiązek przedstawiania informacji o zużyciu paliwa w samochodach oferowanych do sprzedaży lub leasingu,</w:t>
      </w:r>
    </w:p>
    <w:p w14:paraId="2B66BFCC" w14:textId="77777777" w:rsidR="006424CE" w:rsidRPr="0035160C" w:rsidRDefault="006424CE" w:rsidP="00CA3BB7">
      <w:pPr>
        <w:numPr>
          <w:ilvl w:val="0"/>
          <w:numId w:val="30"/>
        </w:numPr>
        <w:spacing w:after="0" w:line="276" w:lineRule="auto"/>
        <w:ind w:left="714" w:hanging="357"/>
        <w:jc w:val="both"/>
        <w:rPr>
          <w:rFonts w:cs="Times New Roman"/>
        </w:rPr>
      </w:pPr>
      <w:r w:rsidRPr="0035160C">
        <w:rPr>
          <w:rFonts w:cs="Times New Roman"/>
        </w:rPr>
        <w:t>kontynuacja rozwoju i wdrażania Inteligentnych Systemów Transportowych,</w:t>
      </w:r>
    </w:p>
    <w:p w14:paraId="1FD8CEF3" w14:textId="77777777" w:rsidR="006424CE" w:rsidRPr="0035160C" w:rsidRDefault="006424CE" w:rsidP="00CA3BB7">
      <w:pPr>
        <w:numPr>
          <w:ilvl w:val="0"/>
          <w:numId w:val="30"/>
        </w:numPr>
        <w:spacing w:after="0" w:line="276" w:lineRule="auto"/>
        <w:ind w:left="714" w:hanging="357"/>
        <w:jc w:val="both"/>
        <w:rPr>
          <w:rFonts w:cs="Times New Roman"/>
        </w:rPr>
      </w:pPr>
      <w:r w:rsidRPr="0035160C">
        <w:rPr>
          <w:rFonts w:eastAsia="Times New Roman" w:cs="Times New Roman"/>
          <w:lang w:eastAsia="pl-PL"/>
        </w:rPr>
        <w:t xml:space="preserve">wyznaczenie daty do kiedy będzie można rejestrować samochody z silnikami spalinowymi </w:t>
      </w:r>
      <w:r w:rsidRPr="0035160C">
        <w:rPr>
          <w:rFonts w:eastAsia="Times New Roman" w:cs="Times New Roman"/>
          <w:lang w:eastAsia="pl-PL"/>
        </w:rPr>
        <w:br/>
        <w:t>– w zależności od normy Euro.</w:t>
      </w:r>
    </w:p>
    <w:p w14:paraId="5B8811F3" w14:textId="77777777" w:rsidR="006424CE" w:rsidRPr="0035160C" w:rsidRDefault="006424CE" w:rsidP="00E83218">
      <w:pPr>
        <w:spacing w:before="120" w:after="0" w:line="276" w:lineRule="auto"/>
        <w:jc w:val="both"/>
        <w:rPr>
          <w:b/>
          <w:bCs/>
          <w:color w:val="2F5496" w:themeColor="accent1" w:themeShade="BF"/>
        </w:rPr>
      </w:pPr>
      <w:r w:rsidRPr="0035160C">
        <w:rPr>
          <w:b/>
          <w:bCs/>
          <w:color w:val="2F5496" w:themeColor="accent1" w:themeShade="BF"/>
        </w:rPr>
        <w:lastRenderedPageBreak/>
        <w:t xml:space="preserve">Wśród działań z zakresu promowania niskoemisyjnych pojazdów, w tym elektrycznych </w:t>
      </w:r>
      <w:r w:rsidRPr="0035160C">
        <w:rPr>
          <w:b/>
          <w:bCs/>
          <w:color w:val="2F5496" w:themeColor="accent1" w:themeShade="BF"/>
        </w:rPr>
        <w:br/>
        <w:t>i wodorowych zarówno indywidulanych, jak i zbiorowych należy wymienić:</w:t>
      </w:r>
    </w:p>
    <w:p w14:paraId="0E2570AC" w14:textId="77777777" w:rsidR="006424CE" w:rsidRPr="0035160C" w:rsidRDefault="006424CE" w:rsidP="00CA3BB7">
      <w:pPr>
        <w:numPr>
          <w:ilvl w:val="0"/>
          <w:numId w:val="40"/>
        </w:numPr>
        <w:spacing w:after="0" w:line="276" w:lineRule="auto"/>
        <w:contextualSpacing/>
        <w:jc w:val="both"/>
        <w:rPr>
          <w:rFonts w:cs="Times New Roman"/>
        </w:rPr>
      </w:pPr>
      <w:r w:rsidRPr="0035160C">
        <w:rPr>
          <w:rFonts w:cs="Times New Roman"/>
        </w:rPr>
        <w:t>obowiązek wymiany floty na pojazdy elektryczne przez administrację publiczną</w:t>
      </w:r>
      <w:r w:rsidRPr="0035160C">
        <w:rPr>
          <w:rFonts w:cs="Times New Roman"/>
          <w:i/>
          <w:iCs/>
        </w:rPr>
        <w:t>,</w:t>
      </w:r>
    </w:p>
    <w:p w14:paraId="4D601E59" w14:textId="77777777" w:rsidR="006424CE" w:rsidRPr="0035160C" w:rsidRDefault="006424CE" w:rsidP="00CA3BB7">
      <w:pPr>
        <w:numPr>
          <w:ilvl w:val="0"/>
          <w:numId w:val="32"/>
        </w:numPr>
        <w:spacing w:after="0" w:line="276" w:lineRule="auto"/>
        <w:ind w:hanging="357"/>
        <w:jc w:val="both"/>
        <w:rPr>
          <w:rFonts w:eastAsia="Times New Roman" w:cs="Times New Roman"/>
          <w:lang w:eastAsia="pl-PL"/>
        </w:rPr>
      </w:pPr>
      <w:r w:rsidRPr="0035160C">
        <w:rPr>
          <w:rFonts w:eastAsia="Times New Roman" w:cs="Times New Roman"/>
          <w:lang w:eastAsia="pl-PL"/>
        </w:rPr>
        <w:t>rozwój infrastruktury do ładowania pojazdów elektrycznych,</w:t>
      </w:r>
    </w:p>
    <w:p w14:paraId="7B790815" w14:textId="77777777" w:rsidR="006424CE" w:rsidRPr="0035160C" w:rsidRDefault="006424CE" w:rsidP="00CA3BB7">
      <w:pPr>
        <w:numPr>
          <w:ilvl w:val="0"/>
          <w:numId w:val="32"/>
        </w:numPr>
        <w:spacing w:after="0" w:line="276" w:lineRule="auto"/>
        <w:ind w:hanging="357"/>
        <w:jc w:val="both"/>
        <w:rPr>
          <w:rFonts w:eastAsia="Times New Roman" w:cs="Times New Roman"/>
          <w:lang w:eastAsia="pl-PL"/>
        </w:rPr>
      </w:pPr>
      <w:r w:rsidRPr="0035160C">
        <w:rPr>
          <w:rFonts w:eastAsia="Times New Roman" w:cs="Times New Roman"/>
          <w:lang w:eastAsia="pl-PL"/>
        </w:rPr>
        <w:t>rozwój punktów tankowania CNG oraz LNG,</w:t>
      </w:r>
    </w:p>
    <w:p w14:paraId="6D37FFF8" w14:textId="77777777" w:rsidR="006424CE" w:rsidRPr="0035160C" w:rsidRDefault="006424CE" w:rsidP="00CA3BB7">
      <w:pPr>
        <w:numPr>
          <w:ilvl w:val="0"/>
          <w:numId w:val="32"/>
        </w:numPr>
        <w:spacing w:after="0" w:line="276" w:lineRule="auto"/>
        <w:ind w:hanging="357"/>
        <w:jc w:val="both"/>
        <w:rPr>
          <w:rFonts w:eastAsia="Times New Roman" w:cs="Times New Roman"/>
          <w:lang w:eastAsia="pl-PL"/>
        </w:rPr>
      </w:pPr>
      <w:r w:rsidRPr="0035160C">
        <w:rPr>
          <w:rFonts w:eastAsia="Times New Roman" w:cs="Times New Roman"/>
          <w:lang w:eastAsia="pl-PL"/>
        </w:rPr>
        <w:t xml:space="preserve">zapewnienie infrastruktury do tankowania wodoru, </w:t>
      </w:r>
    </w:p>
    <w:p w14:paraId="1863AE21" w14:textId="77777777" w:rsidR="006424CE" w:rsidRPr="0035160C" w:rsidRDefault="006424CE" w:rsidP="00CA3BB7">
      <w:pPr>
        <w:numPr>
          <w:ilvl w:val="0"/>
          <w:numId w:val="32"/>
        </w:numPr>
        <w:spacing w:after="0" w:line="276" w:lineRule="auto"/>
        <w:ind w:hanging="357"/>
        <w:jc w:val="both"/>
        <w:rPr>
          <w:rFonts w:eastAsia="Times New Roman" w:cs="Times New Roman"/>
          <w:lang w:eastAsia="pl-PL"/>
        </w:rPr>
      </w:pPr>
      <w:r w:rsidRPr="0035160C">
        <w:rPr>
          <w:rFonts w:cs="Times New Roman"/>
        </w:rPr>
        <w:t>wytwarzanie paliw syntetycznych w reakcji wodoru z CO, CO</w:t>
      </w:r>
      <w:r w:rsidRPr="00DD0E4C">
        <w:rPr>
          <w:rFonts w:cs="Times New Roman"/>
          <w:vertAlign w:val="subscript"/>
        </w:rPr>
        <w:t>2</w:t>
      </w:r>
      <w:r w:rsidRPr="0035160C">
        <w:rPr>
          <w:rFonts w:cs="Times New Roman"/>
        </w:rPr>
        <w:t>, N</w:t>
      </w:r>
      <w:r w:rsidRPr="0035160C">
        <w:rPr>
          <w:rFonts w:cs="Times New Roman"/>
          <w:vertAlign w:val="subscript"/>
        </w:rPr>
        <w:t>2</w:t>
      </w:r>
      <w:r w:rsidRPr="0035160C">
        <w:rPr>
          <w:rFonts w:cs="Times New Roman"/>
        </w:rPr>
        <w:t>,</w:t>
      </w:r>
    </w:p>
    <w:p w14:paraId="431BE428" w14:textId="1367F5E4" w:rsidR="006424CE" w:rsidRPr="0035160C" w:rsidRDefault="006424CE" w:rsidP="00CA3BB7">
      <w:pPr>
        <w:numPr>
          <w:ilvl w:val="0"/>
          <w:numId w:val="32"/>
        </w:numPr>
        <w:autoSpaceDE w:val="0"/>
        <w:autoSpaceDN w:val="0"/>
        <w:adjustRightInd w:val="0"/>
        <w:spacing w:after="0" w:line="276" w:lineRule="auto"/>
        <w:contextualSpacing/>
        <w:jc w:val="both"/>
        <w:rPr>
          <w:rFonts w:cs="Times New Roman"/>
        </w:rPr>
      </w:pPr>
      <w:r w:rsidRPr="0035160C">
        <w:rPr>
          <w:rFonts w:cs="Times New Roman"/>
        </w:rPr>
        <w:t>zwiększanie udziału OZE w transporcie, w szczególności poprzez wykorzystanie biokomponentów w paliwach ciekłych i biopaliwach ciekłych,</w:t>
      </w:r>
    </w:p>
    <w:p w14:paraId="200CA6E7" w14:textId="1A3C409A" w:rsidR="006424CE" w:rsidRPr="0035160C" w:rsidRDefault="006424CE" w:rsidP="00CA3BB7">
      <w:pPr>
        <w:numPr>
          <w:ilvl w:val="0"/>
          <w:numId w:val="32"/>
        </w:numPr>
        <w:autoSpaceDE w:val="0"/>
        <w:autoSpaceDN w:val="0"/>
        <w:adjustRightInd w:val="0"/>
        <w:spacing w:after="0" w:line="276" w:lineRule="auto"/>
        <w:ind w:left="714" w:hanging="357"/>
        <w:jc w:val="both"/>
        <w:rPr>
          <w:rFonts w:cs="Times New Roman"/>
        </w:rPr>
      </w:pPr>
      <w:r w:rsidRPr="0035160C">
        <w:rPr>
          <w:rFonts w:cs="Times New Roman"/>
        </w:rPr>
        <w:t>zwiększenie wykorzystania surowców o</w:t>
      </w:r>
      <w:r w:rsidR="00862E8E">
        <w:rPr>
          <w:rFonts w:cs="Times New Roman"/>
        </w:rPr>
        <w:t>d</w:t>
      </w:r>
      <w:r w:rsidRPr="0035160C">
        <w:rPr>
          <w:rFonts w:cs="Times New Roman"/>
        </w:rPr>
        <w:t xml:space="preserve">padowych do wytwarzania biokomponentów oraz biometanu zużywanego w transporcie, </w:t>
      </w:r>
    </w:p>
    <w:p w14:paraId="206BB3A0" w14:textId="77777777" w:rsidR="006424CE" w:rsidRPr="0035160C" w:rsidRDefault="006424CE" w:rsidP="00CA3BB7">
      <w:pPr>
        <w:numPr>
          <w:ilvl w:val="0"/>
          <w:numId w:val="32"/>
        </w:numPr>
        <w:autoSpaceDE w:val="0"/>
        <w:autoSpaceDN w:val="0"/>
        <w:adjustRightInd w:val="0"/>
        <w:spacing w:after="0" w:line="276" w:lineRule="auto"/>
        <w:ind w:left="714" w:hanging="357"/>
        <w:jc w:val="both"/>
        <w:rPr>
          <w:rFonts w:cs="Times New Roman"/>
        </w:rPr>
      </w:pPr>
      <w:r w:rsidRPr="0035160C">
        <w:rPr>
          <w:rFonts w:cs="Times New Roman"/>
        </w:rPr>
        <w:t>oczyszczanie biogazu rolniczego do poziomu biometanu, przetwarzanie biomasy w procesie jej współuwodornienia lub uwodornienia,</w:t>
      </w:r>
    </w:p>
    <w:p w14:paraId="5ED6D472" w14:textId="77777777" w:rsidR="006424CE" w:rsidRPr="0035160C" w:rsidRDefault="006424CE" w:rsidP="00CA3BB7">
      <w:pPr>
        <w:numPr>
          <w:ilvl w:val="0"/>
          <w:numId w:val="32"/>
        </w:numPr>
        <w:autoSpaceDE w:val="0"/>
        <w:autoSpaceDN w:val="0"/>
        <w:adjustRightInd w:val="0"/>
        <w:spacing w:after="0" w:line="276" w:lineRule="auto"/>
        <w:ind w:left="714" w:hanging="357"/>
        <w:jc w:val="both"/>
        <w:rPr>
          <w:rFonts w:cs="Times New Roman"/>
        </w:rPr>
      </w:pPr>
      <w:r w:rsidRPr="0035160C">
        <w:rPr>
          <w:rFonts w:cs="Times New Roman"/>
        </w:rPr>
        <w:t>preferencje podatkowe w zakresie akcyzy i podatku dochodowego w odniesieniu do pojazdów zero- i niskoemisyjnych,</w:t>
      </w:r>
    </w:p>
    <w:p w14:paraId="72A0F2A7" w14:textId="77777777" w:rsidR="006424CE" w:rsidRPr="0035160C" w:rsidRDefault="006424CE" w:rsidP="00CA3BB7">
      <w:pPr>
        <w:numPr>
          <w:ilvl w:val="0"/>
          <w:numId w:val="32"/>
        </w:numPr>
        <w:autoSpaceDE w:val="0"/>
        <w:autoSpaceDN w:val="0"/>
        <w:adjustRightInd w:val="0"/>
        <w:spacing w:after="0" w:line="276" w:lineRule="auto"/>
        <w:ind w:left="714" w:hanging="357"/>
        <w:jc w:val="both"/>
        <w:rPr>
          <w:rFonts w:cs="Times New Roman"/>
        </w:rPr>
      </w:pPr>
      <w:r w:rsidRPr="0035160C">
        <w:rPr>
          <w:rFonts w:cs="Times New Roman"/>
        </w:rPr>
        <w:t>wdrażanie Planów Zrównoważonej Mobilności Miejskiej,</w:t>
      </w:r>
    </w:p>
    <w:p w14:paraId="2389D752" w14:textId="77777777" w:rsidR="006424CE" w:rsidRPr="0035160C" w:rsidRDefault="006424CE" w:rsidP="00CA3BB7">
      <w:pPr>
        <w:numPr>
          <w:ilvl w:val="0"/>
          <w:numId w:val="32"/>
        </w:numPr>
        <w:autoSpaceDE w:val="0"/>
        <w:autoSpaceDN w:val="0"/>
        <w:adjustRightInd w:val="0"/>
        <w:spacing w:after="0" w:line="276" w:lineRule="auto"/>
        <w:ind w:left="714" w:hanging="357"/>
        <w:jc w:val="both"/>
        <w:rPr>
          <w:rFonts w:cs="Times New Roman"/>
        </w:rPr>
      </w:pPr>
      <w:r w:rsidRPr="0035160C">
        <w:rPr>
          <w:rFonts w:cs="Times New Roman"/>
        </w:rPr>
        <w:t>darmowe parkowanie czy możliwość korzystania z bus-pasów dla pojazdów zeroemisyjnych,</w:t>
      </w:r>
    </w:p>
    <w:p w14:paraId="7A1638EE" w14:textId="77777777" w:rsidR="006424CE" w:rsidRPr="0035160C" w:rsidRDefault="006424CE" w:rsidP="00CA3BB7">
      <w:pPr>
        <w:numPr>
          <w:ilvl w:val="0"/>
          <w:numId w:val="32"/>
        </w:numPr>
        <w:autoSpaceDE w:val="0"/>
        <w:autoSpaceDN w:val="0"/>
        <w:adjustRightInd w:val="0"/>
        <w:spacing w:after="0" w:line="276" w:lineRule="auto"/>
        <w:ind w:left="714" w:hanging="357"/>
        <w:jc w:val="both"/>
        <w:rPr>
          <w:rFonts w:cs="Times New Roman"/>
        </w:rPr>
      </w:pPr>
      <w:r w:rsidRPr="0035160C">
        <w:rPr>
          <w:rFonts w:cs="Times New Roman"/>
        </w:rPr>
        <w:t>integrację połączeń oraz informacji dla podróżnych i biletów różnych operatorów transportu publicznego,</w:t>
      </w:r>
    </w:p>
    <w:p w14:paraId="419301FD" w14:textId="77777777" w:rsidR="006424CE" w:rsidRPr="0035160C" w:rsidRDefault="006424CE" w:rsidP="00CA3BB7">
      <w:pPr>
        <w:numPr>
          <w:ilvl w:val="0"/>
          <w:numId w:val="32"/>
        </w:numPr>
        <w:autoSpaceDE w:val="0"/>
        <w:autoSpaceDN w:val="0"/>
        <w:adjustRightInd w:val="0"/>
        <w:spacing w:after="0" w:line="276" w:lineRule="auto"/>
        <w:ind w:left="714" w:hanging="357"/>
        <w:jc w:val="both"/>
        <w:rPr>
          <w:rFonts w:cs="Times New Roman"/>
        </w:rPr>
      </w:pPr>
      <w:r w:rsidRPr="0035160C">
        <w:rPr>
          <w:rFonts w:eastAsia="+mj-ea" w:cs="Times New Roman"/>
          <w:kern w:val="24"/>
        </w:rPr>
        <w:t>zwiększenie ilości połączeń i częstotliwości kursowania niskoemisyjnych pojazdów szynowych, zwłaszcza w centrach dużych miast,</w:t>
      </w:r>
    </w:p>
    <w:p w14:paraId="3FC026BE" w14:textId="77777777" w:rsidR="006424CE" w:rsidRPr="0035160C" w:rsidRDefault="006424CE" w:rsidP="00CA3BB7">
      <w:pPr>
        <w:numPr>
          <w:ilvl w:val="0"/>
          <w:numId w:val="32"/>
        </w:numPr>
        <w:autoSpaceDE w:val="0"/>
        <w:autoSpaceDN w:val="0"/>
        <w:adjustRightInd w:val="0"/>
        <w:spacing w:after="0" w:line="276" w:lineRule="auto"/>
        <w:ind w:left="714" w:hanging="357"/>
        <w:jc w:val="both"/>
        <w:rPr>
          <w:rFonts w:cs="Times New Roman"/>
        </w:rPr>
      </w:pPr>
      <w:r w:rsidRPr="0035160C">
        <w:rPr>
          <w:rFonts w:eastAsia="+mj-ea" w:cs="Times New Roman"/>
          <w:kern w:val="24"/>
        </w:rPr>
        <w:t>włączenie transportu kolejowego do obsługi transportu miejskiego,</w:t>
      </w:r>
    </w:p>
    <w:p w14:paraId="499B2D13" w14:textId="77777777" w:rsidR="006424CE" w:rsidRPr="0035160C" w:rsidRDefault="006424CE" w:rsidP="00CA3BB7">
      <w:pPr>
        <w:numPr>
          <w:ilvl w:val="0"/>
          <w:numId w:val="32"/>
        </w:numPr>
        <w:autoSpaceDE w:val="0"/>
        <w:autoSpaceDN w:val="0"/>
        <w:adjustRightInd w:val="0"/>
        <w:spacing w:after="0" w:line="276" w:lineRule="auto"/>
        <w:ind w:left="714" w:hanging="357"/>
        <w:jc w:val="both"/>
        <w:rPr>
          <w:rFonts w:cs="Times New Roman"/>
        </w:rPr>
      </w:pPr>
      <w:r w:rsidRPr="0035160C">
        <w:rPr>
          <w:rFonts w:eastAsia="+mj-ea" w:cs="Times New Roman"/>
          <w:kern w:val="24"/>
        </w:rPr>
        <w:t>poprawa komfortu i bezpieczeństwa funkcjonowania węzłów przesiadkowych komunikacji publicznej, ze zwiększeniem roli przejazdów realizowanych z wykorzystaniem łańcuchów ekomobilności,</w:t>
      </w:r>
    </w:p>
    <w:p w14:paraId="611D1AE0" w14:textId="77777777" w:rsidR="006424CE" w:rsidRPr="0035160C" w:rsidRDefault="006424CE" w:rsidP="00CA3BB7">
      <w:pPr>
        <w:numPr>
          <w:ilvl w:val="0"/>
          <w:numId w:val="32"/>
        </w:numPr>
        <w:autoSpaceDE w:val="0"/>
        <w:autoSpaceDN w:val="0"/>
        <w:adjustRightInd w:val="0"/>
        <w:spacing w:after="0" w:line="276" w:lineRule="auto"/>
        <w:ind w:left="714" w:hanging="357"/>
        <w:jc w:val="both"/>
        <w:rPr>
          <w:rFonts w:cs="Times New Roman"/>
        </w:rPr>
      </w:pPr>
      <w:r w:rsidRPr="0035160C">
        <w:rPr>
          <w:rFonts w:eastAsia="+mj-ea" w:cs="Times New Roman"/>
          <w:kern w:val="24"/>
        </w:rPr>
        <w:t>optymalizacja transportu towarowego w miastach, w tym rozwój logistyki miejskiej (np. ciche dostawy nocne),</w:t>
      </w:r>
    </w:p>
    <w:p w14:paraId="349CEF93" w14:textId="77777777" w:rsidR="006424CE" w:rsidRPr="0035160C" w:rsidRDefault="006424CE" w:rsidP="00CA3BB7">
      <w:pPr>
        <w:numPr>
          <w:ilvl w:val="0"/>
          <w:numId w:val="32"/>
        </w:numPr>
        <w:autoSpaceDE w:val="0"/>
        <w:autoSpaceDN w:val="0"/>
        <w:adjustRightInd w:val="0"/>
        <w:spacing w:after="0" w:line="276" w:lineRule="auto"/>
        <w:ind w:hanging="357"/>
        <w:jc w:val="both"/>
        <w:rPr>
          <w:rFonts w:eastAsia="+mj-ea" w:cs="Times New Roman"/>
          <w:kern w:val="24"/>
        </w:rPr>
      </w:pPr>
      <w:r w:rsidRPr="0035160C">
        <w:rPr>
          <w:rFonts w:eastAsia="+mj-ea" w:cs="Times New Roman"/>
          <w:kern w:val="24"/>
        </w:rPr>
        <w:t xml:space="preserve">budowa parkingów typu Park&amp;Ride oraz Park&amp;Bike, budowa ścieżek rowerowych,  </w:t>
      </w:r>
    </w:p>
    <w:p w14:paraId="039F98F9" w14:textId="77777777" w:rsidR="006424CE" w:rsidRPr="0035160C" w:rsidRDefault="006424CE" w:rsidP="00CA3BB7">
      <w:pPr>
        <w:numPr>
          <w:ilvl w:val="0"/>
          <w:numId w:val="32"/>
        </w:numPr>
        <w:autoSpaceDE w:val="0"/>
        <w:autoSpaceDN w:val="0"/>
        <w:adjustRightInd w:val="0"/>
        <w:spacing w:after="0" w:line="276" w:lineRule="auto"/>
        <w:ind w:hanging="357"/>
        <w:jc w:val="both"/>
        <w:rPr>
          <w:rFonts w:eastAsia="+mj-ea" w:cs="Times New Roman"/>
          <w:kern w:val="24"/>
        </w:rPr>
      </w:pPr>
      <w:r w:rsidRPr="0035160C">
        <w:rPr>
          <w:rFonts w:eastAsia="+mj-ea" w:cs="Times New Roman"/>
          <w:kern w:val="24"/>
        </w:rPr>
        <w:t>stosowanie na terenie miast nawierzchni o najwyższej odporności na ścieranie na skrzyżowaniach i na odcinkach jezdni o największym natężeniu ruchu</w:t>
      </w:r>
      <w:r w:rsidRPr="0035160C">
        <w:rPr>
          <w:rFonts w:cs="Times New Roman"/>
        </w:rPr>
        <w:t>,</w:t>
      </w:r>
    </w:p>
    <w:p w14:paraId="1CBC2F46" w14:textId="77777777" w:rsidR="006424CE" w:rsidRPr="0035160C" w:rsidRDefault="006424CE" w:rsidP="00CA3BB7">
      <w:pPr>
        <w:numPr>
          <w:ilvl w:val="0"/>
          <w:numId w:val="32"/>
        </w:numPr>
        <w:autoSpaceDE w:val="0"/>
        <w:autoSpaceDN w:val="0"/>
        <w:adjustRightInd w:val="0"/>
        <w:spacing w:after="0" w:line="276" w:lineRule="auto"/>
        <w:ind w:hanging="357"/>
        <w:jc w:val="both"/>
        <w:rPr>
          <w:rFonts w:eastAsia="+mj-ea" w:cs="Times New Roman"/>
          <w:kern w:val="24"/>
        </w:rPr>
      </w:pPr>
      <w:r w:rsidRPr="0035160C">
        <w:rPr>
          <w:rFonts w:cs="Times New Roman"/>
        </w:rPr>
        <w:t>promocja transportu szynowego w obrębie miast,</w:t>
      </w:r>
    </w:p>
    <w:p w14:paraId="7A6E4759" w14:textId="77777777" w:rsidR="006424CE" w:rsidRPr="0035160C" w:rsidRDefault="006424CE" w:rsidP="00CA3BB7">
      <w:pPr>
        <w:numPr>
          <w:ilvl w:val="0"/>
          <w:numId w:val="32"/>
        </w:numPr>
        <w:autoSpaceDE w:val="0"/>
        <w:autoSpaceDN w:val="0"/>
        <w:adjustRightInd w:val="0"/>
        <w:spacing w:after="0" w:line="276" w:lineRule="auto"/>
        <w:ind w:hanging="357"/>
        <w:jc w:val="both"/>
        <w:rPr>
          <w:rFonts w:eastAsia="+mj-ea" w:cs="Times New Roman"/>
          <w:kern w:val="24"/>
        </w:rPr>
      </w:pPr>
      <w:r w:rsidRPr="0035160C">
        <w:rPr>
          <w:rFonts w:cs="Times New Roman"/>
        </w:rPr>
        <w:t>wspólny bilet kolejowych i pasażerskich przewozów aglomeracyjnych,</w:t>
      </w:r>
    </w:p>
    <w:p w14:paraId="73B42700" w14:textId="77777777" w:rsidR="006424CE" w:rsidRPr="0035160C" w:rsidRDefault="006424CE" w:rsidP="00CA3BB7">
      <w:pPr>
        <w:numPr>
          <w:ilvl w:val="0"/>
          <w:numId w:val="32"/>
        </w:numPr>
        <w:autoSpaceDE w:val="0"/>
        <w:autoSpaceDN w:val="0"/>
        <w:adjustRightInd w:val="0"/>
        <w:spacing w:after="0" w:line="276" w:lineRule="auto"/>
        <w:ind w:hanging="357"/>
        <w:jc w:val="both"/>
        <w:rPr>
          <w:rFonts w:eastAsia="+mj-ea" w:cs="Times New Roman"/>
          <w:kern w:val="24"/>
        </w:rPr>
      </w:pPr>
      <w:r w:rsidRPr="0035160C">
        <w:rPr>
          <w:rFonts w:cs="Times New Roman"/>
        </w:rPr>
        <w:t>przywracanie lokalnych połączeń autobusowych,</w:t>
      </w:r>
    </w:p>
    <w:p w14:paraId="61492D00" w14:textId="77777777" w:rsidR="006424CE" w:rsidRPr="0035160C" w:rsidRDefault="006424CE" w:rsidP="00CA3BB7">
      <w:pPr>
        <w:numPr>
          <w:ilvl w:val="0"/>
          <w:numId w:val="32"/>
        </w:numPr>
        <w:suppressAutoHyphens/>
        <w:spacing w:after="0" w:line="276" w:lineRule="auto"/>
        <w:ind w:hanging="357"/>
        <w:jc w:val="both"/>
        <w:rPr>
          <w:rFonts w:eastAsia="+mj-ea" w:cs="Times New Roman"/>
          <w:kern w:val="24"/>
        </w:rPr>
      </w:pPr>
      <w:r w:rsidRPr="0035160C">
        <w:rPr>
          <w:rFonts w:eastAsia="+mj-ea" w:cs="Times New Roman"/>
          <w:kern w:val="24"/>
        </w:rPr>
        <w:t>modernizacja układu drogowego w celu wyeliminowania ciężkiego ruchu towarowego oraz przewozów masowych ładunków niebezpiecznych przez tereny zabudowane (budowa obwodnic miejskich),</w:t>
      </w:r>
    </w:p>
    <w:p w14:paraId="4F503888" w14:textId="77777777" w:rsidR="006424CE" w:rsidRPr="0035160C" w:rsidRDefault="006424CE" w:rsidP="00CA3BB7">
      <w:pPr>
        <w:numPr>
          <w:ilvl w:val="0"/>
          <w:numId w:val="32"/>
        </w:numPr>
        <w:suppressAutoHyphens/>
        <w:spacing w:after="0" w:line="276" w:lineRule="auto"/>
        <w:ind w:hanging="357"/>
        <w:jc w:val="both"/>
        <w:rPr>
          <w:rFonts w:eastAsia="+mj-ea" w:cs="Times New Roman"/>
          <w:kern w:val="24"/>
        </w:rPr>
      </w:pPr>
      <w:r w:rsidRPr="0035160C">
        <w:rPr>
          <w:rFonts w:cs="Times New Roman"/>
        </w:rPr>
        <w:t xml:space="preserve">system monitorowania emisji z transportu, pozwalający na bieżący monitoring wpływu ruchu drogowego na jakość powietrza, obejmujący: </w:t>
      </w:r>
    </w:p>
    <w:p w14:paraId="5395A9F3" w14:textId="77777777" w:rsidR="006424CE" w:rsidRPr="0035160C" w:rsidRDefault="006424CE" w:rsidP="006424CE">
      <w:pPr>
        <w:suppressAutoHyphens/>
        <w:spacing w:after="0" w:line="276" w:lineRule="auto"/>
        <w:ind w:left="851" w:hanging="131"/>
        <w:jc w:val="both"/>
        <w:rPr>
          <w:rFonts w:cs="Times New Roman"/>
        </w:rPr>
      </w:pPr>
      <w:r w:rsidRPr="0035160C">
        <w:rPr>
          <w:rFonts w:cs="Times New Roman"/>
        </w:rPr>
        <w:t xml:space="preserve">- system automatycznego pomiaru natężenia i struktury ruchu pojazdów oraz prędkości odcinkowych pojazdów (wykorzystanie systemu kamer rozpoznających numery rejestracyjne pojazdów), </w:t>
      </w:r>
    </w:p>
    <w:p w14:paraId="2FA5A260" w14:textId="77777777" w:rsidR="006424CE" w:rsidRPr="0035160C" w:rsidRDefault="006424CE" w:rsidP="006424CE">
      <w:pPr>
        <w:suppressAutoHyphens/>
        <w:spacing w:after="0" w:line="276" w:lineRule="auto"/>
        <w:ind w:left="851" w:hanging="131"/>
        <w:jc w:val="both"/>
        <w:rPr>
          <w:rFonts w:cs="Times New Roman"/>
        </w:rPr>
      </w:pPr>
      <w:r w:rsidRPr="0035160C">
        <w:rPr>
          <w:rFonts w:cs="Times New Roman"/>
        </w:rPr>
        <w:t xml:space="preserve">- wykorzystanie modelowania natężenia i struktury ruchu dla wszystkich odcinków dróg w mieście oraz prowadzenie obliczeń prognostycznych, </w:t>
      </w:r>
    </w:p>
    <w:p w14:paraId="2B18F3C0" w14:textId="21F86099" w:rsidR="006424CE" w:rsidRDefault="006424CE" w:rsidP="00CA3BB7">
      <w:pPr>
        <w:numPr>
          <w:ilvl w:val="0"/>
          <w:numId w:val="41"/>
        </w:numPr>
        <w:suppressAutoHyphens/>
        <w:spacing w:after="0" w:line="276" w:lineRule="auto"/>
        <w:contextualSpacing/>
        <w:jc w:val="both"/>
        <w:rPr>
          <w:rFonts w:eastAsia="+mj-ea" w:cs="Times New Roman"/>
          <w:kern w:val="24"/>
        </w:rPr>
      </w:pPr>
      <w:r w:rsidRPr="0035160C">
        <w:rPr>
          <w:rFonts w:cs="Times New Roman"/>
        </w:rPr>
        <w:lastRenderedPageBreak/>
        <w:t>strefy</w:t>
      </w:r>
      <w:r w:rsidRPr="0035160C">
        <w:rPr>
          <w:rFonts w:cs="Times New Roman"/>
          <w:i/>
          <w:iCs/>
        </w:rPr>
        <w:t xml:space="preserve"> </w:t>
      </w:r>
      <w:r w:rsidRPr="0035160C">
        <w:rPr>
          <w:rFonts w:cs="Times New Roman"/>
        </w:rPr>
        <w:t xml:space="preserve">Tempo 30 /40. </w:t>
      </w:r>
    </w:p>
    <w:p w14:paraId="509EA21A" w14:textId="77777777" w:rsidR="002C38C8" w:rsidRPr="002C38C8" w:rsidRDefault="002C38C8" w:rsidP="002C38C8">
      <w:pPr>
        <w:suppressAutoHyphens/>
        <w:spacing w:after="0" w:line="276" w:lineRule="auto"/>
        <w:ind w:left="720"/>
        <w:contextualSpacing/>
        <w:jc w:val="both"/>
        <w:rPr>
          <w:rFonts w:eastAsia="+mj-ea" w:cs="Times New Roman"/>
          <w:kern w:val="24"/>
        </w:rPr>
      </w:pPr>
    </w:p>
    <w:p w14:paraId="31BB0FFE" w14:textId="690F6D62" w:rsidR="006424CE" w:rsidRPr="0035160C" w:rsidRDefault="005B4C90" w:rsidP="00E212F5">
      <w:pPr>
        <w:jc w:val="both"/>
        <w:rPr>
          <w:b/>
          <w:bCs/>
          <w:color w:val="2F5496" w:themeColor="accent1" w:themeShade="BF"/>
        </w:rPr>
      </w:pPr>
      <w:r w:rsidRPr="0035160C">
        <w:rPr>
          <w:b/>
          <w:bCs/>
          <w:color w:val="2F5496" w:themeColor="accent1" w:themeShade="BF"/>
        </w:rPr>
        <w:t>Realizacja ww. działań, zarówno przez jednostki administracji rządowej, jak i przede wszystkim samorządu terytorialnego powinny przyczynić się do ograniczenia negatywnego wpływu transportu drogowego na stan powietrza.</w:t>
      </w:r>
    </w:p>
    <w:p w14:paraId="648A79E1" w14:textId="053655CA" w:rsidR="00872873" w:rsidRPr="0035160C" w:rsidRDefault="00872873" w:rsidP="00872873">
      <w:pPr>
        <w:jc w:val="both"/>
      </w:pPr>
      <w:bookmarkStart w:id="69" w:name="_Toc68166603"/>
      <w:bookmarkEnd w:id="69"/>
      <w:r w:rsidRPr="0035160C">
        <w:br w:type="page"/>
      </w:r>
    </w:p>
    <w:p w14:paraId="132289DD" w14:textId="3B168DD0" w:rsidR="007520DF" w:rsidRPr="0035160C" w:rsidRDefault="00FF2D7D" w:rsidP="00FF2D7D">
      <w:pPr>
        <w:pStyle w:val="Nagwek2"/>
        <w:numPr>
          <w:ilvl w:val="0"/>
          <w:numId w:val="0"/>
        </w:numPr>
        <w:rPr>
          <w:b/>
          <w:sz w:val="22"/>
          <w:szCs w:val="22"/>
        </w:rPr>
      </w:pPr>
      <w:bookmarkStart w:id="70" w:name="_Toc78205895"/>
      <w:r w:rsidRPr="0035160C">
        <w:rPr>
          <w:b/>
          <w:sz w:val="22"/>
          <w:szCs w:val="22"/>
        </w:rPr>
        <w:lastRenderedPageBreak/>
        <w:t>9</w:t>
      </w:r>
      <w:r w:rsidR="00282106" w:rsidRPr="0035160C">
        <w:rPr>
          <w:b/>
          <w:sz w:val="22"/>
          <w:szCs w:val="22"/>
        </w:rPr>
        <w:t>.</w:t>
      </w:r>
      <w:bookmarkStart w:id="71" w:name="_Hlk60835933"/>
      <w:r w:rsidR="00204EF5" w:rsidRPr="0035160C">
        <w:rPr>
          <w:b/>
          <w:sz w:val="22"/>
          <w:szCs w:val="22"/>
        </w:rPr>
        <w:t>3</w:t>
      </w:r>
      <w:r w:rsidR="00C02205" w:rsidRPr="0035160C">
        <w:rPr>
          <w:b/>
          <w:sz w:val="22"/>
          <w:szCs w:val="22"/>
        </w:rPr>
        <w:tab/>
        <w:t>Kierunek interwencji 3 – OGRANICZENIE POZIOMU ZANIECZYSZCZEŃ POWIETRZA W MIASTACH, POLITYKA MIEJSKA</w:t>
      </w:r>
      <w:bookmarkEnd w:id="70"/>
    </w:p>
    <w:p w14:paraId="6689CA8F" w14:textId="70BDA096" w:rsidR="00E01488" w:rsidRPr="002C38C8" w:rsidRDefault="00FF2D7D" w:rsidP="002C38C8">
      <w:pPr>
        <w:pStyle w:val="Nagwek3"/>
        <w:numPr>
          <w:ilvl w:val="0"/>
          <w:numId w:val="0"/>
        </w:numPr>
        <w:rPr>
          <w:b/>
          <w:sz w:val="22"/>
          <w:szCs w:val="22"/>
        </w:rPr>
      </w:pPr>
      <w:bookmarkStart w:id="72" w:name="_Toc78205896"/>
      <w:r w:rsidRPr="0035160C">
        <w:rPr>
          <w:b/>
          <w:sz w:val="22"/>
          <w:szCs w:val="22"/>
        </w:rPr>
        <w:t>9</w:t>
      </w:r>
      <w:r w:rsidR="00F03C94" w:rsidRPr="0035160C">
        <w:rPr>
          <w:b/>
          <w:sz w:val="22"/>
          <w:szCs w:val="22"/>
        </w:rPr>
        <w:t>.3.1</w:t>
      </w:r>
      <w:r w:rsidR="00E01488" w:rsidRPr="0035160C">
        <w:rPr>
          <w:b/>
          <w:sz w:val="22"/>
          <w:szCs w:val="22"/>
        </w:rPr>
        <w:t xml:space="preserve"> Wprowadzenie do Polityki miejskiej</w:t>
      </w:r>
      <w:bookmarkEnd w:id="72"/>
    </w:p>
    <w:p w14:paraId="03BECAEA" w14:textId="35C69A9F" w:rsidR="00E01488" w:rsidRPr="001F50D6" w:rsidRDefault="00E01488" w:rsidP="002C38C8">
      <w:pPr>
        <w:spacing w:after="60"/>
        <w:jc w:val="both"/>
        <w:rPr>
          <w:rFonts w:eastAsia="Times New Roman" w:cstheme="minorHAnsi"/>
          <w:b/>
          <w:color w:val="2F5496" w:themeColor="accent1" w:themeShade="BF"/>
          <w:lang w:eastAsia="pl-PL"/>
        </w:rPr>
      </w:pPr>
      <w:r w:rsidRPr="001F50D6">
        <w:rPr>
          <w:rFonts w:cstheme="minorHAnsi"/>
          <w:b/>
          <w:color w:val="2F5496" w:themeColor="accent1" w:themeShade="BF"/>
        </w:rPr>
        <w:t>O obszarach zurbanizowanych (miastach i aglomeracjach) i przyszłych wyzwaniach</w:t>
      </w:r>
    </w:p>
    <w:p w14:paraId="497B2CED" w14:textId="156B923B" w:rsidR="00E01488" w:rsidRPr="0035160C" w:rsidRDefault="00E01488" w:rsidP="002C38C8">
      <w:pPr>
        <w:spacing w:before="120" w:after="60" w:line="276" w:lineRule="auto"/>
        <w:jc w:val="both"/>
        <w:rPr>
          <w:rFonts w:eastAsia="Times New Roman" w:cstheme="minorHAnsi"/>
          <w:lang w:eastAsia="pl-PL"/>
        </w:rPr>
      </w:pPr>
      <w:r w:rsidRPr="001F50D6">
        <w:rPr>
          <w:rFonts w:eastAsia="Times New Roman" w:cstheme="minorHAnsi"/>
          <w:b/>
          <w:bCs/>
          <w:color w:val="2F5496" w:themeColor="accent1" w:themeShade="BF"/>
          <w:lang w:eastAsia="pl-PL"/>
        </w:rPr>
        <w:t>Miasta stoją w obliczu wielu problemów, które w najbliższych latach, ze względu na zmiany demograficzne i gospodarcze, będą się nasilać, ponieważ jak wynika z prognoz, w tym prognozy ONZ do roku 2050 liczba mieszkańców miast na świecie zwiększy się prawie dwukrotnie. Wraz ze wzrostem miast będą rosnąć problemy związane z zanieczyszczeniem środowiska, w tym powietrza, logistyką, gospodarowaniem i zaopatrzeniem w energię i wodę, gospodarkę odpadami, a także z różnicami w poziomie życia mieszkańców</w:t>
      </w:r>
      <w:r w:rsidRPr="0035160C">
        <w:rPr>
          <w:rFonts w:eastAsia="Times New Roman" w:cstheme="minorHAnsi"/>
          <w:lang w:eastAsia="pl-PL"/>
        </w:rPr>
        <w:t xml:space="preserve">. </w:t>
      </w:r>
    </w:p>
    <w:p w14:paraId="1577699A" w14:textId="175B075E" w:rsidR="00E01488" w:rsidRPr="0035160C" w:rsidRDefault="00E01488" w:rsidP="002C38C8">
      <w:pPr>
        <w:spacing w:after="60" w:line="276" w:lineRule="auto"/>
        <w:jc w:val="both"/>
        <w:rPr>
          <w:rFonts w:eastAsia="Times New Roman" w:cstheme="minorHAnsi"/>
          <w:lang w:eastAsia="pl-PL"/>
        </w:rPr>
      </w:pPr>
      <w:r w:rsidRPr="0035160C">
        <w:rPr>
          <w:rFonts w:eastAsia="Times New Roman" w:cstheme="minorHAnsi"/>
          <w:lang w:eastAsia="pl-PL"/>
        </w:rPr>
        <w:t xml:space="preserve">Miasta i aglomeracje zajmują 2-3% powierzchni lądów, ale mieszka w nich ponad </w:t>
      </w:r>
      <w:r w:rsidR="006875F5" w:rsidRPr="0035160C">
        <w:rPr>
          <w:rFonts w:eastAsia="Times New Roman" w:cstheme="minorHAnsi"/>
          <w:lang w:eastAsia="pl-PL"/>
        </w:rPr>
        <w:t>po</w:t>
      </w:r>
      <w:r w:rsidR="006875F5">
        <w:rPr>
          <w:rFonts w:eastAsia="Times New Roman" w:cstheme="minorHAnsi"/>
          <w:lang w:eastAsia="pl-PL"/>
        </w:rPr>
        <w:t>ł</w:t>
      </w:r>
      <w:r w:rsidR="006875F5" w:rsidRPr="0035160C">
        <w:rPr>
          <w:rFonts w:eastAsia="Times New Roman" w:cstheme="minorHAnsi"/>
          <w:lang w:eastAsia="pl-PL"/>
        </w:rPr>
        <w:t xml:space="preserve">owa </w:t>
      </w:r>
      <w:r w:rsidR="006875F5">
        <w:rPr>
          <w:rFonts w:eastAsia="Times New Roman" w:cstheme="minorHAnsi"/>
          <w:lang w:eastAsia="pl-PL"/>
        </w:rPr>
        <w:t>ś</w:t>
      </w:r>
      <w:r w:rsidR="006875F5" w:rsidRPr="0035160C">
        <w:rPr>
          <w:rFonts w:eastAsia="Times New Roman" w:cstheme="minorHAnsi"/>
          <w:lang w:eastAsia="pl-PL"/>
        </w:rPr>
        <w:t xml:space="preserve">wiatowej </w:t>
      </w:r>
      <w:r w:rsidRPr="0035160C">
        <w:rPr>
          <w:rFonts w:eastAsia="Times New Roman" w:cstheme="minorHAnsi"/>
          <w:lang w:eastAsia="pl-PL"/>
        </w:rPr>
        <w:t>populacji ludzkiej. Polskie miasta zajmują 7% powierzchni kraju, a mieszka w nich 60 % populacji Polski. Europejskie obszary zurbanizowane zamieszkiwane są przez dwie trzecie populacji U</w:t>
      </w:r>
      <w:r w:rsidR="00E421EE">
        <w:rPr>
          <w:rFonts w:eastAsia="Times New Roman" w:cstheme="minorHAnsi"/>
          <w:lang w:eastAsia="pl-PL"/>
        </w:rPr>
        <w:t xml:space="preserve">nii </w:t>
      </w:r>
      <w:r w:rsidRPr="0035160C">
        <w:rPr>
          <w:rFonts w:eastAsia="Times New Roman" w:cstheme="minorHAnsi"/>
          <w:lang w:eastAsia="pl-PL"/>
        </w:rPr>
        <w:t>E</w:t>
      </w:r>
      <w:r w:rsidR="00E421EE">
        <w:rPr>
          <w:rFonts w:eastAsia="Times New Roman" w:cstheme="minorHAnsi"/>
          <w:lang w:eastAsia="pl-PL"/>
        </w:rPr>
        <w:t>uropejskiej</w:t>
      </w:r>
      <w:r w:rsidRPr="0035160C">
        <w:rPr>
          <w:rFonts w:eastAsia="Times New Roman" w:cstheme="minorHAnsi"/>
          <w:lang w:eastAsia="pl-PL"/>
        </w:rPr>
        <w:t>. Konsumują one około 80% energii, generują nawet 85% PKB Europy i 75% emisji gazów cieplarnianych. Miasta stanowią siłę napędową europejskiej gospodarki. Są również uważane za katalizatory kreatywności i innowacyjności w całej Unii. Jednakże to właśnie na obszarach miejskich stałe problemy, takie jak bezrobocie, segregacja i bieda przyjmują najbardziej uciążliwą postać. Strategie polityki miejskiej mają w związku z tym szersze, transgraniczne znaczenie, co powoduje, że rozwój obszarów miejskich jest kwestią kluczową dla polityki regionalnej U</w:t>
      </w:r>
      <w:r w:rsidR="00E421EE">
        <w:rPr>
          <w:rFonts w:eastAsia="Times New Roman" w:cstheme="minorHAnsi"/>
          <w:lang w:eastAsia="pl-PL"/>
        </w:rPr>
        <w:t>nii</w:t>
      </w:r>
      <w:r w:rsidRPr="0035160C">
        <w:rPr>
          <w:rFonts w:eastAsia="Times New Roman" w:cstheme="minorHAnsi"/>
          <w:lang w:eastAsia="pl-PL"/>
        </w:rPr>
        <w:t>.</w:t>
      </w:r>
    </w:p>
    <w:p w14:paraId="211AE2D5" w14:textId="77777777" w:rsidR="00E01488" w:rsidRPr="0035160C" w:rsidRDefault="00E01488" w:rsidP="002C38C8">
      <w:pPr>
        <w:spacing w:after="60" w:line="276" w:lineRule="auto"/>
        <w:jc w:val="both"/>
        <w:rPr>
          <w:rFonts w:eastAsia="Times New Roman" w:cstheme="minorHAnsi"/>
          <w:lang w:eastAsia="pl-PL"/>
        </w:rPr>
      </w:pPr>
      <w:r w:rsidRPr="0035160C">
        <w:rPr>
          <w:rFonts w:eastAsia="Times New Roman" w:cstheme="minorHAnsi"/>
          <w:lang w:eastAsia="pl-PL"/>
        </w:rPr>
        <w:t>Utrzymanie pozytywnego bilansu gospodarczego na świecie zależy w dużym stopniu od właściwego gospodarowania miastami, ponieważ 700 największych miast, zamieszkanych przez ok. 20% światowej populacji, generuje ponad połowę światowego PKB, co z kolei stawia jednocześnie większe wyzwania przed służbami miejskimi i władzami miast w zakresie sprawnego zarządzania.</w:t>
      </w:r>
    </w:p>
    <w:p w14:paraId="1F7CCD76" w14:textId="4200DF9A" w:rsidR="00E01488" w:rsidRPr="0035160C" w:rsidRDefault="00E01488" w:rsidP="002C38C8">
      <w:pPr>
        <w:spacing w:after="60" w:line="276" w:lineRule="auto"/>
        <w:jc w:val="both"/>
        <w:rPr>
          <w:rFonts w:eastAsia="Times New Roman" w:cstheme="minorHAnsi"/>
          <w:lang w:eastAsia="pl-PL"/>
        </w:rPr>
      </w:pPr>
      <w:r w:rsidRPr="0035160C">
        <w:rPr>
          <w:rFonts w:eastAsia="Times New Roman" w:cstheme="minorHAnsi"/>
          <w:lang w:eastAsia="pl-PL"/>
        </w:rPr>
        <w:t xml:space="preserve">Wychodząc naprzeciw tym wyzwaniom, chcąc usystematyzować wiedzę dotyczącą sprawnego zarządzania miastem, wymyślono ideę ‘inteligentnego miasta” i sformułowano </w:t>
      </w:r>
      <w:r w:rsidR="004E5926">
        <w:rPr>
          <w:rFonts w:eastAsia="Times New Roman" w:cstheme="minorHAnsi"/>
          <w:lang w:eastAsia="pl-PL"/>
        </w:rPr>
        <w:t xml:space="preserve">jego </w:t>
      </w:r>
      <w:r w:rsidR="004E5926" w:rsidRPr="0035160C">
        <w:rPr>
          <w:rFonts w:eastAsia="Times New Roman" w:cstheme="minorHAnsi"/>
          <w:lang w:eastAsia="pl-PL"/>
        </w:rPr>
        <w:t>definicj</w:t>
      </w:r>
      <w:r w:rsidR="004E5926">
        <w:rPr>
          <w:rFonts w:eastAsia="Times New Roman" w:cstheme="minorHAnsi"/>
          <w:lang w:eastAsia="pl-PL"/>
        </w:rPr>
        <w:t>ę</w:t>
      </w:r>
      <w:r w:rsidRPr="0035160C">
        <w:rPr>
          <w:rFonts w:eastAsia="Times New Roman" w:cstheme="minorHAnsi"/>
          <w:lang w:eastAsia="pl-PL"/>
        </w:rPr>
        <w:t xml:space="preserve">, zgodnie z </w:t>
      </w:r>
      <w:r w:rsidR="004E5926" w:rsidRPr="0035160C">
        <w:rPr>
          <w:rFonts w:eastAsia="Times New Roman" w:cstheme="minorHAnsi"/>
          <w:lang w:eastAsia="pl-PL"/>
        </w:rPr>
        <w:t>któr</w:t>
      </w:r>
      <w:r w:rsidR="004E5926">
        <w:rPr>
          <w:rFonts w:eastAsia="Times New Roman" w:cstheme="minorHAnsi"/>
          <w:lang w:eastAsia="pl-PL"/>
        </w:rPr>
        <w:t>ą</w:t>
      </w:r>
      <w:r w:rsidR="004E5926" w:rsidRPr="0035160C">
        <w:rPr>
          <w:rFonts w:eastAsia="Times New Roman" w:cstheme="minorHAnsi"/>
          <w:lang w:eastAsia="pl-PL"/>
        </w:rPr>
        <w:t xml:space="preserve"> </w:t>
      </w:r>
      <w:r w:rsidRPr="0035160C">
        <w:rPr>
          <w:rFonts w:eastAsia="Times New Roman" w:cstheme="minorHAnsi"/>
          <w:lang w:eastAsia="pl-PL"/>
        </w:rPr>
        <w:t>inteligentne miasto to takie, które dąży do rozwiązywania problemów publicznych poprzez zastosowanie rozwiązań opartych o technologie informacyjne i komunikacyjne (ICT) i partnerskiej współpracy zainteresowanych podmiotów, dostawców usług, na poziomie zarządzania miastem.</w:t>
      </w:r>
    </w:p>
    <w:p w14:paraId="11E2F7AB" w14:textId="368EF49B" w:rsidR="00E01488" w:rsidRPr="0035160C" w:rsidRDefault="00E01488" w:rsidP="002C38C8">
      <w:pPr>
        <w:spacing w:after="60" w:line="276" w:lineRule="auto"/>
        <w:jc w:val="both"/>
        <w:rPr>
          <w:rFonts w:eastAsia="Times New Roman" w:cstheme="minorHAnsi"/>
          <w:lang w:eastAsia="pl-PL"/>
        </w:rPr>
      </w:pPr>
      <w:r w:rsidRPr="0035160C">
        <w:rPr>
          <w:rFonts w:eastAsia="Times New Roman" w:cstheme="minorHAnsi"/>
          <w:lang w:eastAsia="pl-PL"/>
        </w:rPr>
        <w:t>Ale zanim powstała idea inteligentnego miast</w:t>
      </w:r>
      <w:r w:rsidR="00862E8E">
        <w:rPr>
          <w:rFonts w:eastAsia="Times New Roman" w:cstheme="minorHAnsi"/>
          <w:lang w:eastAsia="pl-PL"/>
        </w:rPr>
        <w:t>a</w:t>
      </w:r>
      <w:r w:rsidRPr="0035160C">
        <w:rPr>
          <w:rFonts w:eastAsia="Times New Roman" w:cstheme="minorHAnsi"/>
          <w:lang w:eastAsia="pl-PL"/>
        </w:rPr>
        <w:t xml:space="preserve">, to wszystko zaczęło się od idei smart building - inteligentnego budynku, już w latach 70-tych ubiegłego wieku w USA, ale dopiero w latach 80-tych zaadaptowano tą ideę do budownictwa użyteczności publicznej i budynków mieszkalnych. </w:t>
      </w:r>
    </w:p>
    <w:p w14:paraId="4B441FC1" w14:textId="5AF28839" w:rsidR="00E01488" w:rsidRPr="001F50D6" w:rsidRDefault="00E01488" w:rsidP="002C38C8">
      <w:pPr>
        <w:spacing w:after="60" w:line="276" w:lineRule="auto"/>
        <w:jc w:val="both"/>
        <w:rPr>
          <w:rFonts w:eastAsia="Times New Roman" w:cstheme="minorHAnsi"/>
          <w:b/>
          <w:bCs/>
          <w:color w:val="2F5496" w:themeColor="accent1" w:themeShade="BF"/>
          <w:lang w:eastAsia="pl-PL"/>
        </w:rPr>
      </w:pPr>
      <w:r w:rsidRPr="0035160C">
        <w:rPr>
          <w:rFonts w:eastAsia="Times New Roman" w:cstheme="minorHAnsi"/>
          <w:lang w:eastAsia="pl-PL"/>
        </w:rPr>
        <w:t xml:space="preserve">W związku z tym </w:t>
      </w:r>
      <w:r w:rsidRPr="001F50D6">
        <w:rPr>
          <w:rFonts w:eastAsia="Times New Roman" w:cstheme="minorHAnsi"/>
          <w:b/>
          <w:bCs/>
          <w:color w:val="2F5496" w:themeColor="accent1" w:themeShade="BF"/>
          <w:lang w:eastAsia="pl-PL"/>
        </w:rPr>
        <w:t>w formułowaniu celów do 2025, 2030 i 2040 r. w ramach 3 kierunku interwencji, dotyczącego ograniczenia poziomu zanieczyszczenia powietrza w miastach, polityki miejskiej skoncentrowa</w:t>
      </w:r>
      <w:r w:rsidR="001F50D6">
        <w:rPr>
          <w:rFonts w:eastAsia="Times New Roman" w:cstheme="minorHAnsi"/>
          <w:b/>
          <w:bCs/>
          <w:color w:val="2F5496" w:themeColor="accent1" w:themeShade="BF"/>
          <w:lang w:eastAsia="pl-PL"/>
        </w:rPr>
        <w:t xml:space="preserve">no </w:t>
      </w:r>
      <w:r w:rsidRPr="001F50D6">
        <w:rPr>
          <w:rFonts w:eastAsia="Times New Roman" w:cstheme="minorHAnsi"/>
          <w:b/>
          <w:bCs/>
          <w:color w:val="2F5496" w:themeColor="accent1" w:themeShade="BF"/>
          <w:lang w:eastAsia="pl-PL"/>
        </w:rPr>
        <w:t>się na idei miasta inteligentnego, inteligentnego zarządzania infrastrukturą miejską i inteligentnego budynku.</w:t>
      </w:r>
    </w:p>
    <w:p w14:paraId="0F8317A4" w14:textId="254ABA19" w:rsidR="00E01488" w:rsidRPr="0035160C" w:rsidRDefault="00E01488" w:rsidP="002C38C8">
      <w:pPr>
        <w:spacing w:after="60" w:line="276" w:lineRule="auto"/>
        <w:jc w:val="both"/>
        <w:rPr>
          <w:rFonts w:eastAsia="Times New Roman" w:cstheme="minorHAnsi"/>
          <w:lang w:eastAsia="pl-PL"/>
        </w:rPr>
      </w:pPr>
      <w:r w:rsidRPr="0035160C">
        <w:rPr>
          <w:rFonts w:eastAsia="Times New Roman" w:cstheme="minorHAnsi"/>
          <w:lang w:eastAsia="pl-PL"/>
        </w:rPr>
        <w:t xml:space="preserve">Dzięki rewolucji teleinformatycznej, powszechnej dostępności do </w:t>
      </w:r>
      <w:r w:rsidR="00E421EE">
        <w:rPr>
          <w:rFonts w:eastAsia="Times New Roman" w:cstheme="minorHAnsi"/>
          <w:lang w:eastAsia="pl-PL"/>
        </w:rPr>
        <w:t>i</w:t>
      </w:r>
      <w:r w:rsidRPr="0035160C">
        <w:rPr>
          <w:rFonts w:eastAsia="Times New Roman" w:cstheme="minorHAnsi"/>
          <w:lang w:eastAsia="pl-PL"/>
        </w:rPr>
        <w:t>nternetu, komputerów osobistych, czy smartfonów miasta zyskały nowe narzędzia do rozwiązywania swoich problemów, dające możliwość łatwiejszej współpracy różnych grup interesu oraz lepszy dostęp do informacji, co jest niezbędne do sprawnego zarządzania, także miastem.</w:t>
      </w:r>
    </w:p>
    <w:p w14:paraId="332EB0F7" w14:textId="77777777" w:rsidR="00E01488" w:rsidRPr="0035160C" w:rsidRDefault="00E01488" w:rsidP="002C38C8">
      <w:pPr>
        <w:spacing w:after="60" w:line="276" w:lineRule="auto"/>
        <w:jc w:val="both"/>
        <w:rPr>
          <w:rFonts w:eastAsia="Times New Roman" w:cstheme="minorHAnsi"/>
          <w:lang w:eastAsia="pl-PL"/>
        </w:rPr>
      </w:pPr>
      <w:r w:rsidRPr="001F50D6">
        <w:rPr>
          <w:rFonts w:eastAsia="Times New Roman" w:cstheme="minorHAnsi"/>
          <w:b/>
          <w:bCs/>
          <w:color w:val="2F5496" w:themeColor="accent1" w:themeShade="BF"/>
          <w:lang w:eastAsia="pl-PL"/>
        </w:rPr>
        <w:t xml:space="preserve">Umiejętnie realizowana koncepcja inteligentnego miasta niesie ze sobą wymierny potencjał nie tylko w postaci zmniejszenia wydatków z budżetu miasta, ale przede wszystkim poprawy warunków życia mieszkańców, zwiększenia poczucia bezpieczeństwa i aktywnego uczestnictwa w życiu miasta </w:t>
      </w:r>
      <w:r w:rsidRPr="001F50D6">
        <w:rPr>
          <w:rFonts w:eastAsia="Times New Roman" w:cstheme="minorHAnsi"/>
          <w:b/>
          <w:bCs/>
          <w:color w:val="2F5496" w:themeColor="accent1" w:themeShade="BF"/>
          <w:lang w:eastAsia="pl-PL"/>
        </w:rPr>
        <w:lastRenderedPageBreak/>
        <w:t>i oczywiście zmniejszenia negatywnego oddziaływania infrastruktury miejskiej na środowisko, w tym powietrze</w:t>
      </w:r>
      <w:r w:rsidRPr="0035160C">
        <w:rPr>
          <w:rFonts w:eastAsia="Times New Roman" w:cstheme="minorHAnsi"/>
          <w:lang w:eastAsia="pl-PL"/>
        </w:rPr>
        <w:t>.</w:t>
      </w:r>
    </w:p>
    <w:p w14:paraId="2147CB06" w14:textId="77777777" w:rsidR="00E01488" w:rsidRPr="0035160C" w:rsidRDefault="00E01488" w:rsidP="002C38C8">
      <w:pPr>
        <w:spacing w:after="60" w:line="276" w:lineRule="auto"/>
        <w:jc w:val="both"/>
        <w:rPr>
          <w:rFonts w:eastAsia="Times New Roman" w:cstheme="minorHAnsi"/>
          <w:lang w:eastAsia="pl-PL"/>
        </w:rPr>
      </w:pPr>
      <w:r w:rsidRPr="0035160C">
        <w:rPr>
          <w:rFonts w:eastAsia="Times New Roman" w:cstheme="minorHAnsi"/>
          <w:lang w:eastAsia="pl-PL"/>
        </w:rPr>
        <w:t>Wzrastająca liczba osób zamieszkujących na obszarach zurbanizowanych związana jest m.in. z łatwiejszym dostępem do nowoczesnych technologii, większymi możliwościami znalezienia pracy, itp. w obrębie terenów zurbanizowanych. Współczesne miasta i aglomeracje pełnią funkcje administracyjne, mieszkalne, przemysłowe, są ośrodkami kultury i nauki, powinny też stanowić miejsce wypoczynku dla mieszkańców.</w:t>
      </w:r>
    </w:p>
    <w:p w14:paraId="5A44701B" w14:textId="77777777" w:rsidR="00E01488" w:rsidRPr="0035160C" w:rsidRDefault="00E01488" w:rsidP="002C38C8">
      <w:pPr>
        <w:spacing w:after="60" w:line="276" w:lineRule="auto"/>
        <w:jc w:val="both"/>
        <w:rPr>
          <w:rFonts w:eastAsia="Times New Roman" w:cstheme="minorHAnsi"/>
          <w:lang w:eastAsia="pl-PL"/>
        </w:rPr>
      </w:pPr>
      <w:r w:rsidRPr="0035160C">
        <w:rPr>
          <w:rFonts w:eastAsia="Times New Roman" w:cstheme="minorHAnsi"/>
          <w:lang w:eastAsia="pl-PL"/>
        </w:rPr>
        <w:t>Ośrodki miejskie i aglomeracje, czyli obszary zurbanizowane uznawane są zarówno za źródło, jak i rozwiązanie bieżących problemów gospodarczych, środowiskowych i społecznych. Są to obszary o największej gęstości zaludnienia, największym nagromadzeniu różnych rodzajów działalności ludzkiej, a co z tego wynika  często także o najwyższym poziomie zanieczyszczenia, w szczególności powietrza. Dotyczy to zarówno miast europejskich, jak i na innych kontynentach.</w:t>
      </w:r>
    </w:p>
    <w:p w14:paraId="0E8DAE3A" w14:textId="77777777" w:rsidR="00E01488" w:rsidRPr="0035160C" w:rsidRDefault="00E01488" w:rsidP="002C38C8">
      <w:pPr>
        <w:spacing w:after="60" w:line="276" w:lineRule="auto"/>
        <w:jc w:val="both"/>
        <w:rPr>
          <w:rFonts w:eastAsia="Times New Roman" w:cstheme="minorHAnsi"/>
          <w:lang w:eastAsia="pl-PL"/>
        </w:rPr>
      </w:pPr>
      <w:r w:rsidRPr="0035160C">
        <w:rPr>
          <w:rFonts w:eastAsia="Times New Roman" w:cstheme="minorHAnsi"/>
          <w:lang w:eastAsia="pl-PL"/>
        </w:rPr>
        <w:t>W związku z tym obecne tendencje rozwoju takich dziedzin jak  architektura, czy urbanistyka, określone m.in. w tekście Karty Lipskiej (2007), czy wcześniejszej Nowej Karty Ateńskiej (2003), wskazują przede wszystkim na konieczność kształtowania przestrzeni miejskiej w sposób  przyjazny mieszkańcom, a jednocześnie podkreślają potrzebę zrównoważonego korzystania ze środowiska, dlatego rozwój gospodarczy terenów zurbanizowanych musi iść w parze z działaniami proekologicznymi, w tym na rzecz poprawy jakości powietrza.</w:t>
      </w:r>
    </w:p>
    <w:p w14:paraId="798C4658" w14:textId="77777777" w:rsidR="00E01488" w:rsidRPr="001F50D6" w:rsidRDefault="00E01488" w:rsidP="002C38C8">
      <w:pPr>
        <w:spacing w:before="120" w:after="60"/>
        <w:jc w:val="both"/>
        <w:rPr>
          <w:rFonts w:cstheme="minorHAnsi"/>
          <w:b/>
          <w:color w:val="2F5496" w:themeColor="accent1" w:themeShade="BF"/>
        </w:rPr>
      </w:pPr>
      <w:r w:rsidRPr="001F50D6">
        <w:rPr>
          <w:rFonts w:cstheme="minorHAnsi"/>
          <w:b/>
          <w:color w:val="2F5496" w:themeColor="accent1" w:themeShade="BF"/>
        </w:rPr>
        <w:t>Polityka miejska a zanieczyszczenie powietrza</w:t>
      </w:r>
    </w:p>
    <w:p w14:paraId="5E786AC2" w14:textId="21995BB4" w:rsidR="00E01488" w:rsidRPr="001F50D6" w:rsidRDefault="00E01488" w:rsidP="001F50D6">
      <w:pPr>
        <w:spacing w:after="60"/>
        <w:jc w:val="both"/>
        <w:rPr>
          <w:rFonts w:cstheme="minorHAnsi"/>
          <w:bCs/>
        </w:rPr>
      </w:pPr>
      <w:bookmarkStart w:id="73" w:name="_Hlk75726234"/>
      <w:r w:rsidRPr="0035160C">
        <w:rPr>
          <w:rFonts w:cstheme="minorHAnsi"/>
          <w:bCs/>
        </w:rPr>
        <w:t>Miasta, a w szczególności aglomeracje jako duże skupiska ludzkie są obszarem o szczególnie zanieczyszczonym środowisku, w tym powietrzu, ze względu na bardzo duże nagromadzenie różnych rodzajów działalności ludzkiej na ich obszarze, mających mniej lub bardziej negatywny wpływ na stan środowiska naturalnego oraz stan zdrowia ludzkiego i warunki życia. W związku z tym konieczne jest podejmowanie różnorodnych działań o charakterze naprawczym, we wszystkich dziedzinach  działalności obecnych na obszarach miejskich</w:t>
      </w:r>
      <w:r w:rsidR="001F50D6">
        <w:rPr>
          <w:rFonts w:cstheme="minorHAnsi"/>
          <w:bCs/>
        </w:rPr>
        <w:t xml:space="preserve">. </w:t>
      </w:r>
      <w:bookmarkEnd w:id="73"/>
    </w:p>
    <w:p w14:paraId="4CA47236" w14:textId="77777777" w:rsidR="00E01488" w:rsidRPr="001F50D6" w:rsidRDefault="00E01488" w:rsidP="001F50D6">
      <w:pPr>
        <w:tabs>
          <w:tab w:val="left" w:pos="567"/>
        </w:tabs>
        <w:spacing w:before="120" w:after="60" w:line="276" w:lineRule="auto"/>
        <w:jc w:val="both"/>
        <w:rPr>
          <w:rFonts w:eastAsia="Times New Roman" w:cstheme="minorHAnsi"/>
          <w:b/>
          <w:bCs/>
          <w:color w:val="2F5496" w:themeColor="accent1" w:themeShade="BF"/>
          <w:lang w:eastAsia="pl-PL"/>
        </w:rPr>
      </w:pPr>
      <w:r w:rsidRPr="001F50D6">
        <w:rPr>
          <w:rFonts w:eastAsia="Times New Roman" w:cstheme="minorHAnsi"/>
          <w:b/>
          <w:bCs/>
          <w:color w:val="2F5496" w:themeColor="accent1" w:themeShade="BF"/>
          <w:lang w:eastAsia="pl-PL"/>
        </w:rPr>
        <w:t>Polityka miejska w Polsce</w:t>
      </w:r>
    </w:p>
    <w:p w14:paraId="321D79CA" w14:textId="3ED2181D" w:rsidR="00E01488" w:rsidRPr="0035160C" w:rsidRDefault="00E01488" w:rsidP="001F50D6">
      <w:pPr>
        <w:tabs>
          <w:tab w:val="left" w:pos="567"/>
        </w:tabs>
        <w:spacing w:after="60" w:line="276" w:lineRule="auto"/>
        <w:jc w:val="both"/>
        <w:rPr>
          <w:rFonts w:eastAsia="Times New Roman" w:cstheme="minorHAnsi"/>
          <w:lang w:eastAsia="pl-PL"/>
        </w:rPr>
      </w:pPr>
      <w:r w:rsidRPr="001F50D6">
        <w:rPr>
          <w:rFonts w:eastAsia="Times New Roman" w:cstheme="minorHAnsi"/>
          <w:b/>
          <w:bCs/>
          <w:color w:val="2F5496" w:themeColor="accent1" w:themeShade="BF"/>
          <w:lang w:eastAsia="pl-PL"/>
        </w:rPr>
        <w:t>Polityka miejska w Polsce składa się przede wszystkim z działań i instrumentów zorientowanych terytorialnie, które odpowiadają aktualnym wyzwaniom stojącym przed miastami, w tym m.in. demograficznym, klimatycznym oraz związanym z nieodpowiednią jakością powietrza</w:t>
      </w:r>
      <w:r w:rsidRPr="0035160C">
        <w:rPr>
          <w:rFonts w:eastAsia="Times New Roman" w:cstheme="minorHAnsi"/>
          <w:lang w:eastAsia="pl-PL"/>
        </w:rPr>
        <w:t>. Oznacza to, że poszczególne polityki realizowane przez różne resorty i instytucje rządowe, powinny umożliwiać jak najlepsze wykorzystanie unikalnych potencjałów i przewag konkurencyjnych polskich miast i ich obszarów funkcjonalnych, w celu zapewnienia zrównoważonego rozwoju społecznego, gospodarczego i przestrzennego tych obszarów, a w szczególności w odniesieniu do małych i średnich ośrodków miejskich, których w Polsce jest najwięcej</w:t>
      </w:r>
      <w:r w:rsidR="00E421EE">
        <w:rPr>
          <w:rFonts w:eastAsia="Times New Roman" w:cstheme="minorHAnsi"/>
          <w:lang w:eastAsia="pl-PL"/>
        </w:rPr>
        <w:t>.</w:t>
      </w:r>
    </w:p>
    <w:p w14:paraId="2FD5F5BA" w14:textId="1E8E5A63" w:rsidR="00E01488" w:rsidRPr="0035160C" w:rsidRDefault="00E01488" w:rsidP="001F50D6">
      <w:pPr>
        <w:tabs>
          <w:tab w:val="left" w:pos="567"/>
        </w:tabs>
        <w:spacing w:after="60" w:line="276" w:lineRule="auto"/>
        <w:jc w:val="both"/>
        <w:rPr>
          <w:rFonts w:eastAsia="Times New Roman" w:cstheme="minorHAnsi"/>
          <w:lang w:eastAsia="pl-PL"/>
        </w:rPr>
      </w:pPr>
      <w:r w:rsidRPr="0035160C">
        <w:rPr>
          <w:rFonts w:eastAsia="Times New Roman" w:cstheme="minorHAnsi"/>
          <w:lang w:eastAsia="pl-PL"/>
        </w:rPr>
        <w:t>W polityce miejskiej założono wizję rozwoju, w świetle której polskie miasta będą sprawne w działaniu, zwarte i zrównoważone, spójne oraz konkurencyjne. Sprawne funkcjonowanie miast polega na skutecznym, efektywnym i partnerskim zarządzaniu rozwojem na obszarach miejskich. Szczególne znaczenie dla rozwoju tych obszarów ma optymalizacja mechanizmów współpracy w ramach zurbanizowanych obszarów funkcjonalnych, rozwijanie mechanizmów partycypacji i upowszechnianie partnerskiego udziału społeczeństwa w rozwoju miast.</w:t>
      </w:r>
    </w:p>
    <w:p w14:paraId="3E40B504" w14:textId="562E5690" w:rsidR="00E01488" w:rsidRPr="0035160C" w:rsidRDefault="00E01488" w:rsidP="001F50D6">
      <w:pPr>
        <w:tabs>
          <w:tab w:val="left" w:pos="567"/>
        </w:tabs>
        <w:spacing w:after="60" w:line="276" w:lineRule="auto"/>
        <w:jc w:val="both"/>
        <w:rPr>
          <w:rFonts w:eastAsia="Times New Roman" w:cstheme="minorHAnsi"/>
          <w:lang w:eastAsia="pl-PL"/>
        </w:rPr>
      </w:pPr>
      <w:r w:rsidRPr="0035160C">
        <w:rPr>
          <w:rFonts w:eastAsia="Times New Roman" w:cstheme="minorHAnsi"/>
          <w:lang w:eastAsia="pl-PL"/>
        </w:rPr>
        <w:t xml:space="preserve">Dla wspierania spójności miast istotna jest odbudowa zdolności do rozwoju obszarów zdegradowanych poprzez kompleksową rewitalizację. Polskim ośrodkom zurbanizowanym potrzebna jest poprawa </w:t>
      </w:r>
      <w:r w:rsidRPr="0035160C">
        <w:rPr>
          <w:rFonts w:eastAsia="Times New Roman" w:cstheme="minorHAnsi"/>
          <w:lang w:eastAsia="pl-PL"/>
        </w:rPr>
        <w:lastRenderedPageBreak/>
        <w:t>konkurencyjności i zdolności do kreowania rozwoju, w tym w obszarze rynku pracy. Celowi temu służą przede wszystkim właściwe inwestycje, stymulowanie wzrostu innowacyjności przedsiębiorstw (w tym dzięki współpracy ośrodków badań i rozwoju), a także wzmocnienie sieciowej współpracy miast z innymi obszarami regionu, całego kraju.</w:t>
      </w:r>
    </w:p>
    <w:p w14:paraId="1DCFA631" w14:textId="01EF4B32" w:rsidR="00E01488" w:rsidRPr="0035160C" w:rsidRDefault="00E01488" w:rsidP="001F50D6">
      <w:pPr>
        <w:tabs>
          <w:tab w:val="left" w:pos="567"/>
        </w:tabs>
        <w:spacing w:after="60" w:line="276" w:lineRule="auto"/>
        <w:jc w:val="both"/>
        <w:rPr>
          <w:rFonts w:eastAsia="Times New Roman" w:cstheme="minorHAnsi"/>
          <w:lang w:eastAsia="pl-PL"/>
        </w:rPr>
      </w:pPr>
      <w:r w:rsidRPr="0035160C">
        <w:rPr>
          <w:rFonts w:eastAsia="Times New Roman" w:cstheme="minorHAnsi"/>
          <w:lang w:eastAsia="pl-PL"/>
        </w:rPr>
        <w:t>Pamiętając, że obecny rozwój ośrodków miejskich i aglomeracji nie może być prowadzony kosztem przyszłych pokoleń, trzeba na wszystkich etapach i we wszystkich rodzajach działań postępować zgodnie z poszanowaniem zasobów i zrównoważonym gospodarowaniem nimi, w tym przeciwdziałaniem chaotycznej suburbanizacji. Kładzie się nacisk na zrównoważone inwestowanie z preferencją dla wcześniej zagospodarowanych terenów, aby centra miast mogły spełniać swoje funkcje z korzyścią dla mieszkańców.</w:t>
      </w:r>
    </w:p>
    <w:p w14:paraId="4227590D" w14:textId="77777777" w:rsidR="00E01488" w:rsidRPr="001F50D6" w:rsidRDefault="00E01488" w:rsidP="00E01488">
      <w:pPr>
        <w:tabs>
          <w:tab w:val="left" w:pos="567"/>
        </w:tabs>
        <w:spacing w:after="60" w:line="276" w:lineRule="auto"/>
        <w:jc w:val="both"/>
        <w:rPr>
          <w:rFonts w:eastAsia="Times New Roman" w:cstheme="minorHAnsi"/>
          <w:b/>
          <w:bCs/>
          <w:color w:val="2F5496" w:themeColor="accent1" w:themeShade="BF"/>
          <w:lang w:eastAsia="pl-PL"/>
        </w:rPr>
      </w:pPr>
      <w:r w:rsidRPr="001F50D6">
        <w:rPr>
          <w:rFonts w:eastAsia="Times New Roman" w:cstheme="minorHAnsi"/>
          <w:b/>
          <w:bCs/>
          <w:color w:val="2F5496" w:themeColor="accent1" w:themeShade="BF"/>
          <w:lang w:eastAsia="pl-PL"/>
        </w:rPr>
        <w:t>Wymiar międzynarodowy Polityki miejskiej</w:t>
      </w:r>
    </w:p>
    <w:p w14:paraId="07C8D2F4" w14:textId="1D29DD9D" w:rsidR="00E01488" w:rsidRPr="0035160C" w:rsidRDefault="00E01488" w:rsidP="001F50D6">
      <w:pPr>
        <w:tabs>
          <w:tab w:val="left" w:pos="567"/>
        </w:tabs>
        <w:spacing w:after="60" w:line="276" w:lineRule="auto"/>
        <w:jc w:val="both"/>
        <w:rPr>
          <w:rFonts w:eastAsia="Times New Roman" w:cstheme="minorHAnsi"/>
          <w:lang w:eastAsia="pl-PL"/>
        </w:rPr>
      </w:pPr>
      <w:r w:rsidRPr="001F50D6">
        <w:rPr>
          <w:rFonts w:eastAsia="Times New Roman" w:cstheme="minorHAnsi"/>
          <w:b/>
          <w:bCs/>
          <w:color w:val="2F5496" w:themeColor="accent1" w:themeShade="BF"/>
          <w:lang w:eastAsia="pl-PL"/>
        </w:rPr>
        <w:t>Polska zaangażowana jest w kształtowanie polityki miejskiej zarówno na poziomie europejskim, jak i globalnym. Kluczowe działania koncentrują się wokół Agendy miejskiej dla UE</w:t>
      </w:r>
      <w:r w:rsidRPr="0035160C">
        <w:rPr>
          <w:rFonts w:eastAsia="Times New Roman" w:cstheme="minorHAnsi"/>
          <w:lang w:eastAsia="pl-PL"/>
        </w:rPr>
        <w:t>. Główne tematy dla Agendy zostały wskazane w pakcie amsterdamskim, który został ratyfikowany przez ministrów ds. polityki miejskiej z krajów członkowskich U</w:t>
      </w:r>
      <w:r w:rsidR="00E421EE">
        <w:rPr>
          <w:rFonts w:eastAsia="Times New Roman" w:cstheme="minorHAnsi"/>
          <w:lang w:eastAsia="pl-PL"/>
        </w:rPr>
        <w:t>nii</w:t>
      </w:r>
      <w:r w:rsidRPr="0035160C">
        <w:rPr>
          <w:rFonts w:eastAsia="Times New Roman" w:cstheme="minorHAnsi"/>
          <w:lang w:eastAsia="pl-PL"/>
        </w:rPr>
        <w:t xml:space="preserve"> w maju 2016 r. Wdrażamy postanowienia wynikające z</w:t>
      </w:r>
      <w:r w:rsidR="00B91399">
        <w:rPr>
          <w:rFonts w:eastAsia="Times New Roman" w:cstheme="minorHAnsi"/>
          <w:lang w:eastAsia="pl-PL"/>
        </w:rPr>
        <w:t> </w:t>
      </w:r>
      <w:r w:rsidRPr="0035160C">
        <w:rPr>
          <w:rFonts w:eastAsia="Times New Roman" w:cstheme="minorHAnsi"/>
          <w:lang w:eastAsia="pl-PL"/>
        </w:rPr>
        <w:t>przyjętej przez ONZ w 2015 r. Agendy 2030 dot. zrównoważonego rozwoju oraz tzw. Nowej Agendy Miejskiej, przyjętej przez UN-Habitat na Konferencji Miejskiej Habitat w październiku 2016 r. Polska jest organizatorem Światowego Forum Miejskiego 2022, które odbędzie się w Katowicach.</w:t>
      </w:r>
    </w:p>
    <w:p w14:paraId="3E518187" w14:textId="0C3D041D" w:rsidR="00E01488" w:rsidRPr="0035160C" w:rsidRDefault="00E01488" w:rsidP="001F50D6">
      <w:pPr>
        <w:tabs>
          <w:tab w:val="left" w:pos="567"/>
        </w:tabs>
        <w:spacing w:after="60" w:line="276" w:lineRule="auto"/>
        <w:jc w:val="both"/>
        <w:rPr>
          <w:rFonts w:eastAsia="Times New Roman" w:cstheme="minorHAnsi"/>
          <w:lang w:eastAsia="pl-PL"/>
        </w:rPr>
      </w:pPr>
      <w:r w:rsidRPr="0035160C">
        <w:rPr>
          <w:rFonts w:eastAsia="Times New Roman" w:cstheme="minorHAnsi"/>
          <w:lang w:eastAsia="pl-PL"/>
        </w:rPr>
        <w:t>Polityka miejska i spójność terytorialna były tematami dwóch nieformalnych spotkań ministrów z</w:t>
      </w:r>
      <w:r w:rsidR="00B91399">
        <w:rPr>
          <w:rFonts w:eastAsia="Times New Roman" w:cstheme="minorHAnsi"/>
          <w:lang w:eastAsia="pl-PL"/>
        </w:rPr>
        <w:t> </w:t>
      </w:r>
      <w:r w:rsidRPr="0035160C">
        <w:rPr>
          <w:rFonts w:eastAsia="Times New Roman" w:cstheme="minorHAnsi"/>
          <w:lang w:eastAsia="pl-PL"/>
        </w:rPr>
        <w:t xml:space="preserve">krajów członkowskich Unii Europejskiej, które odbyły się </w:t>
      </w:r>
      <w:r w:rsidR="00E421EE">
        <w:rPr>
          <w:rFonts w:eastAsia="Times New Roman" w:cstheme="minorHAnsi"/>
          <w:lang w:eastAsia="pl-PL"/>
        </w:rPr>
        <w:t xml:space="preserve">w dniach </w:t>
      </w:r>
      <w:r w:rsidRPr="0035160C">
        <w:rPr>
          <w:rFonts w:eastAsia="Times New Roman" w:cstheme="minorHAnsi"/>
          <w:lang w:eastAsia="pl-PL"/>
        </w:rPr>
        <w:t>30 listopada i 1 grudnia 2020 r. Podczas pierwszego z nich przyjęto Nową Kartę Lipską, podczas drugiego – Agendę Terytorialną UE 2030. Polska aktywnie uczestniczyła w przygotowywaniu obu dokumentów.</w:t>
      </w:r>
    </w:p>
    <w:p w14:paraId="57E2FC4C" w14:textId="25BD72D7" w:rsidR="00E01488" w:rsidRPr="0035160C" w:rsidRDefault="00E01488" w:rsidP="001F50D6">
      <w:pPr>
        <w:tabs>
          <w:tab w:val="left" w:pos="567"/>
        </w:tabs>
        <w:spacing w:after="60" w:line="276" w:lineRule="auto"/>
        <w:jc w:val="both"/>
        <w:rPr>
          <w:rFonts w:cstheme="minorHAnsi"/>
        </w:rPr>
      </w:pPr>
      <w:r w:rsidRPr="0035160C">
        <w:rPr>
          <w:rFonts w:eastAsia="Times New Roman" w:cstheme="minorHAnsi"/>
          <w:lang w:eastAsia="pl-PL"/>
        </w:rPr>
        <w:t xml:space="preserve">Nowa Karta Lipska wyznacza kierunki rozwoju miast europejskich, podkreśla potrzebę ich transformacji i wskazuje zasady dobrego zarządzania miastami. Nowa Karta Lipska jest aktualizacją pierwszej wersji Karty Lipskiej na rzecz zrównoważonego rozwoju miast europejskich przyjętej przez unijnych ministrów w 2007 roku. </w:t>
      </w:r>
      <w:r w:rsidRPr="0035160C">
        <w:rPr>
          <w:rFonts w:cstheme="minorHAnsi"/>
        </w:rPr>
        <w:t>Nowa Karta Lipska to zbiór strategicznych zasad i kierunków dobrego zarządzania miastami, który określa politykę miejską w Europie po 2020 roku. Postulaty z pierwszej wersji dokumentu są nadal aktualne, natomiast Nowa Karta Lipska mocno podkreśla potrzebę transformacji w kierunku miast sprawiedliwych, zielonych i produktywnych.</w:t>
      </w:r>
    </w:p>
    <w:p w14:paraId="39F5CACC" w14:textId="6FEB714D" w:rsidR="00E01488" w:rsidRPr="0035160C" w:rsidRDefault="00E01488" w:rsidP="001F50D6">
      <w:pPr>
        <w:tabs>
          <w:tab w:val="left" w:pos="567"/>
        </w:tabs>
        <w:spacing w:after="60" w:line="276" w:lineRule="auto"/>
        <w:jc w:val="both"/>
        <w:rPr>
          <w:rFonts w:eastAsia="Times New Roman" w:cstheme="minorHAnsi"/>
          <w:lang w:eastAsia="pl-PL"/>
        </w:rPr>
      </w:pPr>
      <w:r w:rsidRPr="0035160C">
        <w:rPr>
          <w:rFonts w:eastAsia="Times New Roman" w:cstheme="minorHAnsi"/>
          <w:lang w:eastAsia="pl-PL"/>
        </w:rPr>
        <w:t>Agenda Terytorialna UE 2030 określa działania niezbędne dla wzmocnienia spójności terytorialnej, czyli zapewnienia dobrych warunków życia dla wszystkich mieszkańców Europy.</w:t>
      </w:r>
    </w:p>
    <w:p w14:paraId="2571D020" w14:textId="7681CF50" w:rsidR="00E01488" w:rsidRPr="0035160C" w:rsidRDefault="00E01488" w:rsidP="001F50D6">
      <w:pPr>
        <w:tabs>
          <w:tab w:val="left" w:pos="567"/>
        </w:tabs>
        <w:spacing w:after="60" w:line="276" w:lineRule="auto"/>
        <w:jc w:val="both"/>
        <w:rPr>
          <w:rFonts w:eastAsia="Times New Roman" w:cstheme="minorHAnsi"/>
          <w:lang w:eastAsia="pl-PL"/>
        </w:rPr>
      </w:pPr>
      <w:r w:rsidRPr="0035160C">
        <w:rPr>
          <w:rFonts w:eastAsia="Times New Roman" w:cstheme="minorHAnsi"/>
          <w:lang w:eastAsia="pl-PL"/>
        </w:rPr>
        <w:t>Ponadto w opublikowanej 20</w:t>
      </w:r>
      <w:r w:rsidR="00E421EE">
        <w:rPr>
          <w:rFonts w:eastAsia="Times New Roman" w:cstheme="minorHAnsi"/>
          <w:lang w:eastAsia="pl-PL"/>
        </w:rPr>
        <w:t xml:space="preserve"> maja </w:t>
      </w:r>
      <w:r w:rsidRPr="0035160C">
        <w:rPr>
          <w:rFonts w:eastAsia="Times New Roman" w:cstheme="minorHAnsi"/>
          <w:lang w:eastAsia="pl-PL"/>
        </w:rPr>
        <w:t>2020 r. Unijnej strategii na rzecz bioróżnorodności 2030 (COM(2020) 380 final) Komisja Europejska wzywa europejskie miasta liczące co najmniej 20 tys. mieszkańców do opracowania ambitnych planów zazieleniania obszarów miejskich. Plany te powinny obejmować środki służące tworzeniu różnorodnych biologicznie i dostępnych lasów miejskich, parków i ogrodów; miejskich gospodarstw rolnych; zielonych dachów i ścian; ulic obsadzonych drzewami; łąk miejskich oraz żywopłotów miejskich. Zazielenianie przestrzeni miejskich powinno przyczynić się do poprawy połączeń między terenami zielonymi, wyeliminowania stosowania pestycydów i ograniczenia nadmiernego koszenia zielonych przestrzeni miejskich, a także wyeliminowania stosowania innych praktyk szkodliwych dla różnorodności biologicznej.</w:t>
      </w:r>
    </w:p>
    <w:p w14:paraId="1A4A1134" w14:textId="6CFB23C0" w:rsidR="00E01488" w:rsidRPr="0035160C" w:rsidRDefault="00E01488" w:rsidP="001F50D6">
      <w:pPr>
        <w:tabs>
          <w:tab w:val="left" w:pos="567"/>
        </w:tabs>
        <w:spacing w:after="60" w:line="276" w:lineRule="auto"/>
        <w:jc w:val="both"/>
        <w:rPr>
          <w:rFonts w:eastAsia="Times New Roman" w:cstheme="minorHAnsi"/>
          <w:lang w:eastAsia="pl-PL"/>
        </w:rPr>
      </w:pPr>
      <w:r w:rsidRPr="0035160C">
        <w:rPr>
          <w:rFonts w:eastAsia="Times New Roman" w:cstheme="minorHAnsi"/>
          <w:lang w:eastAsia="pl-PL"/>
        </w:rPr>
        <w:t>Również w nowej Strategii U</w:t>
      </w:r>
      <w:r w:rsidR="00E421EE">
        <w:rPr>
          <w:rFonts w:eastAsia="Times New Roman" w:cstheme="minorHAnsi"/>
          <w:lang w:eastAsia="pl-PL"/>
        </w:rPr>
        <w:t xml:space="preserve">nii </w:t>
      </w:r>
      <w:r w:rsidRPr="0035160C">
        <w:rPr>
          <w:rFonts w:eastAsia="Times New Roman" w:cstheme="minorHAnsi"/>
          <w:lang w:eastAsia="pl-PL"/>
        </w:rPr>
        <w:t>E</w:t>
      </w:r>
      <w:r w:rsidR="00E421EE">
        <w:rPr>
          <w:rFonts w:eastAsia="Times New Roman" w:cstheme="minorHAnsi"/>
          <w:lang w:eastAsia="pl-PL"/>
        </w:rPr>
        <w:t>uropejskiej</w:t>
      </w:r>
      <w:r w:rsidRPr="0035160C">
        <w:rPr>
          <w:rFonts w:eastAsia="Times New Roman" w:cstheme="minorHAnsi"/>
          <w:lang w:eastAsia="pl-PL"/>
        </w:rPr>
        <w:t xml:space="preserve"> w zakresie adaptacji do zmian klimatu, opublikowanej 24</w:t>
      </w:r>
      <w:r w:rsidR="00E421EE">
        <w:rPr>
          <w:rFonts w:eastAsia="Times New Roman" w:cstheme="minorHAnsi"/>
          <w:lang w:eastAsia="pl-PL"/>
        </w:rPr>
        <w:t xml:space="preserve"> lutego 20</w:t>
      </w:r>
      <w:r w:rsidRPr="0035160C">
        <w:rPr>
          <w:rFonts w:eastAsia="Times New Roman" w:cstheme="minorHAnsi"/>
          <w:lang w:eastAsia="pl-PL"/>
        </w:rPr>
        <w:t>21 r.,  Komisja Europejska zaznacza, że władze krajowe, regionalne i lokalne powinny opracować strategie/plany adaptacji do zmian klimatu</w:t>
      </w:r>
      <w:r w:rsidR="001F50D6">
        <w:rPr>
          <w:rFonts w:eastAsia="Times New Roman" w:cstheme="minorHAnsi"/>
          <w:lang w:eastAsia="pl-PL"/>
        </w:rPr>
        <w:t>.</w:t>
      </w:r>
    </w:p>
    <w:p w14:paraId="0E2E5208" w14:textId="784BA06F" w:rsidR="001F50D6" w:rsidRDefault="00FF2D7D" w:rsidP="001F50D6">
      <w:pPr>
        <w:pStyle w:val="Nagwek3"/>
        <w:numPr>
          <w:ilvl w:val="0"/>
          <w:numId w:val="0"/>
        </w:numPr>
        <w:rPr>
          <w:b/>
          <w:sz w:val="22"/>
          <w:szCs w:val="22"/>
          <w:lang w:eastAsia="pl-PL"/>
        </w:rPr>
      </w:pPr>
      <w:bookmarkStart w:id="74" w:name="_Toc78205897"/>
      <w:r w:rsidRPr="0035160C">
        <w:rPr>
          <w:b/>
          <w:sz w:val="22"/>
          <w:szCs w:val="22"/>
          <w:lang w:eastAsia="pl-PL"/>
        </w:rPr>
        <w:lastRenderedPageBreak/>
        <w:t>9</w:t>
      </w:r>
      <w:r w:rsidR="00F03C94" w:rsidRPr="0035160C">
        <w:rPr>
          <w:b/>
          <w:sz w:val="22"/>
          <w:szCs w:val="22"/>
          <w:lang w:eastAsia="pl-PL"/>
        </w:rPr>
        <w:t>.3</w:t>
      </w:r>
      <w:r w:rsidR="006D567C" w:rsidRPr="0035160C">
        <w:rPr>
          <w:b/>
          <w:sz w:val="22"/>
          <w:szCs w:val="22"/>
          <w:lang w:eastAsia="pl-PL"/>
        </w:rPr>
        <w:t xml:space="preserve">.2 </w:t>
      </w:r>
      <w:r w:rsidR="00E01488" w:rsidRPr="0035160C">
        <w:rPr>
          <w:b/>
          <w:sz w:val="22"/>
          <w:szCs w:val="22"/>
          <w:lang w:eastAsia="pl-PL"/>
        </w:rPr>
        <w:t>Podstawy strategiczne Polityki miejskiej</w:t>
      </w:r>
      <w:bookmarkEnd w:id="74"/>
    </w:p>
    <w:p w14:paraId="7CB5A741" w14:textId="366CFCE3" w:rsidR="00E01488" w:rsidRPr="00FB1BC3" w:rsidRDefault="00E01488" w:rsidP="00DD0E4C">
      <w:pPr>
        <w:rPr>
          <w:lang w:eastAsia="pl-PL"/>
        </w:rPr>
      </w:pPr>
      <w:r w:rsidRPr="00FB1BC3">
        <w:rPr>
          <w:lang w:eastAsia="pl-PL"/>
        </w:rPr>
        <w:t>Polityka miejska w Polsce opiera się na trzech głównych dokumentach strategicznych:</w:t>
      </w:r>
    </w:p>
    <w:p w14:paraId="5FDE5974" w14:textId="407C9299" w:rsidR="00E01488" w:rsidRPr="0035160C" w:rsidRDefault="00E01488" w:rsidP="00CA3BB7">
      <w:pPr>
        <w:numPr>
          <w:ilvl w:val="0"/>
          <w:numId w:val="23"/>
        </w:numPr>
        <w:tabs>
          <w:tab w:val="left" w:pos="851"/>
        </w:tabs>
        <w:spacing w:after="60" w:line="276" w:lineRule="auto"/>
        <w:ind w:left="0" w:firstLine="284"/>
        <w:contextualSpacing/>
        <w:jc w:val="both"/>
        <w:rPr>
          <w:rFonts w:eastAsia="Times New Roman" w:cstheme="minorHAnsi"/>
          <w:lang w:eastAsia="pl-PL"/>
        </w:rPr>
      </w:pPr>
      <w:r w:rsidRPr="0035160C">
        <w:rPr>
          <w:rFonts w:eastAsia="Times New Roman" w:cstheme="minorHAnsi"/>
          <w:lang w:eastAsia="pl-PL"/>
        </w:rPr>
        <w:t>SOR;</w:t>
      </w:r>
    </w:p>
    <w:p w14:paraId="701AA642" w14:textId="77777777" w:rsidR="00E01488" w:rsidRPr="0035160C" w:rsidRDefault="00E01488" w:rsidP="00CA3BB7">
      <w:pPr>
        <w:numPr>
          <w:ilvl w:val="0"/>
          <w:numId w:val="23"/>
        </w:numPr>
        <w:tabs>
          <w:tab w:val="left" w:pos="851"/>
        </w:tabs>
        <w:spacing w:after="60" w:line="276" w:lineRule="auto"/>
        <w:ind w:left="0" w:firstLine="284"/>
        <w:contextualSpacing/>
        <w:jc w:val="both"/>
        <w:rPr>
          <w:rFonts w:eastAsia="Times New Roman" w:cstheme="minorHAnsi"/>
          <w:lang w:eastAsia="pl-PL"/>
        </w:rPr>
      </w:pPr>
      <w:r w:rsidRPr="0035160C">
        <w:rPr>
          <w:rFonts w:eastAsia="Times New Roman" w:cstheme="minorHAnsi"/>
          <w:lang w:eastAsia="pl-PL"/>
        </w:rPr>
        <w:t>Krajowej Strategii Rozwoju Regionalnego (KSRR);</w:t>
      </w:r>
    </w:p>
    <w:p w14:paraId="49691A20" w14:textId="77777777" w:rsidR="00E01488" w:rsidRPr="0035160C" w:rsidRDefault="00E01488" w:rsidP="00CA3BB7">
      <w:pPr>
        <w:numPr>
          <w:ilvl w:val="0"/>
          <w:numId w:val="23"/>
        </w:numPr>
        <w:tabs>
          <w:tab w:val="left" w:pos="851"/>
        </w:tabs>
        <w:spacing w:after="60" w:line="276" w:lineRule="auto"/>
        <w:ind w:left="0" w:firstLine="284"/>
        <w:contextualSpacing/>
        <w:jc w:val="both"/>
        <w:rPr>
          <w:rFonts w:eastAsia="Times New Roman" w:cstheme="minorHAnsi"/>
          <w:lang w:eastAsia="pl-PL"/>
        </w:rPr>
      </w:pPr>
      <w:r w:rsidRPr="0035160C">
        <w:rPr>
          <w:rFonts w:eastAsia="Times New Roman" w:cstheme="minorHAnsi"/>
          <w:lang w:eastAsia="pl-PL"/>
        </w:rPr>
        <w:t>Krajowej Polityce Miejskiej 2023 (KPM);</w:t>
      </w:r>
    </w:p>
    <w:p w14:paraId="601C2A0B" w14:textId="0610DB04" w:rsidR="00E01488" w:rsidRPr="0035160C" w:rsidRDefault="00E01488" w:rsidP="001F50D6">
      <w:pPr>
        <w:tabs>
          <w:tab w:val="left" w:pos="851"/>
        </w:tabs>
        <w:spacing w:after="60" w:line="276" w:lineRule="auto"/>
        <w:contextualSpacing/>
        <w:jc w:val="both"/>
        <w:rPr>
          <w:rFonts w:eastAsia="Times New Roman" w:cstheme="minorHAnsi"/>
          <w:lang w:eastAsia="pl-PL"/>
        </w:rPr>
      </w:pPr>
      <w:r w:rsidRPr="0035160C">
        <w:rPr>
          <w:rFonts w:eastAsia="Times New Roman" w:cstheme="minorHAnsi"/>
          <w:lang w:eastAsia="pl-PL"/>
        </w:rPr>
        <w:t xml:space="preserve">oraz </w:t>
      </w:r>
      <w:r w:rsidR="00E421EE">
        <w:rPr>
          <w:rFonts w:eastAsia="Times New Roman" w:cstheme="minorHAnsi"/>
          <w:lang w:eastAsia="pl-PL"/>
        </w:rPr>
        <w:t>KPOP</w:t>
      </w:r>
      <w:r w:rsidRPr="0035160C">
        <w:rPr>
          <w:rFonts w:eastAsia="Times New Roman" w:cstheme="minorHAnsi"/>
          <w:lang w:eastAsia="pl-PL"/>
        </w:rPr>
        <w:t xml:space="preserve"> w odniesieniu do zagadnień jakości powietrza.</w:t>
      </w:r>
    </w:p>
    <w:p w14:paraId="3385E1D5" w14:textId="77777777" w:rsidR="00E01488" w:rsidRPr="0035160C" w:rsidRDefault="00E01488" w:rsidP="00E01488">
      <w:pPr>
        <w:tabs>
          <w:tab w:val="left" w:pos="851"/>
        </w:tabs>
        <w:spacing w:after="60" w:line="276" w:lineRule="auto"/>
        <w:jc w:val="both"/>
        <w:rPr>
          <w:rFonts w:eastAsia="Times New Roman" w:cstheme="minorHAnsi"/>
          <w:lang w:eastAsia="pl-PL"/>
        </w:rPr>
      </w:pPr>
      <w:r w:rsidRPr="0035160C">
        <w:rPr>
          <w:rFonts w:eastAsia="Times New Roman" w:cstheme="minorHAnsi"/>
          <w:lang w:eastAsia="pl-PL"/>
        </w:rPr>
        <w:t>Dokumenty te wyznaczają główne kierunki działań, definiują najważniejsze wyzwania stojące przed miastami, a także na różnych poziomach szczegółowości przedstawiają wizję rozwoju miast.</w:t>
      </w:r>
    </w:p>
    <w:p w14:paraId="46115B36" w14:textId="026EA8AE" w:rsidR="00E01488" w:rsidRPr="00FB1BC3" w:rsidRDefault="00E01488" w:rsidP="00E01488">
      <w:pPr>
        <w:tabs>
          <w:tab w:val="left" w:pos="567"/>
        </w:tabs>
        <w:spacing w:after="60" w:line="276" w:lineRule="auto"/>
        <w:contextualSpacing/>
        <w:jc w:val="both"/>
        <w:rPr>
          <w:rFonts w:eastAsia="Times New Roman" w:cstheme="minorHAnsi"/>
          <w:b/>
          <w:bCs/>
          <w:color w:val="2F5496" w:themeColor="accent1" w:themeShade="BF"/>
          <w:lang w:eastAsia="pl-PL"/>
        </w:rPr>
      </w:pPr>
      <w:r w:rsidRPr="00FB1BC3">
        <w:rPr>
          <w:rFonts w:eastAsia="Times New Roman" w:cstheme="minorHAnsi"/>
          <w:b/>
          <w:bCs/>
          <w:color w:val="2F5496" w:themeColor="accent1" w:themeShade="BF"/>
          <w:lang w:eastAsia="pl-PL"/>
        </w:rPr>
        <w:t>SOR</w:t>
      </w:r>
    </w:p>
    <w:p w14:paraId="228F292D" w14:textId="7F0AA360" w:rsidR="00E01488" w:rsidRPr="0035160C" w:rsidRDefault="00E01488" w:rsidP="001F50D6">
      <w:pPr>
        <w:tabs>
          <w:tab w:val="left" w:pos="567"/>
        </w:tabs>
        <w:spacing w:after="60" w:line="276" w:lineRule="auto"/>
        <w:jc w:val="both"/>
        <w:rPr>
          <w:rFonts w:eastAsia="Times New Roman" w:cstheme="minorHAnsi"/>
          <w:lang w:eastAsia="pl-PL"/>
        </w:rPr>
      </w:pPr>
      <w:r w:rsidRPr="0035160C">
        <w:rPr>
          <w:rFonts w:eastAsia="Times New Roman" w:cstheme="minorHAnsi"/>
          <w:lang w:eastAsia="pl-PL"/>
        </w:rPr>
        <w:t>SOR została przyjęta przez Radę Ministrów</w:t>
      </w:r>
      <w:r w:rsidR="00732ADE">
        <w:rPr>
          <w:rFonts w:eastAsia="Times New Roman" w:cstheme="minorHAnsi"/>
          <w:lang w:eastAsia="pl-PL"/>
        </w:rPr>
        <w:t xml:space="preserve"> w dniu</w:t>
      </w:r>
      <w:r w:rsidRPr="0035160C">
        <w:rPr>
          <w:rFonts w:eastAsia="Times New Roman" w:cstheme="minorHAnsi"/>
          <w:lang w:eastAsia="pl-PL"/>
        </w:rPr>
        <w:t xml:space="preserve"> 14 lutego 2017 r. i jest narzędziem do zarządzania głównymi procesami rozwojowymi w Polsce, określającym nowy model rozwoju. Łączy ona wymiar strategiczny i operacyjny. Określa niezbędne działania i instrumenty wdrażania. Główne cele strategii to: zrównoważony wzrost gospodarczy, w coraz większym stopniu napędzany przez wiedzę, dane i doskonałość organizacyjną; społecznie wrażliwy i terytorialnie zrównoważony rozwój; skuteczne państwo i instytucje gospodarcze przyczyniające się do wzrostu, a także włączenie społeczne i gospodarcze.</w:t>
      </w:r>
    </w:p>
    <w:p w14:paraId="692B5818" w14:textId="2C3D6B1B" w:rsidR="00E01488" w:rsidRPr="00FB1BC3" w:rsidRDefault="00E01488" w:rsidP="00E01488">
      <w:pPr>
        <w:tabs>
          <w:tab w:val="left" w:pos="567"/>
        </w:tabs>
        <w:spacing w:after="60" w:line="276" w:lineRule="auto"/>
        <w:contextualSpacing/>
        <w:jc w:val="both"/>
        <w:rPr>
          <w:rFonts w:eastAsia="Times New Roman" w:cstheme="minorHAnsi"/>
          <w:b/>
          <w:bCs/>
          <w:color w:val="2F5496" w:themeColor="accent1" w:themeShade="BF"/>
          <w:lang w:eastAsia="pl-PL"/>
        </w:rPr>
      </w:pPr>
      <w:r w:rsidRPr="00FB1BC3">
        <w:rPr>
          <w:rFonts w:eastAsia="Times New Roman" w:cstheme="minorHAnsi"/>
          <w:b/>
          <w:bCs/>
          <w:color w:val="2F5496" w:themeColor="accent1" w:themeShade="BF"/>
          <w:lang w:eastAsia="pl-PL"/>
        </w:rPr>
        <w:t>KSRR 2030</w:t>
      </w:r>
    </w:p>
    <w:p w14:paraId="210F87AF" w14:textId="588DC7DC" w:rsidR="00E01488" w:rsidRPr="0035160C" w:rsidRDefault="00E01488" w:rsidP="001F50D6">
      <w:pPr>
        <w:tabs>
          <w:tab w:val="left" w:pos="567"/>
        </w:tabs>
        <w:spacing w:before="120" w:after="60" w:line="276" w:lineRule="auto"/>
        <w:jc w:val="both"/>
        <w:rPr>
          <w:rFonts w:eastAsia="Times New Roman" w:cstheme="minorHAnsi"/>
          <w:lang w:eastAsia="pl-PL"/>
        </w:rPr>
      </w:pPr>
      <w:r w:rsidRPr="0035160C">
        <w:rPr>
          <w:rFonts w:eastAsia="Times New Roman" w:cstheme="minorHAnsi"/>
          <w:lang w:eastAsia="pl-PL"/>
        </w:rPr>
        <w:t xml:space="preserve">KSRR 2030 to podstawowy dokument strategiczny polityki regionalnej państwa w perspektywie do 2030 r. Został uchwalony przez Radę Ministrów 17 września 2019 r. Rozwija postanowienia </w:t>
      </w:r>
      <w:r w:rsidR="001858AC">
        <w:rPr>
          <w:rFonts w:eastAsia="Times New Roman" w:cstheme="minorHAnsi"/>
          <w:lang w:eastAsia="pl-PL"/>
        </w:rPr>
        <w:t>SOR</w:t>
      </w:r>
      <w:r w:rsidRPr="0035160C">
        <w:rPr>
          <w:rFonts w:eastAsia="Times New Roman" w:cstheme="minorHAnsi"/>
          <w:lang w:eastAsia="pl-PL"/>
        </w:rPr>
        <w:t xml:space="preserve"> określone w filarze rozwój społecznie wrażliwy i terytorialnie zrównoważony.</w:t>
      </w:r>
    </w:p>
    <w:p w14:paraId="6933633B" w14:textId="5CD3A2D6" w:rsidR="00E01488" w:rsidRPr="0035160C" w:rsidRDefault="00E01488" w:rsidP="001F50D6">
      <w:pPr>
        <w:tabs>
          <w:tab w:val="left" w:pos="567"/>
        </w:tabs>
        <w:spacing w:after="60" w:line="276" w:lineRule="auto"/>
        <w:jc w:val="both"/>
        <w:rPr>
          <w:rFonts w:eastAsia="Times New Roman" w:cstheme="minorHAnsi"/>
          <w:lang w:eastAsia="pl-PL"/>
        </w:rPr>
      </w:pPr>
      <w:r w:rsidRPr="0035160C">
        <w:rPr>
          <w:rFonts w:eastAsia="Times New Roman" w:cstheme="minorHAnsi"/>
          <w:lang w:eastAsia="pl-PL"/>
        </w:rPr>
        <w:t xml:space="preserve">W KSRR </w:t>
      </w:r>
      <w:r w:rsidR="001858AC">
        <w:rPr>
          <w:rFonts w:eastAsia="Times New Roman" w:cstheme="minorHAnsi"/>
          <w:lang w:eastAsia="pl-PL"/>
        </w:rPr>
        <w:t xml:space="preserve">2030 </w:t>
      </w:r>
      <w:r w:rsidRPr="0035160C">
        <w:rPr>
          <w:rFonts w:eastAsia="Times New Roman" w:cstheme="minorHAnsi"/>
          <w:lang w:eastAsia="pl-PL"/>
        </w:rPr>
        <w:t xml:space="preserve">wskazuje się Obszary Strategicznej Interwencji istotne z punktu widzenia realizacji polityki regionalnej, które zostaną uwzględnione w krajowych i regionalnych strategiach rozwoju (m.in. poprzez wskazanie dedykowanych im działań). Są to dwa typy obszarów: miasta średnie tracące funkcje społeczno-gospodarcze i obszary zagrożone trwałą marginalizacją. Oprócz tego KSRR </w:t>
      </w:r>
      <w:r w:rsidR="001858AC">
        <w:rPr>
          <w:rFonts w:eastAsia="Times New Roman" w:cstheme="minorHAnsi"/>
          <w:lang w:eastAsia="pl-PL"/>
        </w:rPr>
        <w:t xml:space="preserve">2030 </w:t>
      </w:r>
      <w:r w:rsidRPr="0035160C">
        <w:rPr>
          <w:rFonts w:eastAsia="Times New Roman" w:cstheme="minorHAnsi"/>
          <w:lang w:eastAsia="pl-PL"/>
        </w:rPr>
        <w:t>wskazuje również wschodnią Polskę i Śląsk jako OSI wymagające ukierunkowanego wsparcia z poziomu kraju (Program Polska Wschodnia, Program dla Śląska). Jednocześnie na poziomie regionalnym samorząd województwa może wyznaczać swoje obszary strategicznej interwencji, takie m.in. jak obszary poprzemysłowe, zdegradowane czy tzw. wewnętrzne peryferia, o ile będzie to wiązało się z zapewnieniem konkretnych instrumentów wsparcia lub mechanizmów uzgodnień.</w:t>
      </w:r>
    </w:p>
    <w:p w14:paraId="7372BBC0" w14:textId="1E19398C" w:rsidR="00E01488" w:rsidRPr="00FB1BC3" w:rsidRDefault="001F50D6" w:rsidP="00E01488">
      <w:pPr>
        <w:tabs>
          <w:tab w:val="left" w:pos="567"/>
        </w:tabs>
        <w:spacing w:after="60" w:line="276" w:lineRule="auto"/>
        <w:contextualSpacing/>
        <w:jc w:val="both"/>
        <w:rPr>
          <w:rFonts w:eastAsia="Times New Roman" w:cstheme="minorHAnsi"/>
          <w:b/>
          <w:bCs/>
          <w:color w:val="2F5496" w:themeColor="accent1" w:themeShade="BF"/>
          <w:lang w:eastAsia="pl-PL"/>
        </w:rPr>
      </w:pPr>
      <w:r w:rsidRPr="00FB1BC3">
        <w:rPr>
          <w:rFonts w:eastAsia="Times New Roman" w:cstheme="minorHAnsi"/>
          <w:b/>
          <w:bCs/>
          <w:color w:val="2F5496" w:themeColor="accent1" w:themeShade="BF"/>
          <w:lang w:eastAsia="pl-PL"/>
        </w:rPr>
        <w:t>KPM</w:t>
      </w:r>
    </w:p>
    <w:p w14:paraId="0AD3E590" w14:textId="10FB818E" w:rsidR="00E01488" w:rsidRPr="0035160C" w:rsidRDefault="00E01488" w:rsidP="001F50D6">
      <w:pPr>
        <w:tabs>
          <w:tab w:val="left" w:pos="567"/>
        </w:tabs>
        <w:spacing w:before="120" w:after="60" w:line="276" w:lineRule="auto"/>
        <w:jc w:val="both"/>
        <w:rPr>
          <w:rFonts w:eastAsia="Times New Roman" w:cstheme="minorHAnsi"/>
          <w:lang w:eastAsia="pl-PL"/>
        </w:rPr>
      </w:pPr>
      <w:r w:rsidRPr="0035160C">
        <w:rPr>
          <w:rFonts w:eastAsia="Times New Roman" w:cstheme="minorHAnsi"/>
          <w:lang w:eastAsia="pl-PL"/>
        </w:rPr>
        <w:t>Narzędziem dedykowanym realizacji celów strategicznych w odniesieniu do miast jest Krajowa Polityka Miejska 2023 (KPM), przyjęta przez Radę Ministrów 20 października 2015 roku. Celem strategicznym jest wzmocnienie zdolności miast i miejskich obszarów funkcjonalnych do tworzenia zrównoważonego rozwoju, miejsc pracy i poprawy jakości życia mieszkańców. Odnosi się do 10 głównych tematów. Są nimi rozwój przestrzenny, partycypacja społeczna, demografia, transport i mobilność miejska, niskoemisyjność i efektywność energetyczna, rewitalizacja, polityka inwestycyjna, rozwój gospodarczy, ochrona środowiska i adaptacja do zmian klimatu oraz zarządzanie obszarami miejskimi.</w:t>
      </w:r>
    </w:p>
    <w:p w14:paraId="7E1A696D" w14:textId="48C17146" w:rsidR="00E01488" w:rsidRPr="0035160C" w:rsidRDefault="00E01488" w:rsidP="001F50D6">
      <w:pPr>
        <w:tabs>
          <w:tab w:val="left" w:pos="567"/>
        </w:tabs>
        <w:spacing w:after="60" w:line="276" w:lineRule="auto"/>
        <w:jc w:val="both"/>
        <w:rPr>
          <w:rFonts w:eastAsia="Times New Roman" w:cstheme="minorHAnsi"/>
          <w:lang w:eastAsia="pl-PL"/>
        </w:rPr>
      </w:pPr>
      <w:r w:rsidRPr="0035160C">
        <w:rPr>
          <w:rFonts w:eastAsia="Times New Roman" w:cstheme="minorHAnsi"/>
          <w:lang w:eastAsia="pl-PL"/>
        </w:rPr>
        <w:t xml:space="preserve">Obecnie </w:t>
      </w:r>
      <w:r w:rsidR="001F50D6">
        <w:rPr>
          <w:rFonts w:eastAsia="Times New Roman" w:cstheme="minorHAnsi"/>
          <w:lang w:eastAsia="pl-PL"/>
        </w:rPr>
        <w:t>prowadzony jest proces</w:t>
      </w:r>
      <w:r w:rsidRPr="0035160C">
        <w:rPr>
          <w:rFonts w:eastAsia="Times New Roman" w:cstheme="minorHAnsi"/>
          <w:lang w:eastAsia="pl-PL"/>
        </w:rPr>
        <w:t xml:space="preserve"> aktualizacj</w:t>
      </w:r>
      <w:r w:rsidR="001F50D6">
        <w:rPr>
          <w:rFonts w:eastAsia="Times New Roman" w:cstheme="minorHAnsi"/>
          <w:lang w:eastAsia="pl-PL"/>
        </w:rPr>
        <w:t>i</w:t>
      </w:r>
      <w:r w:rsidRPr="0035160C">
        <w:rPr>
          <w:rFonts w:eastAsia="Times New Roman" w:cstheme="minorHAnsi"/>
          <w:lang w:eastAsia="pl-PL"/>
        </w:rPr>
        <w:t xml:space="preserve"> KPM, która ma na celu dostosowanie tego dokumentu do najnowszych priorytetów rozwojowych w Polsce i międzynarodowych trendów w rozwoju miast. </w:t>
      </w:r>
      <w:r w:rsidRPr="00FB1BC3">
        <w:rPr>
          <w:rFonts w:eastAsia="Times New Roman" w:cstheme="minorHAnsi"/>
          <w:b/>
          <w:bCs/>
          <w:color w:val="2F5496" w:themeColor="accent1" w:themeShade="BF"/>
          <w:lang w:eastAsia="pl-PL"/>
        </w:rPr>
        <w:t xml:space="preserve">Aktualizacja </w:t>
      </w:r>
      <w:r w:rsidR="001858AC">
        <w:rPr>
          <w:rFonts w:eastAsia="Times New Roman" w:cstheme="minorHAnsi"/>
          <w:b/>
          <w:bCs/>
          <w:color w:val="2F5496" w:themeColor="accent1" w:themeShade="BF"/>
          <w:lang w:eastAsia="pl-PL"/>
        </w:rPr>
        <w:t>KPM</w:t>
      </w:r>
      <w:r w:rsidRPr="00FB1BC3">
        <w:rPr>
          <w:rFonts w:eastAsia="Times New Roman" w:cstheme="minorHAnsi"/>
          <w:b/>
          <w:bCs/>
          <w:color w:val="2F5496" w:themeColor="accent1" w:themeShade="BF"/>
          <w:lang w:eastAsia="pl-PL"/>
        </w:rPr>
        <w:t xml:space="preserve"> zmieni perspektywę jej funkcjonowania z 2023 na 2030 rok. </w:t>
      </w:r>
      <w:r w:rsidRPr="00FB1BC3">
        <w:rPr>
          <w:rFonts w:cstheme="minorHAnsi"/>
          <w:b/>
          <w:bCs/>
          <w:color w:val="2F5496" w:themeColor="accent1" w:themeShade="BF"/>
        </w:rPr>
        <w:t xml:space="preserve">Na przestrzeni pięciu lat od przyjęcia KPM 2023, wzmocniły się pewne trendy w polityce miejskiej, które powinny znaleźć swoje odzwierciedlenie w KPM 2030. W szczególności, w większym niż dotychczas stopniu, zostaną </w:t>
      </w:r>
      <w:r w:rsidRPr="00FB1BC3">
        <w:rPr>
          <w:rFonts w:cstheme="minorHAnsi"/>
          <w:b/>
          <w:bCs/>
          <w:color w:val="2F5496" w:themeColor="accent1" w:themeShade="BF"/>
        </w:rPr>
        <w:lastRenderedPageBreak/>
        <w:t>pogłębione kwestie związane z jakością powietrza, zmian klimatycznych, Smart Cities czy wzmacniania odporności miast na kryzysy społeczno-gospodarcze i środowiskowe</w:t>
      </w:r>
      <w:r w:rsidRPr="0035160C">
        <w:rPr>
          <w:rFonts w:cstheme="minorHAnsi"/>
        </w:rPr>
        <w:t>.</w:t>
      </w:r>
    </w:p>
    <w:p w14:paraId="564B6991" w14:textId="402353DC" w:rsidR="00E01488" w:rsidRPr="0035160C" w:rsidRDefault="00E01488" w:rsidP="001F50D6">
      <w:pPr>
        <w:tabs>
          <w:tab w:val="left" w:pos="567"/>
        </w:tabs>
        <w:spacing w:after="60" w:line="276" w:lineRule="auto"/>
        <w:jc w:val="both"/>
        <w:rPr>
          <w:rFonts w:eastAsia="Times New Roman" w:cstheme="minorHAnsi"/>
          <w:lang w:eastAsia="pl-PL"/>
        </w:rPr>
      </w:pPr>
      <w:r w:rsidRPr="0035160C">
        <w:rPr>
          <w:rFonts w:eastAsia="Times New Roman" w:cstheme="minorHAnsi"/>
          <w:lang w:eastAsia="pl-PL"/>
        </w:rPr>
        <w:t>Potrzeba podjęcia specjalnych działań, w tym adaptacyjnych na rzecz miast przedstawiona została w szczególności w ww. dokumentach strategicznych, ale tej tematyki dotyczą także PEP2030, jak również PEP</w:t>
      </w:r>
      <w:r w:rsidR="001F50D6">
        <w:rPr>
          <w:rFonts w:eastAsia="Times New Roman" w:cstheme="minorHAnsi"/>
          <w:lang w:eastAsia="pl-PL"/>
        </w:rPr>
        <w:t>2</w:t>
      </w:r>
      <w:r w:rsidRPr="0035160C">
        <w:rPr>
          <w:rFonts w:eastAsia="Times New Roman" w:cstheme="minorHAnsi"/>
          <w:lang w:eastAsia="pl-PL"/>
        </w:rPr>
        <w:t>040. Dobrze zaplanowane obszary miejskie, z odpowiednią infrastrukturą energetyczno-transportową oraz zapewniające łatwy dostęp do naturalnych terenów zielonych, w tym zwłaszcza tere</w:t>
      </w:r>
      <w:r w:rsidRPr="0035160C">
        <w:rPr>
          <w:rFonts w:eastAsia="Times New Roman" w:cstheme="minorHAnsi"/>
          <w:lang w:eastAsia="pl-PL"/>
        </w:rPr>
        <w:softHyphen/>
        <w:t>nów nadrzecznych oraz umożliwiające tworzenie zielonej i błękitnej infrastruktury miejskiej, mogą dawać korzyści dla zdrowia i jakości życia człowieka, także łagodzić odczuwalne przez mieszkańców miast skutki zmian klimatu.</w:t>
      </w:r>
      <w:r w:rsidR="001F50D6">
        <w:rPr>
          <w:rFonts w:eastAsia="Times New Roman" w:cstheme="minorHAnsi"/>
          <w:lang w:eastAsia="pl-PL"/>
        </w:rPr>
        <w:t xml:space="preserve"> </w:t>
      </w:r>
      <w:r w:rsidRPr="0035160C">
        <w:rPr>
          <w:rFonts w:eastAsia="Times New Roman" w:cstheme="minorHAnsi"/>
          <w:lang w:eastAsia="pl-PL"/>
        </w:rPr>
        <w:t xml:space="preserve">Na presje związane z urbanizacją narażone są w szczególności obszary wokół dużych miast i wewnątrz miast, tereny otwarte, obszary cenne przyrodniczo i krajobrazowo. Dla wspierania zrównoważonego rozwoju miast kluczowe znaczenie będzie mieć dalsze wdrażanie polityki w zakresie zrównoważonego planowania i projektowania przestrzeni miejskiej, w tym zapobieganie rozlewaniu się miast. </w:t>
      </w:r>
    </w:p>
    <w:p w14:paraId="3D4498AA" w14:textId="09F42727" w:rsidR="00E01488" w:rsidRPr="0035160C" w:rsidRDefault="00FF2D7D" w:rsidP="00FF2D7D">
      <w:pPr>
        <w:pStyle w:val="Nagwek3"/>
        <w:numPr>
          <w:ilvl w:val="0"/>
          <w:numId w:val="0"/>
        </w:numPr>
        <w:rPr>
          <w:b/>
          <w:sz w:val="22"/>
          <w:szCs w:val="22"/>
        </w:rPr>
      </w:pPr>
      <w:bookmarkStart w:id="75" w:name="_Toc78205898"/>
      <w:r w:rsidRPr="0035160C">
        <w:rPr>
          <w:b/>
          <w:sz w:val="22"/>
          <w:szCs w:val="22"/>
        </w:rPr>
        <w:t>9</w:t>
      </w:r>
      <w:r w:rsidR="00F03C94" w:rsidRPr="0035160C">
        <w:rPr>
          <w:b/>
          <w:sz w:val="22"/>
          <w:szCs w:val="22"/>
        </w:rPr>
        <w:t>.3</w:t>
      </w:r>
      <w:r w:rsidR="00FC6B27" w:rsidRPr="0035160C">
        <w:rPr>
          <w:b/>
          <w:sz w:val="22"/>
          <w:szCs w:val="22"/>
        </w:rPr>
        <w:t xml:space="preserve">.3 </w:t>
      </w:r>
      <w:r w:rsidR="00E01488" w:rsidRPr="0035160C">
        <w:rPr>
          <w:b/>
          <w:sz w:val="22"/>
          <w:szCs w:val="22"/>
        </w:rPr>
        <w:t>Koncepcja Smart City (inteligentne miasta) – miasta przyszłości</w:t>
      </w:r>
      <w:bookmarkEnd w:id="75"/>
    </w:p>
    <w:p w14:paraId="4E3ECC38" w14:textId="77777777" w:rsidR="00E01488" w:rsidRPr="00E83218" w:rsidRDefault="00E01488" w:rsidP="00E01488">
      <w:pPr>
        <w:spacing w:after="60"/>
        <w:jc w:val="both"/>
        <w:rPr>
          <w:rFonts w:cstheme="minorHAnsi"/>
          <w:bCs/>
          <w:color w:val="2F5496" w:themeColor="accent1" w:themeShade="BF"/>
          <w:u w:val="single"/>
        </w:rPr>
      </w:pPr>
      <w:r w:rsidRPr="00E83218">
        <w:rPr>
          <w:rFonts w:cstheme="minorHAnsi"/>
          <w:bCs/>
          <w:color w:val="2F5496" w:themeColor="accent1" w:themeShade="BF"/>
          <w:u w:val="single"/>
        </w:rPr>
        <w:t>Cyfryzacja na obszarach zurbanizowanych</w:t>
      </w:r>
    </w:p>
    <w:p w14:paraId="5A2D70CF" w14:textId="77777777" w:rsidR="00E01488" w:rsidRPr="00E83218" w:rsidRDefault="00E01488" w:rsidP="00E01488">
      <w:pPr>
        <w:spacing w:after="60"/>
        <w:jc w:val="both"/>
        <w:rPr>
          <w:rFonts w:cstheme="minorHAnsi"/>
          <w:bCs/>
          <w:color w:val="2F5496" w:themeColor="accent1" w:themeShade="BF"/>
        </w:rPr>
      </w:pPr>
    </w:p>
    <w:p w14:paraId="1C4DA7B1" w14:textId="2176B423" w:rsidR="00E01488" w:rsidRPr="0035160C" w:rsidRDefault="00E01488" w:rsidP="00FB1BC3">
      <w:pPr>
        <w:spacing w:after="60"/>
        <w:jc w:val="both"/>
        <w:rPr>
          <w:rFonts w:cstheme="minorHAnsi"/>
          <w:bCs/>
        </w:rPr>
      </w:pPr>
      <w:r w:rsidRPr="0035160C">
        <w:rPr>
          <w:rFonts w:cstheme="minorHAnsi"/>
          <w:bCs/>
        </w:rPr>
        <w:t>Cyfryzacja to główny trend zmian międzysektorowych, wpływający na wszystkie wymiary zrównoważonego rozwoju obszarów miejskich. Pod wieloma względami stwarza okazję do transformacji miejskiej. Rozwiązania cyfrowe mogą zapewnić innowacyjne i wysokiej jakości usługi dla społeczeństwa i przedsiębiorstw. Obejmują one inteligentną mobilność miejską, efektywność energetyczną, zrównoważone mieszkalnictwo, usługi publiczne, handel detaliczny, dostawy dóbr codziennego użytku i sprawowanie rządów obywatelskich. Cyfryzację należy kształtować w sposób zrównoważony środowiskowo, sprzyjający włączeniu społecznemu i sprawiedliwy. W szerszym ujęciu suwerenność cyfrowa Europy ma kluczowe znaczenie dla przyszłej konkurencyjności U</w:t>
      </w:r>
      <w:r w:rsidR="001858AC">
        <w:rPr>
          <w:rFonts w:cstheme="minorHAnsi"/>
          <w:bCs/>
        </w:rPr>
        <w:t xml:space="preserve">nii </w:t>
      </w:r>
      <w:r w:rsidRPr="0035160C">
        <w:rPr>
          <w:rFonts w:cstheme="minorHAnsi"/>
          <w:bCs/>
        </w:rPr>
        <w:t>E</w:t>
      </w:r>
      <w:r w:rsidR="001858AC">
        <w:rPr>
          <w:rFonts w:cstheme="minorHAnsi"/>
          <w:bCs/>
        </w:rPr>
        <w:t>uropejskiej</w:t>
      </w:r>
      <w:r w:rsidRPr="0035160C">
        <w:rPr>
          <w:rFonts w:cstheme="minorHAnsi"/>
          <w:bCs/>
        </w:rPr>
        <w:t xml:space="preserve">. Miasta, dzięki możliwości skalowania rozwiązań cyfrowych i dostosowywania ich do lokalnych warunków, mogą w znacznym stopniu przyczynić się do osiągnięcia tego celu. </w:t>
      </w:r>
    </w:p>
    <w:p w14:paraId="6A26F9C1" w14:textId="77777777" w:rsidR="00E01488" w:rsidRPr="0035160C" w:rsidRDefault="00E01488" w:rsidP="00FB1BC3">
      <w:pPr>
        <w:spacing w:after="60"/>
        <w:jc w:val="both"/>
        <w:rPr>
          <w:rFonts w:cstheme="minorHAnsi"/>
          <w:bCs/>
        </w:rPr>
      </w:pPr>
      <w:r w:rsidRPr="0035160C">
        <w:rPr>
          <w:rFonts w:cstheme="minorHAnsi"/>
          <w:bCs/>
        </w:rPr>
        <w:t>Każde miasto jest wyjątkowe i posiada walory, które wyróżniają je na tle innych. Jednak wszystkie miasta zmagają się z wyzwaniami, jak np. rozwarstwienie społeczne, akty wandalizmu (często związane ze wzrostem bezrobocia), niedobory wody pitnej czy zdrowej żywności. Do problemów wymagających rozwiązania należą też: zanieczyszczanie środowiska, ograniczenie przestrzeni zielonych (tzw. płuc miasta), zwiększony ruch uliczny, itp.</w:t>
      </w:r>
    </w:p>
    <w:p w14:paraId="15C1E982" w14:textId="310F8E14" w:rsidR="00E01488" w:rsidRPr="0035160C" w:rsidRDefault="00E01488" w:rsidP="00E01488">
      <w:pPr>
        <w:spacing w:after="60"/>
        <w:jc w:val="both"/>
        <w:rPr>
          <w:rFonts w:cstheme="minorHAnsi"/>
          <w:bCs/>
        </w:rPr>
      </w:pPr>
      <w:r w:rsidRPr="0035160C">
        <w:rPr>
          <w:rFonts w:cstheme="minorHAnsi"/>
          <w:bCs/>
        </w:rPr>
        <w:t xml:space="preserve">Umiejętność jasnego sformułowania tych wyzwań oraz określenie priorytetów w zakresie ich optymalnego rozwiązywania stanowi punkt wyjścia do urzeczywistnienia idei tzw. „inteligentnego miasta” (ang. Smart Cities). Termin ten ma wiele definicji, jednak większość utożsamia ten termin z miastem o strategii rozwoju stawiającej na kreatywność, otwartość na innowacje i elastyczność, rozumianą jako umiejętność szybkiego dostosowywania się do uwarunkowań zewnętrznych i wewnętrznych. „Inteligentne” miasta opierają swoją strategię na zastosowaniu technologii informacyjnych i komunikacyjnych (ICT) w obszarach takich jak: gospodarka, środowisko, mobilność i zarządzanie. Wszystko to z myślą o poprawie standardu życia mieszkańców i zwiększeniu ich udziału w podejmowaniu istotnych decyzji. Jak wspomniano wyżej inteligentne miasta nie muszą być dziś ośrodkami o najwyższym poziomie zaawansowania technologicznego. To znaczy, że droga do bycia „smart” jest otwarta dla wszystkich ośrodków: większych i mniejszych. </w:t>
      </w:r>
    </w:p>
    <w:p w14:paraId="1D9A90FA" w14:textId="77777777" w:rsidR="00B91399" w:rsidRDefault="00B91399" w:rsidP="00E01488">
      <w:pPr>
        <w:spacing w:after="60"/>
        <w:jc w:val="both"/>
        <w:rPr>
          <w:rFonts w:cstheme="minorHAnsi"/>
          <w:bCs/>
          <w:color w:val="2F5496" w:themeColor="accent1" w:themeShade="BF"/>
          <w:u w:val="single"/>
        </w:rPr>
      </w:pPr>
    </w:p>
    <w:p w14:paraId="4B27E456" w14:textId="1BD38B7A" w:rsidR="00E01488" w:rsidRPr="00E83218" w:rsidRDefault="00E01488" w:rsidP="00E01488">
      <w:pPr>
        <w:spacing w:after="60"/>
        <w:jc w:val="both"/>
        <w:rPr>
          <w:rFonts w:cstheme="minorHAnsi"/>
          <w:bCs/>
          <w:color w:val="2F5496" w:themeColor="accent1" w:themeShade="BF"/>
        </w:rPr>
      </w:pPr>
      <w:r w:rsidRPr="00E83218">
        <w:rPr>
          <w:rFonts w:cstheme="minorHAnsi"/>
          <w:bCs/>
          <w:color w:val="2F5496" w:themeColor="accent1" w:themeShade="BF"/>
          <w:u w:val="single"/>
        </w:rPr>
        <w:lastRenderedPageBreak/>
        <w:t>Cechy inteligentnego miasta</w:t>
      </w:r>
      <w:r w:rsidRPr="00E83218">
        <w:rPr>
          <w:rFonts w:cstheme="minorHAnsi"/>
          <w:bCs/>
          <w:color w:val="2F5496" w:themeColor="accent1" w:themeShade="BF"/>
        </w:rPr>
        <w:t xml:space="preserve"> </w:t>
      </w:r>
    </w:p>
    <w:p w14:paraId="57C17CEE" w14:textId="77777777" w:rsidR="00E01488" w:rsidRPr="0035160C" w:rsidRDefault="00E01488" w:rsidP="00FB1BC3">
      <w:pPr>
        <w:spacing w:after="60"/>
        <w:jc w:val="both"/>
        <w:rPr>
          <w:rFonts w:cstheme="minorHAnsi"/>
          <w:bCs/>
        </w:rPr>
      </w:pPr>
      <w:r w:rsidRPr="0035160C">
        <w:rPr>
          <w:rFonts w:cstheme="minorHAnsi"/>
          <w:bCs/>
        </w:rPr>
        <w:t>Cechy inteligentnego miasta to przede wszystkim:</w:t>
      </w:r>
    </w:p>
    <w:p w14:paraId="34E28B22" w14:textId="7F21B0DD" w:rsidR="00E01488" w:rsidRPr="0035160C" w:rsidRDefault="00E01488" w:rsidP="00E01488">
      <w:pPr>
        <w:spacing w:after="60"/>
        <w:ind w:left="284" w:hanging="284"/>
        <w:jc w:val="both"/>
        <w:rPr>
          <w:rFonts w:cstheme="minorHAnsi"/>
          <w:bCs/>
        </w:rPr>
      </w:pPr>
      <w:r w:rsidRPr="0035160C">
        <w:rPr>
          <w:rFonts w:cstheme="minorHAnsi"/>
          <w:bCs/>
        </w:rPr>
        <w:t>•</w:t>
      </w:r>
      <w:r w:rsidRPr="0035160C">
        <w:rPr>
          <w:rFonts w:cstheme="minorHAnsi"/>
          <w:bCs/>
        </w:rPr>
        <w:tab/>
        <w:t xml:space="preserve"> Efektywność – w wykorzystaniu infrastruktury, zasobów, technologii, w tym kontekście często mówi się o gospodarce współdzielonej (collaborative economy, shared economy)</w:t>
      </w:r>
      <w:r w:rsidR="001858AC">
        <w:rPr>
          <w:rFonts w:cstheme="minorHAnsi"/>
          <w:bCs/>
        </w:rPr>
        <w:t>;</w:t>
      </w:r>
    </w:p>
    <w:p w14:paraId="72005491" w14:textId="4A8B07AB" w:rsidR="00E01488" w:rsidRPr="0035160C" w:rsidRDefault="00E01488" w:rsidP="00E01488">
      <w:pPr>
        <w:spacing w:after="60"/>
        <w:ind w:left="284" w:hanging="284"/>
        <w:jc w:val="both"/>
        <w:rPr>
          <w:rFonts w:cstheme="minorHAnsi"/>
          <w:bCs/>
        </w:rPr>
      </w:pPr>
      <w:r w:rsidRPr="0035160C">
        <w:rPr>
          <w:rFonts w:cstheme="minorHAnsi"/>
          <w:bCs/>
        </w:rPr>
        <w:t>•</w:t>
      </w:r>
      <w:r w:rsidRPr="0035160C">
        <w:rPr>
          <w:rFonts w:cstheme="minorHAnsi"/>
          <w:bCs/>
        </w:rPr>
        <w:tab/>
        <w:t>Odporność – na zmiany klimatu, kryzysy społeczne, gospodarcze i epidemiologiczne</w:t>
      </w:r>
      <w:r w:rsidR="001858AC">
        <w:rPr>
          <w:rFonts w:cstheme="minorHAnsi"/>
          <w:bCs/>
        </w:rPr>
        <w:t>;</w:t>
      </w:r>
    </w:p>
    <w:p w14:paraId="11B927E1" w14:textId="52B21A64" w:rsidR="00E01488" w:rsidRPr="0035160C" w:rsidRDefault="00E01488" w:rsidP="00E01488">
      <w:pPr>
        <w:spacing w:after="60"/>
        <w:ind w:left="284" w:hanging="284"/>
        <w:jc w:val="both"/>
        <w:rPr>
          <w:rFonts w:cstheme="minorHAnsi"/>
          <w:bCs/>
        </w:rPr>
      </w:pPr>
      <w:r w:rsidRPr="0035160C">
        <w:rPr>
          <w:rFonts w:cstheme="minorHAnsi"/>
          <w:bCs/>
        </w:rPr>
        <w:t>•</w:t>
      </w:r>
      <w:r w:rsidRPr="0035160C">
        <w:rPr>
          <w:rFonts w:cstheme="minorHAnsi"/>
          <w:bCs/>
        </w:rPr>
        <w:tab/>
        <w:t>Adaptacja – przejawiająca się gotowością do zmian oraz ciągłym poszukiwaniem nowych rozwiązań i szybkim reagowaniem na pojawiające się wyzwania</w:t>
      </w:r>
      <w:r w:rsidR="001858AC">
        <w:rPr>
          <w:rFonts w:cstheme="minorHAnsi"/>
          <w:bCs/>
        </w:rPr>
        <w:t>;</w:t>
      </w:r>
    </w:p>
    <w:p w14:paraId="073B971E" w14:textId="77777777" w:rsidR="00E01488" w:rsidRPr="0035160C" w:rsidRDefault="00E01488" w:rsidP="00E01488">
      <w:pPr>
        <w:spacing w:after="60"/>
        <w:ind w:left="284" w:hanging="284"/>
        <w:jc w:val="both"/>
        <w:rPr>
          <w:rFonts w:cstheme="minorHAnsi"/>
          <w:bCs/>
        </w:rPr>
      </w:pPr>
      <w:r w:rsidRPr="0035160C">
        <w:rPr>
          <w:rFonts w:cstheme="minorHAnsi"/>
          <w:bCs/>
        </w:rPr>
        <w:t>•</w:t>
      </w:r>
      <w:r w:rsidRPr="0035160C">
        <w:rPr>
          <w:rFonts w:cstheme="minorHAnsi"/>
          <w:bCs/>
        </w:rPr>
        <w:tab/>
        <w:t>Innowacyjność – kultura miasta oparta na ocenie przydatności i ewentualnym wdrażaniu nowych rozwiązań, ale również budowanie kultury partycypacji, otwarcie na rozwiązania civil tech i open data.</w:t>
      </w:r>
    </w:p>
    <w:p w14:paraId="52DA0FBF" w14:textId="15AB3E0E" w:rsidR="00E01488" w:rsidRPr="00A94E00" w:rsidRDefault="00E01488" w:rsidP="00A94E00">
      <w:pPr>
        <w:spacing w:after="120"/>
        <w:jc w:val="both"/>
        <w:rPr>
          <w:rFonts w:cstheme="minorHAnsi"/>
          <w:bCs/>
        </w:rPr>
      </w:pPr>
      <w:r w:rsidRPr="00A94E00">
        <w:rPr>
          <w:rFonts w:cstheme="minorHAnsi"/>
          <w:b/>
          <w:color w:val="2F5496" w:themeColor="accent1" w:themeShade="BF"/>
        </w:rPr>
        <w:t xml:space="preserve">W parze z koncepcją </w:t>
      </w:r>
      <w:r w:rsidR="00A94E00" w:rsidRPr="00A94E00">
        <w:rPr>
          <w:rFonts w:cstheme="minorHAnsi"/>
          <w:b/>
          <w:color w:val="2F5496" w:themeColor="accent1" w:themeShade="BF"/>
        </w:rPr>
        <w:t>i</w:t>
      </w:r>
      <w:r w:rsidRPr="00A94E00">
        <w:rPr>
          <w:rFonts w:cstheme="minorHAnsi"/>
          <w:b/>
          <w:color w:val="2F5496" w:themeColor="accent1" w:themeShade="BF"/>
        </w:rPr>
        <w:t>nteligentnych miast idzie również szeroka koncepcja MIASTA ZIELONEGO, która nie dotyczy tylko publicznie dostępnych obszarów zieleni zarządzanych przez administrację miejską, ale również m.in. sektora budownictwa mieszkaniowego i komercyjnego, poprzez zapewnienie odpowiednio dużej ilości powierzchni czynnych biologicznie np. na dachach budynków czy promowania działań nisko i zero-emisyjnych w transporcie i ciepłownictwie czy w obszarze tzw. zielonych zamówień publicznych</w:t>
      </w:r>
      <w:r w:rsidRPr="0035160C">
        <w:rPr>
          <w:rFonts w:cstheme="minorHAnsi"/>
          <w:bCs/>
        </w:rPr>
        <w:t>. Realizacja tej koncepcji stanowi również odpowiedź na rosnące wyzwania klimatyczne. W ostatnich latach obserwujemy coraz szybciej postępujące zmiany klimatu. Nasilają się ekstremalne zjawiska pogodowe takie jak gwałtowne burze, powodzie, fale upałów, czy brak opadów śniegu, co potęguje występującą już w Polsce suszę hydrologiczną i tworzenie się w</w:t>
      </w:r>
      <w:r w:rsidR="00A94E00">
        <w:rPr>
          <w:rFonts w:cstheme="minorHAnsi"/>
          <w:bCs/>
        </w:rPr>
        <w:t> </w:t>
      </w:r>
      <w:r w:rsidRPr="0035160C">
        <w:rPr>
          <w:rFonts w:cstheme="minorHAnsi"/>
          <w:bCs/>
        </w:rPr>
        <w:t xml:space="preserve">miastach „wysp ciepła”. Poprawy wymaga również jakość powietrza w miastach. Biorąc pod uwagę fakt, że ponad 60% Polaków mieszka w miastach, to obszary zurbanizowane w istotnym stopniu oddziałują na środowisko. Dlatego też zrównoważona urbanizacja, w ramach koncepcji Miasta Zielonego polegająca na planowaniu przestrzennym, włączaniu terenów zielonych w tkankę miejską oraz propagowaniu i </w:t>
      </w:r>
      <w:r w:rsidR="00A94E00">
        <w:rPr>
          <w:rFonts w:cstheme="minorHAnsi"/>
          <w:bCs/>
        </w:rPr>
        <w:t>u</w:t>
      </w:r>
      <w:r w:rsidRPr="0035160C">
        <w:rPr>
          <w:rFonts w:cstheme="minorHAnsi"/>
          <w:bCs/>
        </w:rPr>
        <w:t>możliwianiu zmian zachowań transportowych</w:t>
      </w:r>
      <w:r w:rsidR="00A94E00">
        <w:rPr>
          <w:rFonts w:cstheme="minorHAnsi"/>
          <w:bCs/>
        </w:rPr>
        <w:t>,</w:t>
      </w:r>
      <w:r w:rsidRPr="0035160C">
        <w:rPr>
          <w:rFonts w:cstheme="minorHAnsi"/>
          <w:bCs/>
        </w:rPr>
        <w:t xml:space="preserve"> daje największą szansę na ograniczenie tego negatywnego wpływu.</w:t>
      </w:r>
    </w:p>
    <w:p w14:paraId="5B542B07" w14:textId="5E5A6BB5" w:rsidR="00E01488" w:rsidRPr="00E83218" w:rsidRDefault="00E01488" w:rsidP="00E01488">
      <w:pPr>
        <w:spacing w:after="60"/>
        <w:jc w:val="both"/>
        <w:rPr>
          <w:rFonts w:cstheme="minorHAnsi"/>
          <w:bCs/>
          <w:color w:val="2F5496" w:themeColor="accent1" w:themeShade="BF"/>
          <w:u w:val="single"/>
        </w:rPr>
      </w:pPr>
      <w:r w:rsidRPr="00E83218">
        <w:rPr>
          <w:rFonts w:cstheme="minorHAnsi"/>
          <w:bCs/>
          <w:color w:val="2F5496" w:themeColor="accent1" w:themeShade="BF"/>
          <w:u w:val="single"/>
        </w:rPr>
        <w:t>Korzyści z wdrożenia koncepcji inteligentnego miasta</w:t>
      </w:r>
    </w:p>
    <w:p w14:paraId="47038CCD" w14:textId="65785CC0" w:rsidR="00E01488" w:rsidRPr="0035160C" w:rsidRDefault="00E01488" w:rsidP="00A94E00">
      <w:pPr>
        <w:spacing w:after="60"/>
        <w:jc w:val="both"/>
        <w:rPr>
          <w:rFonts w:cstheme="minorHAnsi"/>
          <w:bCs/>
        </w:rPr>
      </w:pPr>
      <w:r w:rsidRPr="0035160C">
        <w:rPr>
          <w:rFonts w:cstheme="minorHAnsi"/>
          <w:bCs/>
        </w:rPr>
        <w:t>W koncepcji Smart City ludzie mogą oczekiwać korzyści wynikających z ograniczania „rozp</w:t>
      </w:r>
      <w:r w:rsidR="00F546FF">
        <w:rPr>
          <w:rFonts w:cstheme="minorHAnsi"/>
          <w:bCs/>
        </w:rPr>
        <w:t>roszenia</w:t>
      </w:r>
      <w:r w:rsidRPr="0035160C">
        <w:rPr>
          <w:rFonts w:cstheme="minorHAnsi"/>
          <w:bCs/>
        </w:rPr>
        <w:t>” konsumpcji i zmiany stylu życia. Z ideą inteligentnych miast wiąże się konieczność kształtowania ich zrównoważonego rozwoju m.in. poprzez wprowadzanie zmian w celu poprawy wydajności energetycznej, promowania zmian w sektorze ciepłownictwa/mieszkalnictwa, zmian w sektorze transportu, w tym komunikacji miejskiej, infrastrukturze w celu obniżenia wielkości emisji z ww. sektorów i zmniejszenia presji na środowisko. Są one ściśle powiązane z nowoczesną technologią i inwestowaniem w wiedzę i społeczeństwo.</w:t>
      </w:r>
    </w:p>
    <w:p w14:paraId="446A93FF" w14:textId="558B1E65" w:rsidR="00E01488" w:rsidRPr="0035160C" w:rsidRDefault="00E01488" w:rsidP="00E01488">
      <w:pPr>
        <w:spacing w:after="60"/>
        <w:jc w:val="both"/>
        <w:rPr>
          <w:rFonts w:cstheme="minorHAnsi"/>
          <w:b/>
          <w:bCs/>
        </w:rPr>
      </w:pPr>
      <w:r w:rsidRPr="0035160C">
        <w:rPr>
          <w:rFonts w:cstheme="minorHAnsi"/>
          <w:bCs/>
        </w:rPr>
        <w:t xml:space="preserve">Smart City powinno być oparte na inteligentnym zarządzaniu zasobami miejskimi. </w:t>
      </w:r>
      <w:r w:rsidR="001858AC">
        <w:rPr>
          <w:rFonts w:cstheme="minorHAnsi"/>
          <w:bCs/>
        </w:rPr>
        <w:t>W</w:t>
      </w:r>
      <w:r w:rsidRPr="0035160C">
        <w:rPr>
          <w:rFonts w:cstheme="minorHAnsi"/>
          <w:bCs/>
        </w:rPr>
        <w:t xml:space="preserve"> skład rozwiązań Smart City wchodzą, w szczególności ITS (Inteligentne Systemy Transportu), System Ochrony Środowiska i Efektywności Energetycznej, Monitoring Miejski, Platforma Geoinformacyjna oraz Centrum zarządzania, platformy zarządzające instalacjami, infrastrukturą.</w:t>
      </w:r>
    </w:p>
    <w:p w14:paraId="2251EB3D" w14:textId="424BCD9F" w:rsidR="00E01488" w:rsidRPr="00E83218" w:rsidRDefault="00E01488" w:rsidP="00E01488">
      <w:pPr>
        <w:spacing w:after="60"/>
        <w:jc w:val="both"/>
        <w:rPr>
          <w:rFonts w:cstheme="minorHAnsi"/>
          <w:bCs/>
          <w:color w:val="2F5496" w:themeColor="accent1" w:themeShade="BF"/>
          <w:u w:val="single"/>
        </w:rPr>
      </w:pPr>
      <w:r w:rsidRPr="00E83218">
        <w:rPr>
          <w:rFonts w:cstheme="minorHAnsi"/>
          <w:bCs/>
          <w:color w:val="2F5496" w:themeColor="accent1" w:themeShade="BF"/>
          <w:u w:val="single"/>
        </w:rPr>
        <w:t>Inteligentne miasto a normy</w:t>
      </w:r>
    </w:p>
    <w:p w14:paraId="3BBA4878" w14:textId="77777777" w:rsidR="00E01488" w:rsidRPr="0035160C" w:rsidRDefault="00E01488" w:rsidP="00A94E00">
      <w:pPr>
        <w:spacing w:after="60"/>
        <w:jc w:val="both"/>
        <w:rPr>
          <w:rFonts w:cstheme="minorHAnsi"/>
          <w:bCs/>
        </w:rPr>
      </w:pPr>
      <w:r w:rsidRPr="0035160C">
        <w:rPr>
          <w:rFonts w:cstheme="minorHAnsi"/>
          <w:bCs/>
        </w:rPr>
        <w:t>Smart City nie powstanie bez norm, ponieważ to w nich znajdują się parametry określone dzięki wiedzy eksperckiej, wskazane są najlepsze praktyki, które władze miejskie mogą wykorzystywać i dostosowywać do indywidualnych potrzeb w danym ośrodku miejskim. Normy mają podstawowe znaczenie dla zagwarantowania mieszkańcom miast dóbr i usług wysokiej jakości, niestwarzających zagrożeń dla zdrowia i środowiska.</w:t>
      </w:r>
    </w:p>
    <w:p w14:paraId="747AFE1B" w14:textId="77777777" w:rsidR="00E01488" w:rsidRPr="0035160C" w:rsidRDefault="00E01488" w:rsidP="00A94E00">
      <w:pPr>
        <w:spacing w:after="60"/>
        <w:jc w:val="both"/>
        <w:rPr>
          <w:rFonts w:cstheme="minorHAnsi"/>
          <w:bCs/>
        </w:rPr>
      </w:pPr>
      <w:r w:rsidRPr="0035160C">
        <w:rPr>
          <w:rFonts w:cstheme="minorHAnsi"/>
          <w:bCs/>
        </w:rPr>
        <w:lastRenderedPageBreak/>
        <w:t>W normach mogą się znaleźć również zharmonizowane wskaźniki rozwoju miast, umożliwiające ocenę realizacji opracowywanych strategii rozwoju, czy też sprawdzone metody zarządzania posiadanymi zasobami. Mogą wreszcie pokazać odpowiednią analizę ryzyka w zakresie wdrażania poszczególnych technologii, co pozwoli na usprawnienie procesu podejmowania decyzji.</w:t>
      </w:r>
    </w:p>
    <w:p w14:paraId="38CB351E" w14:textId="5519F111" w:rsidR="00E01488" w:rsidRPr="00732ADE" w:rsidRDefault="00E01488" w:rsidP="00E01488">
      <w:pPr>
        <w:spacing w:after="60"/>
        <w:jc w:val="both"/>
        <w:rPr>
          <w:rFonts w:cstheme="minorHAnsi"/>
          <w:bCs/>
        </w:rPr>
      </w:pPr>
      <w:r w:rsidRPr="0035160C">
        <w:rPr>
          <w:rFonts w:cstheme="minorHAnsi"/>
          <w:bCs/>
        </w:rPr>
        <w:t>Polski Komitet Normalizacyjny w lutym 2017 r. opublikował normę PN-ISO 37120:2015-03 Zrównoważony rozwój społeczny – Wskaźniki usług miejskich i jakości życia. Norma ta jest częścią serii norm międzynarodowych opracowywanych przez ISO na potrzeby zintegrowanego podejścia do zrównoważonego rozwoju. Jej celem jest pomoc miastom w kierowaniu i ocenie efektów działalności w zakresie usług miejskich oraz jakości życia. Może być także pomocna w analizach i porównaniach stopnia rozwoju oraz określania potrzeb poszczególnych miast.</w:t>
      </w:r>
    </w:p>
    <w:p w14:paraId="66C19876" w14:textId="77777777" w:rsidR="00E01488" w:rsidRPr="00E83218" w:rsidRDefault="00E01488" w:rsidP="00E01488">
      <w:pPr>
        <w:spacing w:after="60"/>
        <w:jc w:val="both"/>
        <w:rPr>
          <w:rFonts w:cstheme="minorHAnsi"/>
          <w:bCs/>
          <w:color w:val="2F5496" w:themeColor="accent1" w:themeShade="BF"/>
          <w:u w:val="single"/>
        </w:rPr>
      </w:pPr>
      <w:r w:rsidRPr="00E83218">
        <w:rPr>
          <w:rFonts w:cstheme="minorHAnsi"/>
          <w:bCs/>
          <w:color w:val="2F5496" w:themeColor="accent1" w:themeShade="BF"/>
          <w:u w:val="single"/>
        </w:rPr>
        <w:t>Certyfikacja dla inteligentnych miast</w:t>
      </w:r>
    </w:p>
    <w:p w14:paraId="04ACC322" w14:textId="77777777" w:rsidR="00E01488" w:rsidRPr="0035160C" w:rsidRDefault="00E01488" w:rsidP="00732ADE">
      <w:pPr>
        <w:spacing w:after="60"/>
        <w:jc w:val="both"/>
        <w:rPr>
          <w:rFonts w:cstheme="minorHAnsi"/>
          <w:bCs/>
        </w:rPr>
      </w:pPr>
      <w:r w:rsidRPr="0035160C">
        <w:rPr>
          <w:rFonts w:cstheme="minorHAnsi"/>
          <w:bCs/>
        </w:rPr>
        <w:t>Polski Komitet Normalizacyjny opracował „Program certyfikacji metod pomiaru wskaźników usług miejskich i jakości życia na zgodność z Polską Normą”.</w:t>
      </w:r>
    </w:p>
    <w:p w14:paraId="72C690D7" w14:textId="77777777" w:rsidR="00E01488" w:rsidRPr="0035160C" w:rsidRDefault="00E01488" w:rsidP="00E01488">
      <w:pPr>
        <w:spacing w:after="60"/>
        <w:jc w:val="both"/>
        <w:rPr>
          <w:rFonts w:cstheme="minorHAnsi"/>
          <w:bCs/>
        </w:rPr>
      </w:pPr>
      <w:r w:rsidRPr="0035160C">
        <w:rPr>
          <w:rFonts w:cstheme="minorHAnsi"/>
          <w:bCs/>
        </w:rPr>
        <w:t>Miasto inteligentne ma w założeniu być przyjaznym i zdrowym miejscem do życia. Uzyskanie certyfikatu wspomaga stymulowanie rozwoju metropolii i lepsze planowanie strategiczne – tym samym korzyści zyskują i obywatele, i władze samorządowe.</w:t>
      </w:r>
    </w:p>
    <w:p w14:paraId="46AF8FBA" w14:textId="77777777" w:rsidR="00E01488" w:rsidRPr="0035160C" w:rsidRDefault="00E01488" w:rsidP="00732ADE">
      <w:pPr>
        <w:spacing w:after="60"/>
        <w:jc w:val="both"/>
        <w:rPr>
          <w:rFonts w:cstheme="minorHAnsi"/>
          <w:bCs/>
        </w:rPr>
      </w:pPr>
      <w:r w:rsidRPr="0035160C">
        <w:rPr>
          <w:rFonts w:cstheme="minorHAnsi"/>
          <w:bCs/>
        </w:rPr>
        <w:t>Polski Komitet Normalizacyjny prowadzi dobrowolną certyfikację jednostek samorządu terytorialnego (miast, gmin) na zgodność pomiaru wskaźników usług miejskich i jakości życia z wymaganiami normy PN-ISO 37120:2015-03.</w:t>
      </w:r>
    </w:p>
    <w:p w14:paraId="5829A3B7" w14:textId="77777777" w:rsidR="00E01488" w:rsidRPr="0035160C" w:rsidRDefault="00E01488" w:rsidP="00732ADE">
      <w:pPr>
        <w:spacing w:after="60"/>
        <w:jc w:val="both"/>
        <w:rPr>
          <w:rFonts w:cstheme="minorHAnsi"/>
          <w:bCs/>
        </w:rPr>
      </w:pPr>
      <w:r w:rsidRPr="0035160C">
        <w:rPr>
          <w:rFonts w:cstheme="minorHAnsi"/>
          <w:bCs/>
        </w:rPr>
        <w:t>Po pozytywnym audycie certyfikacyjnym polegającym na:</w:t>
      </w:r>
    </w:p>
    <w:p w14:paraId="507A98D1" w14:textId="77777777" w:rsidR="00E01488" w:rsidRPr="0035160C" w:rsidRDefault="00E01488" w:rsidP="00CA3BB7">
      <w:pPr>
        <w:pStyle w:val="Akapitzlist"/>
        <w:numPr>
          <w:ilvl w:val="0"/>
          <w:numId w:val="61"/>
        </w:numPr>
        <w:spacing w:after="60"/>
        <w:jc w:val="both"/>
        <w:rPr>
          <w:rFonts w:cstheme="minorHAnsi"/>
          <w:bCs/>
        </w:rPr>
      </w:pPr>
      <w:r w:rsidRPr="0035160C">
        <w:rPr>
          <w:rFonts w:cstheme="minorHAnsi"/>
          <w:bCs/>
        </w:rPr>
        <w:t>weryfikacji metodyki i poprawności obliczenia wskaźników określonych w certyfikacie;</w:t>
      </w:r>
    </w:p>
    <w:p w14:paraId="0A457500" w14:textId="77777777" w:rsidR="00E01488" w:rsidRPr="0035160C" w:rsidRDefault="00E01488" w:rsidP="00CA3BB7">
      <w:pPr>
        <w:pStyle w:val="Akapitzlist"/>
        <w:numPr>
          <w:ilvl w:val="0"/>
          <w:numId w:val="61"/>
        </w:numPr>
        <w:spacing w:after="60"/>
        <w:jc w:val="both"/>
        <w:rPr>
          <w:rFonts w:cstheme="minorHAnsi"/>
          <w:bCs/>
        </w:rPr>
      </w:pPr>
      <w:r w:rsidRPr="0035160C">
        <w:rPr>
          <w:rFonts w:cstheme="minorHAnsi"/>
          <w:bCs/>
        </w:rPr>
        <w:t>weryfikacji przyjętych źródeł danych;</w:t>
      </w:r>
    </w:p>
    <w:p w14:paraId="7776B89D" w14:textId="76941C53" w:rsidR="00E01488" w:rsidRPr="00732ADE" w:rsidRDefault="00E01488" w:rsidP="00E01488">
      <w:pPr>
        <w:spacing w:after="60"/>
        <w:jc w:val="both"/>
        <w:rPr>
          <w:rFonts w:cstheme="minorHAnsi"/>
          <w:bCs/>
        </w:rPr>
      </w:pPr>
      <w:r w:rsidRPr="0035160C">
        <w:rPr>
          <w:rFonts w:cstheme="minorHAnsi"/>
          <w:bCs/>
        </w:rPr>
        <w:t>jednostka samorządowa otrzymuje certyfikat PN ważny przez trzy lata. Co roku także jest poddawana audytowi nadzoru weryfikującemu aktualność wskaźników.</w:t>
      </w:r>
    </w:p>
    <w:p w14:paraId="1D201CBC" w14:textId="32C60870" w:rsidR="00E01488" w:rsidRPr="00E83218" w:rsidRDefault="00E01488" w:rsidP="00E01488">
      <w:pPr>
        <w:spacing w:after="60"/>
        <w:jc w:val="both"/>
        <w:rPr>
          <w:rFonts w:cstheme="minorHAnsi"/>
          <w:bCs/>
          <w:color w:val="2F5496" w:themeColor="accent1" w:themeShade="BF"/>
          <w:u w:val="single"/>
        </w:rPr>
      </w:pPr>
      <w:r w:rsidRPr="00E83218">
        <w:rPr>
          <w:rFonts w:cstheme="minorHAnsi"/>
          <w:bCs/>
          <w:color w:val="2F5496" w:themeColor="accent1" w:themeShade="BF"/>
          <w:u w:val="single"/>
        </w:rPr>
        <w:t>Korzyści wynikające z certyfikacji na zgodność z normą</w:t>
      </w:r>
    </w:p>
    <w:p w14:paraId="73FB1DAD" w14:textId="77777777" w:rsidR="00E01488" w:rsidRPr="0035160C" w:rsidRDefault="00E01488" w:rsidP="00732ADE">
      <w:pPr>
        <w:spacing w:after="60"/>
        <w:jc w:val="both"/>
        <w:rPr>
          <w:rFonts w:cstheme="minorHAnsi"/>
          <w:bCs/>
        </w:rPr>
      </w:pPr>
      <w:r w:rsidRPr="0035160C">
        <w:rPr>
          <w:rFonts w:cstheme="minorHAnsi"/>
          <w:bCs/>
        </w:rPr>
        <w:t>Uzyskanie certyfikatu wspomaga stymulowanie rozwoju metropolii i lepsze planowanie strategiczne – tym samym korzyści zyskują i obywatele, i władze samorządowe.</w:t>
      </w:r>
    </w:p>
    <w:p w14:paraId="03AE7DB2" w14:textId="77777777" w:rsidR="00E01488" w:rsidRPr="0035160C" w:rsidRDefault="00E01488" w:rsidP="00CA3BB7">
      <w:pPr>
        <w:pStyle w:val="Akapitzlist"/>
        <w:numPr>
          <w:ilvl w:val="0"/>
          <w:numId w:val="60"/>
        </w:numPr>
        <w:spacing w:after="60"/>
        <w:jc w:val="both"/>
        <w:rPr>
          <w:rFonts w:cstheme="minorHAnsi"/>
          <w:bCs/>
        </w:rPr>
      </w:pPr>
      <w:r w:rsidRPr="0035160C">
        <w:rPr>
          <w:rFonts w:cstheme="minorHAnsi"/>
          <w:bCs/>
        </w:rPr>
        <w:t>Władze miasta otrzymują narzędzie, które ułatwi zarządzanie miastem, może być punktem wyjścia do rozmów z inwestorami.</w:t>
      </w:r>
    </w:p>
    <w:p w14:paraId="5818D547" w14:textId="77777777" w:rsidR="00E01488" w:rsidRPr="0035160C" w:rsidRDefault="00E01488" w:rsidP="00CA3BB7">
      <w:pPr>
        <w:pStyle w:val="Akapitzlist"/>
        <w:numPr>
          <w:ilvl w:val="0"/>
          <w:numId w:val="60"/>
        </w:numPr>
        <w:spacing w:after="60"/>
        <w:jc w:val="both"/>
        <w:rPr>
          <w:rFonts w:cstheme="minorHAnsi"/>
          <w:bCs/>
        </w:rPr>
      </w:pPr>
      <w:r w:rsidRPr="0035160C">
        <w:rPr>
          <w:rFonts w:cstheme="minorHAnsi"/>
          <w:bCs/>
        </w:rPr>
        <w:t>Wdrożenie ww. normy będzie magnesem dla dużych inwestorów, zainteresowanych lokowaniem inwestycji w metropoliach świadomych swoich możliwości, planujących rozwój w sposób zharmonizowany.</w:t>
      </w:r>
    </w:p>
    <w:p w14:paraId="4BBAE6CC" w14:textId="77777777" w:rsidR="00E01488" w:rsidRPr="0035160C" w:rsidRDefault="00E01488" w:rsidP="00CA3BB7">
      <w:pPr>
        <w:pStyle w:val="Akapitzlist"/>
        <w:numPr>
          <w:ilvl w:val="0"/>
          <w:numId w:val="60"/>
        </w:numPr>
        <w:spacing w:after="60"/>
        <w:jc w:val="both"/>
        <w:rPr>
          <w:rFonts w:cstheme="minorHAnsi"/>
          <w:bCs/>
        </w:rPr>
      </w:pPr>
      <w:r w:rsidRPr="0035160C">
        <w:rPr>
          <w:rFonts w:cstheme="minorHAnsi"/>
          <w:bCs/>
        </w:rPr>
        <w:t>Posiadanie normy będzie miało znaczenie w staraniach o Fundusze Europejskie.</w:t>
      </w:r>
    </w:p>
    <w:p w14:paraId="7AC40A26" w14:textId="584E2F02" w:rsidR="00E01488" w:rsidRPr="00732ADE" w:rsidRDefault="00E01488" w:rsidP="00732ADE">
      <w:pPr>
        <w:pStyle w:val="Akapitzlist"/>
        <w:numPr>
          <w:ilvl w:val="0"/>
          <w:numId w:val="60"/>
        </w:numPr>
        <w:spacing w:after="60"/>
        <w:jc w:val="both"/>
        <w:rPr>
          <w:rFonts w:cstheme="minorHAnsi"/>
          <w:bCs/>
        </w:rPr>
      </w:pPr>
      <w:r w:rsidRPr="0035160C">
        <w:rPr>
          <w:rFonts w:cstheme="minorHAnsi"/>
          <w:bCs/>
        </w:rPr>
        <w:t>W związku z normą zwiększa się wiarygodność miast na rynkach finansowych.</w:t>
      </w:r>
    </w:p>
    <w:p w14:paraId="4DC64ADD" w14:textId="77777777" w:rsidR="00E01488" w:rsidRPr="00E83218" w:rsidRDefault="00E01488" w:rsidP="00E01488">
      <w:pPr>
        <w:spacing w:after="60"/>
        <w:jc w:val="both"/>
        <w:rPr>
          <w:rFonts w:cstheme="minorHAnsi"/>
          <w:bCs/>
          <w:color w:val="2F5496" w:themeColor="accent1" w:themeShade="BF"/>
          <w:u w:val="single"/>
        </w:rPr>
      </w:pPr>
      <w:r w:rsidRPr="00E83218">
        <w:rPr>
          <w:rFonts w:cstheme="minorHAnsi"/>
          <w:bCs/>
          <w:color w:val="2F5496" w:themeColor="accent1" w:themeShade="BF"/>
          <w:u w:val="single"/>
        </w:rPr>
        <w:t>Cele i rodzaje wskaźników, zgodnych z normą dla inteligentnych miast</w:t>
      </w:r>
    </w:p>
    <w:p w14:paraId="7C8465A7" w14:textId="723E7B03" w:rsidR="00E01488" w:rsidRPr="0035160C" w:rsidRDefault="00E01488" w:rsidP="00732ADE">
      <w:pPr>
        <w:spacing w:after="60"/>
        <w:jc w:val="both"/>
        <w:rPr>
          <w:rFonts w:cstheme="minorHAnsi"/>
          <w:bCs/>
        </w:rPr>
      </w:pPr>
      <w:r w:rsidRPr="0035160C">
        <w:rPr>
          <w:rFonts w:cstheme="minorHAnsi"/>
          <w:bCs/>
        </w:rPr>
        <w:t>Miasta, a także jednostki samorządowe – gminy, powiaty – potrzebują odpowiednich wskaźników do pomiaru efektów ich działalności. Podany w ww. normie zbiór znormalizowanych wskaźników zapewnia ujednolicone podejście do tego, co jest mierzone i w jaki sposób pomiar ma być przeprowadzany. Wskaźniki te mogą być wykorzystywane do śledzenia i monitorowania postępów w działalności miasta, a także określania potrzeb na przyszłość.</w:t>
      </w:r>
    </w:p>
    <w:p w14:paraId="7E3CA0CA" w14:textId="77777777" w:rsidR="00E01488" w:rsidRPr="0035160C" w:rsidRDefault="00E01488" w:rsidP="00E01488">
      <w:pPr>
        <w:spacing w:after="60"/>
        <w:jc w:val="both"/>
        <w:rPr>
          <w:rFonts w:cstheme="minorHAnsi"/>
          <w:bCs/>
        </w:rPr>
      </w:pPr>
      <w:r w:rsidRPr="0035160C">
        <w:rPr>
          <w:rFonts w:cstheme="minorHAnsi"/>
          <w:bCs/>
        </w:rPr>
        <w:t>Wskaźniki i związane z nimi metody badań podane w normie PN-ISO 37120 pozwolą miastom, jednostkom samorządowym i zainteresowanym organom administracji państwowej:</w:t>
      </w:r>
    </w:p>
    <w:p w14:paraId="76F15F96" w14:textId="77777777" w:rsidR="00E01488" w:rsidRPr="0035160C" w:rsidRDefault="00E01488" w:rsidP="00CA3BB7">
      <w:pPr>
        <w:pStyle w:val="Akapitzlist"/>
        <w:numPr>
          <w:ilvl w:val="0"/>
          <w:numId w:val="62"/>
        </w:numPr>
        <w:spacing w:after="60"/>
        <w:jc w:val="both"/>
        <w:rPr>
          <w:rFonts w:cstheme="minorHAnsi"/>
          <w:bCs/>
        </w:rPr>
      </w:pPr>
      <w:r w:rsidRPr="0035160C">
        <w:rPr>
          <w:rFonts w:cstheme="minorHAnsi"/>
          <w:bCs/>
        </w:rPr>
        <w:t>mierzyć efekty zarządzania usługami miejskimi i jakością życia na przestrzeni czasu;</w:t>
      </w:r>
    </w:p>
    <w:p w14:paraId="24ED0796" w14:textId="5F41F3FD" w:rsidR="00E01488" w:rsidRPr="0035160C" w:rsidRDefault="00E01488" w:rsidP="00CA3BB7">
      <w:pPr>
        <w:pStyle w:val="Akapitzlist"/>
        <w:numPr>
          <w:ilvl w:val="0"/>
          <w:numId w:val="62"/>
        </w:numPr>
        <w:spacing w:after="60"/>
        <w:jc w:val="both"/>
        <w:rPr>
          <w:rFonts w:cstheme="minorHAnsi"/>
          <w:bCs/>
        </w:rPr>
      </w:pPr>
      <w:r w:rsidRPr="0035160C">
        <w:rPr>
          <w:rFonts w:cstheme="minorHAnsi"/>
          <w:bCs/>
        </w:rPr>
        <w:lastRenderedPageBreak/>
        <w:t>porównywać w szerokim zakresie efekty działalności;</w:t>
      </w:r>
    </w:p>
    <w:p w14:paraId="3448D657" w14:textId="77777777" w:rsidR="00E01488" w:rsidRPr="0035160C" w:rsidRDefault="00E01488" w:rsidP="00CA3BB7">
      <w:pPr>
        <w:pStyle w:val="Akapitzlist"/>
        <w:numPr>
          <w:ilvl w:val="0"/>
          <w:numId w:val="62"/>
        </w:numPr>
        <w:spacing w:after="60"/>
        <w:jc w:val="both"/>
        <w:rPr>
          <w:rFonts w:cstheme="minorHAnsi"/>
          <w:bCs/>
        </w:rPr>
      </w:pPr>
      <w:r w:rsidRPr="0035160C">
        <w:rPr>
          <w:rFonts w:cstheme="minorHAnsi"/>
          <w:bCs/>
        </w:rPr>
        <w:t>wymieniać się najlepszymi praktykami.</w:t>
      </w:r>
    </w:p>
    <w:p w14:paraId="485704BB" w14:textId="4A6E4FAB" w:rsidR="00E01488" w:rsidRPr="0035160C" w:rsidRDefault="00E01488" w:rsidP="00732ADE">
      <w:pPr>
        <w:spacing w:after="60"/>
        <w:jc w:val="both"/>
        <w:rPr>
          <w:rFonts w:cstheme="minorHAnsi"/>
          <w:bCs/>
        </w:rPr>
      </w:pPr>
      <w:r w:rsidRPr="0035160C">
        <w:rPr>
          <w:rFonts w:cstheme="minorHAnsi"/>
          <w:bCs/>
        </w:rPr>
        <w:t>Wskaźniki w normie PN-ISO 37120 zostały wybrane tak, aby raportowanie było jak najprostsze i najtańsze. Odnoszą się one do poszczególnych obszarów tematycznych. Uwzględniając różnice w zasobach i możliwościach miast i jednostek samorządu, ogólny zestaw wskaźników efektów działalności podzielono na wskaźniki „podstawowe” (wdrażający niniejszą Polską Normę powinni je stosować) i wskaźniki „pomocnicze” (zaleca się, aby wdrażający niniejszą normę je stosowali).</w:t>
      </w:r>
    </w:p>
    <w:p w14:paraId="4D5D67EE" w14:textId="77777777" w:rsidR="00E01488" w:rsidRPr="00E83218" w:rsidRDefault="00E01488" w:rsidP="00E01488">
      <w:pPr>
        <w:spacing w:after="60"/>
        <w:jc w:val="both"/>
        <w:rPr>
          <w:rFonts w:cstheme="minorHAnsi"/>
          <w:bCs/>
          <w:color w:val="2F5496" w:themeColor="accent1" w:themeShade="BF"/>
          <w:u w:val="single"/>
        </w:rPr>
      </w:pPr>
      <w:r w:rsidRPr="00E83218">
        <w:rPr>
          <w:rFonts w:cstheme="minorHAnsi"/>
          <w:bCs/>
          <w:color w:val="2F5496" w:themeColor="accent1" w:themeShade="BF"/>
          <w:u w:val="single"/>
        </w:rPr>
        <w:t>Przykłady inteligentnych miast w Polsce (10)</w:t>
      </w:r>
    </w:p>
    <w:p w14:paraId="0DD4D504" w14:textId="5F7E2D50" w:rsidR="00E01488" w:rsidRPr="00732ADE" w:rsidRDefault="00E01488" w:rsidP="00732ADE">
      <w:pPr>
        <w:spacing w:after="60"/>
        <w:jc w:val="both"/>
        <w:rPr>
          <w:rFonts w:cstheme="minorHAnsi"/>
          <w:bCs/>
        </w:rPr>
      </w:pPr>
      <w:r w:rsidRPr="0035160C">
        <w:rPr>
          <w:rFonts w:cstheme="minorHAnsi"/>
          <w:bCs/>
        </w:rPr>
        <w:t>Inteligentne miasta w Polsce przeżywają prawdziwy rozkwit, a polskie miasta i regiony idą śladami prekursorów tej dziedziny</w:t>
      </w:r>
      <w:r w:rsidR="00267AA5">
        <w:rPr>
          <w:rFonts w:cstheme="minorHAnsi"/>
          <w:bCs/>
        </w:rPr>
        <w:t>,</w:t>
      </w:r>
      <w:r w:rsidRPr="0035160C">
        <w:rPr>
          <w:rFonts w:cstheme="minorHAnsi"/>
          <w:bCs/>
        </w:rPr>
        <w:t xml:space="preserve"> i </w:t>
      </w:r>
      <w:r w:rsidR="00267AA5">
        <w:rPr>
          <w:rFonts w:cstheme="minorHAnsi"/>
          <w:bCs/>
        </w:rPr>
        <w:t xml:space="preserve">jak wynika </w:t>
      </w:r>
      <w:r w:rsidRPr="0035160C">
        <w:rPr>
          <w:rFonts w:cstheme="minorHAnsi"/>
          <w:bCs/>
        </w:rPr>
        <w:t xml:space="preserve">z poniższych informacji, </w:t>
      </w:r>
      <w:r w:rsidR="00267AA5">
        <w:rPr>
          <w:rFonts w:cstheme="minorHAnsi"/>
          <w:bCs/>
        </w:rPr>
        <w:t xml:space="preserve">jest to trend szybko rozwijający. </w:t>
      </w:r>
    </w:p>
    <w:p w14:paraId="38FCAB9B" w14:textId="77777777" w:rsidR="00E01488" w:rsidRPr="00732ADE" w:rsidRDefault="00E01488" w:rsidP="00E01488">
      <w:pPr>
        <w:spacing w:after="60"/>
        <w:ind w:left="426" w:hanging="426"/>
        <w:jc w:val="both"/>
        <w:rPr>
          <w:rFonts w:cstheme="minorHAnsi"/>
          <w:b/>
          <w:color w:val="2F5496" w:themeColor="accent1" w:themeShade="BF"/>
        </w:rPr>
      </w:pPr>
      <w:r w:rsidRPr="00732ADE">
        <w:rPr>
          <w:rFonts w:cstheme="minorHAnsi"/>
          <w:b/>
          <w:color w:val="2F5496" w:themeColor="accent1" w:themeShade="BF"/>
        </w:rPr>
        <w:t>Białystok Smart City</w:t>
      </w:r>
    </w:p>
    <w:p w14:paraId="50503924" w14:textId="702EF78B" w:rsidR="00E01488" w:rsidRPr="0035160C" w:rsidRDefault="00E01488" w:rsidP="00732ADE">
      <w:pPr>
        <w:spacing w:after="60"/>
        <w:jc w:val="both"/>
        <w:rPr>
          <w:rFonts w:cstheme="minorHAnsi"/>
          <w:bCs/>
        </w:rPr>
      </w:pPr>
      <w:r w:rsidRPr="0035160C">
        <w:rPr>
          <w:rFonts w:cstheme="minorHAnsi"/>
          <w:bCs/>
        </w:rPr>
        <w:t>Białystok był jednym z pierwszych polskich miast, które zdecydowało się na wdrażanie pomysłów Smart City w życie. Obecnie działania władz skupiają się na poprawie jakości transportu drogowego przez m.in. zakup ekologicznych autobusów oraz inwestycj</w:t>
      </w:r>
      <w:r w:rsidR="002E1E77">
        <w:rPr>
          <w:rFonts w:cstheme="minorHAnsi"/>
          <w:bCs/>
        </w:rPr>
        <w:t>e</w:t>
      </w:r>
      <w:r w:rsidRPr="0035160C">
        <w:rPr>
          <w:rFonts w:cstheme="minorHAnsi"/>
          <w:bCs/>
        </w:rPr>
        <w:t xml:space="preserve"> w transport. </w:t>
      </w:r>
      <w:r w:rsidR="00754F07">
        <w:rPr>
          <w:rFonts w:cstheme="minorHAnsi"/>
          <w:bCs/>
        </w:rPr>
        <w:t>C</w:t>
      </w:r>
      <w:r w:rsidRPr="0035160C">
        <w:rPr>
          <w:rFonts w:cstheme="minorHAnsi"/>
          <w:bCs/>
        </w:rPr>
        <w:t xml:space="preserve">hodzi </w:t>
      </w:r>
      <w:r w:rsidR="00754F07">
        <w:rPr>
          <w:rFonts w:cstheme="minorHAnsi"/>
          <w:bCs/>
        </w:rPr>
        <w:t xml:space="preserve">tu </w:t>
      </w:r>
      <w:r w:rsidRPr="0035160C">
        <w:rPr>
          <w:rFonts w:cstheme="minorHAnsi"/>
          <w:bCs/>
        </w:rPr>
        <w:t>przede wszystkim o budow</w:t>
      </w:r>
      <w:r w:rsidR="002E1E77">
        <w:rPr>
          <w:rFonts w:cstheme="minorHAnsi"/>
          <w:bCs/>
        </w:rPr>
        <w:t>ę</w:t>
      </w:r>
      <w:r w:rsidRPr="0035160C">
        <w:rPr>
          <w:rFonts w:cstheme="minorHAnsi"/>
          <w:bCs/>
        </w:rPr>
        <w:t xml:space="preserve"> nowych dróg oraz naprawę starych zniszczonych. Jest to szczególnie ważne z racji na rozbudowę podstrefy Suwalskiej Specjalnej Strefy Ekonomicznej, cieszącej się dużym zainteresowaniem. Warto tu także wspomnieć o nowoczesnym Zakładzie Unieszkodliwiania Odpadów Komunalnych. Nie tylko przetwarza </w:t>
      </w:r>
      <w:r w:rsidR="00754F07">
        <w:rPr>
          <w:rFonts w:cstheme="minorHAnsi"/>
          <w:bCs/>
        </w:rPr>
        <w:t>odpady</w:t>
      </w:r>
      <w:r w:rsidRPr="0035160C">
        <w:rPr>
          <w:rFonts w:cstheme="minorHAnsi"/>
          <w:bCs/>
        </w:rPr>
        <w:t>, ale również produkuje energię elektryczną i cieplną na potrzeby własne i miasta.</w:t>
      </w:r>
    </w:p>
    <w:p w14:paraId="6352833E" w14:textId="77777777" w:rsidR="00115C10" w:rsidRPr="00732ADE" w:rsidRDefault="00115C10" w:rsidP="00115C10">
      <w:pPr>
        <w:spacing w:after="60"/>
        <w:jc w:val="both"/>
        <w:rPr>
          <w:rFonts w:cstheme="minorHAnsi"/>
          <w:b/>
          <w:color w:val="2F5496" w:themeColor="accent1" w:themeShade="BF"/>
        </w:rPr>
      </w:pPr>
      <w:r w:rsidRPr="00732ADE">
        <w:rPr>
          <w:rFonts w:cstheme="minorHAnsi"/>
          <w:b/>
          <w:color w:val="2F5496" w:themeColor="accent1" w:themeShade="BF"/>
        </w:rPr>
        <w:t>Gdynia Smart City</w:t>
      </w:r>
    </w:p>
    <w:p w14:paraId="30AD0022" w14:textId="294D2C3C" w:rsidR="00E01488" w:rsidRPr="0035160C" w:rsidRDefault="00115C10" w:rsidP="00E01488">
      <w:pPr>
        <w:spacing w:after="60"/>
        <w:jc w:val="both"/>
        <w:rPr>
          <w:rFonts w:cstheme="minorHAnsi"/>
          <w:bCs/>
        </w:rPr>
      </w:pPr>
      <w:r w:rsidRPr="0035160C">
        <w:rPr>
          <w:rFonts w:cstheme="minorHAnsi"/>
          <w:bCs/>
        </w:rPr>
        <w:t xml:space="preserve">Gdynia stała się pierwszym miastem w Polsce, które zostało nagrodzone certyfikatem Smart City (ISO 37120). Ciekawym projektem jest Urban Lab, wdrażany przez Instytut Rozwoju Miast i Regionów we współpracy z Ministerstwem Inwestycji i Rozwoju. </w:t>
      </w:r>
      <w:r>
        <w:rPr>
          <w:rFonts w:cstheme="minorHAnsi"/>
          <w:bCs/>
        </w:rPr>
        <w:t xml:space="preserve">W ramach projektu pracuje </w:t>
      </w:r>
      <w:r w:rsidRPr="0035160C">
        <w:rPr>
          <w:rFonts w:cstheme="minorHAnsi"/>
          <w:bCs/>
        </w:rPr>
        <w:t>mały, wyspecjalizowany zesp</w:t>
      </w:r>
      <w:r>
        <w:rPr>
          <w:rFonts w:cstheme="minorHAnsi"/>
          <w:bCs/>
        </w:rPr>
        <w:t>ół</w:t>
      </w:r>
      <w:r w:rsidRPr="0035160C">
        <w:rPr>
          <w:rFonts w:cstheme="minorHAnsi"/>
          <w:bCs/>
        </w:rPr>
        <w:t>, który ma testować i pilotażowo wdrażać różne rozwiązania i technologie dla smart city systems. W tym przypadku badane będą także różne metody zarządzania miastem. W ten sposób poprawione mają zostać również relacje na linii władze – mieszkańcy, a także sami obywatele zostaną zachęceni do działani</w:t>
      </w:r>
      <w:r w:rsidR="002E1E77">
        <w:rPr>
          <w:rFonts w:cstheme="minorHAnsi"/>
          <w:bCs/>
        </w:rPr>
        <w:t>a</w:t>
      </w:r>
      <w:r w:rsidRPr="0035160C">
        <w:rPr>
          <w:rFonts w:cstheme="minorHAnsi"/>
          <w:bCs/>
        </w:rPr>
        <w:t>. Dobrym przykładem nowoczesnych rozwiązań może być nowoczesny cyfrowy citylight, stworzony we współpracy z firmą AMS, na którym to wyświetlane są wszystkie ważne informacje.</w:t>
      </w:r>
    </w:p>
    <w:p w14:paraId="77EADAF6" w14:textId="77777777" w:rsidR="00E01488" w:rsidRPr="00732ADE" w:rsidRDefault="00E01488" w:rsidP="00E01488">
      <w:pPr>
        <w:spacing w:after="60"/>
        <w:jc w:val="both"/>
        <w:rPr>
          <w:rFonts w:cstheme="minorHAnsi"/>
          <w:b/>
          <w:color w:val="2F5496" w:themeColor="accent1" w:themeShade="BF"/>
        </w:rPr>
      </w:pPr>
      <w:r w:rsidRPr="00732ADE">
        <w:rPr>
          <w:rFonts w:cstheme="minorHAnsi"/>
          <w:b/>
          <w:color w:val="2F5496" w:themeColor="accent1" w:themeShade="BF"/>
        </w:rPr>
        <w:t>Gdańsk Smart City</w:t>
      </w:r>
    </w:p>
    <w:p w14:paraId="1065A83E" w14:textId="10A6CDCB" w:rsidR="00E01488" w:rsidRPr="0035160C" w:rsidRDefault="00732ADE" w:rsidP="00732ADE">
      <w:pPr>
        <w:spacing w:after="60"/>
        <w:jc w:val="both"/>
        <w:rPr>
          <w:rFonts w:cstheme="minorHAnsi"/>
          <w:bCs/>
        </w:rPr>
      </w:pPr>
      <w:r>
        <w:rPr>
          <w:rFonts w:cstheme="minorHAnsi"/>
          <w:bCs/>
        </w:rPr>
        <w:t>To</w:t>
      </w:r>
      <w:r w:rsidR="00E01488" w:rsidRPr="0035160C">
        <w:rPr>
          <w:rFonts w:cstheme="minorHAnsi"/>
          <w:bCs/>
        </w:rPr>
        <w:t xml:space="preserve"> drugie miasto w Polsce, które otrzymało prestiżowy certyfikat ISO Smart City jako miasto przyjazne mieszkańcom i środowisku. Gdańsk chce z wykorzystaniem nowoczesnych technologii dalej poprawiać jakość życia mieszkańców. Miasto chce usprawnić dalej dialog z mieszkańcami, skuteczniej wspierać elektromobilność, poprawiać usługi publiczne oraz dbać o czystą produkcję energii. Wśród konkretnych przykładów działań można wspomnieć o energooszczędnym budynku z mieszkaniami komunalnymi przy ulicy Dolne Młyny. Warto dodać, że </w:t>
      </w:r>
      <w:r>
        <w:rPr>
          <w:rFonts w:cstheme="minorHAnsi"/>
          <w:bCs/>
        </w:rPr>
        <w:t xml:space="preserve">Gdańsk jest </w:t>
      </w:r>
      <w:r w:rsidR="00E01488" w:rsidRPr="0035160C">
        <w:rPr>
          <w:rFonts w:cstheme="minorHAnsi"/>
          <w:bCs/>
        </w:rPr>
        <w:t>członkiem projektu RUGGEDISED, w ramach którego sześć europejskich miast wspiera siebie we wdrażaniu nowych rozwiązaniach, głównie w celu redukcji zużycia energii. Wśród tych miast są: liderujące holenderski Rotterdem, szwedzka Umeå i szkockie Glasgow oraz partnerskie Gdańsk, włoska Parma i czeskie Brno.</w:t>
      </w:r>
    </w:p>
    <w:p w14:paraId="1AE0CF27" w14:textId="77777777" w:rsidR="00E01488" w:rsidRPr="00115C10" w:rsidRDefault="00E01488" w:rsidP="00E01488">
      <w:pPr>
        <w:spacing w:after="60"/>
        <w:jc w:val="both"/>
        <w:rPr>
          <w:rFonts w:cstheme="minorHAnsi"/>
          <w:b/>
          <w:color w:val="2F5496" w:themeColor="accent1" w:themeShade="BF"/>
        </w:rPr>
      </w:pPr>
      <w:r w:rsidRPr="00115C10">
        <w:rPr>
          <w:rFonts w:cstheme="minorHAnsi"/>
          <w:b/>
          <w:color w:val="2F5496" w:themeColor="accent1" w:themeShade="BF"/>
        </w:rPr>
        <w:t>Kielce Smart City</w:t>
      </w:r>
    </w:p>
    <w:p w14:paraId="3D77C444" w14:textId="6A31AFF9" w:rsidR="00E01488" w:rsidRPr="0035160C" w:rsidRDefault="00E01488" w:rsidP="00115C10">
      <w:pPr>
        <w:spacing w:after="60"/>
        <w:jc w:val="both"/>
        <w:rPr>
          <w:rFonts w:cstheme="minorHAnsi"/>
          <w:bCs/>
        </w:rPr>
      </w:pPr>
      <w:r w:rsidRPr="0035160C">
        <w:rPr>
          <w:rFonts w:cstheme="minorHAnsi"/>
          <w:bCs/>
        </w:rPr>
        <w:t>Kielce stawiają na zrównoważony rozwój w wielu obszarach. Jednym z flagowych pomysłów jest Platforma Smart City, która ma zapewnić dostęp do danych, ich przetwarzanie, analizę, wizualizację oraz udostępnianie w celu świadczenia e-usług publicznych. Władze dbają także o wspieranie przedsiębiorców, dokładne monitorowanie zużycia energii, nowoczesny monitoring miejski, mają plan gospodarki niskoemisyjnej oraz kontrolują i sprawdzają odbiór odpadów komunalnych. Nie sposób zapomnieć tu o zintegrowanym zarządzani</w:t>
      </w:r>
      <w:r w:rsidR="002E1E77">
        <w:rPr>
          <w:rFonts w:cstheme="minorHAnsi"/>
          <w:bCs/>
        </w:rPr>
        <w:t>u</w:t>
      </w:r>
      <w:r w:rsidRPr="0035160C">
        <w:rPr>
          <w:rFonts w:cstheme="minorHAnsi"/>
          <w:bCs/>
        </w:rPr>
        <w:t xml:space="preserve"> mieniem komunalnym.</w:t>
      </w:r>
    </w:p>
    <w:p w14:paraId="45551339" w14:textId="77777777" w:rsidR="00E01488" w:rsidRPr="00115C10" w:rsidRDefault="00E01488" w:rsidP="00E01488">
      <w:pPr>
        <w:spacing w:after="60"/>
        <w:jc w:val="both"/>
        <w:rPr>
          <w:rFonts w:cstheme="minorHAnsi"/>
          <w:b/>
          <w:color w:val="2F5496" w:themeColor="accent1" w:themeShade="BF"/>
        </w:rPr>
      </w:pPr>
      <w:r w:rsidRPr="00115C10">
        <w:rPr>
          <w:rFonts w:cstheme="minorHAnsi"/>
          <w:b/>
          <w:color w:val="2F5496" w:themeColor="accent1" w:themeShade="BF"/>
        </w:rPr>
        <w:lastRenderedPageBreak/>
        <w:t>Kraków Smart City</w:t>
      </w:r>
    </w:p>
    <w:p w14:paraId="6BCF5C07" w14:textId="10DF45F9" w:rsidR="00E01488" w:rsidRPr="0035160C" w:rsidRDefault="00E01488" w:rsidP="00115C10">
      <w:pPr>
        <w:spacing w:after="60"/>
        <w:jc w:val="both"/>
        <w:rPr>
          <w:rFonts w:cstheme="minorHAnsi"/>
          <w:bCs/>
        </w:rPr>
      </w:pPr>
      <w:r w:rsidRPr="0035160C">
        <w:rPr>
          <w:rFonts w:cstheme="minorHAnsi"/>
          <w:bCs/>
        </w:rPr>
        <w:t>W przypadku Krakowa najlepiej prezentuje się wykorzystanie ITS. W jego ramach używane są: System Nadzoru Ruchu Tramwajowego (TTSS), pozwalającemu na sprawniejsze zarządzanie trasami tramwajów na wypadek, np. ewentualnych awarii; tablice z bieżącymi informacjami. Zastosowano także Obszarowy System Sterowania Ruchem (UTCS). Inteligentne miasto Kraków skupia się również na usprawnianiu ruchu pieszych oraz samochodów i pozwala na zwiększenie przepustowości nawet o 25</w:t>
      </w:r>
      <w:r w:rsidR="00115C10">
        <w:rPr>
          <w:rFonts w:cstheme="minorHAnsi"/>
          <w:bCs/>
        </w:rPr>
        <w:t>%</w:t>
      </w:r>
      <w:r w:rsidRPr="0035160C">
        <w:rPr>
          <w:rFonts w:cstheme="minorHAnsi"/>
          <w:bCs/>
        </w:rPr>
        <w:t xml:space="preserve">. Ponadto stolica Małopolski postawiła na zmniejszenie zużycia energii. Tu kluczowym zabiegiem jest modernizacja miejskiego oświetlenia wraz z rozbudową ich monitoringu, dzięki czemu otrzymano Inteligentny System Sterowania Oświetleniem. </w:t>
      </w:r>
      <w:r w:rsidR="00115C10">
        <w:rPr>
          <w:rFonts w:cstheme="minorHAnsi"/>
          <w:bCs/>
        </w:rPr>
        <w:t>Miasto d</w:t>
      </w:r>
      <w:r w:rsidRPr="0035160C">
        <w:rPr>
          <w:rFonts w:cstheme="minorHAnsi"/>
          <w:bCs/>
        </w:rPr>
        <w:t>ba także o lepszą komunikację z mieszkańcami. Tu wykorzystywany jest Miejski System Informacji Przestrzennej, Obserwatorium, które dostarcza najważniejsze informacji o Krakowie i mieszkańcy mogą za jego pośrednictwem zgłaszać swoje uwagi odnośnie zieleni.</w:t>
      </w:r>
    </w:p>
    <w:p w14:paraId="645439E4" w14:textId="77777777" w:rsidR="00E01488" w:rsidRPr="00115C10" w:rsidRDefault="00E01488" w:rsidP="00E01488">
      <w:pPr>
        <w:spacing w:after="60"/>
        <w:jc w:val="both"/>
        <w:rPr>
          <w:rFonts w:cstheme="minorHAnsi"/>
          <w:b/>
          <w:color w:val="2F5496" w:themeColor="accent1" w:themeShade="BF"/>
        </w:rPr>
      </w:pPr>
      <w:r w:rsidRPr="00115C10">
        <w:rPr>
          <w:rFonts w:cstheme="minorHAnsi"/>
          <w:b/>
          <w:color w:val="2F5496" w:themeColor="accent1" w:themeShade="BF"/>
        </w:rPr>
        <w:t>Poznań Smart City</w:t>
      </w:r>
    </w:p>
    <w:p w14:paraId="723C38F4" w14:textId="608C0CFD" w:rsidR="00E01488" w:rsidRPr="0035160C" w:rsidRDefault="00E01488" w:rsidP="00E01488">
      <w:pPr>
        <w:spacing w:after="60"/>
        <w:jc w:val="both"/>
        <w:rPr>
          <w:rFonts w:cstheme="minorHAnsi"/>
          <w:bCs/>
        </w:rPr>
      </w:pPr>
      <w:r w:rsidRPr="0035160C">
        <w:rPr>
          <w:rFonts w:cstheme="minorHAnsi"/>
          <w:bCs/>
        </w:rPr>
        <w:t xml:space="preserve">Stolica Wielkopolski położyła nacisk na informatyzację, która daje wymierne korzyści mieszkańcom oraz </w:t>
      </w:r>
      <w:r w:rsidR="00115C10">
        <w:rPr>
          <w:rFonts w:cstheme="minorHAnsi"/>
          <w:bCs/>
        </w:rPr>
        <w:t>funkcjonowaniu administracji</w:t>
      </w:r>
      <w:r w:rsidRPr="0035160C">
        <w:rPr>
          <w:rFonts w:cstheme="minorHAnsi"/>
          <w:bCs/>
        </w:rPr>
        <w:t>. Smart City Poznań udostępnia platformę z otwartymi danymi, a</w:t>
      </w:r>
      <w:r w:rsidR="00115C10">
        <w:rPr>
          <w:rFonts w:cstheme="minorHAnsi"/>
          <w:bCs/>
        </w:rPr>
        <w:t> </w:t>
      </w:r>
      <w:r w:rsidRPr="0035160C">
        <w:rPr>
          <w:rFonts w:cstheme="minorHAnsi"/>
          <w:bCs/>
        </w:rPr>
        <w:t>zarządzanie przestrzenią miejską wspierane jest przez Zintegrowany System Informatycznego Wspomaga</w:t>
      </w:r>
      <w:r w:rsidR="002E1E77">
        <w:rPr>
          <w:rFonts w:cstheme="minorHAnsi"/>
          <w:bCs/>
        </w:rPr>
        <w:t>nia</w:t>
      </w:r>
      <w:r w:rsidRPr="0035160C">
        <w:rPr>
          <w:rFonts w:cstheme="minorHAnsi"/>
          <w:bCs/>
        </w:rPr>
        <w:t xml:space="preserve"> Zarządzania Miastem, w ramach którego są: BicPortal do zarządzania procesami, Webankieta, Moodle do e-learningu, MDOK dla obiegu spraw i dokumentów oraz MJUP do zarządzania ryzykiem operacyjnym i strategicznym. Naturalnie w tym wszystkim nie zapomina się o zmniejszaniu zużycia energii oraz skuteczniejszej gospodarce odpadami.</w:t>
      </w:r>
    </w:p>
    <w:p w14:paraId="0B61D571" w14:textId="77777777" w:rsidR="00E01488" w:rsidRPr="00115C10" w:rsidRDefault="00E01488" w:rsidP="00E01488">
      <w:pPr>
        <w:spacing w:after="60"/>
        <w:jc w:val="both"/>
        <w:rPr>
          <w:rFonts w:cstheme="minorHAnsi"/>
          <w:b/>
          <w:color w:val="2F5496" w:themeColor="accent1" w:themeShade="BF"/>
        </w:rPr>
      </w:pPr>
      <w:r w:rsidRPr="00115C10">
        <w:rPr>
          <w:rFonts w:cstheme="minorHAnsi"/>
          <w:b/>
          <w:color w:val="2F5496" w:themeColor="accent1" w:themeShade="BF"/>
        </w:rPr>
        <w:t>Rzeszów Smart City</w:t>
      </w:r>
    </w:p>
    <w:p w14:paraId="4345F9A3" w14:textId="78FE650B" w:rsidR="00E01488" w:rsidRPr="0035160C" w:rsidRDefault="00E01488" w:rsidP="00115C10">
      <w:pPr>
        <w:spacing w:after="60"/>
        <w:jc w:val="both"/>
        <w:rPr>
          <w:rFonts w:cstheme="minorHAnsi"/>
          <w:bCs/>
        </w:rPr>
      </w:pPr>
      <w:r w:rsidRPr="0035160C">
        <w:rPr>
          <w:rFonts w:cstheme="minorHAnsi"/>
          <w:bCs/>
        </w:rPr>
        <w:t xml:space="preserve">W Rzeszowie, podobnie jak w Gdyni, </w:t>
      </w:r>
      <w:r w:rsidR="00115C10">
        <w:rPr>
          <w:rFonts w:cstheme="minorHAnsi"/>
          <w:bCs/>
        </w:rPr>
        <w:t xml:space="preserve">funkcjonuje </w:t>
      </w:r>
      <w:r w:rsidRPr="0035160C">
        <w:rPr>
          <w:rFonts w:cstheme="minorHAnsi"/>
          <w:bCs/>
        </w:rPr>
        <w:t>także Urban Lab do testowania i wdrażania nowoczesnych technologii oraz metodyk działania. Smart City Rzeszów zadbało także o rozbudowę inteligentnej infrastruktury przystankowej, w ramach której na przystankach pojawiły się biletomaty i elektroniczne systemy pasażerskie. Zaimplementowano również inteligentny monitoring wizyjny. Miasto stawia także na łatwo dostępne e-usługi urzędowe oraz szybkie i sprawne informowanie mieszkańców o wszystkich miejskich sprawach.</w:t>
      </w:r>
    </w:p>
    <w:p w14:paraId="40D2634D" w14:textId="77777777" w:rsidR="00E01488" w:rsidRPr="00115C10" w:rsidRDefault="00E01488" w:rsidP="00E01488">
      <w:pPr>
        <w:spacing w:after="60"/>
        <w:jc w:val="both"/>
        <w:rPr>
          <w:rFonts w:cstheme="minorHAnsi"/>
          <w:b/>
          <w:color w:val="2F5496" w:themeColor="accent1" w:themeShade="BF"/>
        </w:rPr>
      </w:pPr>
      <w:r w:rsidRPr="00115C10">
        <w:rPr>
          <w:rFonts w:cstheme="minorHAnsi"/>
          <w:b/>
          <w:color w:val="2F5496" w:themeColor="accent1" w:themeShade="BF"/>
        </w:rPr>
        <w:t>Szczecin Smart City</w:t>
      </w:r>
    </w:p>
    <w:p w14:paraId="62386A8B" w14:textId="2F6E971E" w:rsidR="00E01488" w:rsidRPr="0035160C" w:rsidRDefault="00E01488" w:rsidP="00115C10">
      <w:pPr>
        <w:spacing w:after="60"/>
        <w:jc w:val="both"/>
        <w:rPr>
          <w:rFonts w:cstheme="minorHAnsi"/>
          <w:bCs/>
        </w:rPr>
      </w:pPr>
      <w:r w:rsidRPr="0035160C">
        <w:rPr>
          <w:rFonts w:cstheme="minorHAnsi"/>
          <w:bCs/>
        </w:rPr>
        <w:t xml:space="preserve">Inteligentne miasto Szczecin stara się wdrażać u siebie nowoczesne rozwiązania. Jednym z flagowych przykładów </w:t>
      </w:r>
      <w:r w:rsidR="002E1E77">
        <w:rPr>
          <w:rFonts w:cstheme="minorHAnsi"/>
          <w:bCs/>
        </w:rPr>
        <w:t>S</w:t>
      </w:r>
      <w:r w:rsidRPr="0035160C">
        <w:rPr>
          <w:rFonts w:cstheme="minorHAnsi"/>
          <w:bCs/>
        </w:rPr>
        <w:t xml:space="preserve">mart </w:t>
      </w:r>
      <w:r w:rsidR="002E1E77">
        <w:rPr>
          <w:rFonts w:cstheme="minorHAnsi"/>
          <w:bCs/>
        </w:rPr>
        <w:t>C</w:t>
      </w:r>
      <w:r w:rsidRPr="0035160C">
        <w:rPr>
          <w:rFonts w:cstheme="minorHAnsi"/>
          <w:bCs/>
        </w:rPr>
        <w:t>ity w Szczecinie jest system inteligentnego oświetlenia LED, który w skali roku przynosi oszczędności na poziomie ponad 1,5 miliona złotych i redukuję emisję dwutlenku węgla o 2,7 tysiąca ton. Testowano również szereg innowacyjnych technologii z kategorii Internet Rzeczy (IoT) do wykonywania dokładnych pomiarów, np. temperatury.</w:t>
      </w:r>
    </w:p>
    <w:p w14:paraId="56124739" w14:textId="77777777" w:rsidR="00E01488" w:rsidRPr="001B6B44" w:rsidRDefault="00E01488" w:rsidP="00E01488">
      <w:pPr>
        <w:spacing w:after="60"/>
        <w:jc w:val="both"/>
        <w:rPr>
          <w:rFonts w:cstheme="minorHAnsi"/>
          <w:b/>
          <w:color w:val="2F5496" w:themeColor="accent1" w:themeShade="BF"/>
        </w:rPr>
      </w:pPr>
      <w:r w:rsidRPr="001B6B44">
        <w:rPr>
          <w:rFonts w:cstheme="minorHAnsi"/>
          <w:b/>
          <w:color w:val="2F5496" w:themeColor="accent1" w:themeShade="BF"/>
        </w:rPr>
        <w:t>Warszawa Smart City</w:t>
      </w:r>
    </w:p>
    <w:p w14:paraId="16434C3F" w14:textId="0730A47C" w:rsidR="00E01488" w:rsidRPr="0035160C" w:rsidRDefault="00E01488" w:rsidP="001B6B44">
      <w:pPr>
        <w:spacing w:after="60"/>
        <w:jc w:val="both"/>
        <w:rPr>
          <w:rFonts w:cstheme="minorHAnsi"/>
          <w:bCs/>
        </w:rPr>
      </w:pPr>
      <w:r w:rsidRPr="0035160C">
        <w:rPr>
          <w:rFonts w:cstheme="minorHAnsi"/>
          <w:bCs/>
        </w:rPr>
        <w:t xml:space="preserve">Warszawa pozostaje jednym z najlepiej rozwiniętych Smart City w Polsce i niewątpliwie spory wpływ na to </w:t>
      </w:r>
      <w:r w:rsidR="002E1E77">
        <w:rPr>
          <w:rFonts w:cstheme="minorHAnsi"/>
          <w:bCs/>
        </w:rPr>
        <w:t xml:space="preserve">ma </w:t>
      </w:r>
      <w:r w:rsidR="001B6B44">
        <w:rPr>
          <w:rFonts w:cstheme="minorHAnsi"/>
          <w:bCs/>
        </w:rPr>
        <w:t xml:space="preserve">fakt, że jest </w:t>
      </w:r>
      <w:r w:rsidRPr="0035160C">
        <w:rPr>
          <w:rFonts w:cstheme="minorHAnsi"/>
          <w:bCs/>
        </w:rPr>
        <w:t>stolicą kraju. Wśród już dostępnych rozwiązań warto wspomnieć o sieci wynajmu rowerów Veturilo, Centrum Kreatywności Targowa, uruchomieniu Warszawskiego Indeksu Powietrza, powstaniu Inteligentnej Sieci Ciepłowniczej. Warszawa dba także o turystów, wspiera elektromobilność i zapewnia platformę z otwartym dostępem do danych.</w:t>
      </w:r>
    </w:p>
    <w:p w14:paraId="1B7BA9EC" w14:textId="77777777" w:rsidR="00E01488" w:rsidRPr="001B6B44" w:rsidRDefault="00E01488" w:rsidP="00E01488">
      <w:pPr>
        <w:spacing w:after="60"/>
        <w:jc w:val="both"/>
        <w:rPr>
          <w:rFonts w:cstheme="minorHAnsi"/>
          <w:b/>
          <w:color w:val="2F5496" w:themeColor="accent1" w:themeShade="BF"/>
        </w:rPr>
      </w:pPr>
      <w:r w:rsidRPr="001B6B44">
        <w:rPr>
          <w:rFonts w:cstheme="minorHAnsi"/>
          <w:b/>
          <w:color w:val="2F5496" w:themeColor="accent1" w:themeShade="BF"/>
        </w:rPr>
        <w:t>Wrocław Smart City</w:t>
      </w:r>
    </w:p>
    <w:p w14:paraId="723286FE" w14:textId="0DE74194" w:rsidR="00E01488" w:rsidRPr="0035160C" w:rsidRDefault="00E01488" w:rsidP="001B6B44">
      <w:pPr>
        <w:spacing w:after="60"/>
        <w:jc w:val="both"/>
        <w:rPr>
          <w:rFonts w:cstheme="minorHAnsi"/>
          <w:bCs/>
        </w:rPr>
      </w:pPr>
      <w:r w:rsidRPr="0035160C">
        <w:rPr>
          <w:rFonts w:cstheme="minorHAnsi"/>
          <w:bCs/>
        </w:rPr>
        <w:t xml:space="preserve">Stolica </w:t>
      </w:r>
      <w:r w:rsidR="002E1E77">
        <w:rPr>
          <w:rFonts w:cstheme="minorHAnsi"/>
          <w:bCs/>
        </w:rPr>
        <w:t>w</w:t>
      </w:r>
      <w:r w:rsidRPr="0035160C">
        <w:rPr>
          <w:rFonts w:cstheme="minorHAnsi"/>
          <w:bCs/>
        </w:rPr>
        <w:t xml:space="preserve">ojewództwa </w:t>
      </w:r>
      <w:r w:rsidR="002E1E77">
        <w:rPr>
          <w:rFonts w:cstheme="minorHAnsi"/>
          <w:bCs/>
        </w:rPr>
        <w:t>d</w:t>
      </w:r>
      <w:r w:rsidRPr="0035160C">
        <w:rPr>
          <w:rFonts w:cstheme="minorHAnsi"/>
          <w:bCs/>
        </w:rPr>
        <w:t>olnośląskiego stawia na różnorodne inicjatywy. Warto napisać o przynoszącym spore oszczędności dla Wrocławia systemie inteligentnego oświetlenia, narzędziu SmartFlow do zarządzania siecią wodociągów, programie Explain Everything dla wrocławskich szkół, Wirtualnym Doradcy Mieszkańca, Giełdzie Nieruchomości, Wrocławskim Systemie Ładowania Pojazdów Elektrycznych czy pilotażowym programie Inteligentne Parkowanie.</w:t>
      </w:r>
    </w:p>
    <w:p w14:paraId="1771AA53" w14:textId="77777777" w:rsidR="00E01488" w:rsidRPr="0035160C" w:rsidRDefault="00E01488" w:rsidP="00E01488">
      <w:pPr>
        <w:spacing w:after="60"/>
        <w:jc w:val="both"/>
        <w:rPr>
          <w:rFonts w:cstheme="minorHAnsi"/>
          <w:b/>
          <w:bCs/>
        </w:rPr>
      </w:pPr>
    </w:p>
    <w:p w14:paraId="7E9FE2ED" w14:textId="77777777" w:rsidR="00E01488" w:rsidRPr="001B6B44" w:rsidRDefault="00E01488" w:rsidP="00E01488">
      <w:pPr>
        <w:spacing w:after="60"/>
        <w:ind w:left="426" w:hanging="426"/>
        <w:jc w:val="both"/>
        <w:rPr>
          <w:rFonts w:cstheme="minorHAnsi"/>
          <w:b/>
          <w:color w:val="2F5496" w:themeColor="accent1" w:themeShade="BF"/>
          <w:u w:val="single"/>
        </w:rPr>
      </w:pPr>
      <w:r w:rsidRPr="001B6B44">
        <w:rPr>
          <w:rFonts w:cstheme="minorHAnsi"/>
          <w:b/>
          <w:color w:val="2F5496" w:themeColor="accent1" w:themeShade="BF"/>
          <w:u w:val="single"/>
        </w:rPr>
        <w:t>Koncepcja miasta z „gospodarką o obiegu zamkniętym” (circular economy)</w:t>
      </w:r>
    </w:p>
    <w:p w14:paraId="441FD15F" w14:textId="23F35130" w:rsidR="00E01488" w:rsidRPr="0035160C" w:rsidRDefault="00E01488" w:rsidP="001B6B44">
      <w:pPr>
        <w:spacing w:after="60"/>
        <w:jc w:val="both"/>
        <w:rPr>
          <w:rFonts w:cstheme="minorHAnsi"/>
          <w:bCs/>
        </w:rPr>
      </w:pPr>
      <w:r w:rsidRPr="0035160C">
        <w:rPr>
          <w:rFonts w:cstheme="minorHAnsi"/>
          <w:bCs/>
        </w:rPr>
        <w:t xml:space="preserve">Gospodarka o obiegu zamkniętym jest koncepcją gospodarczą, w której produkty, materiały oraz surowce powinny pozostawać w gospodarce tak długo, jak jest to możliwe, a wytwarzanie odpadów powinno być jak najbardziej zminimalizowane. Idea ta uwzględnia wszystkie etapy cyklu życia produktu, zaczynając od jego projektowania, poprzez produkcję, konsumpcję, zbieranie odpadów, aż do ich zagospodarowania. </w:t>
      </w:r>
      <w:r w:rsidR="001B6B44">
        <w:rPr>
          <w:rFonts w:cstheme="minorHAnsi"/>
          <w:bCs/>
        </w:rPr>
        <w:t>W takim przypadku mówi się o</w:t>
      </w:r>
      <w:r w:rsidRPr="0035160C">
        <w:rPr>
          <w:rFonts w:cstheme="minorHAnsi"/>
          <w:bCs/>
        </w:rPr>
        <w:t xml:space="preserve"> odejściu od gospodarki linearnej, opierającej się na zasadzie „weź – wyprodukuj – zużyj – wyrzuć”, w której odpady często traktowane są jako ostatni etap cyklu życia. W gospodarce o obiegu zamkniętym istotne jest to, żeby odpady – jeżeli już powstaną – były traktowane jako surowce wtórne. Temu mają służyć wszystkie działania poprzedzające powstanie odpadów. Jednocześnie, podejście gospodarki o obiegu zamkniętym, realizowane np. w odniesieniu do projektowania produktów czy do procesów produkcyjnych ma na celu zwiększenie innowacyjności europejskich przedsiębiorców oraz podniesienie ich konkurencyjności w stosunku do podmiotów z innych części świata.</w:t>
      </w:r>
    </w:p>
    <w:p w14:paraId="60D118A3" w14:textId="7BCB9012" w:rsidR="00E01488" w:rsidRPr="00BE7D52" w:rsidRDefault="00E01488" w:rsidP="00E01488">
      <w:pPr>
        <w:spacing w:after="60"/>
        <w:jc w:val="both"/>
        <w:rPr>
          <w:rFonts w:cstheme="minorHAnsi"/>
          <w:bCs/>
        </w:rPr>
      </w:pPr>
      <w:r w:rsidRPr="0035160C">
        <w:rPr>
          <w:rFonts w:cstheme="minorHAnsi"/>
          <w:bCs/>
        </w:rPr>
        <w:t>W kontekście gospodarki o obiegu zamkniętym jednym z najważniejszych pojęć jest ślad środowiskowy czyli wszystkie lub wybrane oddziaływania produktu, usługi lub organizacji na środowisko. Jednym z najbardziej zaawansowanych sposobów obliczenia śladu środowiskowego jest zastosowanie metodyki LCA (oceny cyklu życia, life cycle assessment). Zgodnie z normą ISO 14040, cykl życia definiowany jest jako „kolejne i powiązane ze sobą etapy wyrobu, od pozyskania lub wytworzenia surowca z zasobów naturalnych do jego ostatecznej likwidacji”.</w:t>
      </w:r>
    </w:p>
    <w:p w14:paraId="4AFEEE25" w14:textId="38C03178" w:rsidR="00E01488" w:rsidRPr="00BE7D52" w:rsidRDefault="00FF2D7D" w:rsidP="00BE7D52">
      <w:pPr>
        <w:pStyle w:val="Nagwek3"/>
        <w:numPr>
          <w:ilvl w:val="0"/>
          <w:numId w:val="0"/>
        </w:numPr>
        <w:rPr>
          <w:b/>
          <w:sz w:val="22"/>
          <w:szCs w:val="22"/>
          <w:lang w:eastAsia="pl-PL"/>
        </w:rPr>
      </w:pPr>
      <w:bookmarkStart w:id="76" w:name="_Toc78205899"/>
      <w:r w:rsidRPr="0035160C">
        <w:rPr>
          <w:b/>
          <w:sz w:val="22"/>
          <w:szCs w:val="22"/>
          <w:lang w:eastAsia="pl-PL"/>
        </w:rPr>
        <w:t>9</w:t>
      </w:r>
      <w:r w:rsidR="00F03C94" w:rsidRPr="0035160C">
        <w:rPr>
          <w:b/>
          <w:sz w:val="22"/>
          <w:szCs w:val="22"/>
          <w:lang w:eastAsia="pl-PL"/>
        </w:rPr>
        <w:t>.3</w:t>
      </w:r>
      <w:r w:rsidR="00E4561B" w:rsidRPr="0035160C">
        <w:rPr>
          <w:b/>
          <w:sz w:val="22"/>
          <w:szCs w:val="22"/>
          <w:lang w:eastAsia="pl-PL"/>
        </w:rPr>
        <w:t xml:space="preserve">.4 </w:t>
      </w:r>
      <w:r w:rsidR="00E01488" w:rsidRPr="0035160C">
        <w:rPr>
          <w:b/>
          <w:sz w:val="22"/>
          <w:szCs w:val="22"/>
          <w:lang w:eastAsia="pl-PL"/>
        </w:rPr>
        <w:t>Sektory działalności najbardziej odpowiedzialne za nieodpowiednią jakość powietrza na obszarach zurbanizowanych</w:t>
      </w:r>
      <w:bookmarkEnd w:id="76"/>
    </w:p>
    <w:p w14:paraId="3102E732" w14:textId="77777777" w:rsidR="00E01488" w:rsidRPr="00BE7D52" w:rsidRDefault="00E01488" w:rsidP="00E01488">
      <w:pPr>
        <w:tabs>
          <w:tab w:val="left" w:pos="0"/>
        </w:tabs>
        <w:spacing w:after="60"/>
        <w:jc w:val="both"/>
        <w:rPr>
          <w:rFonts w:cstheme="minorHAnsi"/>
          <w:b/>
          <w:bCs/>
          <w:color w:val="2F5496" w:themeColor="accent1" w:themeShade="BF"/>
        </w:rPr>
      </w:pPr>
      <w:r w:rsidRPr="00BE7D52">
        <w:rPr>
          <w:rFonts w:eastAsia="Calibri" w:cstheme="minorHAnsi"/>
          <w:b/>
          <w:bCs/>
          <w:color w:val="2F5496" w:themeColor="accent1" w:themeShade="BF"/>
        </w:rPr>
        <w:t>Sektor transportu miejskiego</w:t>
      </w:r>
      <w:r w:rsidRPr="00BE7D52">
        <w:rPr>
          <w:rFonts w:cstheme="minorHAnsi"/>
          <w:b/>
          <w:bCs/>
          <w:color w:val="2F5496" w:themeColor="accent1" w:themeShade="BF"/>
        </w:rPr>
        <w:t xml:space="preserve"> </w:t>
      </w:r>
    </w:p>
    <w:p w14:paraId="6D6AA505" w14:textId="3086E388" w:rsidR="00E01488" w:rsidRPr="0035160C" w:rsidRDefault="00E01488" w:rsidP="00E01488">
      <w:pPr>
        <w:tabs>
          <w:tab w:val="left" w:pos="0"/>
        </w:tabs>
        <w:spacing w:after="60"/>
        <w:jc w:val="both"/>
        <w:rPr>
          <w:rFonts w:eastAsia="Calibri" w:cstheme="minorHAnsi"/>
        </w:rPr>
      </w:pPr>
      <w:r w:rsidRPr="0035160C">
        <w:rPr>
          <w:rFonts w:eastAsia="Calibri" w:cstheme="minorHAnsi"/>
        </w:rPr>
        <w:t xml:space="preserve">Całość działań podejmowanych przez samorządy lokalne w zakresie poprawy funkcjonowania transportu – w szczególności komunikacji miejskiej, zmiany zachowań komunikacyjnych i wykorzystywania innych środków transportu niż indywidualny transport samochodowy, należy kwalifikować jako przyczyniające się do poprawy efektywności energetycznej i zmniejszania wielkości emisji zanieczyszczeń. Szerzej zagadnienia te omówione są w dokumencie </w:t>
      </w:r>
      <w:r w:rsidR="002E1E77">
        <w:rPr>
          <w:rFonts w:eastAsia="Calibri" w:cstheme="minorHAnsi"/>
        </w:rPr>
        <w:t>KPM</w:t>
      </w:r>
      <w:r w:rsidRPr="0035160C">
        <w:rPr>
          <w:rFonts w:eastAsia="Calibri" w:cstheme="minorHAnsi"/>
        </w:rPr>
        <w:t xml:space="preserve"> </w:t>
      </w:r>
      <w:r w:rsidR="009051A5">
        <w:rPr>
          <w:rFonts w:eastAsia="Calibri" w:cstheme="minorHAnsi"/>
        </w:rPr>
        <w:t xml:space="preserve">(Rozdział 4.3 </w:t>
      </w:r>
      <w:r w:rsidRPr="0035160C">
        <w:rPr>
          <w:rFonts w:eastAsia="Calibri" w:cstheme="minorHAnsi"/>
        </w:rPr>
        <w:t>Transport i mobilność miejska</w:t>
      </w:r>
      <w:r w:rsidR="009051A5">
        <w:rPr>
          <w:rFonts w:eastAsia="Calibri" w:cstheme="minorHAnsi"/>
        </w:rPr>
        <w:t>)</w:t>
      </w:r>
      <w:r w:rsidRPr="0035160C">
        <w:rPr>
          <w:rFonts w:eastAsia="Calibri" w:cstheme="minorHAnsi"/>
        </w:rPr>
        <w:t>.</w:t>
      </w:r>
    </w:p>
    <w:p w14:paraId="2F49943F" w14:textId="71898B22" w:rsidR="00E01488" w:rsidRPr="0035160C" w:rsidRDefault="00BE7D52" w:rsidP="00E01488">
      <w:pPr>
        <w:tabs>
          <w:tab w:val="left" w:pos="567"/>
        </w:tabs>
        <w:spacing w:after="60"/>
        <w:jc w:val="both"/>
        <w:rPr>
          <w:rFonts w:eastAsia="Calibri" w:cstheme="minorHAnsi"/>
        </w:rPr>
      </w:pPr>
      <w:r>
        <w:rPr>
          <w:rFonts w:eastAsia="Calibri" w:cstheme="minorHAnsi"/>
        </w:rPr>
        <w:t>W</w:t>
      </w:r>
      <w:r w:rsidR="00E01488" w:rsidRPr="0035160C">
        <w:rPr>
          <w:rFonts w:eastAsia="Calibri" w:cstheme="minorHAnsi"/>
        </w:rPr>
        <w:t xml:space="preserve">skazać jedynie należy, że oprócz bezpośredniego podnoszenia atrakcyjności transportu publicznego, powinno się mieć na uwadze rozwiązania ułatwiające i promujące ruch rowerowy, czy pieszy. Niemniej ważne jest ustanowienie możliwości wyznaczania „stref niskiej emisji”, tj. stref, do których możliwy jest wjazd jedynie dla pojazdów spełniających określone normy emisji spalin. Uniknięcie emisji zanieczyszczeń powietrza poprzez dofinansowanie przedsięwzięć polegających na obniżeniu wykorzystania paliw emisyjnych w transporcie jest celem </w:t>
      </w:r>
      <w:r w:rsidR="002E1E77">
        <w:rPr>
          <w:rFonts w:eastAsia="Calibri" w:cstheme="minorHAnsi"/>
        </w:rPr>
        <w:t>P</w:t>
      </w:r>
      <w:r w:rsidR="00E01488" w:rsidRPr="0035160C">
        <w:rPr>
          <w:rFonts w:eastAsia="Calibri" w:cstheme="minorHAnsi"/>
        </w:rPr>
        <w:t>rogramu Priorytetowego NFOŚiGW pod nazwą „Zielony Transport Publiczny”</w:t>
      </w:r>
      <w:r w:rsidR="002E1E77">
        <w:rPr>
          <w:rFonts w:eastAsia="Calibri" w:cstheme="minorHAnsi"/>
        </w:rPr>
        <w:t>.</w:t>
      </w:r>
    </w:p>
    <w:p w14:paraId="208044A8" w14:textId="77777777" w:rsidR="00E01488" w:rsidRPr="00BE7D52" w:rsidRDefault="00E01488" w:rsidP="00E01488">
      <w:pPr>
        <w:tabs>
          <w:tab w:val="left" w:pos="567"/>
        </w:tabs>
        <w:spacing w:after="60"/>
        <w:jc w:val="both"/>
        <w:rPr>
          <w:rFonts w:eastAsia="Calibri" w:cstheme="minorHAnsi"/>
          <w:b/>
          <w:bCs/>
          <w:color w:val="2F5496" w:themeColor="accent1" w:themeShade="BF"/>
        </w:rPr>
      </w:pPr>
      <w:r w:rsidRPr="00BE7D52">
        <w:rPr>
          <w:rFonts w:eastAsia="Calibri" w:cstheme="minorHAnsi"/>
          <w:b/>
          <w:bCs/>
          <w:color w:val="2F5496" w:themeColor="accent1" w:themeShade="BF"/>
        </w:rPr>
        <w:t xml:space="preserve">Sektor mieszkalnictwa </w:t>
      </w:r>
    </w:p>
    <w:p w14:paraId="4636FDEE" w14:textId="7A1B3276" w:rsidR="00E01488" w:rsidRPr="0035160C" w:rsidRDefault="00E01488" w:rsidP="00EC490C">
      <w:pPr>
        <w:tabs>
          <w:tab w:val="left" w:pos="567"/>
        </w:tabs>
        <w:spacing w:after="60"/>
        <w:jc w:val="both"/>
        <w:rPr>
          <w:rFonts w:eastAsia="Calibri" w:cstheme="minorHAnsi"/>
        </w:rPr>
      </w:pPr>
      <w:r w:rsidRPr="0035160C">
        <w:rPr>
          <w:rFonts w:eastAsia="Calibri" w:cstheme="minorHAnsi"/>
        </w:rPr>
        <w:t>Sektor mieszkalnictwa jest jednym z kluczowych sektorów gospodarki i odgrywa istotną rolę jako jeden z bardziej istotnych stymulator</w:t>
      </w:r>
      <w:r w:rsidR="00862E8E">
        <w:rPr>
          <w:rFonts w:eastAsia="Calibri" w:cstheme="minorHAnsi"/>
        </w:rPr>
        <w:t>ów</w:t>
      </w:r>
      <w:r w:rsidRPr="0035160C">
        <w:rPr>
          <w:rFonts w:eastAsia="Calibri" w:cstheme="minorHAnsi"/>
        </w:rPr>
        <w:t xml:space="preserve"> rozwoju gospodarczego</w:t>
      </w:r>
      <w:r w:rsidR="00E16790">
        <w:rPr>
          <w:rFonts w:eastAsia="Calibri" w:cstheme="minorHAnsi"/>
        </w:rPr>
        <w:t>. N</w:t>
      </w:r>
      <w:r w:rsidRPr="0035160C">
        <w:rPr>
          <w:rFonts w:eastAsia="Calibri" w:cstheme="minorHAnsi"/>
        </w:rPr>
        <w:t>adrzędnym celem polityki społeczno-gospodarczej jest zapewnienie wzrost</w:t>
      </w:r>
      <w:r w:rsidR="00BE7D52">
        <w:rPr>
          <w:rFonts w:eastAsia="Calibri" w:cstheme="minorHAnsi"/>
        </w:rPr>
        <w:t>u</w:t>
      </w:r>
      <w:r w:rsidRPr="0035160C">
        <w:rPr>
          <w:rFonts w:eastAsia="Calibri" w:cstheme="minorHAnsi"/>
        </w:rPr>
        <w:t xml:space="preserve"> dobrobytu polskich rodzin, umocnienie</w:t>
      </w:r>
      <w:r w:rsidR="00BE7D52">
        <w:rPr>
          <w:rFonts w:eastAsia="Calibri" w:cstheme="minorHAnsi"/>
        </w:rPr>
        <w:t xml:space="preserve"> </w:t>
      </w:r>
      <w:r w:rsidRPr="0035160C">
        <w:rPr>
          <w:rFonts w:eastAsia="Calibri" w:cstheme="minorHAnsi"/>
        </w:rPr>
        <w:t>ich samodzielności materialnej oraz poczucia bezpieczeństwa.</w:t>
      </w:r>
    </w:p>
    <w:p w14:paraId="46B86954" w14:textId="001B87E3" w:rsidR="00E01488" w:rsidRPr="0035160C" w:rsidRDefault="00E01488" w:rsidP="00E01488">
      <w:pPr>
        <w:tabs>
          <w:tab w:val="left" w:pos="567"/>
        </w:tabs>
        <w:spacing w:after="60"/>
        <w:jc w:val="both"/>
        <w:rPr>
          <w:rFonts w:eastAsia="Calibri" w:cstheme="minorHAnsi"/>
        </w:rPr>
      </w:pPr>
      <w:r w:rsidRPr="0035160C">
        <w:rPr>
          <w:rFonts w:eastAsia="Calibri" w:cstheme="minorHAnsi"/>
        </w:rPr>
        <w:t xml:space="preserve">Polepszenie warunków mieszkaniowych Polaków stanowi jeden z najważniejszych aspektów rozwoju społeczno-ekonomicznego naszego kraju. Dążenie do zapewnienia każdemu gospodarstwu domowemu samodzielnego mieszkania, stanowi fundament prawidłowego rozwoju demograficznego. </w:t>
      </w:r>
    </w:p>
    <w:p w14:paraId="2BAD9B80" w14:textId="44033E41" w:rsidR="00E01488" w:rsidRPr="0035160C" w:rsidRDefault="00E01488" w:rsidP="00E01488">
      <w:pPr>
        <w:tabs>
          <w:tab w:val="left" w:pos="567"/>
        </w:tabs>
        <w:spacing w:after="60"/>
        <w:jc w:val="both"/>
        <w:rPr>
          <w:rFonts w:eastAsia="Calibri" w:cstheme="minorHAnsi"/>
        </w:rPr>
      </w:pPr>
      <w:r w:rsidRPr="0035160C">
        <w:rPr>
          <w:rFonts w:eastAsia="Calibri" w:cstheme="minorHAnsi"/>
        </w:rPr>
        <w:lastRenderedPageBreak/>
        <w:t>Natomiast niski poziom mieszkalnictwa niesie za sobą szereg negatywnych konsekwencji społecznych i gospodarczych. Działania mające</w:t>
      </w:r>
      <w:r w:rsidR="00BE7D52">
        <w:rPr>
          <w:rFonts w:eastAsia="Calibri" w:cstheme="minorHAnsi"/>
        </w:rPr>
        <w:t xml:space="preserve"> n</w:t>
      </w:r>
      <w:r w:rsidRPr="0035160C">
        <w:rPr>
          <w:rFonts w:eastAsia="Calibri" w:cstheme="minorHAnsi"/>
        </w:rPr>
        <w:t>a celu poprawienie tej sytuacji powinny odnosić się przede wszystkim do wzrostu ilości budowanych nowych mieszkań ora</w:t>
      </w:r>
      <w:r w:rsidR="00BE7D52">
        <w:rPr>
          <w:rFonts w:eastAsia="Calibri" w:cstheme="minorHAnsi"/>
        </w:rPr>
        <w:t>z</w:t>
      </w:r>
      <w:r w:rsidRPr="0035160C">
        <w:rPr>
          <w:rFonts w:eastAsia="Calibri" w:cstheme="minorHAnsi"/>
        </w:rPr>
        <w:t xml:space="preserve"> do poprawy warunków  mieszkaniowych.  </w:t>
      </w:r>
    </w:p>
    <w:p w14:paraId="4AF2B315" w14:textId="4B782446" w:rsidR="00BE7D52" w:rsidRDefault="00E01488" w:rsidP="00E01488">
      <w:pPr>
        <w:tabs>
          <w:tab w:val="left" w:pos="567"/>
        </w:tabs>
        <w:spacing w:after="60"/>
        <w:jc w:val="both"/>
        <w:rPr>
          <w:rFonts w:eastAsia="Calibri" w:cstheme="minorHAnsi"/>
        </w:rPr>
      </w:pPr>
      <w:r w:rsidRPr="0035160C">
        <w:rPr>
          <w:rFonts w:eastAsia="Calibri" w:cstheme="minorHAnsi"/>
        </w:rPr>
        <w:t xml:space="preserve">Sektor mieszkalnictwa jest również jednym z odpowiedzialnych za nieodpowiednią </w:t>
      </w:r>
      <w:r w:rsidR="004E5926" w:rsidRPr="0035160C">
        <w:rPr>
          <w:rFonts w:eastAsia="Calibri" w:cstheme="minorHAnsi"/>
        </w:rPr>
        <w:t>jakoś</w:t>
      </w:r>
      <w:r w:rsidR="004E5926">
        <w:rPr>
          <w:rFonts w:eastAsia="Calibri" w:cstheme="minorHAnsi"/>
        </w:rPr>
        <w:t>ć</w:t>
      </w:r>
      <w:r w:rsidR="004E5926" w:rsidRPr="0035160C">
        <w:rPr>
          <w:rFonts w:eastAsia="Calibri" w:cstheme="minorHAnsi"/>
        </w:rPr>
        <w:t xml:space="preserve"> </w:t>
      </w:r>
      <w:r w:rsidRPr="0035160C">
        <w:rPr>
          <w:rFonts w:eastAsia="Calibri" w:cstheme="minorHAnsi"/>
        </w:rPr>
        <w:t>powietrza, zwłaszcza w ośrodkach miejskich</w:t>
      </w:r>
      <w:r w:rsidR="00BE7D52">
        <w:rPr>
          <w:rFonts w:eastAsia="Calibri" w:cstheme="minorHAnsi"/>
        </w:rPr>
        <w:t>. W</w:t>
      </w:r>
      <w:r w:rsidRPr="0035160C">
        <w:rPr>
          <w:rFonts w:eastAsia="Calibri" w:cstheme="minorHAnsi"/>
        </w:rPr>
        <w:t xml:space="preserve"> związku z tym poza zwiększeniem ilości budowanych mieszkań oraz poprawą warunków mieszkaniowych konieczne jest także podejmowanie działań mających na celu zmniejszenie oddziaływania tego sektora na otoczenie, środowisko naturalne i zdrowie człowieka.</w:t>
      </w:r>
    </w:p>
    <w:p w14:paraId="39B2EF01" w14:textId="65902CDB" w:rsidR="00E01488" w:rsidRPr="00263293" w:rsidRDefault="00BE7D52" w:rsidP="00263293">
      <w:pPr>
        <w:tabs>
          <w:tab w:val="left" w:pos="567"/>
        </w:tabs>
        <w:spacing w:after="60"/>
        <w:jc w:val="both"/>
        <w:rPr>
          <w:rFonts w:eastAsia="Calibri" w:cstheme="minorHAnsi"/>
        </w:rPr>
      </w:pPr>
      <w:r>
        <w:rPr>
          <w:rFonts w:eastAsia="Calibri" w:cstheme="minorHAnsi"/>
        </w:rPr>
        <w:t>Dlatego też</w:t>
      </w:r>
      <w:r w:rsidR="00E01488" w:rsidRPr="0035160C">
        <w:rPr>
          <w:rFonts w:eastAsia="Calibri" w:cstheme="minorHAnsi"/>
        </w:rPr>
        <w:t xml:space="preserve"> podejmowanych jest szereg działań mających na celu poprawę stanu technicznego budynków mieszkalnych poprzez ich lepsze zaizolowanie, docieplenie, wymianę stolarki okiennej i drzwiowej, poprawę stanu lub wymianę instalacji grzewczych, w szczególności kotłów na spełniające obowiązujące standardy emisyjne - poprawę efektywności energetycznej. </w:t>
      </w:r>
    </w:p>
    <w:p w14:paraId="2087D740" w14:textId="26441FB2" w:rsidR="00E01488" w:rsidRPr="0035160C" w:rsidRDefault="00FF2D7D" w:rsidP="00FF2D7D">
      <w:pPr>
        <w:pStyle w:val="Nagwek3"/>
        <w:numPr>
          <w:ilvl w:val="0"/>
          <w:numId w:val="0"/>
        </w:numPr>
        <w:rPr>
          <w:b/>
          <w:sz w:val="22"/>
          <w:szCs w:val="22"/>
        </w:rPr>
      </w:pPr>
      <w:bookmarkStart w:id="77" w:name="_Toc78205900"/>
      <w:r w:rsidRPr="0035160C">
        <w:rPr>
          <w:b/>
          <w:sz w:val="22"/>
          <w:szCs w:val="22"/>
        </w:rPr>
        <w:t>9</w:t>
      </w:r>
      <w:r w:rsidR="00F03C94" w:rsidRPr="0035160C">
        <w:rPr>
          <w:b/>
          <w:sz w:val="22"/>
          <w:szCs w:val="22"/>
        </w:rPr>
        <w:t>.3.5</w:t>
      </w:r>
      <w:r w:rsidR="006D080B" w:rsidRPr="0035160C">
        <w:rPr>
          <w:b/>
          <w:sz w:val="22"/>
          <w:szCs w:val="22"/>
        </w:rPr>
        <w:t xml:space="preserve"> </w:t>
      </w:r>
      <w:r w:rsidR="00E01488" w:rsidRPr="0035160C">
        <w:rPr>
          <w:b/>
          <w:sz w:val="22"/>
          <w:szCs w:val="22"/>
        </w:rPr>
        <w:t>Działania, pakiety i inicjatywy podejmowane w celu rozwoju infrastruktury i poprawy warunków życia, stanu środowiska, w tym jakości powietrza na obszarach zurbanizowanych</w:t>
      </w:r>
      <w:bookmarkEnd w:id="77"/>
    </w:p>
    <w:p w14:paraId="4BC9E691" w14:textId="269AF238" w:rsidR="00E01488" w:rsidRPr="0095477C" w:rsidRDefault="00E01488" w:rsidP="0095477C">
      <w:pPr>
        <w:tabs>
          <w:tab w:val="left" w:pos="567"/>
        </w:tabs>
        <w:spacing w:after="120" w:line="276" w:lineRule="auto"/>
        <w:contextualSpacing/>
        <w:jc w:val="both"/>
        <w:rPr>
          <w:rFonts w:eastAsia="Times New Roman" w:cstheme="minorHAnsi"/>
          <w:b/>
          <w:color w:val="2F5496" w:themeColor="accent1" w:themeShade="BF"/>
          <w:lang w:eastAsia="pl-PL"/>
        </w:rPr>
      </w:pPr>
      <w:r w:rsidRPr="0095477C">
        <w:rPr>
          <w:rFonts w:eastAsia="Times New Roman" w:cstheme="minorHAnsi"/>
          <w:b/>
          <w:color w:val="2F5496" w:themeColor="accent1" w:themeShade="BF"/>
          <w:lang w:eastAsia="pl-PL"/>
        </w:rPr>
        <w:t>Pakiety i inicjatywy na rzecz rozwoju miast</w:t>
      </w:r>
    </w:p>
    <w:p w14:paraId="1B9F1615" w14:textId="77777777" w:rsidR="00E01488" w:rsidRPr="0095477C" w:rsidRDefault="00E01488" w:rsidP="0095477C">
      <w:pPr>
        <w:tabs>
          <w:tab w:val="left" w:pos="567"/>
        </w:tabs>
        <w:spacing w:before="120" w:after="120" w:line="276" w:lineRule="auto"/>
        <w:contextualSpacing/>
        <w:jc w:val="both"/>
        <w:rPr>
          <w:rFonts w:eastAsia="Times New Roman" w:cstheme="minorHAnsi"/>
          <w:color w:val="2F5496" w:themeColor="accent1" w:themeShade="BF"/>
          <w:u w:val="single"/>
          <w:lang w:eastAsia="pl-PL"/>
        </w:rPr>
      </w:pPr>
      <w:r w:rsidRPr="0095477C">
        <w:rPr>
          <w:rFonts w:eastAsia="Times New Roman" w:cstheme="minorHAnsi"/>
          <w:color w:val="2F5496" w:themeColor="accent1" w:themeShade="BF"/>
          <w:u w:val="single"/>
          <w:lang w:eastAsia="pl-PL"/>
        </w:rPr>
        <w:t>Pakiet działań na rzecz wsparcia samorządów w programowaniu i realizacji rewitalizacji</w:t>
      </w:r>
    </w:p>
    <w:p w14:paraId="710102F3" w14:textId="5B145C82" w:rsidR="00E01488" w:rsidRPr="0035160C" w:rsidRDefault="00E01488" w:rsidP="0095477C">
      <w:pPr>
        <w:tabs>
          <w:tab w:val="left" w:pos="567"/>
        </w:tabs>
        <w:spacing w:before="120" w:after="60" w:line="276" w:lineRule="auto"/>
        <w:jc w:val="both"/>
        <w:rPr>
          <w:rFonts w:eastAsia="Times New Roman" w:cstheme="minorHAnsi"/>
          <w:lang w:eastAsia="pl-PL"/>
        </w:rPr>
      </w:pPr>
      <w:r w:rsidRPr="0035160C">
        <w:rPr>
          <w:rFonts w:eastAsia="Times New Roman" w:cstheme="minorHAnsi"/>
          <w:lang w:eastAsia="pl-PL"/>
        </w:rPr>
        <w:t xml:space="preserve">Celem Pakietu jest upowszechnianie rewitalizacji jako ważnego elementu rozwoju miast, wzmocnienie trwałości i kompleksowość przebiegu procesu rewitalizacji, a także wykorzystanie właściwych instrumentów oraz mechanizmów finansowania w celu usprawnienia prawno-instytucjonalnego przebiegu przedsięwzięć rewitalizacyjnych. </w:t>
      </w:r>
    </w:p>
    <w:p w14:paraId="4EDB1F75" w14:textId="77777777" w:rsidR="00E01488" w:rsidRPr="0035160C" w:rsidRDefault="00E01488" w:rsidP="00E01488">
      <w:pPr>
        <w:tabs>
          <w:tab w:val="left" w:pos="567"/>
        </w:tabs>
        <w:spacing w:after="60" w:line="276" w:lineRule="auto"/>
        <w:contextualSpacing/>
        <w:jc w:val="both"/>
        <w:rPr>
          <w:rFonts w:eastAsia="Times New Roman" w:cstheme="minorHAnsi"/>
          <w:u w:val="single"/>
          <w:lang w:eastAsia="pl-PL"/>
        </w:rPr>
      </w:pPr>
      <w:r w:rsidRPr="0095477C">
        <w:rPr>
          <w:rFonts w:eastAsia="Times New Roman" w:cstheme="minorHAnsi"/>
          <w:color w:val="2F5496" w:themeColor="accent1" w:themeShade="BF"/>
          <w:u w:val="single"/>
          <w:lang w:eastAsia="pl-PL"/>
        </w:rPr>
        <w:t>Pakiet dla miast średnich</w:t>
      </w:r>
    </w:p>
    <w:p w14:paraId="4C2A49C6" w14:textId="7276D75D" w:rsidR="00E01488" w:rsidRPr="0035160C" w:rsidRDefault="00E01488" w:rsidP="0095477C">
      <w:pPr>
        <w:tabs>
          <w:tab w:val="left" w:pos="567"/>
        </w:tabs>
        <w:spacing w:after="60" w:line="276" w:lineRule="auto"/>
        <w:jc w:val="both"/>
        <w:rPr>
          <w:rFonts w:eastAsia="Times New Roman" w:cstheme="minorHAnsi"/>
          <w:lang w:eastAsia="pl-PL"/>
        </w:rPr>
      </w:pPr>
      <w:r w:rsidRPr="0035160C">
        <w:rPr>
          <w:rFonts w:eastAsia="Times New Roman" w:cstheme="minorHAnsi"/>
          <w:lang w:eastAsia="pl-PL"/>
        </w:rPr>
        <w:t>Pakiet obejmuje wsparcie innowacyjnych przedsiębiorstw, zwiększanie atrakcyjności inwestycyjnej dla potencjalnych inwestorów, podnoszenie jakości kapitału ludzkiego, a także pobudzanie lokalnych inicjatyw gospodarczych, społecznych i tych związanych z mieszkalnictwem. Wspiera również inwestycje samorządowe o charakterze prorozwojowym na zasadach oferowanych w ramach programów krajowych oraz instrumentów kapitałowych Polskiego Funduszu Rozwoju (PFR).</w:t>
      </w:r>
    </w:p>
    <w:p w14:paraId="45B23665" w14:textId="77777777" w:rsidR="00E01488" w:rsidRPr="0095477C" w:rsidRDefault="00E01488" w:rsidP="00E01488">
      <w:pPr>
        <w:tabs>
          <w:tab w:val="left" w:pos="567"/>
        </w:tabs>
        <w:spacing w:after="60" w:line="276" w:lineRule="auto"/>
        <w:contextualSpacing/>
        <w:jc w:val="both"/>
        <w:rPr>
          <w:rFonts w:eastAsia="Times New Roman" w:cstheme="minorHAnsi"/>
          <w:color w:val="2F5496" w:themeColor="accent1" w:themeShade="BF"/>
          <w:u w:val="single"/>
          <w:lang w:eastAsia="pl-PL"/>
        </w:rPr>
      </w:pPr>
      <w:r w:rsidRPr="0095477C">
        <w:rPr>
          <w:rFonts w:eastAsia="Times New Roman" w:cstheme="minorHAnsi"/>
          <w:color w:val="2F5496" w:themeColor="accent1" w:themeShade="BF"/>
          <w:u w:val="single"/>
          <w:lang w:eastAsia="pl-PL"/>
        </w:rPr>
        <w:t>Partnerska Inicjatywa Miast</w:t>
      </w:r>
    </w:p>
    <w:p w14:paraId="2E563DE9" w14:textId="54310B96" w:rsidR="00E01488" w:rsidRPr="0035160C" w:rsidRDefault="00E01488" w:rsidP="0095477C">
      <w:pPr>
        <w:tabs>
          <w:tab w:val="left" w:pos="567"/>
        </w:tabs>
        <w:spacing w:after="60" w:line="276" w:lineRule="auto"/>
        <w:jc w:val="both"/>
        <w:rPr>
          <w:rFonts w:eastAsia="Times New Roman" w:cstheme="minorHAnsi"/>
          <w:lang w:eastAsia="pl-PL"/>
        </w:rPr>
      </w:pPr>
      <w:r w:rsidRPr="0035160C">
        <w:rPr>
          <w:rFonts w:eastAsia="Times New Roman" w:cstheme="minorHAnsi"/>
          <w:lang w:eastAsia="pl-PL"/>
        </w:rPr>
        <w:t>Inicjatywa ma za zadanie wsparcie sprawnego i efektywnego rozwoju miast, m.in. poprzez dostarczanie i wymianę wiedzy, wzmocnienie kompetencji kadr zarządzających obszarami miejskimi oraz promowanie współpracy. W ramach sieci zebrane są wiedza i doświadczenia w obrębie poszczególnych obszarów tematycznych. Aktualnie są to: rewitalizacja, mobilność miejska i jakość powietrza. W projekt zaangażowane są 34 miasta. W większości to ośrodki średniej wielkości, dotknięte różnorodnymi problemami oddziaływującymi na ich sytuację społeczno-gospodarczą. Wdrożenie PIM opiera się między innymi na doświadczeniach programów międzynarodowych, takich jak URBACT, pozostaje również w zgodności z założeniami Agendy Miejskiej UE.</w:t>
      </w:r>
    </w:p>
    <w:p w14:paraId="20175954" w14:textId="77777777" w:rsidR="00E01488" w:rsidRPr="0095477C" w:rsidRDefault="00E01488" w:rsidP="00E01488">
      <w:pPr>
        <w:tabs>
          <w:tab w:val="left" w:pos="567"/>
        </w:tabs>
        <w:spacing w:after="60" w:line="276" w:lineRule="auto"/>
        <w:jc w:val="both"/>
        <w:rPr>
          <w:rFonts w:eastAsia="Times New Roman" w:cstheme="minorHAnsi"/>
          <w:color w:val="2F5496" w:themeColor="accent1" w:themeShade="BF"/>
          <w:u w:val="single"/>
          <w:lang w:eastAsia="pl-PL"/>
        </w:rPr>
      </w:pPr>
      <w:r w:rsidRPr="0095477C">
        <w:rPr>
          <w:rFonts w:eastAsia="Times New Roman" w:cstheme="minorHAnsi"/>
          <w:color w:val="2F5496" w:themeColor="accent1" w:themeShade="BF"/>
          <w:u w:val="single"/>
          <w:lang w:eastAsia="pl-PL"/>
        </w:rPr>
        <w:t>Porozumienie burmistrzów</w:t>
      </w:r>
    </w:p>
    <w:p w14:paraId="081D81E0" w14:textId="2D868401" w:rsidR="00E01488" w:rsidRPr="0035160C" w:rsidRDefault="00E01488" w:rsidP="0095477C">
      <w:pPr>
        <w:tabs>
          <w:tab w:val="left" w:pos="567"/>
        </w:tabs>
        <w:spacing w:after="60" w:line="276" w:lineRule="auto"/>
        <w:jc w:val="both"/>
        <w:rPr>
          <w:rFonts w:eastAsia="Times New Roman" w:cstheme="minorHAnsi"/>
          <w:lang w:eastAsia="pl-PL"/>
        </w:rPr>
      </w:pPr>
      <w:r w:rsidRPr="0035160C">
        <w:rPr>
          <w:rFonts w:eastAsia="Times New Roman" w:cstheme="minorHAnsi"/>
          <w:lang w:eastAsia="pl-PL"/>
        </w:rPr>
        <w:t>Inną godną uwagi inicjatywą jest Porozumienie Burmistrzów angażującą władze lokalne i obywateli w</w:t>
      </w:r>
      <w:r w:rsidR="0095477C">
        <w:rPr>
          <w:rFonts w:eastAsia="Times New Roman" w:cstheme="minorHAnsi"/>
          <w:lang w:eastAsia="pl-PL"/>
        </w:rPr>
        <w:t> </w:t>
      </w:r>
      <w:r w:rsidRPr="0035160C">
        <w:rPr>
          <w:rFonts w:eastAsia="Times New Roman" w:cstheme="minorHAnsi"/>
          <w:lang w:eastAsia="pl-PL"/>
        </w:rPr>
        <w:t xml:space="preserve">działania na rzecz zwiększenia efektywności energetycznej i wykorzystania odnawialnych źródeł energii. Sygnatariusze Porozumienia zobowiązują się do </w:t>
      </w:r>
      <w:r w:rsidR="00E16790" w:rsidRPr="00E16790">
        <w:rPr>
          <w:rFonts w:eastAsia="Times New Roman" w:cstheme="minorHAnsi"/>
          <w:lang w:eastAsia="pl-PL"/>
        </w:rPr>
        <w:t>redukcj</w:t>
      </w:r>
      <w:r w:rsidR="00E16790">
        <w:rPr>
          <w:rFonts w:eastAsia="Times New Roman" w:cstheme="minorHAnsi"/>
          <w:lang w:eastAsia="pl-PL"/>
        </w:rPr>
        <w:t>i</w:t>
      </w:r>
      <w:r w:rsidR="00E16790" w:rsidRPr="00E16790">
        <w:rPr>
          <w:rFonts w:eastAsia="Times New Roman" w:cstheme="minorHAnsi"/>
          <w:lang w:eastAsia="pl-PL"/>
        </w:rPr>
        <w:t xml:space="preserve"> emisji gazów cieplarnianych o 40% do roku 2030 oraz przyjęcie wspólnego podejścia do zmniejszenia wpływu na środowisko i przystosowania się do zmian klimatycznych</w:t>
      </w:r>
      <w:r w:rsidRPr="0035160C">
        <w:rPr>
          <w:rFonts w:eastAsia="Times New Roman" w:cstheme="minorHAnsi"/>
          <w:lang w:eastAsia="pl-PL"/>
        </w:rPr>
        <w:t>.</w:t>
      </w:r>
      <w:r w:rsidR="0095477C">
        <w:rPr>
          <w:rFonts w:eastAsia="Times New Roman" w:cstheme="minorHAnsi"/>
          <w:lang w:eastAsia="pl-PL"/>
        </w:rPr>
        <w:t xml:space="preserve"> NFOŚiGW</w:t>
      </w:r>
      <w:r w:rsidRPr="0035160C">
        <w:rPr>
          <w:rFonts w:eastAsia="Times New Roman" w:cstheme="minorHAnsi"/>
          <w:lang w:eastAsia="pl-PL"/>
        </w:rPr>
        <w:t xml:space="preserve"> pełni rolę Krajowego Koordynatora Porozumienia Burmistrzów w Polsce.</w:t>
      </w:r>
    </w:p>
    <w:p w14:paraId="6F0C2153" w14:textId="1F99D75E" w:rsidR="00E01488" w:rsidRPr="0035160C" w:rsidRDefault="00E01488" w:rsidP="0095477C">
      <w:pPr>
        <w:tabs>
          <w:tab w:val="left" w:pos="567"/>
        </w:tabs>
        <w:spacing w:after="60" w:line="276" w:lineRule="auto"/>
        <w:jc w:val="both"/>
        <w:rPr>
          <w:rFonts w:eastAsia="Times New Roman" w:cstheme="minorHAnsi"/>
          <w:lang w:eastAsia="pl-PL"/>
        </w:rPr>
      </w:pPr>
      <w:r w:rsidRPr="0035160C">
        <w:rPr>
          <w:rFonts w:eastAsia="Times New Roman" w:cstheme="minorHAnsi"/>
          <w:lang w:eastAsia="pl-PL"/>
        </w:rPr>
        <w:lastRenderedPageBreak/>
        <w:t xml:space="preserve">Obecnie Porozumienie skupia pond 7000 jednostek administracji lokalnej i regionalnej z 57 krajów, które mogą korzystać z </w:t>
      </w:r>
      <w:r w:rsidR="0095477C">
        <w:rPr>
          <w:rFonts w:eastAsia="Times New Roman" w:cstheme="minorHAnsi"/>
          <w:lang w:eastAsia="pl-PL"/>
        </w:rPr>
        <w:t>wsparcia</w:t>
      </w:r>
      <w:r w:rsidRPr="0035160C">
        <w:rPr>
          <w:rFonts w:eastAsia="Times New Roman" w:cstheme="minorHAnsi"/>
          <w:lang w:eastAsia="pl-PL"/>
        </w:rPr>
        <w:t>, jaką oferuje mający światowy zasięg, zrzeszający wielu interesariuszy ruch oraz stojące za nim wsparcie techniczne i metodologiczne zapewniane przez wyspecjalizowane biura.</w:t>
      </w:r>
    </w:p>
    <w:p w14:paraId="3F675AC6" w14:textId="6BE7F914" w:rsidR="00E01488" w:rsidRPr="0035160C" w:rsidRDefault="00E01488" w:rsidP="0095477C">
      <w:pPr>
        <w:tabs>
          <w:tab w:val="left" w:pos="567"/>
        </w:tabs>
        <w:spacing w:after="60" w:line="276" w:lineRule="auto"/>
        <w:jc w:val="both"/>
        <w:rPr>
          <w:rFonts w:eastAsia="Times New Roman" w:cstheme="minorHAnsi"/>
          <w:lang w:eastAsia="pl-PL"/>
        </w:rPr>
      </w:pPr>
      <w:r w:rsidRPr="0035160C">
        <w:rPr>
          <w:rFonts w:eastAsia="Times New Roman" w:cstheme="minorHAnsi"/>
          <w:lang w:eastAsia="pl-PL"/>
        </w:rPr>
        <w:t>Globalne Porozumienie Burmistrzów wykorzystuje doświadczenia zdobyte w ciągu ośmiu lat w Europie i poza nią oraz buduje w oparciu o kluczowe czynniki sukcesu tej inicjatywy: oddolne zarządzanie, wielopoziomowy model współpracy oraz kontekstowe ramy działania.</w:t>
      </w:r>
    </w:p>
    <w:p w14:paraId="0376E350" w14:textId="16E91D21" w:rsidR="00E01488" w:rsidRPr="0035160C" w:rsidRDefault="00FF2D7D" w:rsidP="00FF2D7D">
      <w:pPr>
        <w:pStyle w:val="Nagwek3"/>
        <w:numPr>
          <w:ilvl w:val="0"/>
          <w:numId w:val="0"/>
        </w:numPr>
        <w:rPr>
          <w:b/>
          <w:sz w:val="22"/>
          <w:szCs w:val="22"/>
        </w:rPr>
      </w:pPr>
      <w:bookmarkStart w:id="78" w:name="_Toc78205901"/>
      <w:r w:rsidRPr="0035160C">
        <w:rPr>
          <w:b/>
          <w:sz w:val="22"/>
          <w:szCs w:val="22"/>
        </w:rPr>
        <w:t>9</w:t>
      </w:r>
      <w:r w:rsidR="00F03C94" w:rsidRPr="0035160C">
        <w:rPr>
          <w:b/>
          <w:sz w:val="22"/>
          <w:szCs w:val="22"/>
        </w:rPr>
        <w:t>.3.6</w:t>
      </w:r>
      <w:r w:rsidR="00F87116" w:rsidRPr="0035160C">
        <w:rPr>
          <w:b/>
          <w:sz w:val="22"/>
          <w:szCs w:val="22"/>
        </w:rPr>
        <w:t xml:space="preserve"> </w:t>
      </w:r>
      <w:r w:rsidR="00E01488" w:rsidRPr="0035160C">
        <w:rPr>
          <w:b/>
          <w:sz w:val="22"/>
          <w:szCs w:val="22"/>
        </w:rPr>
        <w:t>Najważniejsze projekty, inicjatywy działania dotyczące obszarów zurbanizowanych</w:t>
      </w:r>
      <w:bookmarkEnd w:id="78"/>
    </w:p>
    <w:p w14:paraId="79259F6C" w14:textId="77777777" w:rsidR="00E01488" w:rsidRPr="0095477C" w:rsidRDefault="00E01488" w:rsidP="00E01488">
      <w:pPr>
        <w:tabs>
          <w:tab w:val="left" w:pos="0"/>
        </w:tabs>
        <w:spacing w:after="60"/>
        <w:jc w:val="both"/>
        <w:rPr>
          <w:rFonts w:eastAsia="Times New Roman" w:cstheme="minorHAnsi"/>
          <w:color w:val="2F5496" w:themeColor="accent1" w:themeShade="BF"/>
          <w:u w:val="single"/>
          <w:lang w:eastAsia="pl-PL"/>
        </w:rPr>
      </w:pPr>
      <w:r w:rsidRPr="0095477C">
        <w:rPr>
          <w:rFonts w:eastAsia="Times New Roman" w:cstheme="minorHAnsi"/>
          <w:color w:val="2F5496" w:themeColor="accent1" w:themeShade="BF"/>
          <w:u w:val="single"/>
          <w:lang w:eastAsia="pl-PL"/>
        </w:rPr>
        <w:t>Projekt pn. „Miasto z klimatem”</w:t>
      </w:r>
    </w:p>
    <w:p w14:paraId="4CF27A24" w14:textId="1C82E96A" w:rsidR="00E01488" w:rsidRPr="0035160C" w:rsidRDefault="00E01488" w:rsidP="0095477C">
      <w:pPr>
        <w:tabs>
          <w:tab w:val="left" w:pos="567"/>
        </w:tabs>
        <w:spacing w:after="60" w:line="276" w:lineRule="auto"/>
        <w:jc w:val="both"/>
        <w:rPr>
          <w:rFonts w:eastAsia="Times New Roman" w:cstheme="minorHAnsi"/>
          <w:lang w:eastAsia="pl-PL"/>
        </w:rPr>
      </w:pPr>
      <w:r w:rsidRPr="0035160C">
        <w:rPr>
          <w:rFonts w:eastAsia="Times New Roman" w:cstheme="minorHAnsi"/>
          <w:lang w:eastAsia="pl-PL"/>
        </w:rPr>
        <w:t>W związku z oddziaływaniem ośrodków miejskich na zmiany klimatu</w:t>
      </w:r>
      <w:r w:rsidR="0095477C">
        <w:rPr>
          <w:rFonts w:eastAsia="Times New Roman" w:cstheme="minorHAnsi"/>
          <w:lang w:eastAsia="pl-PL"/>
        </w:rPr>
        <w:t>,</w:t>
      </w:r>
      <w:r w:rsidRPr="0035160C">
        <w:rPr>
          <w:rFonts w:eastAsia="Times New Roman" w:cstheme="minorHAnsi"/>
          <w:lang w:eastAsia="pl-PL"/>
        </w:rPr>
        <w:t xml:space="preserve"> Ministerstwo Klimatu i Środowiska zainicjowało projekt „Miasto z Klimatem”, którego celem jest poprawa jakości życia mieszkańców oraz wsparcie miast w transformacji w kierunku neutralności klimatycznej i odporności na zmiany klimatu. W ramach wskazanej inicjatywy przeprowadzono serię warsztatów, których część odbyła się jeszcze w trybie stacjonarnym (w Warszawie w czasie inauguracji „Miasta z Klimatem” oraz w Białymstoku), a następnie on-line. Celem warsztatów było wypracowanie wizji oraz konkretnych rozwiązań (np.: inicjatyw legislacyjnych, mechanizmów finansowych oraz innych wspierających miasta) oraz dzielenie się dobrymi praktykami dla miast przyjaznych i neutralnych klimatycznie. W warsztatach uczestniczyli samorządowcy, eksperci oraz przedstawiciele organizacji pozarządowych i społeczeństwa. </w:t>
      </w:r>
    </w:p>
    <w:p w14:paraId="0D449D22" w14:textId="109619F4" w:rsidR="00E01488" w:rsidRPr="0035160C" w:rsidRDefault="00E01488" w:rsidP="0095477C">
      <w:pPr>
        <w:tabs>
          <w:tab w:val="left" w:pos="0"/>
        </w:tabs>
        <w:spacing w:after="60" w:line="276" w:lineRule="auto"/>
        <w:jc w:val="both"/>
        <w:rPr>
          <w:rFonts w:eastAsia="Times New Roman" w:cstheme="minorHAnsi"/>
          <w:lang w:eastAsia="pl-PL"/>
        </w:rPr>
      </w:pPr>
      <w:r w:rsidRPr="0035160C">
        <w:rPr>
          <w:rFonts w:eastAsia="Times New Roman" w:cstheme="minorHAnsi"/>
          <w:lang w:eastAsia="pl-PL"/>
        </w:rPr>
        <w:t>Ważnym aspektem projektów jest także docenianie dobrych praktyk. Dlatego Ministerstwo Klimatu i Środowiska zorganizowało konkursy:</w:t>
      </w:r>
    </w:p>
    <w:p w14:paraId="1C4CE3F7" w14:textId="16211D73" w:rsidR="00E01488" w:rsidRPr="00DD0E4C" w:rsidRDefault="00E01488" w:rsidP="00DD0E4C">
      <w:pPr>
        <w:pStyle w:val="Akapitzlist"/>
        <w:numPr>
          <w:ilvl w:val="0"/>
          <w:numId w:val="90"/>
        </w:numPr>
        <w:tabs>
          <w:tab w:val="left" w:pos="284"/>
        </w:tabs>
        <w:spacing w:after="60" w:line="276" w:lineRule="auto"/>
        <w:jc w:val="both"/>
        <w:rPr>
          <w:rFonts w:eastAsia="Times New Roman" w:cstheme="minorHAnsi"/>
          <w:lang w:eastAsia="pl-PL"/>
        </w:rPr>
      </w:pPr>
      <w:r w:rsidRPr="00DD0E4C">
        <w:rPr>
          <w:rFonts w:eastAsia="Times New Roman" w:cstheme="minorHAnsi"/>
          <w:lang w:eastAsia="pl-PL"/>
        </w:rPr>
        <w:t>badanie postępu miast w prowadzonej polityce ekologicznej "Badanie Miasto z klimatem – Lider w kategorii"</w:t>
      </w:r>
      <w:r w:rsidR="008A23A1">
        <w:rPr>
          <w:rFonts w:eastAsia="Times New Roman" w:cstheme="minorHAnsi"/>
          <w:lang w:eastAsia="pl-PL"/>
        </w:rPr>
        <w:t>,</w:t>
      </w:r>
    </w:p>
    <w:p w14:paraId="4CD24090" w14:textId="0F73836C" w:rsidR="00E01488" w:rsidRPr="00DD0E4C" w:rsidRDefault="00E01488" w:rsidP="00DD0E4C">
      <w:pPr>
        <w:pStyle w:val="Akapitzlist"/>
        <w:numPr>
          <w:ilvl w:val="0"/>
          <w:numId w:val="90"/>
        </w:numPr>
        <w:tabs>
          <w:tab w:val="left" w:pos="284"/>
        </w:tabs>
        <w:spacing w:after="60" w:line="276" w:lineRule="auto"/>
        <w:jc w:val="both"/>
        <w:rPr>
          <w:rFonts w:eastAsia="Times New Roman" w:cstheme="minorHAnsi"/>
          <w:lang w:eastAsia="pl-PL"/>
        </w:rPr>
      </w:pPr>
      <w:r w:rsidRPr="00DD0E4C">
        <w:rPr>
          <w:rFonts w:eastAsia="Times New Roman" w:cstheme="minorHAnsi"/>
          <w:lang w:eastAsia="pl-PL"/>
        </w:rPr>
        <w:t>najlepszy zrealizowany projekt służący ochronie klimatu i adaptacji do zmian klimatu,</w:t>
      </w:r>
    </w:p>
    <w:p w14:paraId="3903B93E" w14:textId="5D857404" w:rsidR="00E01488" w:rsidRPr="00DD0E4C" w:rsidRDefault="00E01488" w:rsidP="00DD0E4C">
      <w:pPr>
        <w:pStyle w:val="Akapitzlist"/>
        <w:numPr>
          <w:ilvl w:val="0"/>
          <w:numId w:val="90"/>
        </w:numPr>
        <w:tabs>
          <w:tab w:val="left" w:pos="284"/>
        </w:tabs>
        <w:spacing w:after="60" w:line="276" w:lineRule="auto"/>
        <w:jc w:val="both"/>
        <w:rPr>
          <w:rFonts w:eastAsia="Times New Roman" w:cstheme="minorHAnsi"/>
          <w:lang w:eastAsia="pl-PL"/>
        </w:rPr>
      </w:pPr>
      <w:r w:rsidRPr="00DD0E4C">
        <w:rPr>
          <w:rFonts w:eastAsia="Times New Roman" w:cstheme="minorHAnsi"/>
          <w:lang w:eastAsia="pl-PL"/>
        </w:rPr>
        <w:t>konkurs dla młodzieży szkół ponadpodstawowych na opracowania Planu Adaptacji na terenie szkoły i jej najbliższej okolicy.</w:t>
      </w:r>
    </w:p>
    <w:p w14:paraId="5EE64CB3" w14:textId="26C0ADDD" w:rsidR="00E01488" w:rsidRPr="0035160C" w:rsidRDefault="00E01488" w:rsidP="00E01488">
      <w:pPr>
        <w:tabs>
          <w:tab w:val="left" w:pos="284"/>
        </w:tabs>
        <w:spacing w:after="60"/>
        <w:jc w:val="both"/>
        <w:rPr>
          <w:rFonts w:eastAsia="Times New Roman" w:cstheme="minorHAnsi"/>
          <w:lang w:eastAsia="pl-PL"/>
        </w:rPr>
      </w:pPr>
      <w:r w:rsidRPr="0035160C">
        <w:rPr>
          <w:rFonts w:eastAsia="Times New Roman" w:cstheme="minorHAnsi"/>
          <w:lang w:eastAsia="pl-PL"/>
        </w:rPr>
        <w:t xml:space="preserve">W ramach inicjatywy „Miasto z klimatem” uruchamiane są nowe oraz dostosowywane istniejące instrumenty finansowe m. in. środki NFOŚiGW mające na celu wsparcie projektów i działań dotyczących m.in. retencji wody w miastach. Jednym z takich instrumentów jest Program Priorytetowy NFOŚiGW pn. „Adaptacja do zmian klimatu oraz ograniczanie skutków zagrożeń środowiska”. Budżet na realizację celu tego Programu </w:t>
      </w:r>
      <w:r w:rsidR="00950778" w:rsidRPr="00950778">
        <w:rPr>
          <w:rFonts w:eastAsia="Times New Roman" w:cstheme="minorHAnsi"/>
          <w:lang w:eastAsia="pl-PL"/>
        </w:rPr>
        <w:t>wynosi 1.107.775.000 zł</w:t>
      </w:r>
      <w:r w:rsidR="00950778">
        <w:rPr>
          <w:rFonts w:eastAsia="Times New Roman" w:cstheme="minorHAnsi"/>
          <w:lang w:eastAsia="pl-PL"/>
        </w:rPr>
        <w:t>,</w:t>
      </w:r>
      <w:r w:rsidR="00950778" w:rsidRPr="00950778">
        <w:rPr>
          <w:rFonts w:eastAsia="Times New Roman" w:cstheme="minorHAnsi"/>
          <w:lang w:eastAsia="pl-PL"/>
        </w:rPr>
        <w:t xml:space="preserve"> w tym dla bezzwrotnych form dofinansowania 357.915.000 zł. </w:t>
      </w:r>
      <w:r w:rsidRPr="0035160C">
        <w:rPr>
          <w:rFonts w:eastAsia="Times New Roman" w:cstheme="minorHAnsi"/>
          <w:lang w:eastAsia="pl-PL"/>
        </w:rPr>
        <w:t>Część alokacji w wysokości 10 milionów złotych z kolei została przeznaczona na konkurs dla miast realizowany w ramach projektu „Miasto z Klimatem” – „zielono-niebieska infrastruktura”.</w:t>
      </w:r>
    </w:p>
    <w:p w14:paraId="44194C50" w14:textId="1B6DCFA4" w:rsidR="00E01488" w:rsidRPr="0035160C" w:rsidRDefault="00E01488" w:rsidP="00E01488">
      <w:pPr>
        <w:tabs>
          <w:tab w:val="left" w:pos="284"/>
        </w:tabs>
        <w:spacing w:after="60"/>
        <w:jc w:val="both"/>
        <w:rPr>
          <w:rFonts w:eastAsia="Times New Roman" w:cstheme="minorHAnsi"/>
          <w:lang w:eastAsia="pl-PL"/>
        </w:rPr>
      </w:pPr>
      <w:r w:rsidRPr="0035160C">
        <w:rPr>
          <w:rFonts w:eastAsia="Times New Roman" w:cstheme="minorHAnsi"/>
          <w:lang w:eastAsia="pl-PL"/>
        </w:rPr>
        <w:t>W ramach II edycji „Miasta z Klimatem” w 2021 r. Ministerstwo Klimatu i Środowiska zaplanowało m.in. przeprowadzenie analizy działań podejmowanych przez miasta, której celem będzie zmierzenie efektów we wdrażaniu polityki ekologicznej i klimatycznej. Analiza przeprowadzona zostanie w pięciu kategoriach:</w:t>
      </w:r>
    </w:p>
    <w:p w14:paraId="19917860" w14:textId="77777777" w:rsidR="00E01488" w:rsidRPr="0035160C" w:rsidRDefault="00E01488" w:rsidP="00CA3BB7">
      <w:pPr>
        <w:pStyle w:val="Akapitzlist"/>
        <w:numPr>
          <w:ilvl w:val="0"/>
          <w:numId w:val="59"/>
        </w:numPr>
        <w:tabs>
          <w:tab w:val="left" w:pos="284"/>
        </w:tabs>
        <w:spacing w:after="60"/>
        <w:jc w:val="both"/>
        <w:rPr>
          <w:rFonts w:eastAsia="Times New Roman" w:cstheme="minorHAnsi"/>
          <w:lang w:eastAsia="pl-PL"/>
        </w:rPr>
      </w:pPr>
      <w:r w:rsidRPr="0035160C">
        <w:rPr>
          <w:rFonts w:eastAsia="Times New Roman" w:cstheme="minorHAnsi"/>
          <w:lang w:eastAsia="pl-PL"/>
        </w:rPr>
        <w:t>jakość powietrza,</w:t>
      </w:r>
    </w:p>
    <w:p w14:paraId="7CC3B025" w14:textId="77777777" w:rsidR="00E01488" w:rsidRPr="0035160C" w:rsidRDefault="00E01488" w:rsidP="00CA3BB7">
      <w:pPr>
        <w:pStyle w:val="Akapitzlist"/>
        <w:numPr>
          <w:ilvl w:val="0"/>
          <w:numId w:val="59"/>
        </w:numPr>
        <w:tabs>
          <w:tab w:val="left" w:pos="284"/>
        </w:tabs>
        <w:spacing w:after="60"/>
        <w:jc w:val="both"/>
        <w:rPr>
          <w:rFonts w:eastAsia="Times New Roman" w:cstheme="minorHAnsi"/>
          <w:lang w:eastAsia="pl-PL"/>
        </w:rPr>
      </w:pPr>
      <w:r w:rsidRPr="0035160C">
        <w:rPr>
          <w:rFonts w:eastAsia="Times New Roman" w:cstheme="minorHAnsi"/>
          <w:lang w:eastAsia="pl-PL"/>
        </w:rPr>
        <w:t>zieleń miejska,</w:t>
      </w:r>
    </w:p>
    <w:p w14:paraId="7A498143" w14:textId="77777777" w:rsidR="00E01488" w:rsidRPr="0035160C" w:rsidRDefault="00E01488" w:rsidP="00CA3BB7">
      <w:pPr>
        <w:pStyle w:val="Akapitzlist"/>
        <w:numPr>
          <w:ilvl w:val="0"/>
          <w:numId w:val="59"/>
        </w:numPr>
        <w:tabs>
          <w:tab w:val="left" w:pos="284"/>
        </w:tabs>
        <w:spacing w:after="60"/>
        <w:jc w:val="both"/>
        <w:rPr>
          <w:rFonts w:eastAsia="Times New Roman" w:cstheme="minorHAnsi"/>
          <w:lang w:eastAsia="pl-PL"/>
        </w:rPr>
      </w:pPr>
      <w:r w:rsidRPr="0035160C">
        <w:rPr>
          <w:rFonts w:eastAsia="Times New Roman" w:cstheme="minorHAnsi"/>
          <w:lang w:eastAsia="pl-PL"/>
        </w:rPr>
        <w:t>transport zeroemisyjny,</w:t>
      </w:r>
    </w:p>
    <w:p w14:paraId="70F0D110" w14:textId="77777777" w:rsidR="00E01488" w:rsidRPr="0035160C" w:rsidRDefault="00E01488" w:rsidP="00CA3BB7">
      <w:pPr>
        <w:pStyle w:val="Akapitzlist"/>
        <w:numPr>
          <w:ilvl w:val="0"/>
          <w:numId w:val="59"/>
        </w:numPr>
        <w:tabs>
          <w:tab w:val="left" w:pos="284"/>
        </w:tabs>
        <w:spacing w:after="60"/>
        <w:jc w:val="both"/>
        <w:rPr>
          <w:rFonts w:eastAsia="Times New Roman" w:cstheme="minorHAnsi"/>
          <w:lang w:eastAsia="pl-PL"/>
        </w:rPr>
      </w:pPr>
      <w:r w:rsidRPr="0035160C">
        <w:rPr>
          <w:rFonts w:eastAsia="Times New Roman" w:cstheme="minorHAnsi"/>
          <w:lang w:eastAsia="pl-PL"/>
        </w:rPr>
        <w:t>transformacja energetyczna,</w:t>
      </w:r>
    </w:p>
    <w:p w14:paraId="6191380A" w14:textId="77777777" w:rsidR="00E01488" w:rsidRPr="0035160C" w:rsidRDefault="00E01488" w:rsidP="00CA3BB7">
      <w:pPr>
        <w:pStyle w:val="Akapitzlist"/>
        <w:numPr>
          <w:ilvl w:val="0"/>
          <w:numId w:val="59"/>
        </w:numPr>
        <w:tabs>
          <w:tab w:val="left" w:pos="284"/>
        </w:tabs>
        <w:spacing w:after="60"/>
        <w:jc w:val="both"/>
        <w:rPr>
          <w:rFonts w:eastAsia="Times New Roman" w:cstheme="minorHAnsi"/>
          <w:lang w:eastAsia="pl-PL"/>
        </w:rPr>
      </w:pPr>
      <w:r w:rsidRPr="0035160C">
        <w:rPr>
          <w:rFonts w:eastAsia="Times New Roman" w:cstheme="minorHAnsi"/>
          <w:lang w:eastAsia="pl-PL"/>
        </w:rPr>
        <w:lastRenderedPageBreak/>
        <w:t>retencja miejska.</w:t>
      </w:r>
    </w:p>
    <w:p w14:paraId="1B1FC0C3" w14:textId="63C0969E" w:rsidR="00E01488" w:rsidRPr="0035160C" w:rsidRDefault="00E01488" w:rsidP="00E01488">
      <w:pPr>
        <w:tabs>
          <w:tab w:val="left" w:pos="284"/>
        </w:tabs>
        <w:spacing w:after="60"/>
        <w:jc w:val="both"/>
        <w:rPr>
          <w:rFonts w:eastAsia="Times New Roman" w:cstheme="minorHAnsi"/>
          <w:lang w:eastAsia="pl-PL"/>
        </w:rPr>
      </w:pPr>
      <w:r w:rsidRPr="0035160C">
        <w:rPr>
          <w:rFonts w:eastAsia="Times New Roman" w:cstheme="minorHAnsi"/>
          <w:lang w:eastAsia="pl-PL"/>
        </w:rPr>
        <w:t xml:space="preserve">Miasta wyróżnione w ww. analizie otrzymają tytuł Miasta z Klimatem w jednej lub kilku kategoriach. Wyróżnieniem </w:t>
      </w:r>
      <w:r w:rsidR="008A23A1">
        <w:rPr>
          <w:rFonts w:eastAsia="Times New Roman" w:cstheme="minorHAnsi"/>
          <w:lang w:eastAsia="pl-PL"/>
        </w:rPr>
        <w:t xml:space="preserve">miasta </w:t>
      </w:r>
      <w:r w:rsidRPr="0035160C">
        <w:rPr>
          <w:rFonts w:eastAsia="Times New Roman" w:cstheme="minorHAnsi"/>
          <w:lang w:eastAsia="pl-PL"/>
        </w:rPr>
        <w:t xml:space="preserve">będą mogły się pochwalić dzięki tablicom informacyjnym na budynkach użyteczności publicznej oraz systemowi identyfikacji wizualnej do wykorzystania w komunikacji (m.in. w </w:t>
      </w:r>
      <w:r w:rsidR="008A23A1">
        <w:rPr>
          <w:rFonts w:eastAsia="Times New Roman" w:cstheme="minorHAnsi"/>
          <w:lang w:eastAsia="pl-PL"/>
        </w:rPr>
        <w:t>i</w:t>
      </w:r>
      <w:r w:rsidR="00D72551" w:rsidRPr="0035160C">
        <w:rPr>
          <w:rFonts w:eastAsia="Times New Roman" w:cstheme="minorHAnsi"/>
          <w:lang w:eastAsia="pl-PL"/>
        </w:rPr>
        <w:t>nternecie</w:t>
      </w:r>
      <w:r w:rsidRPr="0035160C">
        <w:rPr>
          <w:rFonts w:eastAsia="Times New Roman" w:cstheme="minorHAnsi"/>
          <w:lang w:eastAsia="pl-PL"/>
        </w:rPr>
        <w:t>, w korespondencji).</w:t>
      </w:r>
    </w:p>
    <w:p w14:paraId="2C32A63F" w14:textId="6E5F0B14" w:rsidR="00E01488" w:rsidRPr="0035160C" w:rsidRDefault="00E01488" w:rsidP="00E01488">
      <w:pPr>
        <w:tabs>
          <w:tab w:val="left" w:pos="284"/>
        </w:tabs>
        <w:spacing w:after="60"/>
        <w:jc w:val="both"/>
        <w:rPr>
          <w:rFonts w:eastAsia="Times New Roman" w:cstheme="minorHAnsi"/>
          <w:lang w:eastAsia="pl-PL"/>
        </w:rPr>
      </w:pPr>
      <w:r w:rsidRPr="0035160C">
        <w:rPr>
          <w:rFonts w:eastAsia="Times New Roman" w:cstheme="minorHAnsi"/>
          <w:lang w:eastAsia="pl-PL"/>
        </w:rPr>
        <w:t xml:space="preserve">Miasta wyróżniające się zostaną także objęte doradztwem strategicznym koordynowanym przez </w:t>
      </w:r>
      <w:r w:rsidR="008A23A1">
        <w:rPr>
          <w:rFonts w:eastAsia="Times New Roman" w:cstheme="minorHAnsi"/>
          <w:lang w:eastAsia="pl-PL"/>
        </w:rPr>
        <w:t>IOŚ-PIB</w:t>
      </w:r>
      <w:r w:rsidRPr="0035160C">
        <w:rPr>
          <w:rFonts w:eastAsia="Times New Roman" w:cstheme="minorHAnsi"/>
          <w:lang w:eastAsia="pl-PL"/>
        </w:rPr>
        <w:t xml:space="preserve"> i finansowanym przez </w:t>
      </w:r>
      <w:r w:rsidR="00D72551">
        <w:rPr>
          <w:rFonts w:eastAsia="Times New Roman" w:cstheme="minorHAnsi"/>
          <w:lang w:eastAsia="pl-PL"/>
        </w:rPr>
        <w:t>NFOŚiGW</w:t>
      </w:r>
      <w:r w:rsidRPr="0035160C">
        <w:rPr>
          <w:rFonts w:eastAsia="Times New Roman" w:cstheme="minorHAnsi"/>
          <w:lang w:eastAsia="pl-PL"/>
        </w:rPr>
        <w:t>.</w:t>
      </w:r>
    </w:p>
    <w:p w14:paraId="2E209B93" w14:textId="47F2A4A7" w:rsidR="00E01488" w:rsidRPr="0035160C" w:rsidRDefault="00E01488" w:rsidP="00E01488">
      <w:pPr>
        <w:tabs>
          <w:tab w:val="left" w:pos="284"/>
        </w:tabs>
        <w:spacing w:after="60"/>
        <w:jc w:val="both"/>
        <w:rPr>
          <w:rFonts w:eastAsia="Times New Roman" w:cstheme="minorHAnsi"/>
          <w:lang w:eastAsia="pl-PL"/>
        </w:rPr>
      </w:pPr>
      <w:r w:rsidRPr="0035160C">
        <w:rPr>
          <w:rFonts w:eastAsia="Times New Roman" w:cstheme="minorHAnsi"/>
          <w:lang w:eastAsia="pl-PL"/>
        </w:rPr>
        <w:t>Doradztwo strategiczne będzie polegać na dokonaniu wspólnie z miastami przeglądu wybranych dokumentów strategicznych i planistycznych oraz wypracowaniu rekomendacji co do modyfikacji, albo określenia nowych ambitnych celów transformacji klimatyczno-środowiskowej, w tym określenia listy projektów indykatywnych. Celem wsparcia będzie także zbudowanie zdolności administracyjnej miasta i jego przygotowanie do finansowania kluczowych inwestycji w ramach nowej perspektywy finansowej U</w:t>
      </w:r>
      <w:r w:rsidR="008A23A1">
        <w:rPr>
          <w:rFonts w:eastAsia="Times New Roman" w:cstheme="minorHAnsi"/>
          <w:lang w:eastAsia="pl-PL"/>
        </w:rPr>
        <w:t xml:space="preserve">nii </w:t>
      </w:r>
      <w:r w:rsidRPr="0035160C">
        <w:rPr>
          <w:rFonts w:eastAsia="Times New Roman" w:cstheme="minorHAnsi"/>
          <w:lang w:eastAsia="pl-PL"/>
        </w:rPr>
        <w:t>E</w:t>
      </w:r>
      <w:r w:rsidR="008A23A1">
        <w:rPr>
          <w:rFonts w:eastAsia="Times New Roman" w:cstheme="minorHAnsi"/>
          <w:lang w:eastAsia="pl-PL"/>
        </w:rPr>
        <w:t>uropejskiej</w:t>
      </w:r>
      <w:r w:rsidRPr="0035160C">
        <w:rPr>
          <w:rFonts w:eastAsia="Times New Roman" w:cstheme="minorHAnsi"/>
          <w:lang w:eastAsia="pl-PL"/>
        </w:rPr>
        <w:t>, środków z Krajowego Planu Odbudowy oraz z programów priorytetowych NFOŚiGW. Proces doradztwa strategicznego zostanie podsumowany w formie raportu końcowego indywidualnie dla każdego z miast.</w:t>
      </w:r>
    </w:p>
    <w:p w14:paraId="33FD2454" w14:textId="5844F63D" w:rsidR="00E01488" w:rsidRPr="0035160C" w:rsidRDefault="00E01488" w:rsidP="00E01488">
      <w:pPr>
        <w:tabs>
          <w:tab w:val="left" w:pos="284"/>
        </w:tabs>
        <w:spacing w:after="60"/>
        <w:jc w:val="both"/>
        <w:rPr>
          <w:rFonts w:eastAsia="Times New Roman" w:cstheme="minorHAnsi"/>
          <w:lang w:eastAsia="pl-PL"/>
        </w:rPr>
      </w:pPr>
      <w:r w:rsidRPr="0035160C">
        <w:rPr>
          <w:rFonts w:eastAsia="Times New Roman" w:cstheme="minorHAnsi"/>
          <w:lang w:eastAsia="pl-PL"/>
        </w:rPr>
        <w:t xml:space="preserve">Dodatkowo w ramach </w:t>
      </w:r>
      <w:r w:rsidR="00E16790">
        <w:rPr>
          <w:rFonts w:eastAsia="Times New Roman" w:cstheme="minorHAnsi"/>
          <w:lang w:eastAsia="pl-PL"/>
        </w:rPr>
        <w:t>inicjatywy</w:t>
      </w:r>
      <w:r w:rsidRPr="0035160C">
        <w:rPr>
          <w:rFonts w:eastAsia="Times New Roman" w:cstheme="minorHAnsi"/>
          <w:lang w:eastAsia="pl-PL"/>
        </w:rPr>
        <w:t xml:space="preserve">, podobnie jak w roku ubiegłym, Ministerstwo Klimatu i Środowiska przeprowadzi drugą </w:t>
      </w:r>
      <w:r w:rsidR="00E16790" w:rsidRPr="0035160C">
        <w:rPr>
          <w:rFonts w:eastAsia="Times New Roman" w:cstheme="minorHAnsi"/>
          <w:lang w:eastAsia="pl-PL"/>
        </w:rPr>
        <w:t>edycj</w:t>
      </w:r>
      <w:r w:rsidR="00E16790">
        <w:rPr>
          <w:rFonts w:eastAsia="Times New Roman" w:cstheme="minorHAnsi"/>
          <w:lang w:eastAsia="pl-PL"/>
        </w:rPr>
        <w:t>ę</w:t>
      </w:r>
      <w:r w:rsidR="00E16790" w:rsidRPr="0035160C">
        <w:rPr>
          <w:rFonts w:eastAsia="Times New Roman" w:cstheme="minorHAnsi"/>
          <w:lang w:eastAsia="pl-PL"/>
        </w:rPr>
        <w:t xml:space="preserve"> </w:t>
      </w:r>
      <w:r w:rsidRPr="0035160C">
        <w:rPr>
          <w:rFonts w:eastAsia="Times New Roman" w:cstheme="minorHAnsi"/>
          <w:lang w:eastAsia="pl-PL"/>
        </w:rPr>
        <w:t xml:space="preserve">konkursu </w:t>
      </w:r>
      <w:r w:rsidR="00D72551">
        <w:rPr>
          <w:rFonts w:eastAsia="Times New Roman" w:cstheme="minorHAnsi"/>
          <w:lang w:eastAsia="pl-PL"/>
        </w:rPr>
        <w:t>„</w:t>
      </w:r>
      <w:r w:rsidRPr="0035160C">
        <w:rPr>
          <w:rFonts w:eastAsia="Times New Roman" w:cstheme="minorHAnsi"/>
          <w:lang w:eastAsia="pl-PL"/>
        </w:rPr>
        <w:t>Miasto z Klimatem - najlepszy zrealizowany projekt". Jest to konkurs skierowany do miast, mający na celu  promocję nowoczesnych i efektywnych rozwiązań miejskich, służących poprawie jakości życia mieszkańców poprzez ochronę klimatu lub zwiększeniu odporności miast na skutki zmian klimatu.</w:t>
      </w:r>
    </w:p>
    <w:p w14:paraId="4AC36EF0" w14:textId="77777777" w:rsidR="00E01488" w:rsidRPr="00D72551" w:rsidRDefault="00E01488" w:rsidP="00E01488">
      <w:pPr>
        <w:spacing w:after="60"/>
        <w:ind w:left="426" w:hanging="426"/>
        <w:jc w:val="both"/>
        <w:rPr>
          <w:rFonts w:cstheme="minorHAnsi"/>
          <w:bCs/>
          <w:color w:val="2F5496" w:themeColor="accent1" w:themeShade="BF"/>
          <w:u w:val="single"/>
        </w:rPr>
      </w:pPr>
      <w:r w:rsidRPr="00D72551">
        <w:rPr>
          <w:rFonts w:cstheme="minorHAnsi"/>
          <w:bCs/>
          <w:color w:val="2F5496" w:themeColor="accent1" w:themeShade="BF"/>
          <w:u w:val="single"/>
        </w:rPr>
        <w:t>Dom z klimatem</w:t>
      </w:r>
    </w:p>
    <w:p w14:paraId="7ECF9847" w14:textId="24059789" w:rsidR="00E01488" w:rsidRPr="00D72551" w:rsidRDefault="00E01488" w:rsidP="00D72551">
      <w:pPr>
        <w:spacing w:after="60"/>
        <w:jc w:val="both"/>
        <w:rPr>
          <w:rFonts w:cstheme="minorHAnsi"/>
          <w:bCs/>
        </w:rPr>
      </w:pPr>
      <w:r w:rsidRPr="0035160C">
        <w:rPr>
          <w:rFonts w:cstheme="minorHAnsi"/>
          <w:bCs/>
        </w:rPr>
        <w:t xml:space="preserve">Ministerstwo Klimatu i Środowiska uruchomiło inicjatywę </w:t>
      </w:r>
      <w:r w:rsidR="00D72551">
        <w:rPr>
          <w:rFonts w:cstheme="minorHAnsi"/>
          <w:bCs/>
        </w:rPr>
        <w:t>„</w:t>
      </w:r>
      <w:r w:rsidRPr="0035160C">
        <w:rPr>
          <w:rFonts w:cstheme="minorHAnsi"/>
          <w:bCs/>
        </w:rPr>
        <w:t>Dom z klimatem</w:t>
      </w:r>
      <w:r w:rsidR="00D72551">
        <w:rPr>
          <w:rFonts w:cstheme="minorHAnsi"/>
          <w:bCs/>
        </w:rPr>
        <w:t>”</w:t>
      </w:r>
      <w:r w:rsidRPr="0035160C">
        <w:rPr>
          <w:rFonts w:cstheme="minorHAnsi"/>
          <w:bCs/>
        </w:rPr>
        <w:t>, która polega na promowaniu ekobudownictwa</w:t>
      </w:r>
      <w:r w:rsidR="00D72551">
        <w:rPr>
          <w:rFonts w:cstheme="minorHAnsi"/>
          <w:bCs/>
        </w:rPr>
        <w:t>,</w:t>
      </w:r>
      <w:r w:rsidRPr="0035160C">
        <w:rPr>
          <w:rFonts w:cstheme="minorHAnsi"/>
          <w:bCs/>
        </w:rPr>
        <w:t xml:space="preserve"> w tym materiałów budowlanych o niskim śladzie węglowym</w:t>
      </w:r>
      <w:r w:rsidR="00D72551">
        <w:rPr>
          <w:rFonts w:cstheme="minorHAnsi"/>
          <w:bCs/>
        </w:rPr>
        <w:t>,</w:t>
      </w:r>
      <w:r w:rsidRPr="0035160C">
        <w:rPr>
          <w:rFonts w:cstheme="minorHAnsi"/>
          <w:bCs/>
        </w:rPr>
        <w:t xml:space="preserve"> a także rozwiązań przyczyniających się do poprawy jakości powietrza, zwiększenia efektywności energetycznej budynków oraz obniżenia kosztów ich utrzymania.</w:t>
      </w:r>
    </w:p>
    <w:p w14:paraId="7D11C5BD" w14:textId="77777777" w:rsidR="00E01488" w:rsidRPr="00D72551" w:rsidRDefault="00E01488" w:rsidP="00E01488">
      <w:pPr>
        <w:tabs>
          <w:tab w:val="left" w:pos="0"/>
        </w:tabs>
        <w:spacing w:after="60"/>
        <w:jc w:val="both"/>
        <w:rPr>
          <w:rFonts w:eastAsia="Calibri" w:cstheme="minorHAnsi"/>
          <w:color w:val="2F5496" w:themeColor="accent1" w:themeShade="BF"/>
          <w:u w:val="single"/>
        </w:rPr>
      </w:pPr>
      <w:r w:rsidRPr="00D72551">
        <w:rPr>
          <w:rFonts w:eastAsia="Calibri" w:cstheme="minorHAnsi"/>
          <w:color w:val="2F5496" w:themeColor="accent1" w:themeShade="BF"/>
          <w:u w:val="single"/>
        </w:rPr>
        <w:t xml:space="preserve">Program Zielony Transport </w:t>
      </w:r>
    </w:p>
    <w:p w14:paraId="66DB7160" w14:textId="6F0F95B3" w:rsidR="00E01488" w:rsidRPr="0035160C" w:rsidRDefault="00E01488" w:rsidP="00E01488">
      <w:pPr>
        <w:tabs>
          <w:tab w:val="left" w:pos="0"/>
        </w:tabs>
        <w:spacing w:after="60"/>
        <w:jc w:val="both"/>
        <w:rPr>
          <w:rFonts w:eastAsia="Calibri" w:cstheme="minorHAnsi"/>
        </w:rPr>
      </w:pPr>
      <w:r w:rsidRPr="0035160C">
        <w:rPr>
          <w:rFonts w:eastAsia="Calibri" w:cstheme="minorHAnsi"/>
        </w:rPr>
        <w:t xml:space="preserve">Celem programu jest </w:t>
      </w:r>
      <w:r w:rsidR="00D72551">
        <w:rPr>
          <w:rFonts w:eastAsia="Calibri" w:cstheme="minorHAnsi"/>
        </w:rPr>
        <w:t>u</w:t>
      </w:r>
      <w:r w:rsidRPr="0035160C">
        <w:rPr>
          <w:rFonts w:eastAsia="Calibri" w:cstheme="minorHAnsi"/>
        </w:rPr>
        <w:t>niknięcie emisji zanieczyszczeń powietrza poprzez dofinansowanie przedsięwzięć polegających na obniżeniu wykorzystania paliw emisyjnych w transporcie.</w:t>
      </w:r>
    </w:p>
    <w:p w14:paraId="7D72E30D" w14:textId="77777777" w:rsidR="00E01488" w:rsidRPr="00D72551" w:rsidRDefault="00E01488" w:rsidP="00E01488">
      <w:pPr>
        <w:spacing w:after="60"/>
        <w:jc w:val="both"/>
        <w:rPr>
          <w:rFonts w:cstheme="minorHAnsi"/>
          <w:bCs/>
          <w:color w:val="2F5496" w:themeColor="accent1" w:themeShade="BF"/>
          <w:u w:val="single"/>
        </w:rPr>
      </w:pPr>
      <w:r w:rsidRPr="00D72551">
        <w:rPr>
          <w:rFonts w:cstheme="minorHAnsi"/>
          <w:bCs/>
          <w:color w:val="2F5496" w:themeColor="accent1" w:themeShade="BF"/>
          <w:u w:val="single"/>
        </w:rPr>
        <w:t>Program GreenEvo</w:t>
      </w:r>
    </w:p>
    <w:p w14:paraId="55331353" w14:textId="7A24BF47" w:rsidR="00E01488" w:rsidRPr="0035160C" w:rsidRDefault="00E01488" w:rsidP="00D72551">
      <w:pPr>
        <w:spacing w:after="60"/>
        <w:jc w:val="both"/>
        <w:rPr>
          <w:rFonts w:cstheme="minorHAnsi"/>
          <w:bCs/>
        </w:rPr>
      </w:pPr>
      <w:r w:rsidRPr="0035160C">
        <w:rPr>
          <w:rFonts w:cstheme="minorHAnsi"/>
          <w:bCs/>
        </w:rPr>
        <w:t xml:space="preserve">Program GreenEvo w praktyczny sposób realizuje założenia </w:t>
      </w:r>
      <w:r w:rsidR="00F546FF">
        <w:rPr>
          <w:rFonts w:cstheme="minorHAnsi"/>
          <w:bCs/>
        </w:rPr>
        <w:t>PEP2030</w:t>
      </w:r>
      <w:r w:rsidRPr="0035160C">
        <w:rPr>
          <w:rFonts w:cstheme="minorHAnsi"/>
          <w:bCs/>
        </w:rPr>
        <w:t xml:space="preserve"> w zakresie transferu technologii oraz prowadzenia działań proekologicznych</w:t>
      </w:r>
      <w:r w:rsidR="008A23A1">
        <w:rPr>
          <w:rFonts w:cstheme="minorHAnsi"/>
          <w:bCs/>
        </w:rPr>
        <w:t>.</w:t>
      </w:r>
    </w:p>
    <w:p w14:paraId="7B95AF3A" w14:textId="65F42C27" w:rsidR="00E01488" w:rsidRPr="00D72551" w:rsidRDefault="00E01488" w:rsidP="00E01488">
      <w:pPr>
        <w:spacing w:after="60"/>
        <w:jc w:val="both"/>
        <w:rPr>
          <w:rFonts w:cstheme="minorHAnsi"/>
          <w:bCs/>
        </w:rPr>
      </w:pPr>
      <w:r w:rsidRPr="0035160C">
        <w:rPr>
          <w:rFonts w:cstheme="minorHAnsi"/>
          <w:bCs/>
        </w:rPr>
        <w:t>Ministerstwo Klimatu i Środowiska od lat prowadzi program „GreenEvo – Akcelerator Zielonych Technologii”, przygotowany z myślą o promocji polskich zielonych technologii. Podstawą funkcjonowania Programu jest wsparcie polskich technologii środowiskowych w kraju i za granicą. Jego głównym zadaniem jest pomoc polskim małym i średnim firmom w nawiązywaniu kontaktów międzynarodowych, a także dostarczenie im wiedzy i narzędzi umożliwiających dynamiczny rozwój. Działania podejmowane w Programie w sposób kompleksowy stymulują zrównoważony rozwój oraz wzmacniają pozycję innowacyjnych zielonych technologii w procesie budowania gospodarki o obiegu zamkniętym (circular economy).</w:t>
      </w:r>
    </w:p>
    <w:p w14:paraId="446E34F8" w14:textId="634EB041" w:rsidR="00E01488" w:rsidRPr="00D72551" w:rsidRDefault="00E01488" w:rsidP="00E01488">
      <w:pPr>
        <w:spacing w:after="60"/>
        <w:jc w:val="both"/>
        <w:rPr>
          <w:rFonts w:cstheme="minorHAnsi"/>
          <w:bCs/>
          <w:color w:val="2F5496" w:themeColor="accent1" w:themeShade="BF"/>
          <w:u w:val="single"/>
        </w:rPr>
      </w:pPr>
      <w:r w:rsidRPr="00D72551">
        <w:rPr>
          <w:rFonts w:cstheme="minorHAnsi"/>
          <w:bCs/>
          <w:color w:val="2F5496" w:themeColor="accent1" w:themeShade="BF"/>
          <w:u w:val="single"/>
        </w:rPr>
        <w:t xml:space="preserve">Działania na rzecz ochrony, zachowania i projektowania „przewietrzalności miast”, w tym klinów napowietrzających </w:t>
      </w:r>
    </w:p>
    <w:p w14:paraId="52F2EA8E" w14:textId="77777777" w:rsidR="00E01488" w:rsidRPr="0035160C" w:rsidRDefault="00E01488" w:rsidP="00FB39CA">
      <w:pPr>
        <w:spacing w:after="60"/>
        <w:jc w:val="both"/>
        <w:rPr>
          <w:rFonts w:cstheme="minorHAnsi"/>
          <w:bCs/>
        </w:rPr>
      </w:pPr>
      <w:r w:rsidRPr="0035160C">
        <w:rPr>
          <w:rFonts w:cstheme="minorHAnsi"/>
          <w:bCs/>
        </w:rPr>
        <w:t xml:space="preserve">Zrównoważony rozwój przestrzenny wymaga mieszania funkcji i przeznaczenia terenów w mieście. Zagospodarowanie terenów zurbanizowanych musi uwzględniać kształtowanie spójnej sieci zieleni miejskiej, terenów wodnych, zielonych pierścieni i klinów napowietrzających – zielonej infrastruktury, </w:t>
      </w:r>
      <w:r w:rsidRPr="0035160C">
        <w:rPr>
          <w:rFonts w:cstheme="minorHAnsi"/>
          <w:bCs/>
        </w:rPr>
        <w:lastRenderedPageBreak/>
        <w:t xml:space="preserve">która korzystnie wpływa na zdrowie mieszkańców, poprawę jakości powietrza, zmniejszenie hałasu, ułatwia migracje zwierząt oraz poprawia atrakcyjność miast dla mieszkańców i inwestorów, nadając specyficzny charakter ich dzielnicom. </w:t>
      </w:r>
    </w:p>
    <w:p w14:paraId="15B994B4" w14:textId="578E5EF3" w:rsidR="00E01488" w:rsidRPr="00D72551" w:rsidRDefault="00E01488" w:rsidP="00E01488">
      <w:pPr>
        <w:spacing w:after="60"/>
        <w:jc w:val="both"/>
        <w:rPr>
          <w:rFonts w:cstheme="minorHAnsi"/>
          <w:bCs/>
        </w:rPr>
      </w:pPr>
      <w:r w:rsidRPr="0035160C">
        <w:rPr>
          <w:rFonts w:cstheme="minorHAnsi"/>
          <w:bCs/>
        </w:rPr>
        <w:t xml:space="preserve">Kliny nawietrzające to naturalne lub specjalnie projektowane obszary wolne od zabudowy, </w:t>
      </w:r>
      <w:r w:rsidR="00D91219">
        <w:rPr>
          <w:rFonts w:cstheme="minorHAnsi"/>
          <w:bCs/>
        </w:rPr>
        <w:t>usytuowane wzdłuż tzw. arterii miasta, zazwyczaj dużych ciągów komunikacyjnych</w:t>
      </w:r>
      <w:r w:rsidR="00B72F7E">
        <w:rPr>
          <w:rFonts w:cstheme="minorHAnsi"/>
          <w:bCs/>
        </w:rPr>
        <w:t>. Tworzone są w celu p</w:t>
      </w:r>
      <w:r w:rsidRPr="0035160C">
        <w:rPr>
          <w:rFonts w:cstheme="minorHAnsi"/>
          <w:bCs/>
        </w:rPr>
        <w:t>opraw</w:t>
      </w:r>
      <w:r w:rsidR="00B72F7E">
        <w:rPr>
          <w:rFonts w:cstheme="minorHAnsi"/>
          <w:bCs/>
        </w:rPr>
        <w:t>y</w:t>
      </w:r>
      <w:r w:rsidR="00D91219">
        <w:rPr>
          <w:rFonts w:cstheme="minorHAnsi"/>
          <w:bCs/>
        </w:rPr>
        <w:t xml:space="preserve"> jakości powietrza w miastach poprzez</w:t>
      </w:r>
      <w:r w:rsidRPr="0035160C">
        <w:rPr>
          <w:rFonts w:cstheme="minorHAnsi"/>
          <w:bCs/>
        </w:rPr>
        <w:t xml:space="preserve"> </w:t>
      </w:r>
      <w:r w:rsidR="00D91219">
        <w:rPr>
          <w:rFonts w:cstheme="minorHAnsi"/>
          <w:bCs/>
        </w:rPr>
        <w:t xml:space="preserve">umożliwienie </w:t>
      </w:r>
      <w:r w:rsidR="00B72F7E">
        <w:rPr>
          <w:rFonts w:cstheme="minorHAnsi"/>
          <w:bCs/>
        </w:rPr>
        <w:t xml:space="preserve">dobrego </w:t>
      </w:r>
      <w:r w:rsidRPr="0035160C">
        <w:rPr>
          <w:rFonts w:cstheme="minorHAnsi"/>
          <w:bCs/>
        </w:rPr>
        <w:t>przepływu powietrza przez miasto</w:t>
      </w:r>
      <w:r w:rsidR="00B72F7E">
        <w:rPr>
          <w:rFonts w:cstheme="minorHAnsi"/>
          <w:bCs/>
        </w:rPr>
        <w:t>, co wpływa na rozcieńczenie – obniżenie poziomu stężeń zanieczyszczeń</w:t>
      </w:r>
      <w:r w:rsidRPr="0035160C">
        <w:rPr>
          <w:rFonts w:cstheme="minorHAnsi"/>
          <w:bCs/>
        </w:rPr>
        <w:t xml:space="preserve">. </w:t>
      </w:r>
      <w:r w:rsidR="00D91219">
        <w:rPr>
          <w:rFonts w:cstheme="minorHAnsi"/>
          <w:bCs/>
        </w:rPr>
        <w:t>Kliny mają z</w:t>
      </w:r>
      <w:r w:rsidRPr="0035160C">
        <w:rPr>
          <w:rFonts w:cstheme="minorHAnsi"/>
          <w:bCs/>
        </w:rPr>
        <w:t xml:space="preserve">apewnić napływ </w:t>
      </w:r>
      <w:r w:rsidR="00D91219">
        <w:rPr>
          <w:rFonts w:cstheme="minorHAnsi"/>
          <w:bCs/>
        </w:rPr>
        <w:t xml:space="preserve">dodatkowego </w:t>
      </w:r>
      <w:r w:rsidRPr="0035160C">
        <w:rPr>
          <w:rFonts w:cstheme="minorHAnsi"/>
          <w:bCs/>
        </w:rPr>
        <w:t>powietrza z terenów po</w:t>
      </w:r>
      <w:r w:rsidR="00B72F7E">
        <w:rPr>
          <w:rFonts w:cstheme="minorHAnsi"/>
          <w:bCs/>
        </w:rPr>
        <w:t>zami</w:t>
      </w:r>
      <w:r w:rsidRPr="0035160C">
        <w:rPr>
          <w:rFonts w:cstheme="minorHAnsi"/>
          <w:bCs/>
        </w:rPr>
        <w:t>ejskich</w:t>
      </w:r>
      <w:r w:rsidR="00D91219">
        <w:rPr>
          <w:rFonts w:cstheme="minorHAnsi"/>
          <w:bCs/>
        </w:rPr>
        <w:t xml:space="preserve"> </w:t>
      </w:r>
      <w:r w:rsidRPr="0035160C">
        <w:rPr>
          <w:rFonts w:cstheme="minorHAnsi"/>
          <w:bCs/>
        </w:rPr>
        <w:t>w celu obniżenia poziomu stężeń zanieczyszczeń w powietrzu miejskim.</w:t>
      </w:r>
    </w:p>
    <w:p w14:paraId="0C0B53E6" w14:textId="49CFC070" w:rsidR="00C76C52" w:rsidRPr="0035160C" w:rsidRDefault="00C76C52">
      <w:pPr>
        <w:rPr>
          <w:rFonts w:cstheme="minorHAnsi"/>
          <w:bCs/>
        </w:rPr>
      </w:pPr>
      <w:r w:rsidRPr="0035160C">
        <w:rPr>
          <w:rFonts w:cstheme="minorHAnsi"/>
          <w:bCs/>
        </w:rPr>
        <w:br w:type="page"/>
      </w:r>
    </w:p>
    <w:p w14:paraId="6CCAF7B7" w14:textId="3B98D481" w:rsidR="00282106" w:rsidRPr="0035160C" w:rsidRDefault="008A7028" w:rsidP="008A7028">
      <w:pPr>
        <w:pStyle w:val="Nagwek2"/>
        <w:numPr>
          <w:ilvl w:val="0"/>
          <w:numId w:val="0"/>
        </w:numPr>
        <w:rPr>
          <w:b/>
          <w:sz w:val="22"/>
          <w:szCs w:val="22"/>
        </w:rPr>
      </w:pPr>
      <w:bookmarkStart w:id="79" w:name="_Toc78205902"/>
      <w:r w:rsidRPr="0035160C">
        <w:rPr>
          <w:b/>
          <w:sz w:val="22"/>
          <w:szCs w:val="22"/>
        </w:rPr>
        <w:lastRenderedPageBreak/>
        <w:t>9</w:t>
      </w:r>
      <w:r w:rsidR="00F03C94" w:rsidRPr="0035160C">
        <w:rPr>
          <w:b/>
          <w:sz w:val="22"/>
          <w:szCs w:val="22"/>
        </w:rPr>
        <w:t>.4</w:t>
      </w:r>
      <w:r w:rsidR="00C02205" w:rsidRPr="0035160C">
        <w:rPr>
          <w:b/>
          <w:sz w:val="22"/>
          <w:szCs w:val="22"/>
        </w:rPr>
        <w:t xml:space="preserve">. </w:t>
      </w:r>
      <w:r w:rsidR="00282106" w:rsidRPr="0035160C">
        <w:rPr>
          <w:b/>
          <w:sz w:val="22"/>
          <w:szCs w:val="22"/>
        </w:rPr>
        <w:t xml:space="preserve">Kierunek Interwencji </w:t>
      </w:r>
      <w:r w:rsidR="009F5080" w:rsidRPr="0035160C">
        <w:rPr>
          <w:b/>
          <w:sz w:val="22"/>
          <w:szCs w:val="22"/>
        </w:rPr>
        <w:t>4</w:t>
      </w:r>
      <w:r w:rsidR="00282106" w:rsidRPr="0035160C">
        <w:rPr>
          <w:b/>
          <w:sz w:val="22"/>
          <w:szCs w:val="22"/>
        </w:rPr>
        <w:t xml:space="preserve"> – </w:t>
      </w:r>
      <w:r w:rsidR="006D6FBE" w:rsidRPr="0035160C">
        <w:rPr>
          <w:b/>
          <w:sz w:val="22"/>
          <w:szCs w:val="22"/>
        </w:rPr>
        <w:t xml:space="preserve">ZWIĘKSZENIE UDZIAŁU CZYSTEJ ENERGII, CIEPŁA, </w:t>
      </w:r>
      <w:r w:rsidR="001314A8" w:rsidRPr="0035160C">
        <w:rPr>
          <w:b/>
          <w:sz w:val="22"/>
          <w:szCs w:val="22"/>
        </w:rPr>
        <w:t>ROZWÓJ ODNAWIALNYCH ŹRÓDEŁ ENERGII</w:t>
      </w:r>
      <w:bookmarkEnd w:id="79"/>
    </w:p>
    <w:p w14:paraId="55BCA42C" w14:textId="64FB84F5" w:rsidR="009F5080" w:rsidRPr="00F04B84" w:rsidRDefault="008C63AF" w:rsidP="008C63AF">
      <w:pPr>
        <w:pStyle w:val="Nagwek3"/>
        <w:numPr>
          <w:ilvl w:val="0"/>
          <w:numId w:val="0"/>
        </w:numPr>
        <w:rPr>
          <w:b/>
          <w:sz w:val="22"/>
          <w:szCs w:val="22"/>
          <w:lang w:eastAsia="ar-SA"/>
        </w:rPr>
      </w:pPr>
      <w:bookmarkStart w:id="80" w:name="_Toc78205903"/>
      <w:bookmarkEnd w:id="71"/>
      <w:r w:rsidRPr="00F04B84">
        <w:rPr>
          <w:b/>
          <w:sz w:val="22"/>
          <w:szCs w:val="22"/>
          <w:lang w:eastAsia="ar-SA"/>
        </w:rPr>
        <w:t xml:space="preserve">9.4.1 </w:t>
      </w:r>
      <w:r w:rsidR="009F5080" w:rsidRPr="00F04B84">
        <w:rPr>
          <w:b/>
          <w:sz w:val="22"/>
          <w:szCs w:val="22"/>
          <w:lang w:eastAsia="ar-SA"/>
        </w:rPr>
        <w:t>Rozwój odnawialnych źródeł energii – kierunki działań</w:t>
      </w:r>
      <w:bookmarkEnd w:id="80"/>
    </w:p>
    <w:p w14:paraId="40F30FF0" w14:textId="77777777" w:rsidR="009F5080" w:rsidRPr="0035160C" w:rsidRDefault="009F5080" w:rsidP="00C21F77">
      <w:pPr>
        <w:tabs>
          <w:tab w:val="left" w:pos="7514"/>
        </w:tabs>
        <w:suppressAutoHyphens/>
        <w:spacing w:after="0" w:line="276" w:lineRule="auto"/>
        <w:jc w:val="both"/>
        <w:rPr>
          <w:rFonts w:eastAsia="Calibri" w:cs="Times New Roman"/>
          <w:lang w:eastAsia="ar-SA"/>
        </w:rPr>
      </w:pPr>
      <w:r w:rsidRPr="0035160C">
        <w:rPr>
          <w:rFonts w:eastAsia="Times New Roman" w:cs="Times New Roman"/>
          <w:color w:val="000000"/>
          <w:lang w:eastAsia="ar-SA"/>
        </w:rPr>
        <w:t xml:space="preserve">Działania realizowane przez Rząd Polski związane z rozwojem odnawialnych źródeł energii służą m.in. obniżeniu emisyjności całego sektora energetycznego i zwiększeniu niezależności energetycznej od zewnętrznych dostaw energii. Aktywność w tym zakresie jest konsekwencją przyjętych przez Polskę zobowiązań międzynarodowych i w ramach Unii Europejskiej, służących </w:t>
      </w:r>
      <w:r w:rsidRPr="0035160C">
        <w:rPr>
          <w:rFonts w:eastAsia="Calibri" w:cs="Times New Roman"/>
          <w:lang w:eastAsia="ar-SA"/>
        </w:rPr>
        <w:t xml:space="preserve">adaptacji do zmian klimatycznych. </w:t>
      </w:r>
    </w:p>
    <w:p w14:paraId="47B74FDD" w14:textId="7D128647" w:rsidR="009F5080" w:rsidRPr="0035160C" w:rsidRDefault="009F5080" w:rsidP="00C21F77">
      <w:pPr>
        <w:tabs>
          <w:tab w:val="left" w:pos="7514"/>
        </w:tabs>
        <w:suppressAutoHyphens/>
        <w:spacing w:before="120" w:after="0" w:line="276" w:lineRule="auto"/>
        <w:jc w:val="both"/>
        <w:rPr>
          <w:rFonts w:eastAsia="Calibri" w:cs="Times New Roman"/>
          <w:lang w:eastAsia="ar-SA"/>
        </w:rPr>
      </w:pPr>
      <w:r w:rsidRPr="0035160C">
        <w:rPr>
          <w:rFonts w:eastAsia="Calibri" w:cs="Times New Roman"/>
          <w:lang w:eastAsia="ar-SA"/>
        </w:rPr>
        <w:t>W następstwie przystąpienia Unii Europejskiej i państw członkowskich do Protokołu z Kioto</w:t>
      </w:r>
      <w:r w:rsidRPr="0035160C">
        <w:rPr>
          <w:rFonts w:eastAsia="Calibri" w:cs="Times New Roman"/>
          <w:vertAlign w:val="superscript"/>
          <w:lang w:eastAsia="ar-SA"/>
        </w:rPr>
        <w:footnoteReference w:id="20"/>
      </w:r>
      <w:r w:rsidRPr="0035160C">
        <w:rPr>
          <w:rFonts w:eastAsia="Calibri" w:cs="Times New Roman"/>
          <w:lang w:eastAsia="ar-SA"/>
        </w:rPr>
        <w:t xml:space="preserve"> Rada Europejska w 2007 r. uzgodniła zobowiązania U</w:t>
      </w:r>
      <w:r w:rsidR="00A46D2D">
        <w:rPr>
          <w:rFonts w:eastAsia="Calibri" w:cs="Times New Roman"/>
          <w:lang w:eastAsia="ar-SA"/>
        </w:rPr>
        <w:t>nii</w:t>
      </w:r>
      <w:r w:rsidRPr="0035160C">
        <w:rPr>
          <w:rFonts w:eastAsia="Calibri" w:cs="Times New Roman"/>
          <w:lang w:eastAsia="ar-SA"/>
        </w:rPr>
        <w:t xml:space="preserve"> do redukcji gazów cieplarnianych o 20%, zwiększenie efektywności energetycznej o 20% i zwiększenie produkcji energii ze źródeł odnawialnych również o 20%</w:t>
      </w:r>
      <w:r w:rsidRPr="0035160C">
        <w:rPr>
          <w:rFonts w:eastAsia="Calibri" w:cs="Times New Roman"/>
          <w:vertAlign w:val="superscript"/>
          <w:lang w:eastAsia="ar-SA"/>
        </w:rPr>
        <w:footnoteReference w:id="21"/>
      </w:r>
      <w:r w:rsidRPr="0035160C">
        <w:rPr>
          <w:rFonts w:eastAsia="Calibri" w:cs="Times New Roman"/>
          <w:lang w:eastAsia="ar-SA"/>
        </w:rPr>
        <w:t>. Rok później w U</w:t>
      </w:r>
      <w:r w:rsidR="00A46D2D">
        <w:rPr>
          <w:rFonts w:eastAsia="Calibri" w:cs="Times New Roman"/>
          <w:lang w:eastAsia="ar-SA"/>
        </w:rPr>
        <w:t xml:space="preserve">nii </w:t>
      </w:r>
      <w:r w:rsidRPr="0035160C">
        <w:rPr>
          <w:rFonts w:eastAsia="Calibri" w:cs="Times New Roman"/>
          <w:lang w:eastAsia="ar-SA"/>
        </w:rPr>
        <w:t>E</w:t>
      </w:r>
      <w:r w:rsidR="00A46D2D">
        <w:rPr>
          <w:rFonts w:eastAsia="Calibri" w:cs="Times New Roman"/>
          <w:lang w:eastAsia="ar-SA"/>
        </w:rPr>
        <w:t>uropejskiej</w:t>
      </w:r>
      <w:r w:rsidRPr="0035160C">
        <w:rPr>
          <w:rFonts w:eastAsia="Calibri" w:cs="Times New Roman"/>
          <w:lang w:eastAsia="ar-SA"/>
        </w:rPr>
        <w:t xml:space="preserve"> doszło do przyjęcia pięciu dyrektyw i rozporządzenia </w:t>
      </w:r>
      <w:r w:rsidR="00630858">
        <w:rPr>
          <w:rFonts w:eastAsia="Calibri" w:cs="Times New Roman"/>
          <w:lang w:eastAsia="ar-SA"/>
        </w:rPr>
        <w:t>przenoszące</w:t>
      </w:r>
      <w:r w:rsidR="00A46D2D">
        <w:rPr>
          <w:rFonts w:eastAsia="Calibri" w:cs="Times New Roman"/>
          <w:lang w:eastAsia="ar-SA"/>
        </w:rPr>
        <w:t>go</w:t>
      </w:r>
      <w:r w:rsidRPr="0035160C">
        <w:rPr>
          <w:rFonts w:eastAsia="Calibri" w:cs="Times New Roman"/>
          <w:lang w:eastAsia="ar-SA"/>
        </w:rPr>
        <w:t xml:space="preserve"> wcześniejsze uzgodnienia polityczne na język aktów normatywnych U</w:t>
      </w:r>
      <w:r w:rsidR="00A46D2D">
        <w:rPr>
          <w:rFonts w:eastAsia="Calibri" w:cs="Times New Roman"/>
          <w:lang w:eastAsia="ar-SA"/>
        </w:rPr>
        <w:t>nii</w:t>
      </w:r>
      <w:r w:rsidRPr="0035160C">
        <w:rPr>
          <w:rFonts w:eastAsia="Calibri" w:cs="Times New Roman"/>
          <w:lang w:eastAsia="ar-SA"/>
        </w:rPr>
        <w:t xml:space="preserve">, określonych całościowo jako </w:t>
      </w:r>
      <w:r w:rsidRPr="0035160C">
        <w:rPr>
          <w:rFonts w:eastAsia="Calibri" w:cs="Times New Roman"/>
          <w:i/>
          <w:lang w:eastAsia="ar-SA"/>
        </w:rPr>
        <w:t>pakiet klimatyczno-energetyczny</w:t>
      </w:r>
      <w:r w:rsidRPr="0035160C">
        <w:rPr>
          <w:rFonts w:eastAsia="Calibri" w:cs="Times New Roman"/>
          <w:i/>
          <w:vertAlign w:val="superscript"/>
          <w:lang w:eastAsia="ar-SA"/>
        </w:rPr>
        <w:footnoteReference w:id="22"/>
      </w:r>
      <w:r w:rsidRPr="0035160C">
        <w:rPr>
          <w:rFonts w:eastAsia="Calibri" w:cs="Times New Roman"/>
          <w:lang w:eastAsia="ar-SA"/>
        </w:rPr>
        <w:t xml:space="preserve">, którego centralnym elementem stały się rozwiązania dotyczące odnawialnych źródeł energii. Wśród przyjętych aktów prawodawczych była dyrektywa </w:t>
      </w:r>
      <w:r w:rsidRPr="0035160C">
        <w:rPr>
          <w:rFonts w:eastAsia="Calibri" w:cs="Times New Roman"/>
          <w:i/>
          <w:lang w:eastAsia="ar-SA"/>
        </w:rPr>
        <w:t>RED</w:t>
      </w:r>
      <w:r w:rsidRPr="0035160C">
        <w:rPr>
          <w:rFonts w:eastAsia="Calibri" w:cs="Times New Roman"/>
          <w:lang w:eastAsia="ar-SA"/>
        </w:rPr>
        <w:t xml:space="preserve"> dot. odnawialnych źródeł energii</w:t>
      </w:r>
      <w:r w:rsidRPr="0035160C">
        <w:rPr>
          <w:rFonts w:eastAsia="Calibri" w:cs="Times New Roman"/>
          <w:vertAlign w:val="superscript"/>
          <w:lang w:eastAsia="ar-SA"/>
        </w:rPr>
        <w:footnoteReference w:id="23"/>
      </w:r>
      <w:r w:rsidRPr="0035160C">
        <w:rPr>
          <w:rFonts w:eastAsia="Calibri" w:cs="Times New Roman"/>
          <w:lang w:eastAsia="ar-SA"/>
        </w:rPr>
        <w:t>. To właśnie na jej podstawie został zwiększony dotychczasowy cel, określający udział źródeł odnawialnych w końcowym zużyciu energii na poziomie U</w:t>
      </w:r>
      <w:r w:rsidR="00A46D2D">
        <w:rPr>
          <w:rFonts w:eastAsia="Calibri" w:cs="Times New Roman"/>
          <w:lang w:eastAsia="ar-SA"/>
        </w:rPr>
        <w:t>nii</w:t>
      </w:r>
      <w:r w:rsidRPr="0035160C">
        <w:rPr>
          <w:rFonts w:eastAsia="Calibri" w:cs="Times New Roman"/>
          <w:lang w:eastAsia="ar-SA"/>
        </w:rPr>
        <w:t>.</w:t>
      </w:r>
    </w:p>
    <w:p w14:paraId="5E7FBDC8" w14:textId="77777777" w:rsidR="009F5080" w:rsidRPr="0035160C" w:rsidRDefault="009F5080" w:rsidP="00C21F77">
      <w:pPr>
        <w:suppressAutoHyphens/>
        <w:spacing w:after="0" w:line="276" w:lineRule="auto"/>
        <w:contextualSpacing/>
        <w:jc w:val="both"/>
        <w:rPr>
          <w:rFonts w:eastAsia="Calibri" w:cs="Times New Roman"/>
          <w:lang w:eastAsia="ar-SA"/>
        </w:rPr>
      </w:pPr>
      <w:r w:rsidRPr="0035160C">
        <w:rPr>
          <w:rFonts w:eastAsia="Calibri" w:cs="Times New Roman"/>
          <w:lang w:eastAsia="ar-SA"/>
        </w:rPr>
        <w:t>Przekonanie społeczności globalnej o konieczności dokonania jeszcze większej globalnej redukcji emisji gazów cieplarnianych w porównaniu z tym, co zostało uzgodnione w Kioto w 1997 r. doprowadziło do zawarcia w 2015 r. w trakcie Konferencji Narodów Zjednoczonych w sprawie zmian klimatu nowej umowy międzynarodowej - Porozumienia paryskiego</w:t>
      </w:r>
      <w:r w:rsidRPr="0035160C">
        <w:rPr>
          <w:rFonts w:eastAsia="Calibri" w:cs="Times New Roman"/>
          <w:vertAlign w:val="superscript"/>
          <w:lang w:eastAsia="ar-SA"/>
        </w:rPr>
        <w:footnoteReference w:id="24"/>
      </w:r>
      <w:r w:rsidRPr="0035160C">
        <w:rPr>
          <w:rFonts w:eastAsia="Calibri" w:cs="Times New Roman"/>
          <w:lang w:eastAsia="ar-SA"/>
        </w:rPr>
        <w:t>. Strony umowy zobowiązały się do ograniczenia wzrostu średniej temperatury globalnej do poziomu znacznie niższego niż 2°C powyżej poziomu przedindustrialnego oraz podejmowanie wysiłków mających na celu ograniczenie wzrostu temperatury do 1,5°C. Przyjęty w 2018 r. na COP24</w:t>
      </w:r>
      <w:r w:rsidRPr="0035160C">
        <w:rPr>
          <w:rFonts w:eastAsia="Calibri" w:cs="Times New Roman"/>
          <w:vertAlign w:val="superscript"/>
          <w:lang w:eastAsia="ar-SA"/>
        </w:rPr>
        <w:footnoteReference w:id="25"/>
      </w:r>
      <w:r w:rsidRPr="0035160C">
        <w:rPr>
          <w:rFonts w:eastAsia="Calibri" w:cs="Times New Roman"/>
          <w:lang w:eastAsia="ar-SA"/>
        </w:rPr>
        <w:t>, dzięki zaangażowaniu polskiej Prezydencji szczytu, pakiet decyzji wdrażających Porozumienie paryskie - „Katowice Rulebook” ustanowił podstawę wdrażania nowego globalnego reżimu ochrony klimatu po 2020 r.</w:t>
      </w:r>
      <w:r w:rsidRPr="0035160C">
        <w:rPr>
          <w:rFonts w:eastAsia="Calibri" w:cs="Times New Roman"/>
          <w:vertAlign w:val="superscript"/>
          <w:lang w:eastAsia="ar-SA"/>
        </w:rPr>
        <w:footnoteReference w:id="26"/>
      </w:r>
    </w:p>
    <w:p w14:paraId="65A07C18" w14:textId="5037EC97" w:rsidR="009F5080" w:rsidRPr="0035160C" w:rsidRDefault="009F5080" w:rsidP="00C21F77">
      <w:pPr>
        <w:suppressAutoHyphens/>
        <w:autoSpaceDE w:val="0"/>
        <w:autoSpaceDN w:val="0"/>
        <w:adjustRightInd w:val="0"/>
        <w:spacing w:after="0" w:line="276" w:lineRule="auto"/>
        <w:jc w:val="both"/>
        <w:rPr>
          <w:rFonts w:eastAsia="Calibri" w:cs="Times New Roman"/>
          <w:lang w:eastAsia="ar-SA"/>
        </w:rPr>
      </w:pPr>
      <w:r w:rsidRPr="0035160C">
        <w:rPr>
          <w:rFonts w:eastAsia="Calibri" w:cs="Times New Roman"/>
          <w:lang w:eastAsia="ar-SA"/>
        </w:rPr>
        <w:lastRenderedPageBreak/>
        <w:t>Ustanowienie przez Radę Europejską w grudniu 2019 r.</w:t>
      </w:r>
      <w:r w:rsidRPr="0035160C">
        <w:rPr>
          <w:rFonts w:eastAsia="Calibri" w:cs="Times New Roman"/>
          <w:vertAlign w:val="superscript"/>
          <w:lang w:eastAsia="ar-SA"/>
        </w:rPr>
        <w:footnoteReference w:id="27"/>
      </w:r>
      <w:r w:rsidRPr="0035160C">
        <w:rPr>
          <w:rFonts w:eastAsia="Calibri" w:cs="Times New Roman"/>
          <w:lang w:eastAsia="ar-SA"/>
        </w:rPr>
        <w:t xml:space="preserve"> zobowiązania do osiągnięcia wspólnego celu neutralności klimatycznej do 2050 r. i równolegle ogłoszenie przez Komisję Europejską komunikatu </w:t>
      </w:r>
      <w:r w:rsidRPr="0035160C">
        <w:rPr>
          <w:rFonts w:eastAsia="Calibri" w:cs="Times New Roman"/>
          <w:i/>
          <w:lang w:eastAsia="ar-SA"/>
        </w:rPr>
        <w:t>Europejski Zielony Ład</w:t>
      </w:r>
      <w:r w:rsidRPr="0035160C">
        <w:rPr>
          <w:rFonts w:eastAsia="Calibri" w:cs="Times New Roman"/>
          <w:vertAlign w:val="superscript"/>
          <w:lang w:eastAsia="ar-SA"/>
        </w:rPr>
        <w:footnoteReference w:id="28"/>
      </w:r>
      <w:r w:rsidRPr="0035160C">
        <w:rPr>
          <w:rFonts w:eastAsia="Calibri" w:cs="Times New Roman"/>
          <w:lang w:eastAsia="ar-SA"/>
        </w:rPr>
        <w:t>, będącego zbiorem politycznych inicjatyw, które miałyby pomóc osiągnąć znaczące redukcje emisji gazów cieplarnianych w ciągu najbliższych 30 lat stanowiło przełom w programowaniu rozwoju gospodarczego krajów U</w:t>
      </w:r>
      <w:r w:rsidR="00A46D2D">
        <w:rPr>
          <w:rFonts w:eastAsia="Calibri" w:cs="Times New Roman"/>
          <w:lang w:eastAsia="ar-SA"/>
        </w:rPr>
        <w:t>nii</w:t>
      </w:r>
      <w:r w:rsidRPr="0035160C">
        <w:rPr>
          <w:rFonts w:eastAsia="Calibri" w:cs="Times New Roman"/>
          <w:lang w:eastAsia="ar-SA"/>
        </w:rPr>
        <w:t xml:space="preserve"> w ramach procesu integracji europejskiej. Te inicjatywy wraz z nową deklaracją Rady Europejskiej z 2020 r.</w:t>
      </w:r>
      <w:r w:rsidRPr="0035160C">
        <w:rPr>
          <w:rFonts w:eastAsia="Calibri" w:cs="Times New Roman"/>
          <w:vertAlign w:val="superscript"/>
          <w:lang w:eastAsia="ar-SA"/>
        </w:rPr>
        <w:footnoteReference w:id="29"/>
      </w:r>
      <w:r w:rsidRPr="0035160C">
        <w:rPr>
          <w:rFonts w:eastAsia="Calibri" w:cs="Times New Roman"/>
          <w:lang w:eastAsia="ar-SA"/>
        </w:rPr>
        <w:t xml:space="preserve"> o ograniczeniu krajowych emisji netto gazów cieplarnianych o</w:t>
      </w:r>
      <w:r w:rsidR="00921BE8">
        <w:rPr>
          <w:rFonts w:eastAsia="Calibri" w:cs="Times New Roman"/>
          <w:lang w:eastAsia="ar-SA"/>
        </w:rPr>
        <w:t xml:space="preserve"> </w:t>
      </w:r>
      <w:r w:rsidRPr="0035160C">
        <w:rPr>
          <w:rFonts w:eastAsia="Calibri" w:cs="Times New Roman"/>
          <w:lang w:eastAsia="ar-SA"/>
        </w:rPr>
        <w:t xml:space="preserve">co najmniej 55 % do 2030 r. wymusiło na państwach członkowskich znaczne przyspieszenie transformacji energetycznej. Jej główne założenia dotyczą m.in. modernizacji i rozwoju infrastruktury energetycznej, a przede wszystkim znaczącego zwiększenia udziału odnawialnych źródeł energii w miksie energetycznym tzn. w strukturze produkcji i konsumpcji energii w Unii Europejskiej. </w:t>
      </w:r>
    </w:p>
    <w:p w14:paraId="778FFF26" w14:textId="66371463" w:rsidR="00921BE8" w:rsidRDefault="009F5080" w:rsidP="00C21F77">
      <w:pPr>
        <w:tabs>
          <w:tab w:val="left" w:pos="7514"/>
        </w:tabs>
        <w:suppressAutoHyphens/>
        <w:spacing w:before="120" w:after="0" w:line="276" w:lineRule="auto"/>
        <w:jc w:val="both"/>
        <w:rPr>
          <w:rFonts w:eastAsia="Times New Roman" w:cs="Times New Roman"/>
          <w:color w:val="000000"/>
          <w:lang w:eastAsia="ar-SA"/>
        </w:rPr>
      </w:pPr>
      <w:r w:rsidRPr="0035160C">
        <w:rPr>
          <w:rFonts w:eastAsia="Times New Roman" w:cs="Times New Roman"/>
          <w:color w:val="000000"/>
          <w:lang w:eastAsia="ar-SA"/>
        </w:rPr>
        <w:t xml:space="preserve">Kierunki działań </w:t>
      </w:r>
      <w:r w:rsidR="005E0AD9">
        <w:rPr>
          <w:rFonts w:eastAsia="Times New Roman" w:cs="Times New Roman"/>
          <w:color w:val="000000"/>
          <w:lang w:eastAsia="ar-SA"/>
        </w:rPr>
        <w:t>Rządu RP</w:t>
      </w:r>
      <w:r w:rsidRPr="0035160C">
        <w:rPr>
          <w:rFonts w:eastAsia="Times New Roman" w:cs="Times New Roman"/>
          <w:color w:val="000000"/>
          <w:lang w:eastAsia="ar-SA"/>
        </w:rPr>
        <w:t>, zmierzające do realizacji wyznaczonych celów w zakresie zwiększenia udziału czystej energii, ciepła oraz rozwój odnawialnych źródeł energii zostały określone w trzech dokumentach strategicznych</w:t>
      </w:r>
      <w:r w:rsidR="005E0AD9">
        <w:rPr>
          <w:rFonts w:eastAsia="Times New Roman" w:cs="Times New Roman"/>
          <w:color w:val="000000"/>
          <w:lang w:eastAsia="ar-SA"/>
        </w:rPr>
        <w:t xml:space="preserve">: </w:t>
      </w:r>
      <w:r w:rsidRPr="0035160C">
        <w:rPr>
          <w:rFonts w:eastAsia="Times New Roman" w:cs="Times New Roman"/>
          <w:color w:val="000000"/>
          <w:lang w:eastAsia="ar-SA"/>
        </w:rPr>
        <w:t xml:space="preserve">. </w:t>
      </w:r>
    </w:p>
    <w:p w14:paraId="65A4E22B" w14:textId="54C7FC50" w:rsidR="005E0AD9" w:rsidRPr="005E0AD9" w:rsidRDefault="00A46D2D" w:rsidP="005E0AD9">
      <w:pPr>
        <w:pStyle w:val="Akapitzlist"/>
        <w:numPr>
          <w:ilvl w:val="0"/>
          <w:numId w:val="81"/>
        </w:numPr>
        <w:tabs>
          <w:tab w:val="left" w:pos="7514"/>
        </w:tabs>
        <w:suppressAutoHyphens/>
        <w:spacing w:after="0" w:line="276" w:lineRule="auto"/>
        <w:jc w:val="both"/>
        <w:rPr>
          <w:rFonts w:eastAsia="Times New Roman" w:cs="Times New Roman"/>
          <w:color w:val="000000"/>
          <w:lang w:eastAsia="ar-SA"/>
        </w:rPr>
      </w:pPr>
      <w:r>
        <w:rPr>
          <w:rFonts w:eastAsia="Times New Roman" w:cs="Times New Roman"/>
          <w:color w:val="000000"/>
          <w:lang w:eastAsia="ar-SA"/>
        </w:rPr>
        <w:t>PEP2030</w:t>
      </w:r>
    </w:p>
    <w:p w14:paraId="12FA30D1" w14:textId="7E10B018" w:rsidR="005E0AD9" w:rsidRPr="005E0AD9" w:rsidRDefault="009F5080" w:rsidP="00C21F77">
      <w:pPr>
        <w:pStyle w:val="Akapitzlist"/>
        <w:numPr>
          <w:ilvl w:val="0"/>
          <w:numId w:val="81"/>
        </w:numPr>
        <w:tabs>
          <w:tab w:val="left" w:pos="7514"/>
        </w:tabs>
        <w:suppressAutoHyphens/>
        <w:spacing w:after="0" w:line="276" w:lineRule="auto"/>
        <w:jc w:val="both"/>
        <w:rPr>
          <w:rFonts w:eastAsia="Times New Roman" w:cs="Times New Roman"/>
          <w:color w:val="000000"/>
          <w:lang w:eastAsia="ar-SA"/>
        </w:rPr>
      </w:pPr>
      <w:r w:rsidRPr="005E0AD9">
        <w:rPr>
          <w:rFonts w:eastAsia="Times New Roman" w:cs="Times New Roman"/>
          <w:color w:val="000000"/>
          <w:lang w:eastAsia="ar-SA"/>
        </w:rPr>
        <w:t xml:space="preserve"> </w:t>
      </w:r>
      <w:r w:rsidRPr="005E0AD9">
        <w:rPr>
          <w:rFonts w:eastAsia="Calibri" w:cs="Times New Roman"/>
          <w:lang w:eastAsia="ar-SA"/>
        </w:rPr>
        <w:t>KPEiK</w:t>
      </w:r>
      <w:r w:rsidR="005E0AD9">
        <w:rPr>
          <w:rFonts w:eastAsia="Calibri" w:cs="Times New Roman"/>
          <w:lang w:eastAsia="ar-SA"/>
        </w:rPr>
        <w:t>,</w:t>
      </w:r>
    </w:p>
    <w:p w14:paraId="2A129D83" w14:textId="09EE61DB" w:rsidR="005E0AD9" w:rsidRDefault="009F5080" w:rsidP="001A02E3">
      <w:pPr>
        <w:pStyle w:val="Akapitzlist"/>
        <w:numPr>
          <w:ilvl w:val="0"/>
          <w:numId w:val="81"/>
        </w:numPr>
        <w:tabs>
          <w:tab w:val="left" w:pos="7514"/>
        </w:tabs>
        <w:suppressAutoHyphens/>
        <w:spacing w:after="0" w:line="276" w:lineRule="auto"/>
        <w:jc w:val="both"/>
        <w:rPr>
          <w:rFonts w:eastAsia="Calibri" w:cs="Times New Roman"/>
          <w:lang w:eastAsia="ar-SA"/>
        </w:rPr>
      </w:pPr>
      <w:r w:rsidRPr="005E0AD9">
        <w:rPr>
          <w:rFonts w:eastAsia="Calibri" w:cs="Times New Roman"/>
          <w:lang w:eastAsia="ar-SA"/>
        </w:rPr>
        <w:t xml:space="preserve">PEP2040. </w:t>
      </w:r>
    </w:p>
    <w:p w14:paraId="0ADA5EB5" w14:textId="192CBEB4" w:rsidR="009F5080" w:rsidRPr="005E0AD9" w:rsidRDefault="009F5080" w:rsidP="005E0AD9">
      <w:pPr>
        <w:tabs>
          <w:tab w:val="left" w:pos="7514"/>
        </w:tabs>
        <w:suppressAutoHyphens/>
        <w:spacing w:before="120" w:after="0" w:line="276" w:lineRule="auto"/>
        <w:jc w:val="both"/>
        <w:rPr>
          <w:rFonts w:eastAsia="Calibri" w:cs="Times New Roman"/>
          <w:lang w:eastAsia="ar-SA"/>
        </w:rPr>
      </w:pPr>
      <w:r w:rsidRPr="005E0AD9">
        <w:rPr>
          <w:rFonts w:eastAsia="Calibri" w:cs="Times New Roman"/>
          <w:lang w:eastAsia="ar-SA"/>
        </w:rPr>
        <w:t>KPEiK został opracowany w oparciu o krajowe dokumenty strategiczne dot. różnych sektorów. Zawiera zbiór i podsumowanie założeń, celów i środków przedstawionych w strategiach sektorowych, nie wprowadzając nowych rozwiązań.</w:t>
      </w:r>
    </w:p>
    <w:p w14:paraId="3C551DAC" w14:textId="56CA86B0" w:rsidR="00596BB7" w:rsidRPr="00596BB7" w:rsidRDefault="00596BB7" w:rsidP="00C21F77">
      <w:pPr>
        <w:tabs>
          <w:tab w:val="left" w:pos="7514"/>
        </w:tabs>
        <w:suppressAutoHyphens/>
        <w:spacing w:before="120" w:after="0" w:line="276" w:lineRule="auto"/>
        <w:jc w:val="both"/>
        <w:rPr>
          <w:rFonts w:eastAsia="Times New Roman" w:cs="Times New Roman"/>
          <w:bCs/>
          <w:color w:val="000000"/>
          <w:lang w:eastAsia="ar-SA"/>
        </w:rPr>
      </w:pPr>
      <w:r w:rsidRPr="00596BB7">
        <w:rPr>
          <w:rFonts w:eastAsia="Times New Roman" w:cs="Times New Roman"/>
          <w:color w:val="000000"/>
          <w:lang w:eastAsia="ar-SA"/>
        </w:rPr>
        <w:t>Cele PEP2040 mogące mieć wpływ na jakość powietrza to: r</w:t>
      </w:r>
      <w:r w:rsidRPr="00596BB7">
        <w:rPr>
          <w:rFonts w:eastAsia="Times New Roman" w:cs="Times New Roman"/>
          <w:bCs/>
          <w:color w:val="000000"/>
          <w:lang w:eastAsia="ar-SA"/>
        </w:rPr>
        <w:t>ozwój rynków energii, rozwój OZE</w:t>
      </w:r>
      <w:r w:rsidRPr="00596BB7">
        <w:rPr>
          <w:rFonts w:eastAsia="Times New Roman" w:cs="Times New Roman"/>
          <w:color w:val="000000"/>
          <w:lang w:eastAsia="ar-SA"/>
        </w:rPr>
        <w:t>, r</w:t>
      </w:r>
      <w:r w:rsidRPr="00596BB7">
        <w:rPr>
          <w:rFonts w:eastAsia="Times New Roman" w:cs="Times New Roman"/>
          <w:bCs/>
          <w:color w:val="000000"/>
          <w:lang w:eastAsia="ar-SA"/>
        </w:rPr>
        <w:t>ozwój ciepłownictwa i kogeneracji oraz</w:t>
      </w:r>
      <w:r w:rsidRPr="00596BB7">
        <w:rPr>
          <w:rFonts w:eastAsia="Times New Roman" w:cs="Times New Roman"/>
          <w:color w:val="000000"/>
          <w:lang w:eastAsia="ar-SA"/>
        </w:rPr>
        <w:t xml:space="preserve"> p</w:t>
      </w:r>
      <w:r w:rsidRPr="00596BB7">
        <w:rPr>
          <w:rFonts w:eastAsia="Times New Roman" w:cs="Times New Roman"/>
          <w:bCs/>
          <w:color w:val="000000"/>
          <w:lang w:eastAsia="ar-SA"/>
        </w:rPr>
        <w:t>oprawa efektywności energetycznej.</w:t>
      </w:r>
    </w:p>
    <w:p w14:paraId="65450FC4" w14:textId="329DE023" w:rsidR="00596BB7" w:rsidRPr="00E83218" w:rsidRDefault="009F5080" w:rsidP="00596BB7">
      <w:pPr>
        <w:tabs>
          <w:tab w:val="left" w:pos="7514"/>
        </w:tabs>
        <w:suppressAutoHyphens/>
        <w:spacing w:before="120" w:after="0" w:line="276" w:lineRule="auto"/>
        <w:jc w:val="both"/>
        <w:rPr>
          <w:rFonts w:eastAsia="Calibri" w:cs="Times New Roman"/>
          <w:b/>
          <w:lang w:eastAsia="ar-SA"/>
        </w:rPr>
      </w:pPr>
      <w:r w:rsidRPr="0035160C">
        <w:rPr>
          <w:rFonts w:eastAsia="Times New Roman" w:cs="Times New Roman"/>
          <w:color w:val="000000"/>
          <w:lang w:eastAsia="ar-SA"/>
        </w:rPr>
        <w:t xml:space="preserve">Nie mniej jednak, realizowane na szczeblu lokalnym działania te mogą przysłużyć się do realizacji podobnych celów na poziomie jednostek samorządu terytorialnego i gospodarstw domowych poprzez wykorzystanie źródeł energii rozproszonych o niewielkich mocach. </w:t>
      </w:r>
    </w:p>
    <w:p w14:paraId="4023A4D5" w14:textId="06F0F71F" w:rsidR="009F5080" w:rsidRPr="002E2D94" w:rsidRDefault="009F5080" w:rsidP="00596BB7">
      <w:pPr>
        <w:tabs>
          <w:tab w:val="left" w:pos="7514"/>
        </w:tabs>
        <w:suppressAutoHyphens/>
        <w:spacing w:before="120" w:after="0" w:line="276" w:lineRule="auto"/>
        <w:jc w:val="both"/>
        <w:rPr>
          <w:rFonts w:eastAsia="Times New Roman" w:cs="Times New Roman"/>
          <w:b/>
          <w:bCs/>
          <w:color w:val="2F5496" w:themeColor="accent1" w:themeShade="BF"/>
          <w:lang w:eastAsia="ar-SA"/>
        </w:rPr>
      </w:pPr>
      <w:r w:rsidRPr="002E2D94">
        <w:rPr>
          <w:rFonts w:eastAsia="Times New Roman" w:cs="Times New Roman"/>
          <w:b/>
          <w:bCs/>
          <w:color w:val="2F5496" w:themeColor="accent1" w:themeShade="BF"/>
          <w:lang w:eastAsia="ar-SA"/>
        </w:rPr>
        <w:t>Kierunki działań do podjęcia:</w:t>
      </w:r>
    </w:p>
    <w:p w14:paraId="32774909" w14:textId="6DAC5C27" w:rsidR="009F5080" w:rsidRPr="002E2D94" w:rsidRDefault="00A46D2D" w:rsidP="00C21F77">
      <w:pPr>
        <w:numPr>
          <w:ilvl w:val="0"/>
          <w:numId w:val="42"/>
        </w:numPr>
        <w:tabs>
          <w:tab w:val="left" w:pos="7514"/>
        </w:tabs>
        <w:suppressAutoHyphens/>
        <w:spacing w:after="0" w:line="276" w:lineRule="auto"/>
        <w:contextualSpacing/>
        <w:jc w:val="both"/>
        <w:rPr>
          <w:rFonts w:eastAsia="Times New Roman" w:cs="Times New Roman"/>
          <w:b/>
          <w:bCs/>
          <w:color w:val="2F5496" w:themeColor="accent1" w:themeShade="BF"/>
          <w:u w:val="single"/>
          <w:lang w:eastAsia="ar-SA"/>
        </w:rPr>
      </w:pPr>
      <w:r>
        <w:rPr>
          <w:rFonts w:eastAsia="Times New Roman" w:cs="Times New Roman"/>
          <w:b/>
          <w:bCs/>
          <w:color w:val="2F5496" w:themeColor="accent1" w:themeShade="BF"/>
          <w:u w:val="single"/>
          <w:lang w:eastAsia="ar-SA"/>
        </w:rPr>
        <w:t>w</w:t>
      </w:r>
      <w:r w:rsidR="009F5080" w:rsidRPr="002E2D94">
        <w:rPr>
          <w:rFonts w:eastAsia="Times New Roman" w:cs="Times New Roman"/>
          <w:b/>
          <w:bCs/>
          <w:color w:val="2F5496" w:themeColor="accent1" w:themeShade="BF"/>
          <w:u w:val="single"/>
          <w:lang w:eastAsia="ar-SA"/>
        </w:rPr>
        <w:t xml:space="preserve"> perspektywie 2025</w:t>
      </w:r>
      <w:r w:rsidR="00921BE8" w:rsidRPr="002E2D94">
        <w:rPr>
          <w:rFonts w:eastAsia="Times New Roman" w:cs="Times New Roman"/>
          <w:b/>
          <w:bCs/>
          <w:color w:val="2F5496" w:themeColor="accent1" w:themeShade="BF"/>
          <w:u w:val="single"/>
          <w:lang w:eastAsia="ar-SA"/>
        </w:rPr>
        <w:t xml:space="preserve"> </w:t>
      </w:r>
      <w:r w:rsidR="009F5080" w:rsidRPr="002E2D94">
        <w:rPr>
          <w:rFonts w:eastAsia="Times New Roman" w:cs="Times New Roman"/>
          <w:b/>
          <w:bCs/>
          <w:color w:val="2F5496" w:themeColor="accent1" w:themeShade="BF"/>
          <w:u w:val="single"/>
          <w:lang w:eastAsia="ar-SA"/>
        </w:rPr>
        <w:t>r.</w:t>
      </w:r>
      <w:r w:rsidR="00921BE8" w:rsidRPr="002E2D94">
        <w:rPr>
          <w:rFonts w:eastAsia="Times New Roman" w:cs="Times New Roman"/>
          <w:b/>
          <w:bCs/>
          <w:color w:val="2F5496" w:themeColor="accent1" w:themeShade="BF"/>
          <w:u w:val="single"/>
          <w:lang w:eastAsia="ar-SA"/>
        </w:rPr>
        <w:t>:</w:t>
      </w:r>
    </w:p>
    <w:p w14:paraId="2539A6F4" w14:textId="2994DCB1" w:rsidR="009F5080" w:rsidRPr="0035160C" w:rsidRDefault="00921BE8" w:rsidP="00C21F77">
      <w:pPr>
        <w:numPr>
          <w:ilvl w:val="0"/>
          <w:numId w:val="43"/>
        </w:numPr>
        <w:tabs>
          <w:tab w:val="left" w:pos="7514"/>
        </w:tabs>
        <w:suppressAutoHyphens/>
        <w:spacing w:after="0" w:line="276" w:lineRule="auto"/>
        <w:contextualSpacing/>
        <w:jc w:val="both"/>
        <w:rPr>
          <w:rFonts w:eastAsia="Times New Roman" w:cs="Times New Roman"/>
          <w:color w:val="000000"/>
          <w:lang w:eastAsia="ar-SA"/>
        </w:rPr>
      </w:pPr>
      <w:r>
        <w:rPr>
          <w:rFonts w:eastAsia="Times New Roman" w:cs="Times New Roman"/>
          <w:color w:val="000000"/>
          <w:lang w:eastAsia="ar-SA"/>
        </w:rPr>
        <w:t>z</w:t>
      </w:r>
      <w:r w:rsidR="009F5080" w:rsidRPr="0035160C">
        <w:rPr>
          <w:rFonts w:eastAsia="Times New Roman" w:cs="Times New Roman"/>
          <w:color w:val="000000"/>
          <w:lang w:eastAsia="ar-SA"/>
        </w:rPr>
        <w:t>większenie udziału odnawialnych źródeł energii w gospodarstwach domowych poprzez realizację działań promujących ich wykorzystanie, w tym regulacji: ułatwiających przyłączanie mikroinstalacji do sieci dystrybucyjnej, przedłużających wsparcie systemowe i inwestycyjne;</w:t>
      </w:r>
    </w:p>
    <w:p w14:paraId="2FC69976" w14:textId="7BA2EFA9" w:rsidR="009F5080" w:rsidRPr="0035160C" w:rsidRDefault="00921BE8" w:rsidP="00C21F77">
      <w:pPr>
        <w:numPr>
          <w:ilvl w:val="0"/>
          <w:numId w:val="43"/>
        </w:numPr>
        <w:tabs>
          <w:tab w:val="left" w:pos="7514"/>
        </w:tabs>
        <w:suppressAutoHyphens/>
        <w:spacing w:after="0" w:line="276" w:lineRule="auto"/>
        <w:contextualSpacing/>
        <w:jc w:val="both"/>
        <w:rPr>
          <w:rFonts w:eastAsia="Times New Roman" w:cs="Times New Roman"/>
          <w:color w:val="000000"/>
          <w:lang w:eastAsia="ar-SA"/>
        </w:rPr>
      </w:pPr>
      <w:r>
        <w:rPr>
          <w:rFonts w:eastAsia="Times New Roman" w:cs="Times New Roman"/>
          <w:color w:val="000000"/>
          <w:lang w:eastAsia="ar-SA"/>
        </w:rPr>
        <w:t>p</w:t>
      </w:r>
      <w:r w:rsidR="009F5080" w:rsidRPr="0035160C">
        <w:rPr>
          <w:rFonts w:eastAsia="Times New Roman" w:cs="Times New Roman"/>
          <w:color w:val="000000"/>
          <w:lang w:eastAsia="ar-SA"/>
        </w:rPr>
        <w:t>romocja prosumpcji energii oraz zrzeszania się w strukturach spółdzielni energetycznych, klastrów energetycznych czy innych form społeczności energetycznych, których celem będzie wspólne wytwarzanie i wykorzystywanie wyprodukowanej energii lokalnie poprzez opracowanie regulacji prawnych w tym zakresie;</w:t>
      </w:r>
    </w:p>
    <w:p w14:paraId="70FA0DE5" w14:textId="545E48F3" w:rsidR="009F5080" w:rsidRPr="0035160C" w:rsidRDefault="00921BE8" w:rsidP="00C21F77">
      <w:pPr>
        <w:numPr>
          <w:ilvl w:val="0"/>
          <w:numId w:val="43"/>
        </w:numPr>
        <w:tabs>
          <w:tab w:val="left" w:pos="7514"/>
        </w:tabs>
        <w:suppressAutoHyphens/>
        <w:spacing w:after="0" w:line="276" w:lineRule="auto"/>
        <w:contextualSpacing/>
        <w:jc w:val="both"/>
        <w:rPr>
          <w:rFonts w:eastAsia="Times New Roman" w:cs="Times New Roman"/>
          <w:color w:val="000000"/>
          <w:lang w:eastAsia="ar-SA"/>
        </w:rPr>
      </w:pPr>
      <w:r>
        <w:rPr>
          <w:rFonts w:eastAsia="Times New Roman" w:cs="Times New Roman"/>
          <w:color w:val="000000"/>
          <w:lang w:eastAsia="ar-SA"/>
        </w:rPr>
        <w:t>r</w:t>
      </w:r>
      <w:r w:rsidR="009F5080" w:rsidRPr="0035160C">
        <w:rPr>
          <w:rFonts w:eastAsia="Times New Roman" w:cs="Times New Roman"/>
          <w:color w:val="000000"/>
          <w:lang w:eastAsia="ar-SA"/>
        </w:rPr>
        <w:t>ozwój magazynów energii elektrycznej i cieplnej;</w:t>
      </w:r>
    </w:p>
    <w:p w14:paraId="01263A23" w14:textId="5E939D2E" w:rsidR="009F5080" w:rsidRPr="00921BE8" w:rsidRDefault="00921BE8" w:rsidP="00C21F77">
      <w:pPr>
        <w:numPr>
          <w:ilvl w:val="0"/>
          <w:numId w:val="43"/>
        </w:numPr>
        <w:tabs>
          <w:tab w:val="left" w:pos="7514"/>
        </w:tabs>
        <w:suppressAutoHyphens/>
        <w:spacing w:after="0" w:line="276" w:lineRule="auto"/>
        <w:contextualSpacing/>
        <w:jc w:val="both"/>
        <w:rPr>
          <w:rFonts w:eastAsia="Times New Roman" w:cs="Times New Roman"/>
          <w:color w:val="000000"/>
          <w:lang w:eastAsia="ar-SA"/>
        </w:rPr>
      </w:pPr>
      <w:r>
        <w:rPr>
          <w:rFonts w:eastAsia="Times New Roman" w:cs="Times New Roman"/>
          <w:color w:val="000000"/>
          <w:lang w:eastAsia="ar-SA"/>
        </w:rPr>
        <w:t>p</w:t>
      </w:r>
      <w:r w:rsidR="009F5080" w:rsidRPr="0035160C">
        <w:rPr>
          <w:rFonts w:eastAsia="Times New Roman" w:cs="Times New Roman"/>
          <w:color w:val="000000"/>
          <w:lang w:eastAsia="ar-SA"/>
        </w:rPr>
        <w:t>romocja wykorzystania pomp ciepła oraz instalacji fotowoltaicznych, w tym jako rozwiązania pakietowego, które minimalizuje poziom zanieczyszczeń.</w:t>
      </w:r>
    </w:p>
    <w:p w14:paraId="3290FD39" w14:textId="08584247" w:rsidR="009F5080" w:rsidRPr="002E2D94" w:rsidRDefault="00A46D2D" w:rsidP="00C21F77">
      <w:pPr>
        <w:numPr>
          <w:ilvl w:val="0"/>
          <w:numId w:val="42"/>
        </w:numPr>
        <w:tabs>
          <w:tab w:val="left" w:pos="7514"/>
        </w:tabs>
        <w:suppressAutoHyphens/>
        <w:spacing w:after="0" w:line="276" w:lineRule="auto"/>
        <w:contextualSpacing/>
        <w:jc w:val="both"/>
        <w:rPr>
          <w:rFonts w:eastAsia="Times New Roman" w:cs="Times New Roman"/>
          <w:b/>
          <w:bCs/>
          <w:color w:val="2F5496" w:themeColor="accent1" w:themeShade="BF"/>
          <w:u w:val="single"/>
          <w:lang w:eastAsia="ar-SA"/>
        </w:rPr>
      </w:pPr>
      <w:r>
        <w:rPr>
          <w:rFonts w:eastAsia="Times New Roman" w:cs="Times New Roman"/>
          <w:b/>
          <w:bCs/>
          <w:color w:val="2F5496" w:themeColor="accent1" w:themeShade="BF"/>
          <w:u w:val="single"/>
          <w:lang w:eastAsia="ar-SA"/>
        </w:rPr>
        <w:t>w</w:t>
      </w:r>
      <w:r w:rsidR="009F5080" w:rsidRPr="002E2D94">
        <w:rPr>
          <w:rFonts w:eastAsia="Times New Roman" w:cs="Times New Roman"/>
          <w:b/>
          <w:bCs/>
          <w:color w:val="2F5496" w:themeColor="accent1" w:themeShade="BF"/>
          <w:u w:val="single"/>
          <w:lang w:eastAsia="ar-SA"/>
        </w:rPr>
        <w:t xml:space="preserve"> perspektywie 2030- 2040</w:t>
      </w:r>
      <w:r w:rsidR="00921BE8" w:rsidRPr="002E2D94">
        <w:rPr>
          <w:rFonts w:eastAsia="Times New Roman" w:cs="Times New Roman"/>
          <w:b/>
          <w:bCs/>
          <w:color w:val="2F5496" w:themeColor="accent1" w:themeShade="BF"/>
          <w:u w:val="single"/>
          <w:lang w:eastAsia="ar-SA"/>
        </w:rPr>
        <w:t xml:space="preserve"> </w:t>
      </w:r>
      <w:r w:rsidR="009F5080" w:rsidRPr="002E2D94">
        <w:rPr>
          <w:rFonts w:eastAsia="Times New Roman" w:cs="Times New Roman"/>
          <w:b/>
          <w:bCs/>
          <w:color w:val="2F5496" w:themeColor="accent1" w:themeShade="BF"/>
          <w:u w:val="single"/>
          <w:lang w:eastAsia="ar-SA"/>
        </w:rPr>
        <w:t>r.</w:t>
      </w:r>
    </w:p>
    <w:p w14:paraId="7F4F497F" w14:textId="05FDDE1A" w:rsidR="009F5080" w:rsidRPr="0035160C" w:rsidRDefault="00921BE8" w:rsidP="00C21F77">
      <w:pPr>
        <w:numPr>
          <w:ilvl w:val="0"/>
          <w:numId w:val="44"/>
        </w:numPr>
        <w:tabs>
          <w:tab w:val="left" w:pos="7514"/>
        </w:tabs>
        <w:suppressAutoHyphens/>
        <w:spacing w:after="0" w:line="276" w:lineRule="auto"/>
        <w:contextualSpacing/>
        <w:jc w:val="both"/>
        <w:rPr>
          <w:rFonts w:eastAsia="Times New Roman" w:cs="Times New Roman"/>
          <w:color w:val="000000"/>
          <w:lang w:eastAsia="ar-SA"/>
        </w:rPr>
      </w:pPr>
      <w:r>
        <w:rPr>
          <w:rFonts w:eastAsia="Times New Roman" w:cs="Times New Roman"/>
          <w:color w:val="000000"/>
          <w:lang w:eastAsia="ar-SA"/>
        </w:rPr>
        <w:lastRenderedPageBreak/>
        <w:t>z</w:t>
      </w:r>
      <w:r w:rsidR="009F5080" w:rsidRPr="0035160C">
        <w:rPr>
          <w:rFonts w:eastAsia="Times New Roman" w:cs="Times New Roman"/>
          <w:color w:val="000000"/>
          <w:lang w:eastAsia="ar-SA"/>
        </w:rPr>
        <w:t>większenie wykorzystania biogazu i biometanu w ramach przygotowywanego projektu nowelizacji ustawy o zmianie ustawy o odnawialnych źródłach energii;</w:t>
      </w:r>
    </w:p>
    <w:p w14:paraId="1FC39805" w14:textId="612A498E" w:rsidR="009F5080" w:rsidRPr="0035160C" w:rsidRDefault="00921BE8" w:rsidP="00C21F77">
      <w:pPr>
        <w:numPr>
          <w:ilvl w:val="0"/>
          <w:numId w:val="44"/>
        </w:numPr>
        <w:tabs>
          <w:tab w:val="left" w:pos="7514"/>
        </w:tabs>
        <w:suppressAutoHyphens/>
        <w:spacing w:after="0" w:line="276" w:lineRule="auto"/>
        <w:contextualSpacing/>
        <w:jc w:val="both"/>
        <w:rPr>
          <w:rFonts w:eastAsia="Times New Roman" w:cs="Times New Roman"/>
          <w:color w:val="000000"/>
          <w:lang w:eastAsia="ar-SA"/>
        </w:rPr>
      </w:pPr>
      <w:r>
        <w:rPr>
          <w:rFonts w:eastAsia="Times New Roman" w:cs="Times New Roman"/>
          <w:color w:val="000000"/>
          <w:lang w:eastAsia="ar-SA"/>
        </w:rPr>
        <w:t>r</w:t>
      </w:r>
      <w:r w:rsidR="009F5080" w:rsidRPr="0035160C">
        <w:rPr>
          <w:rFonts w:eastAsia="Times New Roman" w:cs="Times New Roman"/>
          <w:color w:val="000000"/>
          <w:lang w:eastAsia="ar-SA"/>
        </w:rPr>
        <w:t>ozwój i wsparcie ciepła systemowego przy jednoczesnym jego „zazielenianiu”;</w:t>
      </w:r>
    </w:p>
    <w:p w14:paraId="2DABB1E3" w14:textId="01E5E53D" w:rsidR="009F5080" w:rsidRPr="0035160C" w:rsidRDefault="00921BE8" w:rsidP="00C21F77">
      <w:pPr>
        <w:numPr>
          <w:ilvl w:val="0"/>
          <w:numId w:val="44"/>
        </w:numPr>
        <w:tabs>
          <w:tab w:val="left" w:pos="7514"/>
        </w:tabs>
        <w:suppressAutoHyphens/>
        <w:spacing w:after="0" w:line="276" w:lineRule="auto"/>
        <w:contextualSpacing/>
        <w:jc w:val="both"/>
        <w:rPr>
          <w:rFonts w:eastAsia="Times New Roman" w:cs="Times New Roman"/>
          <w:color w:val="000000"/>
          <w:lang w:eastAsia="ar-SA"/>
        </w:rPr>
      </w:pPr>
      <w:r>
        <w:rPr>
          <w:rFonts w:eastAsia="Times New Roman" w:cs="Times New Roman"/>
          <w:color w:val="000000"/>
          <w:lang w:eastAsia="ar-SA"/>
        </w:rPr>
        <w:t>z</w:t>
      </w:r>
      <w:r w:rsidR="009F5080" w:rsidRPr="0035160C">
        <w:rPr>
          <w:rFonts w:eastAsia="Times New Roman" w:cs="Times New Roman"/>
          <w:color w:val="000000"/>
          <w:lang w:eastAsia="ar-SA"/>
        </w:rPr>
        <w:t>większenie wzrostu udziału technologii produkcji energii z wiatru na lądzie. Powyższy wzrost mocy zainstalowanej będzie odbywać się z poszanowaniem stanowisk społeczności lokalnych, a także kosztów i możliwości bilansowania takiej energii elektrycznej;</w:t>
      </w:r>
    </w:p>
    <w:p w14:paraId="2ED4228A" w14:textId="40A77CE0" w:rsidR="009F5080" w:rsidRPr="0035160C" w:rsidRDefault="00921BE8" w:rsidP="00C21F77">
      <w:pPr>
        <w:numPr>
          <w:ilvl w:val="0"/>
          <w:numId w:val="44"/>
        </w:numPr>
        <w:tabs>
          <w:tab w:val="left" w:pos="7514"/>
        </w:tabs>
        <w:suppressAutoHyphens/>
        <w:spacing w:after="0" w:line="276" w:lineRule="auto"/>
        <w:contextualSpacing/>
        <w:jc w:val="both"/>
        <w:rPr>
          <w:rFonts w:eastAsia="Times New Roman" w:cs="Times New Roman"/>
          <w:color w:val="000000"/>
          <w:lang w:eastAsia="ar-SA"/>
        </w:rPr>
      </w:pPr>
      <w:r>
        <w:rPr>
          <w:rFonts w:eastAsia="Times New Roman" w:cs="Times New Roman"/>
          <w:color w:val="000000"/>
          <w:lang w:eastAsia="ar-SA"/>
        </w:rPr>
        <w:t>s</w:t>
      </w:r>
      <w:r w:rsidR="009F5080" w:rsidRPr="0035160C">
        <w:rPr>
          <w:rFonts w:eastAsia="Times New Roman" w:cs="Times New Roman"/>
          <w:color w:val="000000"/>
          <w:lang w:eastAsia="ar-SA"/>
        </w:rPr>
        <w:t>tworzenie przyjaznego i zrównoważonego środowiska dla rozwoju umów PPA oraz CPPA czyli modelu sprzedaży energii elektrycznej z instalacji odnawialnego źródła energii, w którym sprzedaż ta odbywa się pomiędzy wytwórcą energii elektrycznej w takiej instalacji a odbiorcą - głównie odbiorcą przemysłowym lub komunalnym - na podstawie bezpośredniej umowy sprzedaży energii elektrycznej zawartej pomiędzy takimi podmiotami na wieloletni okres;</w:t>
      </w:r>
    </w:p>
    <w:p w14:paraId="1B3DD024" w14:textId="4C05D47B" w:rsidR="009F5080" w:rsidRPr="0035160C" w:rsidRDefault="00921BE8" w:rsidP="00C21F77">
      <w:pPr>
        <w:numPr>
          <w:ilvl w:val="0"/>
          <w:numId w:val="44"/>
        </w:numPr>
        <w:tabs>
          <w:tab w:val="left" w:pos="7514"/>
        </w:tabs>
        <w:suppressAutoHyphens/>
        <w:spacing w:after="0" w:line="276" w:lineRule="auto"/>
        <w:contextualSpacing/>
        <w:jc w:val="both"/>
        <w:rPr>
          <w:rFonts w:eastAsia="Times New Roman" w:cs="Times New Roman"/>
          <w:color w:val="000000"/>
          <w:lang w:eastAsia="ar-SA"/>
        </w:rPr>
      </w:pPr>
      <w:r>
        <w:rPr>
          <w:rFonts w:eastAsia="Times New Roman" w:cs="Times New Roman"/>
          <w:color w:val="000000"/>
          <w:lang w:eastAsia="ar-SA"/>
        </w:rPr>
        <w:t>p</w:t>
      </w:r>
      <w:r w:rsidR="009F5080" w:rsidRPr="0035160C">
        <w:rPr>
          <w:rFonts w:eastAsia="Times New Roman" w:cs="Times New Roman"/>
          <w:color w:val="000000"/>
          <w:lang w:eastAsia="ar-SA"/>
        </w:rPr>
        <w:t>oprawa dostępu do informacji i porad związanych z wszczęciem i prowadzeniem postępowań inwestycyjnych dla podmiotów chcących założyć instalacje OZE;</w:t>
      </w:r>
    </w:p>
    <w:p w14:paraId="2D66BDE9" w14:textId="452B7801" w:rsidR="009F5080" w:rsidRPr="0035160C" w:rsidRDefault="00921BE8" w:rsidP="00C21F77">
      <w:pPr>
        <w:numPr>
          <w:ilvl w:val="0"/>
          <w:numId w:val="43"/>
        </w:numPr>
        <w:tabs>
          <w:tab w:val="left" w:pos="7514"/>
        </w:tabs>
        <w:suppressAutoHyphens/>
        <w:spacing w:after="0" w:line="276" w:lineRule="auto"/>
        <w:contextualSpacing/>
        <w:jc w:val="both"/>
        <w:rPr>
          <w:rFonts w:eastAsia="Times New Roman" w:cs="Times New Roman"/>
          <w:color w:val="000000"/>
          <w:lang w:eastAsia="ar-SA"/>
        </w:rPr>
      </w:pPr>
      <w:r>
        <w:rPr>
          <w:rFonts w:eastAsia="Times New Roman" w:cs="Times New Roman"/>
          <w:color w:val="000000"/>
          <w:lang w:eastAsia="ar-SA"/>
        </w:rPr>
        <w:t>r</w:t>
      </w:r>
      <w:r w:rsidR="009F5080" w:rsidRPr="0035160C">
        <w:rPr>
          <w:rFonts w:eastAsia="Times New Roman" w:cs="Times New Roman"/>
          <w:color w:val="000000"/>
          <w:lang w:eastAsia="ar-SA"/>
        </w:rPr>
        <w:t>ozwój lokalnych biogazowni rolniczych, wysypiskowych, ściekowych, w których produkowany byłby biogaz o parametrach dostosowanych do potrzeb lokalnych odbiorców;</w:t>
      </w:r>
    </w:p>
    <w:p w14:paraId="59905C66" w14:textId="43FC358E" w:rsidR="009F5080" w:rsidRPr="0035160C" w:rsidRDefault="00921BE8" w:rsidP="00C21F77">
      <w:pPr>
        <w:numPr>
          <w:ilvl w:val="0"/>
          <w:numId w:val="43"/>
        </w:numPr>
        <w:tabs>
          <w:tab w:val="left" w:pos="7514"/>
        </w:tabs>
        <w:suppressAutoHyphens/>
        <w:spacing w:after="0" w:line="276" w:lineRule="auto"/>
        <w:contextualSpacing/>
        <w:jc w:val="both"/>
        <w:rPr>
          <w:rFonts w:eastAsia="Times New Roman" w:cs="Times New Roman"/>
          <w:color w:val="000000"/>
          <w:lang w:eastAsia="ar-SA"/>
        </w:rPr>
      </w:pPr>
      <w:r>
        <w:rPr>
          <w:rFonts w:eastAsia="Times New Roman" w:cs="Times New Roman"/>
          <w:color w:val="000000"/>
          <w:lang w:eastAsia="ar-SA"/>
        </w:rPr>
        <w:t>e</w:t>
      </w:r>
      <w:r w:rsidR="009F5080" w:rsidRPr="0035160C">
        <w:rPr>
          <w:rFonts w:eastAsia="Times New Roman" w:cs="Times New Roman"/>
          <w:color w:val="000000"/>
          <w:lang w:eastAsia="ar-SA"/>
        </w:rPr>
        <w:t>fektywne wdrożenie morskiej energetyki wiatrowej do polskiego systemu elektroenergetycznego poprzez opracowanie przepisów wykonawczych tj. rozporządzeń wynikających z ustawy z dnia 17 grudnia 2020 r. o</w:t>
      </w:r>
      <w:r w:rsidR="00C21F77">
        <w:rPr>
          <w:rFonts w:eastAsia="Times New Roman" w:cs="Times New Roman"/>
          <w:color w:val="000000"/>
          <w:lang w:eastAsia="ar-SA"/>
        </w:rPr>
        <w:t xml:space="preserve"> </w:t>
      </w:r>
      <w:r w:rsidR="009F5080" w:rsidRPr="0035160C">
        <w:rPr>
          <w:rFonts w:eastAsia="Times New Roman" w:cs="Times New Roman"/>
          <w:color w:val="000000"/>
          <w:lang w:eastAsia="ar-SA"/>
        </w:rPr>
        <w:t>promowaniu wytwarzania energii elektrycznej w morskich farmach wiatrowych.</w:t>
      </w:r>
    </w:p>
    <w:p w14:paraId="08C4D0CC" w14:textId="76C366DC" w:rsidR="009F5080" w:rsidRPr="0035160C" w:rsidRDefault="008A7028" w:rsidP="00F03C94">
      <w:pPr>
        <w:pStyle w:val="Nagwek3"/>
        <w:numPr>
          <w:ilvl w:val="0"/>
          <w:numId w:val="0"/>
        </w:numPr>
        <w:suppressAutoHyphens/>
        <w:spacing w:after="200" w:line="276" w:lineRule="auto"/>
        <w:contextualSpacing/>
        <w:rPr>
          <w:rFonts w:eastAsia="Calibri"/>
          <w:b/>
          <w:sz w:val="22"/>
          <w:szCs w:val="22"/>
          <w:lang w:eastAsia="ar-SA"/>
        </w:rPr>
      </w:pPr>
      <w:bookmarkStart w:id="81" w:name="_Toc78205904"/>
      <w:r w:rsidRPr="0035160C">
        <w:rPr>
          <w:rFonts w:eastAsia="Calibri"/>
          <w:b/>
          <w:sz w:val="22"/>
          <w:szCs w:val="22"/>
          <w:lang w:eastAsia="ar-SA"/>
        </w:rPr>
        <w:t>9</w:t>
      </w:r>
      <w:r w:rsidR="00F03C94" w:rsidRPr="0035160C">
        <w:rPr>
          <w:rFonts w:eastAsia="Calibri"/>
          <w:b/>
          <w:sz w:val="22"/>
          <w:szCs w:val="22"/>
          <w:lang w:eastAsia="ar-SA"/>
        </w:rPr>
        <w:t xml:space="preserve">.4.2 </w:t>
      </w:r>
      <w:r w:rsidR="009F5080" w:rsidRPr="0035160C">
        <w:rPr>
          <w:rFonts w:eastAsia="Calibri"/>
          <w:b/>
          <w:sz w:val="22"/>
          <w:szCs w:val="22"/>
          <w:lang w:eastAsia="ar-SA"/>
        </w:rPr>
        <w:t>Rozwój ciepłownictwa - kierunki działań</w:t>
      </w:r>
      <w:bookmarkEnd w:id="81"/>
    </w:p>
    <w:p w14:paraId="654D9051" w14:textId="77777777" w:rsidR="009F5080" w:rsidRPr="00723306" w:rsidRDefault="009F5080" w:rsidP="00723306">
      <w:pPr>
        <w:suppressAutoHyphens/>
        <w:spacing w:after="200" w:line="276" w:lineRule="auto"/>
        <w:rPr>
          <w:rFonts w:eastAsia="Times New Roman" w:cs="Times New Roman"/>
          <w:b/>
          <w:bCs/>
          <w:color w:val="2F5496" w:themeColor="accent1" w:themeShade="BF"/>
          <w:lang w:eastAsia="pl-PL"/>
        </w:rPr>
      </w:pPr>
      <w:r w:rsidRPr="00723306">
        <w:rPr>
          <w:rFonts w:eastAsia="Times New Roman" w:cs="Times New Roman"/>
          <w:b/>
          <w:bCs/>
          <w:color w:val="2F5496" w:themeColor="accent1" w:themeShade="BF"/>
          <w:lang w:eastAsia="pl-PL"/>
        </w:rPr>
        <w:t>OZE w ciepłownictwie systemowym</w:t>
      </w:r>
    </w:p>
    <w:p w14:paraId="6BA670E4" w14:textId="3284E754" w:rsidR="009F5080" w:rsidRPr="0035160C" w:rsidRDefault="009F5080" w:rsidP="00CF7429">
      <w:pPr>
        <w:suppressAutoHyphens/>
        <w:spacing w:after="120" w:line="276" w:lineRule="auto"/>
        <w:jc w:val="both"/>
        <w:rPr>
          <w:rFonts w:eastAsia="Yu Gothic UI Semilight" w:cs="Times New Roman"/>
          <w:lang w:eastAsia="ar-SA"/>
        </w:rPr>
      </w:pPr>
      <w:r w:rsidRPr="0035160C">
        <w:rPr>
          <w:rFonts w:eastAsia="Yu Gothic UI Semilight" w:cs="Times New Roman"/>
          <w:lang w:eastAsia="ar-SA"/>
        </w:rPr>
        <w:t>Obecnie najbardziej popularnym odnawialnym źródłem energii w ciepłownictwie jest biomasa. W</w:t>
      </w:r>
      <w:r w:rsidR="00723306">
        <w:rPr>
          <w:rFonts w:eastAsia="Yu Gothic UI Semilight" w:cs="Times New Roman"/>
          <w:lang w:eastAsia="ar-SA"/>
        </w:rPr>
        <w:t> </w:t>
      </w:r>
      <w:r w:rsidRPr="0035160C">
        <w:rPr>
          <w:rFonts w:eastAsia="Yu Gothic UI Semilight" w:cs="Times New Roman"/>
          <w:lang w:eastAsia="ar-SA"/>
        </w:rPr>
        <w:t>przypadku ciepłownictwa systemowego paliwo to składa się przede wszystkim z drewna. Inne dostępne źródła biomasy mają zbyt niską kaloryczność na potrzeby energetyki i ciepłownictwa. Jednak, wraz z zaostrzeniem kryteriów zrównoważonego rozwoju dalszy rozwój ciepłownictwa opartego na tym paliwie może okazać się znacznie utrudniony, ograniczony do zagospodarowania jedynie w</w:t>
      </w:r>
      <w:r w:rsidR="00723306">
        <w:rPr>
          <w:rFonts w:eastAsia="Yu Gothic UI Semilight" w:cs="Times New Roman"/>
          <w:lang w:eastAsia="ar-SA"/>
        </w:rPr>
        <w:t> </w:t>
      </w:r>
      <w:r w:rsidRPr="0035160C">
        <w:rPr>
          <w:rFonts w:eastAsia="Yu Gothic UI Semilight" w:cs="Times New Roman"/>
          <w:lang w:eastAsia="ar-SA"/>
        </w:rPr>
        <w:t>lokalnych źródłach.</w:t>
      </w:r>
    </w:p>
    <w:p w14:paraId="6B45CDEA" w14:textId="77777777" w:rsidR="009F5080" w:rsidRPr="0035160C" w:rsidRDefault="009F5080" w:rsidP="00723306">
      <w:pPr>
        <w:suppressAutoHyphens/>
        <w:spacing w:after="120" w:line="276" w:lineRule="auto"/>
        <w:jc w:val="both"/>
        <w:rPr>
          <w:rFonts w:eastAsia="Yu Gothic UI Semilight" w:cs="Times New Roman"/>
          <w:lang w:eastAsia="ar-SA"/>
        </w:rPr>
      </w:pPr>
      <w:r w:rsidRPr="0035160C">
        <w:rPr>
          <w:rFonts w:eastAsia="Yu Gothic UI Semilight" w:cs="Times New Roman"/>
          <w:lang w:eastAsia="ar-SA"/>
        </w:rPr>
        <w:t xml:space="preserve">Z obecnie dostępnych na szeroką skalę w Polsce technologii OZE w ciepłownictwie, biomasa pozwala na bezpośrednią konwersję jednostek wytwórczych dotychczas opalanych paliwami węglowymi. Praca takich jednostek jest stabilna i niezależna od warunków atmosferycznych, stopień wykorzystania zainstalowanej mocy wysoki, a ponadto nie jest wymagana zmiana parametrów pracy sieci ciepłowniczej. </w:t>
      </w:r>
    </w:p>
    <w:p w14:paraId="6FF98A35" w14:textId="5E771CC4" w:rsidR="009F5080" w:rsidRPr="0035160C" w:rsidRDefault="009F5080" w:rsidP="00CF7429">
      <w:pPr>
        <w:suppressAutoHyphens/>
        <w:spacing w:after="120" w:line="276" w:lineRule="auto"/>
        <w:jc w:val="both"/>
        <w:rPr>
          <w:rFonts w:eastAsia="Yu Gothic UI Semilight" w:cs="Times New Roman"/>
          <w:lang w:eastAsia="ar-SA"/>
        </w:rPr>
      </w:pPr>
      <w:r w:rsidRPr="0035160C">
        <w:rPr>
          <w:rFonts w:eastAsia="Yu Gothic UI Semilight" w:cs="Times New Roman"/>
          <w:lang w:eastAsia="ar-SA"/>
        </w:rPr>
        <w:t xml:space="preserve">Wytwarzanie ciepła z użyciem kolektorów słonecznych, pomp ciepła lub </w:t>
      </w:r>
      <w:r w:rsidR="00B4047E" w:rsidRPr="00B4047E">
        <w:rPr>
          <w:rFonts w:eastAsia="Yu Gothic UI Semilight" w:cs="Times New Roman"/>
          <w:lang w:eastAsia="ar-SA"/>
        </w:rPr>
        <w:t xml:space="preserve">eksploatowanych wód termalnych </w:t>
      </w:r>
      <w:r w:rsidRPr="0035160C">
        <w:rPr>
          <w:rFonts w:eastAsia="Yu Gothic UI Semilight" w:cs="Times New Roman"/>
          <w:lang w:eastAsia="ar-SA"/>
        </w:rPr>
        <w:t>charakteryzuje się uzyskaniem niższych temperatur nośnika. Przystosowanie sieci ciepłowniczych do współpracy z takimi źródłami wymaga obniżenia temperatury pracy sieci ciepłowniczej, co może wiązać się z koniecznością dostosowania zarówno infrastruktury sieciowej, jak i instalacji wewnętrznych służących do ogrzewania pomieszczeń</w:t>
      </w:r>
      <w:r w:rsidR="00151603">
        <w:rPr>
          <w:rFonts w:eastAsia="Yu Gothic UI Semilight" w:cs="Times New Roman"/>
          <w:lang w:eastAsia="ar-SA"/>
        </w:rPr>
        <w:t xml:space="preserve"> w</w:t>
      </w:r>
      <w:r w:rsidR="00151603" w:rsidRPr="00151603">
        <w:rPr>
          <w:rFonts w:eastAsia="Yu Gothic UI Semilight" w:cs="Times New Roman"/>
          <w:lang w:eastAsia="ar-SA"/>
        </w:rPr>
        <w:t xml:space="preserve"> </w:t>
      </w:r>
      <w:r w:rsidR="00151603" w:rsidRPr="0035160C">
        <w:rPr>
          <w:rFonts w:eastAsia="Yu Gothic UI Semilight" w:cs="Times New Roman"/>
          <w:lang w:eastAsia="ar-SA"/>
        </w:rPr>
        <w:t>budynk</w:t>
      </w:r>
      <w:r w:rsidR="00151603">
        <w:rPr>
          <w:rFonts w:eastAsia="Yu Gothic UI Semilight" w:cs="Times New Roman"/>
          <w:lang w:eastAsia="ar-SA"/>
        </w:rPr>
        <w:t>ach</w:t>
      </w:r>
      <w:r w:rsidRPr="0035160C">
        <w:rPr>
          <w:rFonts w:eastAsia="Yu Gothic UI Semilight" w:cs="Times New Roman"/>
          <w:lang w:eastAsia="ar-SA"/>
        </w:rPr>
        <w:t xml:space="preserve">. Rozwiązania takie są więc znacznie bardziej opłacalne do wdrożenia w nowobudowanych budynkach, gdzie od podstaw można zaprojektować i wykonać cały system ogrzewania w technologii systemu wyspowego, korzystającego z „głównego” systemu jako źródła szczytowego. </w:t>
      </w:r>
    </w:p>
    <w:p w14:paraId="53380B5D" w14:textId="5E398794" w:rsidR="009F5080" w:rsidRPr="0035160C" w:rsidRDefault="009F5080" w:rsidP="00CF7429">
      <w:pPr>
        <w:suppressAutoHyphens/>
        <w:spacing w:after="120" w:line="276" w:lineRule="auto"/>
        <w:jc w:val="both"/>
        <w:rPr>
          <w:rFonts w:eastAsia="Yu Gothic UI Semilight" w:cs="Times New Roman"/>
          <w:lang w:eastAsia="ar-SA"/>
        </w:rPr>
      </w:pPr>
      <w:r w:rsidRPr="0035160C">
        <w:rPr>
          <w:rFonts w:eastAsia="Yu Gothic UI Semilight" w:cs="Times New Roman"/>
          <w:lang w:eastAsia="ar-SA"/>
        </w:rPr>
        <w:lastRenderedPageBreak/>
        <w:t>W ciepłownictwie systemowym konieczne jest zatem dostosowanie konfiguracji źródeł i sieci w sposób umożliwiający efektywną ich współpracę</w:t>
      </w:r>
      <w:r w:rsidR="00651B7A">
        <w:rPr>
          <w:rFonts w:eastAsia="Yu Gothic UI Semilight" w:cs="Times New Roman"/>
          <w:lang w:eastAsia="ar-SA"/>
        </w:rPr>
        <w:t>,</w:t>
      </w:r>
      <w:r w:rsidRPr="0035160C">
        <w:rPr>
          <w:rFonts w:eastAsia="Yu Gothic UI Semilight" w:cs="Times New Roman"/>
          <w:lang w:eastAsia="ar-SA"/>
        </w:rPr>
        <w:t xml:space="preserve"> uwzględniając profil pracy jednostek OZE, poza biomasą, który odbiega od konwencjonalnych źródeł. Zastosowanie takich jednostek wytwórczych OZE wymaga utrzymywania w gotowości stabilnej jednostki konwencjonalnej, funkcjonującej jako </w:t>
      </w:r>
      <w:r w:rsidR="00151603">
        <w:rPr>
          <w:rFonts w:eastAsia="Yu Gothic UI Semilight" w:cs="Times New Roman"/>
          <w:lang w:eastAsia="ar-SA"/>
        </w:rPr>
        <w:t xml:space="preserve">rezerwa i </w:t>
      </w:r>
      <w:r w:rsidRPr="0035160C">
        <w:rPr>
          <w:rFonts w:eastAsia="Yu Gothic UI Semilight" w:cs="Times New Roman"/>
          <w:lang w:eastAsia="ar-SA"/>
        </w:rPr>
        <w:t>wsparcie</w:t>
      </w:r>
      <w:r w:rsidR="00151603">
        <w:rPr>
          <w:rFonts w:eastAsia="Yu Gothic UI Semilight" w:cs="Times New Roman"/>
          <w:lang w:eastAsia="ar-SA"/>
        </w:rPr>
        <w:t xml:space="preserve"> w okresie ekstremalnie niskich temperatur (źródło szczytowe)</w:t>
      </w:r>
      <w:r w:rsidRPr="0035160C">
        <w:rPr>
          <w:rFonts w:eastAsia="Yu Gothic UI Semilight" w:cs="Times New Roman"/>
          <w:lang w:eastAsia="ar-SA"/>
        </w:rPr>
        <w:t xml:space="preserve">. </w:t>
      </w:r>
      <w:r w:rsidR="00785C58" w:rsidRPr="00785C58">
        <w:rPr>
          <w:rFonts w:eastAsia="Yu Gothic UI Semilight" w:cs="Times New Roman"/>
          <w:lang w:eastAsia="ar-SA"/>
        </w:rPr>
        <w:t>Kluczową technologią OZE będą pompy ciepła – w porównaniu do kolektorów słonecznych wymagają mniej przestrzeni i w przeciwieństwie do geotermii opierającej się na eksploatacji wód termalnych, można je z powodzeniem zastosować na terytorium całego kraju.</w:t>
      </w:r>
      <w:r w:rsidR="00785C58">
        <w:rPr>
          <w:rFonts w:eastAsia="Yu Gothic UI Semilight" w:cs="Times New Roman"/>
          <w:lang w:eastAsia="ar-SA"/>
        </w:rPr>
        <w:t xml:space="preserve"> </w:t>
      </w:r>
    </w:p>
    <w:p w14:paraId="2818CF38" w14:textId="60FB1B20" w:rsidR="009F5080" w:rsidRPr="00651B7A" w:rsidRDefault="009F5080" w:rsidP="00CF7429">
      <w:pPr>
        <w:suppressAutoHyphens/>
        <w:spacing w:after="120" w:line="276" w:lineRule="auto"/>
        <w:jc w:val="both"/>
        <w:rPr>
          <w:rFonts w:eastAsia="Yu Gothic UI Semilight" w:cs="Times New Roman"/>
          <w:b/>
          <w:bCs/>
          <w:color w:val="2F5496" w:themeColor="accent1" w:themeShade="BF"/>
          <w:lang w:eastAsia="ar-SA"/>
        </w:rPr>
      </w:pPr>
      <w:r w:rsidRPr="00651B7A">
        <w:rPr>
          <w:rFonts w:eastAsia="Yu Gothic UI Semilight" w:cs="Times New Roman"/>
          <w:b/>
          <w:bCs/>
          <w:color w:val="2F5496" w:themeColor="accent1" w:themeShade="BF"/>
          <w:lang w:eastAsia="ar-SA"/>
        </w:rPr>
        <w:t>Artykuł 23 Dyrektywy RED II ustala coroczny poziom wzrostu udziału ciepła i chłodu z OZE</w:t>
      </w:r>
      <w:r w:rsidR="00651B7A" w:rsidRPr="00651B7A">
        <w:rPr>
          <w:rFonts w:eastAsia="Yu Gothic UI Semilight" w:cs="Times New Roman"/>
          <w:b/>
          <w:bCs/>
          <w:color w:val="2F5496" w:themeColor="accent1" w:themeShade="BF"/>
          <w:lang w:eastAsia="ar-SA"/>
        </w:rPr>
        <w:t>,</w:t>
      </w:r>
      <w:r w:rsidRPr="00651B7A">
        <w:rPr>
          <w:rFonts w:eastAsia="Yu Gothic UI Semilight" w:cs="Times New Roman"/>
          <w:b/>
          <w:bCs/>
          <w:color w:val="2F5496" w:themeColor="accent1" w:themeShade="BF"/>
          <w:lang w:eastAsia="ar-SA"/>
        </w:rPr>
        <w:t xml:space="preserve"> który wynosi minimum 1,1 p.p. jako średnia wyliczona dla okresów 2021–2025 i 2026–2030, w stosunku do udziału energii odnawialnej w sektorze ogrzewania i chłodzenia osiągniętego w 2020 r. Zgodnie z celem zapisanym w PEP2040</w:t>
      </w:r>
      <w:r w:rsidR="00651B7A" w:rsidRPr="00651B7A">
        <w:rPr>
          <w:rFonts w:eastAsia="Yu Gothic UI Semilight" w:cs="Times New Roman"/>
          <w:b/>
          <w:bCs/>
          <w:color w:val="2F5496" w:themeColor="accent1" w:themeShade="BF"/>
          <w:lang w:eastAsia="ar-SA"/>
        </w:rPr>
        <w:t>,</w:t>
      </w:r>
      <w:r w:rsidRPr="00651B7A">
        <w:rPr>
          <w:rFonts w:eastAsia="Yu Gothic UI Semilight" w:cs="Times New Roman"/>
          <w:b/>
          <w:bCs/>
          <w:color w:val="2F5496" w:themeColor="accent1" w:themeShade="BF"/>
          <w:lang w:eastAsia="ar-SA"/>
        </w:rPr>
        <w:t xml:space="preserve"> udział OZE w polskim ciepłownictwie w 2030 </w:t>
      </w:r>
      <w:r w:rsidR="00651B7A" w:rsidRPr="00651B7A">
        <w:rPr>
          <w:rFonts w:eastAsia="Yu Gothic UI Semilight" w:cs="Times New Roman"/>
          <w:b/>
          <w:bCs/>
          <w:color w:val="2F5496" w:themeColor="accent1" w:themeShade="BF"/>
          <w:lang w:eastAsia="ar-SA"/>
        </w:rPr>
        <w:t xml:space="preserve">r. </w:t>
      </w:r>
      <w:r w:rsidRPr="00651B7A">
        <w:rPr>
          <w:rFonts w:eastAsia="Yu Gothic UI Semilight" w:cs="Times New Roman"/>
          <w:b/>
          <w:bCs/>
          <w:color w:val="2F5496" w:themeColor="accent1" w:themeShade="BF"/>
          <w:lang w:eastAsia="ar-SA"/>
        </w:rPr>
        <w:t xml:space="preserve">powinien wynosić 28,4%. </w:t>
      </w:r>
    </w:p>
    <w:p w14:paraId="5AD2686A" w14:textId="1C4C8AF2" w:rsidR="009F5080" w:rsidRPr="0035160C" w:rsidRDefault="009F5080" w:rsidP="00CF7429">
      <w:pPr>
        <w:suppressAutoHyphens/>
        <w:spacing w:after="120" w:line="276" w:lineRule="auto"/>
        <w:jc w:val="both"/>
        <w:rPr>
          <w:rFonts w:eastAsia="Yu Gothic UI Semilight" w:cs="Times New Roman"/>
          <w:lang w:eastAsia="ar-SA"/>
        </w:rPr>
      </w:pPr>
      <w:r w:rsidRPr="0035160C">
        <w:rPr>
          <w:rFonts w:eastAsia="Yu Gothic UI Semilight" w:cs="Times New Roman"/>
          <w:lang w:eastAsia="ar-SA"/>
        </w:rPr>
        <w:t xml:space="preserve">Wyznaczony udział OZE odnosi się do całości wytwarzanego ciepła, co jest warte odnotowania w kontekście wyzwań we wdrażaniu ciepła </w:t>
      </w:r>
      <w:r w:rsidR="00151603">
        <w:rPr>
          <w:rFonts w:eastAsia="Yu Gothic UI Semilight" w:cs="Times New Roman"/>
          <w:lang w:eastAsia="ar-SA"/>
        </w:rPr>
        <w:t>z jednostek wytwórczych, stanowiących instalacje odnawialnego źródła energii</w:t>
      </w:r>
      <w:r w:rsidR="00151603" w:rsidRPr="0035160C">
        <w:rPr>
          <w:rFonts w:eastAsia="Yu Gothic UI Semilight" w:cs="Times New Roman"/>
          <w:lang w:eastAsia="ar-SA"/>
        </w:rPr>
        <w:t xml:space="preserve"> </w:t>
      </w:r>
      <w:r w:rsidRPr="0035160C">
        <w:rPr>
          <w:rFonts w:eastAsia="Yu Gothic UI Semilight" w:cs="Times New Roman"/>
          <w:lang w:eastAsia="ar-SA"/>
        </w:rPr>
        <w:t xml:space="preserve">w istniejących, </w:t>
      </w:r>
      <w:r w:rsidR="00651B7A">
        <w:rPr>
          <w:rFonts w:eastAsia="Yu Gothic UI Semilight" w:cs="Times New Roman"/>
          <w:lang w:eastAsia="ar-SA"/>
        </w:rPr>
        <w:t xml:space="preserve">a </w:t>
      </w:r>
      <w:r w:rsidRPr="0035160C">
        <w:rPr>
          <w:rFonts w:eastAsia="Yu Gothic UI Semilight" w:cs="Times New Roman"/>
          <w:lang w:eastAsia="ar-SA"/>
        </w:rPr>
        <w:t xml:space="preserve">w szczególności dużych systemach ciepłowniczych. </w:t>
      </w:r>
    </w:p>
    <w:p w14:paraId="54FC98E0" w14:textId="7224F081" w:rsidR="009F5080" w:rsidRPr="0035160C" w:rsidRDefault="009F5080" w:rsidP="00CF7429">
      <w:pPr>
        <w:suppressAutoHyphens/>
        <w:spacing w:after="120" w:line="276" w:lineRule="auto"/>
        <w:jc w:val="both"/>
        <w:rPr>
          <w:rFonts w:eastAsia="Yu Gothic UI Semilight" w:cs="Times New Roman"/>
          <w:lang w:eastAsia="ar-SA"/>
        </w:rPr>
      </w:pPr>
      <w:r w:rsidRPr="0035160C">
        <w:rPr>
          <w:rFonts w:eastAsia="Yu Gothic UI Semilight" w:cs="Times New Roman"/>
          <w:lang w:eastAsia="ar-SA"/>
        </w:rPr>
        <w:t xml:space="preserve">Dodatkowym narzędziem stymulującym rozwój technologii </w:t>
      </w:r>
      <w:r w:rsidR="00151603">
        <w:rPr>
          <w:rFonts w:eastAsia="Yu Gothic UI Semilight" w:cs="Times New Roman"/>
          <w:lang w:eastAsia="ar-SA"/>
        </w:rPr>
        <w:t>wykorzystujących odnawialne źródła energii</w:t>
      </w:r>
      <w:r w:rsidR="00151603" w:rsidRPr="0035160C">
        <w:rPr>
          <w:rFonts w:eastAsia="Yu Gothic UI Semilight" w:cs="Times New Roman"/>
          <w:lang w:eastAsia="ar-SA"/>
        </w:rPr>
        <w:t xml:space="preserve"> </w:t>
      </w:r>
      <w:r w:rsidRPr="0035160C">
        <w:rPr>
          <w:rFonts w:eastAsia="Yu Gothic UI Semilight" w:cs="Times New Roman"/>
          <w:lang w:eastAsia="ar-SA"/>
        </w:rPr>
        <w:t>w ciepłownictwie są przyjęte limity zapotrzebowania na nieodnawialną energię pierwotną dla nowych i głęboko zmodernizowanych budynków, będące transpozycj</w:t>
      </w:r>
      <w:r w:rsidR="000E1370">
        <w:rPr>
          <w:rFonts w:eastAsia="Yu Gothic UI Semilight" w:cs="Times New Roman"/>
          <w:lang w:eastAsia="ar-SA"/>
        </w:rPr>
        <w:t>ą</w:t>
      </w:r>
      <w:r w:rsidRPr="0035160C">
        <w:rPr>
          <w:rFonts w:eastAsia="Yu Gothic UI Semilight" w:cs="Times New Roman"/>
          <w:lang w:eastAsia="ar-SA"/>
        </w:rPr>
        <w:t xml:space="preserve"> definicji budynku o niemal zerowym zużyciu energii z dyrektywy EPDB</w:t>
      </w:r>
      <w:r w:rsidRPr="0035160C">
        <w:rPr>
          <w:rFonts w:eastAsia="Yu Gothic UI Semilight" w:cs="Times New Roman"/>
          <w:vertAlign w:val="superscript"/>
          <w:lang w:eastAsia="ar-SA"/>
        </w:rPr>
        <w:footnoteReference w:id="30"/>
      </w:r>
      <w:r w:rsidRPr="0035160C">
        <w:rPr>
          <w:rFonts w:eastAsia="Yu Gothic UI Semilight" w:cs="Times New Roman"/>
          <w:lang w:eastAsia="ar-SA"/>
        </w:rPr>
        <w:t>. Powoduje to konieczność dostosowania projektów budowlanych do nowych norm, których spełnienie będzie możliwe wraz ze wzrostem udziału OZE. Wybór ogrzewania w technologiach niskoemisyjnych, powiązanych ze źródłami OZE, stanie się naturalnym wyborem inwestorów. Przedsiębiorstwa ciepłownicze muszą dostosować swoją ofertę do wskazanych powyżej wymogów oferując dedykowane rozwiązania na poziomie węzła ciepłowniczego (pompa ciepła) lub poza siecią ciepłowniczą.</w:t>
      </w:r>
    </w:p>
    <w:p w14:paraId="7981B891" w14:textId="682528EB" w:rsidR="009F5080" w:rsidRPr="0035160C" w:rsidRDefault="009F5080" w:rsidP="00CF7429">
      <w:pPr>
        <w:suppressAutoHyphens/>
        <w:spacing w:after="200" w:line="276" w:lineRule="auto"/>
        <w:rPr>
          <w:rFonts w:eastAsia="Calibri" w:cs="Times New Roman"/>
          <w:b/>
          <w:bCs/>
          <w:lang w:eastAsia="ar-SA"/>
        </w:rPr>
      </w:pPr>
      <w:r w:rsidRPr="00CF7429">
        <w:rPr>
          <w:rFonts w:eastAsia="Calibri" w:cs="Times New Roman"/>
          <w:b/>
          <w:bCs/>
          <w:color w:val="2F5496" w:themeColor="accent1" w:themeShade="BF"/>
          <w:lang w:eastAsia="ar-SA"/>
        </w:rPr>
        <w:t>Cele dla ciepłownictwa systemowego z PEP</w:t>
      </w:r>
      <w:r w:rsidR="00CF7429">
        <w:rPr>
          <w:rFonts w:eastAsia="Calibri" w:cs="Times New Roman"/>
          <w:b/>
          <w:bCs/>
          <w:color w:val="2F5496" w:themeColor="accent1" w:themeShade="BF"/>
          <w:lang w:eastAsia="ar-SA"/>
        </w:rPr>
        <w:t>2040 w perspektywie</w:t>
      </w:r>
      <w:r w:rsidRPr="00CF7429">
        <w:rPr>
          <w:rFonts w:eastAsia="Calibri" w:cs="Times New Roman"/>
          <w:b/>
          <w:bCs/>
          <w:color w:val="2F5496" w:themeColor="accent1" w:themeShade="BF"/>
          <w:lang w:eastAsia="ar-SA"/>
        </w:rPr>
        <w:t xml:space="preserve"> do 2040 r.</w:t>
      </w:r>
    </w:p>
    <w:p w14:paraId="009281CC" w14:textId="77777777" w:rsidR="009F5080" w:rsidRPr="0035160C" w:rsidRDefault="009F5080" w:rsidP="00CF7429">
      <w:pPr>
        <w:numPr>
          <w:ilvl w:val="0"/>
          <w:numId w:val="69"/>
        </w:numPr>
        <w:suppressAutoHyphens/>
        <w:spacing w:after="120" w:line="276" w:lineRule="auto"/>
        <w:ind w:left="714" w:hanging="357"/>
        <w:contextualSpacing/>
        <w:jc w:val="both"/>
        <w:rPr>
          <w:rFonts w:eastAsia="Calibri" w:cs="Times New Roman"/>
          <w:lang w:eastAsia="ar-SA"/>
        </w:rPr>
      </w:pPr>
      <w:r w:rsidRPr="0035160C">
        <w:rPr>
          <w:rFonts w:eastAsia="Calibri" w:cs="Times New Roman"/>
          <w:lang w:eastAsia="ar-SA"/>
        </w:rPr>
        <w:t>1,5 mln nowych gospodarstw domowych przyłączonych do sieci;</w:t>
      </w:r>
    </w:p>
    <w:p w14:paraId="0F8A30FA" w14:textId="61A8E315" w:rsidR="009F5080" w:rsidRPr="0035160C" w:rsidRDefault="00CF7429" w:rsidP="00CA3BB7">
      <w:pPr>
        <w:numPr>
          <w:ilvl w:val="0"/>
          <w:numId w:val="69"/>
        </w:numPr>
        <w:suppressAutoHyphens/>
        <w:spacing w:after="200" w:line="276" w:lineRule="auto"/>
        <w:contextualSpacing/>
        <w:jc w:val="both"/>
        <w:rPr>
          <w:rFonts w:eastAsia="Calibri" w:cs="Times New Roman"/>
          <w:lang w:eastAsia="ar-SA"/>
        </w:rPr>
      </w:pPr>
      <w:r>
        <w:rPr>
          <w:rFonts w:eastAsia="Calibri" w:cs="Times New Roman"/>
          <w:lang w:eastAsia="ar-SA"/>
        </w:rPr>
        <w:t>w</w:t>
      </w:r>
      <w:r w:rsidR="009F5080" w:rsidRPr="0035160C">
        <w:rPr>
          <w:rFonts w:eastAsia="Calibri" w:cs="Times New Roman"/>
          <w:lang w:eastAsia="ar-SA"/>
        </w:rPr>
        <w:t>zrost udziału OZE o 1,1 punktu procentowego rocznie (łącznie z ciepłownictwem indywidualnym);</w:t>
      </w:r>
    </w:p>
    <w:p w14:paraId="43858D56" w14:textId="0ACE61B3" w:rsidR="009F5080" w:rsidRPr="0035160C" w:rsidRDefault="00CF7429" w:rsidP="00CA3BB7">
      <w:pPr>
        <w:numPr>
          <w:ilvl w:val="0"/>
          <w:numId w:val="69"/>
        </w:numPr>
        <w:suppressAutoHyphens/>
        <w:spacing w:after="200" w:line="276" w:lineRule="auto"/>
        <w:contextualSpacing/>
        <w:jc w:val="both"/>
        <w:rPr>
          <w:rFonts w:eastAsia="Calibri" w:cs="Times New Roman"/>
          <w:lang w:eastAsia="ar-SA"/>
        </w:rPr>
      </w:pPr>
      <w:r>
        <w:rPr>
          <w:rFonts w:eastAsia="Calibri" w:cs="Times New Roman"/>
          <w:lang w:eastAsia="ar-SA"/>
        </w:rPr>
        <w:t>p</w:t>
      </w:r>
      <w:r w:rsidR="009F5080" w:rsidRPr="0035160C">
        <w:rPr>
          <w:rFonts w:eastAsia="Calibri" w:cs="Times New Roman"/>
          <w:lang w:eastAsia="ar-SA"/>
        </w:rPr>
        <w:t>opularyzacji nowych technologii – chłód sieciowy, termiczne przekształcanie odpadów, magazyny ciepła, gazy zdekarbonizowane, pompy ciepła;</w:t>
      </w:r>
    </w:p>
    <w:p w14:paraId="758BE927" w14:textId="0F407AF4" w:rsidR="009F5080" w:rsidRPr="0035160C" w:rsidRDefault="00CF7429" w:rsidP="00CA3BB7">
      <w:pPr>
        <w:numPr>
          <w:ilvl w:val="0"/>
          <w:numId w:val="69"/>
        </w:numPr>
        <w:suppressAutoHyphens/>
        <w:spacing w:after="200" w:line="276" w:lineRule="auto"/>
        <w:contextualSpacing/>
        <w:jc w:val="both"/>
        <w:rPr>
          <w:rFonts w:eastAsia="Calibri" w:cs="Times New Roman"/>
          <w:lang w:eastAsia="ar-SA"/>
        </w:rPr>
      </w:pPr>
      <w:r>
        <w:rPr>
          <w:rFonts w:eastAsia="Calibri" w:cs="Times New Roman"/>
          <w:lang w:eastAsia="ar-SA"/>
        </w:rPr>
        <w:t>w</w:t>
      </w:r>
      <w:r w:rsidR="009F5080" w:rsidRPr="0035160C">
        <w:rPr>
          <w:rFonts w:eastAsia="Calibri" w:cs="Times New Roman"/>
          <w:lang w:eastAsia="ar-SA"/>
        </w:rPr>
        <w:t>zrost udziału systemów efektywnych, koncesjonowanych do 85% w 2030 roku;</w:t>
      </w:r>
    </w:p>
    <w:p w14:paraId="137C7BA6" w14:textId="64D5192C" w:rsidR="009F5080" w:rsidRPr="0035160C" w:rsidRDefault="00CF7429" w:rsidP="00CA3BB7">
      <w:pPr>
        <w:numPr>
          <w:ilvl w:val="0"/>
          <w:numId w:val="69"/>
        </w:numPr>
        <w:suppressAutoHyphens/>
        <w:spacing w:after="200" w:line="276" w:lineRule="auto"/>
        <w:contextualSpacing/>
        <w:jc w:val="both"/>
        <w:rPr>
          <w:rFonts w:eastAsia="Calibri" w:cs="Times New Roman"/>
          <w:lang w:eastAsia="ar-SA"/>
        </w:rPr>
      </w:pPr>
      <w:r>
        <w:rPr>
          <w:rFonts w:eastAsia="Calibri" w:cs="Times New Roman"/>
          <w:lang w:eastAsia="ar-SA"/>
        </w:rPr>
        <w:t>w</w:t>
      </w:r>
      <w:r w:rsidR="009F5080" w:rsidRPr="0035160C">
        <w:rPr>
          <w:rFonts w:eastAsia="Calibri" w:cs="Times New Roman"/>
          <w:lang w:eastAsia="ar-SA"/>
        </w:rPr>
        <w:t>zrost udziału kogeneracji w produkcji ciepła i energii elektrycznej.</w:t>
      </w:r>
    </w:p>
    <w:p w14:paraId="4C3F26AC" w14:textId="77777777" w:rsidR="00300A1B" w:rsidRPr="0035160C" w:rsidRDefault="00300A1B" w:rsidP="00300A1B">
      <w:pPr>
        <w:suppressAutoHyphens/>
        <w:spacing w:after="200" w:line="276" w:lineRule="auto"/>
        <w:ind w:left="720"/>
        <w:contextualSpacing/>
        <w:jc w:val="both"/>
        <w:rPr>
          <w:rFonts w:eastAsia="Calibri" w:cs="Times New Roman"/>
          <w:lang w:eastAsia="ar-SA"/>
        </w:rPr>
      </w:pPr>
    </w:p>
    <w:p w14:paraId="29A05A29" w14:textId="0DFFD1A9" w:rsidR="009F5080" w:rsidRPr="00651B7A" w:rsidRDefault="009F5080" w:rsidP="00651B7A">
      <w:pPr>
        <w:tabs>
          <w:tab w:val="left" w:pos="7514"/>
        </w:tabs>
        <w:suppressAutoHyphens/>
        <w:spacing w:before="120" w:after="0" w:line="276" w:lineRule="auto"/>
        <w:jc w:val="both"/>
        <w:rPr>
          <w:rFonts w:eastAsia="Yu Gothic UI Semilight" w:cs="Times New Roman"/>
          <w:b/>
          <w:bCs/>
          <w:color w:val="2F5496" w:themeColor="accent1" w:themeShade="BF"/>
          <w:lang w:eastAsia="ar-SA"/>
        </w:rPr>
      </w:pPr>
      <w:r w:rsidRPr="00651B7A">
        <w:rPr>
          <w:rFonts w:eastAsia="Times New Roman" w:cs="Times New Roman"/>
          <w:b/>
          <w:bCs/>
          <w:color w:val="2F5496" w:themeColor="accent1" w:themeShade="BF"/>
          <w:lang w:eastAsia="ar-SA"/>
        </w:rPr>
        <w:t>Kierunki działań do podjęcia:</w:t>
      </w:r>
      <w:bookmarkStart w:id="82" w:name="_Hlk73530909"/>
    </w:p>
    <w:p w14:paraId="07AF9BFB" w14:textId="0E2B76C2" w:rsidR="009F5080" w:rsidRPr="00651B7A" w:rsidRDefault="000E1370" w:rsidP="00E83218">
      <w:pPr>
        <w:suppressAutoHyphens/>
        <w:spacing w:before="120" w:after="0" w:line="276" w:lineRule="auto"/>
        <w:jc w:val="both"/>
        <w:rPr>
          <w:rFonts w:eastAsia="Times New Roman" w:cs="Times New Roman"/>
          <w:b/>
          <w:bCs/>
          <w:color w:val="2F5496" w:themeColor="accent1" w:themeShade="BF"/>
          <w:u w:val="single"/>
          <w:lang w:eastAsia="pl-PL"/>
        </w:rPr>
      </w:pPr>
      <w:r>
        <w:rPr>
          <w:rFonts w:eastAsia="Times New Roman" w:cs="Times New Roman"/>
          <w:b/>
          <w:bCs/>
          <w:color w:val="2F5496" w:themeColor="accent1" w:themeShade="BF"/>
          <w:u w:val="single"/>
          <w:lang w:eastAsia="pl-PL"/>
        </w:rPr>
        <w:t>w</w:t>
      </w:r>
      <w:r w:rsidR="009F5080" w:rsidRPr="00651B7A">
        <w:rPr>
          <w:rFonts w:eastAsia="Times New Roman" w:cs="Times New Roman"/>
          <w:b/>
          <w:bCs/>
          <w:color w:val="2F5496" w:themeColor="accent1" w:themeShade="BF"/>
          <w:u w:val="single"/>
          <w:lang w:eastAsia="pl-PL"/>
        </w:rPr>
        <w:t xml:space="preserve"> perspektywie do </w:t>
      </w:r>
      <w:bookmarkEnd w:id="82"/>
      <w:r w:rsidR="009F5080" w:rsidRPr="00651B7A">
        <w:rPr>
          <w:rFonts w:eastAsia="Times New Roman" w:cs="Times New Roman"/>
          <w:b/>
          <w:bCs/>
          <w:color w:val="2F5496" w:themeColor="accent1" w:themeShade="BF"/>
          <w:u w:val="single"/>
          <w:lang w:eastAsia="pl-PL"/>
        </w:rPr>
        <w:t>2025</w:t>
      </w:r>
      <w:r w:rsidR="00651B7A" w:rsidRPr="00651B7A">
        <w:rPr>
          <w:rFonts w:eastAsia="Times New Roman" w:cs="Times New Roman"/>
          <w:b/>
          <w:bCs/>
          <w:color w:val="2F5496" w:themeColor="accent1" w:themeShade="BF"/>
          <w:u w:val="single"/>
          <w:lang w:eastAsia="pl-PL"/>
        </w:rPr>
        <w:t xml:space="preserve"> r.</w:t>
      </w:r>
      <w:r w:rsidR="00651B7A">
        <w:rPr>
          <w:rFonts w:eastAsia="Times New Roman" w:cs="Times New Roman"/>
          <w:b/>
          <w:bCs/>
          <w:color w:val="2F5496" w:themeColor="accent1" w:themeShade="BF"/>
          <w:u w:val="single"/>
          <w:lang w:eastAsia="pl-PL"/>
        </w:rPr>
        <w:t>:</w:t>
      </w:r>
    </w:p>
    <w:p w14:paraId="137C83A9" w14:textId="114E77F2" w:rsidR="00CD758B" w:rsidRDefault="009F5080" w:rsidP="00651B7A">
      <w:pPr>
        <w:suppressAutoHyphens/>
        <w:spacing w:after="120" w:line="276" w:lineRule="auto"/>
        <w:jc w:val="both"/>
        <w:rPr>
          <w:rFonts w:eastAsia="Yu Gothic UI Semilight" w:cs="Times New Roman"/>
          <w:color w:val="000000" w:themeColor="text1"/>
          <w:lang w:eastAsia="ar-SA"/>
        </w:rPr>
      </w:pPr>
      <w:r w:rsidRPr="0035160C">
        <w:rPr>
          <w:rFonts w:eastAsia="Yu Gothic UI Semilight" w:cs="Times New Roman"/>
          <w:color w:val="000000" w:themeColor="text1"/>
          <w:lang w:eastAsia="ar-SA"/>
        </w:rPr>
        <w:t xml:space="preserve">Przewiduje się wdrożenie ułatwień w obszarze budowy </w:t>
      </w:r>
      <w:r w:rsidR="00E965DC">
        <w:rPr>
          <w:rFonts w:eastAsia="Yu Gothic UI Semilight" w:cs="Times New Roman"/>
          <w:color w:val="000000" w:themeColor="text1"/>
          <w:lang w:eastAsia="ar-SA"/>
        </w:rPr>
        <w:t xml:space="preserve">jednostek </w:t>
      </w:r>
      <w:r w:rsidR="00CD758B">
        <w:rPr>
          <w:rFonts w:eastAsia="Yu Gothic UI Semilight" w:cs="Times New Roman"/>
          <w:color w:val="000000" w:themeColor="text1"/>
          <w:lang w:eastAsia="ar-SA"/>
        </w:rPr>
        <w:t>wytwórczych ciepła stanowiących odnawialne źródła energii</w:t>
      </w:r>
      <w:r w:rsidRPr="0035160C">
        <w:rPr>
          <w:rFonts w:eastAsia="Yu Gothic UI Semilight" w:cs="Times New Roman"/>
          <w:color w:val="000000" w:themeColor="text1"/>
          <w:lang w:eastAsia="ar-SA"/>
        </w:rPr>
        <w:t xml:space="preserve"> poprzez wyłączenie z obowiązku</w:t>
      </w:r>
      <w:r w:rsidR="00CD758B">
        <w:rPr>
          <w:rFonts w:eastAsia="Yu Gothic UI Semilight" w:cs="Times New Roman"/>
          <w:color w:val="000000" w:themeColor="text1"/>
          <w:lang w:eastAsia="ar-SA"/>
        </w:rPr>
        <w:t xml:space="preserve"> przedstawienia do zatwierdzenia Prezesowi </w:t>
      </w:r>
      <w:r w:rsidR="00CD758B">
        <w:rPr>
          <w:rFonts w:eastAsia="Yu Gothic UI Semilight" w:cs="Times New Roman"/>
          <w:color w:val="000000" w:themeColor="text1"/>
          <w:lang w:eastAsia="ar-SA"/>
        </w:rPr>
        <w:lastRenderedPageBreak/>
        <w:t>U</w:t>
      </w:r>
      <w:r w:rsidR="000E1370">
        <w:rPr>
          <w:rFonts w:eastAsia="Yu Gothic UI Semilight" w:cs="Times New Roman"/>
          <w:color w:val="000000" w:themeColor="text1"/>
          <w:lang w:eastAsia="ar-SA"/>
        </w:rPr>
        <w:t xml:space="preserve">rzędu </w:t>
      </w:r>
      <w:r w:rsidR="00CD758B">
        <w:rPr>
          <w:rFonts w:eastAsia="Yu Gothic UI Semilight" w:cs="Times New Roman"/>
          <w:color w:val="000000" w:themeColor="text1"/>
          <w:lang w:eastAsia="ar-SA"/>
        </w:rPr>
        <w:t>R</w:t>
      </w:r>
      <w:r w:rsidR="000E1370">
        <w:rPr>
          <w:rFonts w:eastAsia="Yu Gothic UI Semilight" w:cs="Times New Roman"/>
          <w:color w:val="000000" w:themeColor="text1"/>
          <w:lang w:eastAsia="ar-SA"/>
        </w:rPr>
        <w:t xml:space="preserve">egulacji </w:t>
      </w:r>
      <w:r w:rsidR="00CD758B">
        <w:rPr>
          <w:rFonts w:eastAsia="Yu Gothic UI Semilight" w:cs="Times New Roman"/>
          <w:color w:val="000000" w:themeColor="text1"/>
          <w:lang w:eastAsia="ar-SA"/>
        </w:rPr>
        <w:t>E</w:t>
      </w:r>
      <w:r w:rsidR="000E1370">
        <w:rPr>
          <w:rFonts w:eastAsia="Yu Gothic UI Semilight" w:cs="Times New Roman"/>
          <w:color w:val="000000" w:themeColor="text1"/>
          <w:lang w:eastAsia="ar-SA"/>
        </w:rPr>
        <w:t>nergetyki</w:t>
      </w:r>
      <w:r w:rsidRPr="0035160C">
        <w:rPr>
          <w:rFonts w:eastAsia="Yu Gothic UI Semilight" w:cs="Times New Roman"/>
          <w:color w:val="000000" w:themeColor="text1"/>
          <w:lang w:eastAsia="ar-SA"/>
        </w:rPr>
        <w:t xml:space="preserve"> taryf</w:t>
      </w:r>
      <w:r w:rsidR="00CD758B">
        <w:rPr>
          <w:rFonts w:eastAsia="Yu Gothic UI Semilight" w:cs="Times New Roman"/>
          <w:color w:val="000000" w:themeColor="text1"/>
          <w:lang w:eastAsia="ar-SA"/>
        </w:rPr>
        <w:t xml:space="preserve"> w części dla każdego ze źródeł o mocy zainstalowanej cieplnej nieprzekraczającej 5 MW, które spełnia łączne warunki:</w:t>
      </w:r>
    </w:p>
    <w:p w14:paraId="2662FCEA" w14:textId="3CD31B8F" w:rsidR="00CD758B" w:rsidRDefault="00CD758B" w:rsidP="00DD0E4C">
      <w:pPr>
        <w:pStyle w:val="Akapitzlist"/>
        <w:numPr>
          <w:ilvl w:val="0"/>
          <w:numId w:val="83"/>
        </w:numPr>
        <w:suppressAutoHyphens/>
        <w:spacing w:after="120" w:line="276" w:lineRule="auto"/>
        <w:jc w:val="both"/>
        <w:rPr>
          <w:rFonts w:eastAsia="Yu Gothic UI Semilight" w:cs="Times New Roman"/>
          <w:color w:val="000000" w:themeColor="text1"/>
          <w:lang w:eastAsia="ar-SA"/>
        </w:rPr>
      </w:pPr>
      <w:r>
        <w:rPr>
          <w:rFonts w:eastAsia="Yu Gothic UI Semilight" w:cs="Times New Roman"/>
          <w:color w:val="000000" w:themeColor="text1"/>
          <w:lang w:eastAsia="ar-SA"/>
        </w:rPr>
        <w:t>charakteryzuje się współczynnikiem nakładu nieodnawialnej energii pierwotnej nie wyższym niż 0,8;</w:t>
      </w:r>
    </w:p>
    <w:p w14:paraId="4F4E3F43" w14:textId="3FA8F409" w:rsidR="00CD758B" w:rsidRPr="00B91399" w:rsidRDefault="00CD758B" w:rsidP="00CD758B">
      <w:pPr>
        <w:pStyle w:val="Akapitzlist"/>
        <w:numPr>
          <w:ilvl w:val="0"/>
          <w:numId w:val="83"/>
        </w:numPr>
        <w:suppressAutoHyphens/>
        <w:spacing w:after="120" w:line="276" w:lineRule="auto"/>
        <w:jc w:val="both"/>
        <w:rPr>
          <w:rFonts w:eastAsia="Yu Gothic UI Semilight" w:cs="Times New Roman"/>
          <w:color w:val="000000" w:themeColor="text1"/>
          <w:lang w:eastAsia="ar-SA"/>
        </w:rPr>
      </w:pPr>
      <w:r>
        <w:rPr>
          <w:rFonts w:eastAsia="Yu Gothic UI Semilight" w:cs="Times New Roman"/>
          <w:color w:val="000000" w:themeColor="text1"/>
          <w:lang w:eastAsia="ar-SA"/>
        </w:rPr>
        <w:t>ciepło wytworzone z tego źródła stanowi nie mniej niż 60% ciepło z odnawialnych źródeł energii.</w:t>
      </w:r>
    </w:p>
    <w:p w14:paraId="76FFB1CA" w14:textId="38E0C05E" w:rsidR="009F5080" w:rsidRPr="00DD0E4C" w:rsidRDefault="009F5080" w:rsidP="00CD758B">
      <w:pPr>
        <w:suppressAutoHyphens/>
        <w:spacing w:after="120" w:line="276" w:lineRule="auto"/>
        <w:jc w:val="both"/>
        <w:rPr>
          <w:rFonts w:eastAsia="Yu Gothic UI Semilight" w:cs="Times New Roman"/>
          <w:color w:val="000000" w:themeColor="text1"/>
          <w:lang w:eastAsia="ar-SA"/>
        </w:rPr>
      </w:pPr>
      <w:r w:rsidRPr="00DD0E4C">
        <w:rPr>
          <w:rFonts w:eastAsia="Yu Gothic UI Semilight" w:cs="Times New Roman"/>
          <w:color w:val="000000" w:themeColor="text1"/>
          <w:lang w:eastAsia="ar-SA"/>
        </w:rPr>
        <w:t xml:space="preserve">Pozwoli to na przyspieszenie stopniowej dekarbonizacji systemów ciepłowniczych poprzez budowę i przyłączanie niewielkich, rozproszonych źródeł, przede wszystkim na krańcach </w:t>
      </w:r>
      <w:r w:rsidR="00CD758B" w:rsidRPr="00DD0E4C">
        <w:rPr>
          <w:rFonts w:eastAsia="Yu Gothic UI Semilight" w:cs="Times New Roman"/>
          <w:color w:val="000000" w:themeColor="text1"/>
          <w:lang w:eastAsia="ar-SA"/>
        </w:rPr>
        <w:t>system</w:t>
      </w:r>
      <w:r w:rsidR="00CD758B">
        <w:rPr>
          <w:rFonts w:eastAsia="Yu Gothic UI Semilight" w:cs="Times New Roman"/>
          <w:color w:val="000000" w:themeColor="text1"/>
          <w:lang w:eastAsia="ar-SA"/>
        </w:rPr>
        <w:t>ów ciepłowniczych lub systemów wyspowych</w:t>
      </w:r>
      <w:r w:rsidRPr="00DD0E4C">
        <w:rPr>
          <w:rFonts w:eastAsia="Yu Gothic UI Semilight" w:cs="Times New Roman"/>
          <w:color w:val="000000" w:themeColor="text1"/>
          <w:lang w:eastAsia="ar-SA"/>
        </w:rPr>
        <w:t xml:space="preserve">. W konsekwencji zmian regulacyjnych, a także </w:t>
      </w:r>
      <w:r w:rsidR="00CD758B">
        <w:rPr>
          <w:rFonts w:eastAsia="Yu Gothic UI Semilight" w:cs="Times New Roman"/>
          <w:color w:val="000000" w:themeColor="text1"/>
          <w:lang w:eastAsia="ar-SA"/>
        </w:rPr>
        <w:t xml:space="preserve">dedykowanych instrumentów </w:t>
      </w:r>
      <w:r w:rsidRPr="00DD0E4C">
        <w:rPr>
          <w:rFonts w:eastAsia="Yu Gothic UI Semilight" w:cs="Times New Roman"/>
          <w:color w:val="000000" w:themeColor="text1"/>
          <w:lang w:eastAsia="ar-SA"/>
        </w:rPr>
        <w:t xml:space="preserve">wsparcia ułatwiony zostanie rozwój </w:t>
      </w:r>
      <w:r w:rsidR="00CD758B">
        <w:rPr>
          <w:rFonts w:eastAsia="Yu Gothic UI Semilight" w:cs="Times New Roman"/>
          <w:color w:val="000000" w:themeColor="text1"/>
          <w:lang w:eastAsia="ar-SA"/>
        </w:rPr>
        <w:t xml:space="preserve">odnawialnych źródeł ciepła w </w:t>
      </w:r>
      <w:r w:rsidRPr="00DD0E4C">
        <w:rPr>
          <w:rFonts w:eastAsia="Yu Gothic UI Semilight" w:cs="Times New Roman"/>
          <w:color w:val="000000" w:themeColor="text1"/>
          <w:lang w:eastAsia="ar-SA"/>
        </w:rPr>
        <w:t>ciepłownictw</w:t>
      </w:r>
      <w:r w:rsidR="00CD758B">
        <w:rPr>
          <w:rFonts w:eastAsia="Yu Gothic UI Semilight" w:cs="Times New Roman"/>
          <w:color w:val="000000" w:themeColor="text1"/>
          <w:lang w:eastAsia="ar-SA"/>
        </w:rPr>
        <w:t>ie</w:t>
      </w:r>
      <w:r w:rsidRPr="00DD0E4C">
        <w:rPr>
          <w:rFonts w:eastAsia="Yu Gothic UI Semilight" w:cs="Times New Roman"/>
          <w:color w:val="000000" w:themeColor="text1"/>
          <w:lang w:eastAsia="ar-SA"/>
        </w:rPr>
        <w:t xml:space="preserve"> systemow</w:t>
      </w:r>
      <w:r w:rsidR="00CD758B">
        <w:rPr>
          <w:rFonts w:eastAsia="Yu Gothic UI Semilight" w:cs="Times New Roman"/>
          <w:color w:val="000000" w:themeColor="text1"/>
          <w:lang w:eastAsia="ar-SA"/>
        </w:rPr>
        <w:t>ym wspartego magazynami ciepła i inteligentnymi systemami zarządzania podażą i popytem na ciepło.</w:t>
      </w:r>
      <w:r w:rsidRPr="00DD0E4C">
        <w:rPr>
          <w:rFonts w:eastAsia="Yu Gothic UI Semilight" w:cs="Times New Roman"/>
          <w:color w:val="000000" w:themeColor="text1"/>
          <w:lang w:eastAsia="ar-SA"/>
        </w:rPr>
        <w:t xml:space="preserve"> Rozważane jest również zagwarantowanie minimalnego zwrotu z zaangażowanego kapitału dla inwestycji </w:t>
      </w:r>
      <w:r w:rsidR="00663A74">
        <w:rPr>
          <w:rFonts w:eastAsia="Yu Gothic UI Semilight" w:cs="Times New Roman"/>
          <w:color w:val="000000" w:themeColor="text1"/>
          <w:lang w:eastAsia="ar-SA"/>
        </w:rPr>
        <w:t>w zakresie budowy, modernizacji i przyłączania źródeł ciepła będących instalacjami odnawialnego źródła energii oraz źródeł ciepła odpadowego</w:t>
      </w:r>
      <w:r w:rsidRPr="00DD0E4C">
        <w:rPr>
          <w:rFonts w:eastAsia="Yu Gothic UI Semilight" w:cs="Times New Roman"/>
          <w:color w:val="000000" w:themeColor="text1"/>
          <w:lang w:eastAsia="ar-SA"/>
        </w:rPr>
        <w:t>.</w:t>
      </w:r>
    </w:p>
    <w:p w14:paraId="4A5488C5" w14:textId="2140A187" w:rsidR="009F5080" w:rsidRPr="0035160C" w:rsidRDefault="00663A74" w:rsidP="00651B7A">
      <w:pPr>
        <w:suppressAutoHyphens/>
        <w:spacing w:after="120" w:line="276" w:lineRule="auto"/>
        <w:jc w:val="both"/>
        <w:rPr>
          <w:rFonts w:eastAsia="Times New Roman" w:cs="Times New Roman"/>
          <w:lang w:eastAsia="pl-PL"/>
        </w:rPr>
      </w:pPr>
      <w:r>
        <w:rPr>
          <w:rFonts w:eastAsia="Times New Roman" w:cs="Times New Roman"/>
          <w:lang w:eastAsia="pl-PL"/>
        </w:rPr>
        <w:t xml:space="preserve">Dla celu elektryfikacji ciepłownictwa, w tym </w:t>
      </w:r>
      <w:r w:rsidR="009F5080" w:rsidRPr="0035160C">
        <w:rPr>
          <w:rFonts w:eastAsia="Times New Roman" w:cs="Times New Roman"/>
          <w:lang w:eastAsia="pl-PL"/>
        </w:rPr>
        <w:t xml:space="preserve">rozwoju </w:t>
      </w:r>
      <w:r>
        <w:rPr>
          <w:rFonts w:eastAsia="Times New Roman" w:cs="Times New Roman"/>
          <w:lang w:eastAsia="pl-PL"/>
        </w:rPr>
        <w:t xml:space="preserve">na szeroką skalę </w:t>
      </w:r>
      <w:r w:rsidR="009F5080" w:rsidRPr="0035160C">
        <w:rPr>
          <w:rFonts w:eastAsia="Times New Roman" w:cs="Times New Roman"/>
          <w:lang w:eastAsia="pl-PL"/>
        </w:rPr>
        <w:t>pomp ciepła</w:t>
      </w:r>
      <w:r>
        <w:rPr>
          <w:rFonts w:eastAsia="Times New Roman" w:cs="Times New Roman"/>
          <w:lang w:eastAsia="pl-PL"/>
        </w:rPr>
        <w:t>,</w:t>
      </w:r>
      <w:r w:rsidR="009F5080" w:rsidRPr="0035160C">
        <w:rPr>
          <w:rFonts w:eastAsia="Times New Roman" w:cs="Times New Roman"/>
          <w:lang w:eastAsia="pl-PL"/>
        </w:rPr>
        <w:t xml:space="preserve"> zasadniczą kwestią będzie wprowadzenie przez Unię </w:t>
      </w:r>
      <w:r>
        <w:rPr>
          <w:rFonts w:eastAsia="Times New Roman" w:cs="Times New Roman"/>
          <w:lang w:eastAsia="pl-PL"/>
        </w:rPr>
        <w:t xml:space="preserve">Europejską </w:t>
      </w:r>
      <w:r w:rsidR="009F5080" w:rsidRPr="0035160C">
        <w:rPr>
          <w:rFonts w:eastAsia="Times New Roman" w:cs="Times New Roman"/>
          <w:lang w:eastAsia="pl-PL"/>
        </w:rPr>
        <w:t xml:space="preserve">możliwości zaliczenia odnawialnej energii elektrycznej z sieci elektroenergetycznej wykorzystywanej do ogrzewania i chłodzenia na poczet celu zwiększenia udziału odnawialnych źródeł energii w zakresie ogrzewania i chłodzenia. </w:t>
      </w:r>
    </w:p>
    <w:p w14:paraId="280FC71C" w14:textId="4781878B" w:rsidR="009F5080" w:rsidRPr="00651B7A" w:rsidRDefault="000E1370" w:rsidP="009F5080">
      <w:pPr>
        <w:suppressAutoHyphens/>
        <w:spacing w:after="200" w:line="276" w:lineRule="auto"/>
        <w:jc w:val="both"/>
        <w:rPr>
          <w:rFonts w:eastAsia="Yu Gothic UI Semilight" w:cs="Times New Roman"/>
          <w:b/>
          <w:bCs/>
          <w:color w:val="2F5496" w:themeColor="accent1" w:themeShade="BF"/>
          <w:lang w:eastAsia="ar-SA"/>
        </w:rPr>
      </w:pPr>
      <w:r>
        <w:rPr>
          <w:rFonts w:eastAsia="Times New Roman" w:cs="Times New Roman"/>
          <w:b/>
          <w:bCs/>
          <w:color w:val="2F5496" w:themeColor="accent1" w:themeShade="BF"/>
          <w:u w:val="single"/>
          <w:lang w:eastAsia="pl-PL"/>
        </w:rPr>
        <w:t>w</w:t>
      </w:r>
      <w:r w:rsidR="009F5080" w:rsidRPr="00651B7A">
        <w:rPr>
          <w:rFonts w:eastAsia="Times New Roman" w:cs="Times New Roman"/>
          <w:b/>
          <w:bCs/>
          <w:color w:val="2F5496" w:themeColor="accent1" w:themeShade="BF"/>
          <w:u w:val="single"/>
          <w:lang w:eastAsia="pl-PL"/>
        </w:rPr>
        <w:t xml:space="preserve"> perspektywie do 2030</w:t>
      </w:r>
      <w:r w:rsidR="00651B7A" w:rsidRPr="00651B7A">
        <w:rPr>
          <w:rFonts w:eastAsia="Times New Roman" w:cs="Times New Roman"/>
          <w:b/>
          <w:bCs/>
          <w:color w:val="2F5496" w:themeColor="accent1" w:themeShade="BF"/>
          <w:u w:val="single"/>
          <w:lang w:eastAsia="pl-PL"/>
        </w:rPr>
        <w:t xml:space="preserve"> r.:</w:t>
      </w:r>
    </w:p>
    <w:p w14:paraId="005632F9" w14:textId="4F39AE9F" w:rsidR="009F5080" w:rsidRPr="00651B7A" w:rsidRDefault="009F5080" w:rsidP="00D25C34">
      <w:pPr>
        <w:suppressAutoHyphens/>
        <w:spacing w:after="120" w:line="276" w:lineRule="auto"/>
        <w:jc w:val="both"/>
        <w:rPr>
          <w:rFonts w:eastAsia="Yu Gothic UI Semilight" w:cs="Times New Roman"/>
          <w:b/>
          <w:bCs/>
          <w:color w:val="2F5496" w:themeColor="accent1" w:themeShade="BF"/>
          <w:lang w:eastAsia="ar-SA"/>
        </w:rPr>
      </w:pPr>
      <w:r w:rsidRPr="00651B7A">
        <w:rPr>
          <w:rFonts w:eastAsia="Yu Gothic UI Semilight" w:cs="Times New Roman"/>
          <w:b/>
          <w:bCs/>
          <w:color w:val="2F5496" w:themeColor="accent1" w:themeShade="BF"/>
          <w:lang w:eastAsia="ar-SA"/>
        </w:rPr>
        <w:t>Wsparcie finansowe w całej dekadzie, wdrażane przez NFOŚiGW, we współpracy z ministrem właściwym ds. energii i klimatu</w:t>
      </w:r>
    </w:p>
    <w:p w14:paraId="05EE3DF9" w14:textId="1219BC36" w:rsidR="009F5080" w:rsidRPr="0035160C" w:rsidRDefault="009F5080" w:rsidP="00D25C34">
      <w:pPr>
        <w:suppressAutoHyphens/>
        <w:spacing w:after="120" w:line="276" w:lineRule="auto"/>
        <w:jc w:val="both"/>
        <w:rPr>
          <w:rFonts w:eastAsia="Calibri" w:cs="Times New Roman"/>
          <w:lang w:eastAsia="ar-SA"/>
        </w:rPr>
      </w:pPr>
      <w:r w:rsidRPr="0035160C">
        <w:rPr>
          <w:rFonts w:eastAsia="Calibri" w:cs="Times New Roman"/>
          <w:lang w:eastAsia="ar-SA"/>
        </w:rPr>
        <w:t xml:space="preserve">Mając na uwadze fakt, że finansowanie publiczne może zostać udzielone wyłącznie systemom spełniającym wymogi „efektywnego systemu ciepłowniczego” lub systemom, które w wyniku uzyskania wsparcia osiągną taki status, konieczne jest w pierwszej kolejności finansowanie modernizacji źródeł ciepła. Dlatego </w:t>
      </w:r>
      <w:r w:rsidR="00D25C34">
        <w:rPr>
          <w:rFonts w:eastAsia="Calibri" w:cs="Times New Roman"/>
          <w:lang w:eastAsia="ar-SA"/>
        </w:rPr>
        <w:t xml:space="preserve">też </w:t>
      </w:r>
      <w:r w:rsidRPr="0035160C">
        <w:rPr>
          <w:rFonts w:eastAsia="Calibri" w:cs="Times New Roman"/>
          <w:lang w:eastAsia="ar-SA"/>
        </w:rPr>
        <w:t>Ministerstwo Klimatu i Środowiska przyjęło następującą demarkację finansowania inwestycji ciepłowniczych:</w:t>
      </w:r>
    </w:p>
    <w:p w14:paraId="1FCC1FD3" w14:textId="77777777" w:rsidR="009F5080" w:rsidRPr="0035160C" w:rsidRDefault="009F5080" w:rsidP="00D25C34">
      <w:pPr>
        <w:suppressAutoHyphens/>
        <w:spacing w:after="120" w:line="276" w:lineRule="auto"/>
        <w:ind w:left="2835" w:hanging="2835"/>
        <w:jc w:val="both"/>
        <w:rPr>
          <w:rFonts w:eastAsia="Calibri" w:cs="Times New Roman"/>
          <w:lang w:eastAsia="ar-SA"/>
        </w:rPr>
      </w:pPr>
      <w:r w:rsidRPr="00651B7A">
        <w:rPr>
          <w:rFonts w:eastAsia="Calibri" w:cs="Times New Roman"/>
          <w:b/>
          <w:bCs/>
          <w:color w:val="2F5496" w:themeColor="accent1" w:themeShade="BF"/>
          <w:lang w:eastAsia="ar-SA"/>
        </w:rPr>
        <w:t>Krajowy Plan Odbudowy</w:t>
      </w:r>
      <w:r w:rsidRPr="00651B7A">
        <w:rPr>
          <w:rFonts w:eastAsia="Calibri" w:cs="Times New Roman"/>
          <w:color w:val="2F5496" w:themeColor="accent1" w:themeShade="BF"/>
          <w:lang w:eastAsia="ar-SA"/>
        </w:rPr>
        <w:t xml:space="preserve"> </w:t>
      </w:r>
      <w:r w:rsidRPr="0035160C">
        <w:rPr>
          <w:rFonts w:eastAsia="Calibri" w:cs="Times New Roman"/>
          <w:lang w:eastAsia="ar-SA"/>
        </w:rPr>
        <w:t>– kontynuacja programu „ciepłownictwo powiatowe” finansowanie jednostek wytwórczych do 50 MWt;</w:t>
      </w:r>
    </w:p>
    <w:p w14:paraId="74EDA37F" w14:textId="77777777" w:rsidR="009F5080" w:rsidRPr="0035160C" w:rsidRDefault="009F5080" w:rsidP="00D25C34">
      <w:pPr>
        <w:suppressAutoHyphens/>
        <w:spacing w:after="120" w:line="276" w:lineRule="auto"/>
        <w:jc w:val="both"/>
        <w:rPr>
          <w:rFonts w:eastAsia="Calibri" w:cs="Times New Roman"/>
          <w:lang w:eastAsia="ar-SA"/>
        </w:rPr>
      </w:pPr>
      <w:r w:rsidRPr="00651B7A">
        <w:rPr>
          <w:rFonts w:eastAsia="Calibri" w:cs="Times New Roman"/>
          <w:b/>
          <w:bCs/>
          <w:color w:val="2F5496" w:themeColor="accent1" w:themeShade="BF"/>
          <w:lang w:eastAsia="ar-SA"/>
        </w:rPr>
        <w:t>Fundusz Modernizacyjny</w:t>
      </w:r>
      <w:r w:rsidRPr="00651B7A">
        <w:rPr>
          <w:rFonts w:eastAsia="Calibri" w:cs="Times New Roman"/>
          <w:color w:val="2F5496" w:themeColor="accent1" w:themeShade="BF"/>
          <w:lang w:eastAsia="ar-SA"/>
        </w:rPr>
        <w:t xml:space="preserve"> </w:t>
      </w:r>
      <w:r w:rsidRPr="0035160C">
        <w:rPr>
          <w:rFonts w:eastAsia="Calibri" w:cs="Times New Roman"/>
          <w:lang w:eastAsia="ar-SA"/>
        </w:rPr>
        <w:t>– finansowanie jednostek wytwórczych powyżej 50MWt;</w:t>
      </w:r>
    </w:p>
    <w:p w14:paraId="5BA641D9" w14:textId="77777777" w:rsidR="009F5080" w:rsidRPr="0035160C" w:rsidRDefault="009F5080" w:rsidP="00D25C34">
      <w:pPr>
        <w:suppressAutoHyphens/>
        <w:spacing w:after="120" w:line="276" w:lineRule="auto"/>
        <w:rPr>
          <w:rFonts w:eastAsia="Calibri" w:cs="Times New Roman"/>
          <w:lang w:eastAsia="ar-SA"/>
        </w:rPr>
      </w:pPr>
      <w:r w:rsidRPr="00651B7A">
        <w:rPr>
          <w:rFonts w:eastAsia="Calibri" w:cs="Times New Roman"/>
          <w:b/>
          <w:bCs/>
          <w:color w:val="2F5496" w:themeColor="accent1" w:themeShade="BF"/>
          <w:lang w:eastAsia="ar-SA"/>
        </w:rPr>
        <w:t>POIiŚ – 2021 - 2027</w:t>
      </w:r>
      <w:r w:rsidRPr="00651B7A">
        <w:rPr>
          <w:rFonts w:eastAsia="Calibri" w:cs="Times New Roman"/>
          <w:color w:val="2F5496" w:themeColor="accent1" w:themeShade="BF"/>
          <w:lang w:eastAsia="ar-SA"/>
        </w:rPr>
        <w:t xml:space="preserve"> </w:t>
      </w:r>
      <w:r w:rsidRPr="0035160C">
        <w:rPr>
          <w:rFonts w:eastAsia="Calibri" w:cs="Times New Roman"/>
          <w:lang w:eastAsia="ar-SA"/>
        </w:rPr>
        <w:t>– modernizacja sieci ciepłowniczych, wsparcie OZE.</w:t>
      </w:r>
    </w:p>
    <w:p w14:paraId="14390A0F" w14:textId="4AD7E444" w:rsidR="009F5080" w:rsidRPr="0035160C" w:rsidRDefault="009F5080" w:rsidP="00D25C34">
      <w:pPr>
        <w:suppressAutoHyphens/>
        <w:spacing w:after="120" w:line="276" w:lineRule="auto"/>
        <w:jc w:val="both"/>
        <w:rPr>
          <w:rFonts w:eastAsia="Yu Gothic UI Semilight" w:cs="Times New Roman"/>
          <w:lang w:eastAsia="ar-SA"/>
        </w:rPr>
      </w:pPr>
      <w:r w:rsidRPr="0035160C">
        <w:rPr>
          <w:rFonts w:eastAsia="Yu Gothic UI Semilight" w:cs="Times New Roman"/>
          <w:lang w:eastAsia="ar-SA"/>
        </w:rPr>
        <w:t>Minister właściwy ds. klimatu planuje rozszerzenie funkcjonującego systemu gwarancji pochodzenia o gwarancje pochodzenia ciepła</w:t>
      </w:r>
      <w:r w:rsidR="00D25C34">
        <w:rPr>
          <w:rFonts w:eastAsia="Yu Gothic UI Semilight" w:cs="Times New Roman"/>
          <w:lang w:eastAsia="ar-SA"/>
        </w:rPr>
        <w:t xml:space="preserve"> </w:t>
      </w:r>
      <w:r w:rsidR="00B81570">
        <w:rPr>
          <w:rFonts w:eastAsia="Yu Gothic UI Semilight" w:cs="Times New Roman"/>
          <w:lang w:eastAsia="ar-SA"/>
        </w:rPr>
        <w:t xml:space="preserve">lub chłodu </w:t>
      </w:r>
      <w:r w:rsidRPr="0035160C">
        <w:rPr>
          <w:rFonts w:eastAsia="Yu Gothic UI Semilight" w:cs="Times New Roman"/>
          <w:lang w:eastAsia="ar-SA"/>
        </w:rPr>
        <w:t>z</w:t>
      </w:r>
      <w:r w:rsidR="00D25C34">
        <w:rPr>
          <w:rFonts w:eastAsia="Yu Gothic UI Semilight" w:cs="Times New Roman"/>
          <w:lang w:eastAsia="ar-SA"/>
        </w:rPr>
        <w:t xml:space="preserve"> </w:t>
      </w:r>
      <w:r w:rsidRPr="0035160C">
        <w:rPr>
          <w:rFonts w:eastAsia="Yu Gothic UI Semilight" w:cs="Times New Roman"/>
          <w:lang w:eastAsia="ar-SA"/>
        </w:rPr>
        <w:t xml:space="preserve">odnawialnych źródeł energii. Gwarancja pochodzenia ciepła </w:t>
      </w:r>
      <w:r w:rsidR="00B81570">
        <w:rPr>
          <w:rFonts w:eastAsia="Yu Gothic UI Semilight" w:cs="Times New Roman"/>
          <w:lang w:eastAsia="ar-SA"/>
        </w:rPr>
        <w:t xml:space="preserve">lub chłodu </w:t>
      </w:r>
      <w:r w:rsidRPr="0035160C">
        <w:rPr>
          <w:rFonts w:eastAsia="Yu Gothic UI Semilight" w:cs="Times New Roman"/>
          <w:lang w:eastAsia="ar-SA"/>
        </w:rPr>
        <w:t xml:space="preserve">systemowego wytwarzanego z odnawialnych źródeł energii w instalacjach odnawialnego źródła energii, będzie dokumentem poświadczającym odbiorcy końcowemu wartości środowiskowe wynikające z unikniętej emisji gazów cieplarnianych oraz, że określona w tym dokumencie ilość ciepła wprowadzonego do sieci została wytworzona z odnawialnych źródeł energii w instalacjach odnawialnego źródła energii. </w:t>
      </w:r>
    </w:p>
    <w:p w14:paraId="50B0A6A9" w14:textId="77777777" w:rsidR="00B91399" w:rsidRDefault="00B91399" w:rsidP="00D25C34">
      <w:pPr>
        <w:suppressAutoHyphens/>
        <w:spacing w:after="120" w:line="276" w:lineRule="auto"/>
        <w:jc w:val="both"/>
        <w:rPr>
          <w:rFonts w:eastAsia="Times New Roman" w:cs="Times New Roman"/>
          <w:b/>
          <w:bCs/>
          <w:color w:val="2F5496" w:themeColor="accent1" w:themeShade="BF"/>
          <w:u w:val="single"/>
          <w:lang w:eastAsia="pl-PL"/>
        </w:rPr>
      </w:pPr>
    </w:p>
    <w:p w14:paraId="414FE511" w14:textId="77777777" w:rsidR="00B91399" w:rsidRDefault="00B91399" w:rsidP="00D25C34">
      <w:pPr>
        <w:suppressAutoHyphens/>
        <w:spacing w:after="120" w:line="276" w:lineRule="auto"/>
        <w:jc w:val="both"/>
        <w:rPr>
          <w:rFonts w:eastAsia="Times New Roman" w:cs="Times New Roman"/>
          <w:b/>
          <w:bCs/>
          <w:color w:val="2F5496" w:themeColor="accent1" w:themeShade="BF"/>
          <w:u w:val="single"/>
          <w:lang w:eastAsia="pl-PL"/>
        </w:rPr>
      </w:pPr>
    </w:p>
    <w:p w14:paraId="6B43AE53" w14:textId="23F6776A" w:rsidR="009F5080" w:rsidRPr="00D25C34" w:rsidRDefault="000E1370" w:rsidP="00D25C34">
      <w:pPr>
        <w:suppressAutoHyphens/>
        <w:spacing w:after="120" w:line="276" w:lineRule="auto"/>
        <w:jc w:val="both"/>
        <w:rPr>
          <w:rFonts w:eastAsia="Times New Roman" w:cs="Times New Roman"/>
          <w:b/>
          <w:bCs/>
          <w:color w:val="2F5496" w:themeColor="accent1" w:themeShade="BF"/>
          <w:u w:val="single"/>
          <w:lang w:eastAsia="pl-PL"/>
        </w:rPr>
      </w:pPr>
      <w:r>
        <w:rPr>
          <w:rFonts w:eastAsia="Times New Roman" w:cs="Times New Roman"/>
          <w:b/>
          <w:bCs/>
          <w:color w:val="2F5496" w:themeColor="accent1" w:themeShade="BF"/>
          <w:u w:val="single"/>
          <w:lang w:eastAsia="pl-PL"/>
        </w:rPr>
        <w:lastRenderedPageBreak/>
        <w:t>w</w:t>
      </w:r>
      <w:r w:rsidR="009F5080" w:rsidRPr="00D25C34">
        <w:rPr>
          <w:rFonts w:eastAsia="Times New Roman" w:cs="Times New Roman"/>
          <w:b/>
          <w:bCs/>
          <w:color w:val="2F5496" w:themeColor="accent1" w:themeShade="BF"/>
          <w:u w:val="single"/>
          <w:lang w:eastAsia="pl-PL"/>
        </w:rPr>
        <w:t xml:space="preserve"> perspektywie do 2040</w:t>
      </w:r>
      <w:r w:rsidR="00E83218">
        <w:rPr>
          <w:rFonts w:eastAsia="Times New Roman" w:cs="Times New Roman"/>
          <w:b/>
          <w:bCs/>
          <w:color w:val="2F5496" w:themeColor="accent1" w:themeShade="BF"/>
          <w:u w:val="single"/>
          <w:lang w:eastAsia="pl-PL"/>
        </w:rPr>
        <w:t xml:space="preserve"> r.:</w:t>
      </w:r>
    </w:p>
    <w:p w14:paraId="1E838DEE" w14:textId="59E9D14A" w:rsidR="009F5080" w:rsidRPr="0035160C" w:rsidRDefault="009F5080" w:rsidP="009F5080">
      <w:pPr>
        <w:suppressAutoHyphens/>
        <w:spacing w:after="200" w:line="276" w:lineRule="auto"/>
        <w:jc w:val="both"/>
        <w:rPr>
          <w:rFonts w:eastAsia="Calibri" w:cs="Times New Roman"/>
          <w:lang w:eastAsia="ar-SA"/>
        </w:rPr>
      </w:pPr>
      <w:r w:rsidRPr="0035160C">
        <w:rPr>
          <w:rFonts w:eastAsia="Calibri" w:cs="Times New Roman"/>
          <w:lang w:eastAsia="ar-SA"/>
        </w:rPr>
        <w:t>Po 2030</w:t>
      </w:r>
      <w:r w:rsidR="00D25C34">
        <w:rPr>
          <w:rFonts w:eastAsia="Calibri" w:cs="Times New Roman"/>
          <w:lang w:eastAsia="ar-SA"/>
        </w:rPr>
        <w:t xml:space="preserve"> r.</w:t>
      </w:r>
      <w:r w:rsidRPr="0035160C">
        <w:rPr>
          <w:rFonts w:eastAsia="Calibri" w:cs="Times New Roman"/>
          <w:lang w:eastAsia="ar-SA"/>
        </w:rPr>
        <w:t xml:space="preserve">, wobec ewentualnego powiązania statusu systemu efektywnego z określonym udziałem ciepła z </w:t>
      </w:r>
      <w:r w:rsidR="00B81570">
        <w:rPr>
          <w:rFonts w:eastAsia="Calibri" w:cs="Times New Roman"/>
          <w:lang w:eastAsia="ar-SA"/>
        </w:rPr>
        <w:t>odnawialnych źródeł energii</w:t>
      </w:r>
      <w:r w:rsidRPr="0035160C">
        <w:rPr>
          <w:rFonts w:eastAsia="Calibri" w:cs="Times New Roman"/>
          <w:lang w:eastAsia="ar-SA"/>
        </w:rPr>
        <w:t xml:space="preserve">, konieczne może być wprowadzenie nowych mechanizmów wsparcia dla technologii </w:t>
      </w:r>
      <w:r w:rsidR="00B81570">
        <w:rPr>
          <w:rFonts w:eastAsia="Calibri" w:cs="Times New Roman"/>
          <w:lang w:eastAsia="ar-SA"/>
        </w:rPr>
        <w:t xml:space="preserve">wykorzystujących </w:t>
      </w:r>
      <w:r w:rsidR="00B81570" w:rsidRPr="0035160C">
        <w:rPr>
          <w:rFonts w:eastAsia="Calibri" w:cs="Times New Roman"/>
          <w:lang w:eastAsia="ar-SA"/>
        </w:rPr>
        <w:t>odnawialn</w:t>
      </w:r>
      <w:r w:rsidR="00B81570">
        <w:rPr>
          <w:rFonts w:eastAsia="Calibri" w:cs="Times New Roman"/>
          <w:lang w:eastAsia="ar-SA"/>
        </w:rPr>
        <w:t>e źródła energii w ciepłownictwie, co będzie prowadziło  do zwiększenia liczby źródeł</w:t>
      </w:r>
      <w:r w:rsidRPr="0035160C">
        <w:rPr>
          <w:rFonts w:eastAsia="Calibri" w:cs="Times New Roman"/>
          <w:lang w:eastAsia="ar-SA"/>
        </w:rPr>
        <w:t xml:space="preserve"> bezemisyjnych</w:t>
      </w:r>
      <w:r w:rsidR="00B81570">
        <w:rPr>
          <w:rFonts w:eastAsia="Calibri" w:cs="Times New Roman"/>
          <w:lang w:eastAsia="ar-SA"/>
        </w:rPr>
        <w:t xml:space="preserve"> i ilości ciepła wytwarzanego przez takie źródła</w:t>
      </w:r>
      <w:r w:rsidRPr="0035160C">
        <w:rPr>
          <w:rFonts w:eastAsia="Calibri" w:cs="Times New Roman"/>
          <w:lang w:eastAsia="ar-SA"/>
        </w:rPr>
        <w:t xml:space="preserve">. </w:t>
      </w:r>
      <w:r w:rsidR="00B81570">
        <w:rPr>
          <w:rFonts w:eastAsia="Calibri" w:cs="Times New Roman"/>
          <w:lang w:eastAsia="ar-SA"/>
        </w:rPr>
        <w:t>Ważny jest</w:t>
      </w:r>
      <w:r w:rsidRPr="0035160C">
        <w:rPr>
          <w:rFonts w:eastAsia="Calibri" w:cs="Times New Roman"/>
          <w:lang w:eastAsia="ar-SA"/>
        </w:rPr>
        <w:t xml:space="preserve"> proces</w:t>
      </w:r>
      <w:r w:rsidR="00B81570">
        <w:rPr>
          <w:rFonts w:eastAsia="Calibri" w:cs="Times New Roman"/>
          <w:lang w:eastAsia="ar-SA"/>
        </w:rPr>
        <w:t xml:space="preserve"> intensywnej  konwersji źródeł ciepła na źródła wytwarzające energię elektryczną i ciepło w</w:t>
      </w:r>
      <w:r w:rsidRPr="0035160C">
        <w:rPr>
          <w:rFonts w:eastAsia="Calibri" w:cs="Times New Roman"/>
          <w:lang w:eastAsia="ar-SA"/>
        </w:rPr>
        <w:t xml:space="preserve"> kogeneracji</w:t>
      </w:r>
      <w:r w:rsidR="00B81570">
        <w:rPr>
          <w:rFonts w:eastAsia="Calibri" w:cs="Times New Roman"/>
          <w:lang w:eastAsia="ar-SA"/>
        </w:rPr>
        <w:t xml:space="preserve">, a zwiększona podaż gazów zdekarbonizowanych powinna pozwolić na obniżenie emisji z jednostek kogeneracji gazowej. Dzięki </w:t>
      </w:r>
      <w:r w:rsidRPr="0035160C">
        <w:rPr>
          <w:rFonts w:eastAsia="Calibri" w:cs="Times New Roman"/>
          <w:lang w:eastAsia="ar-SA"/>
        </w:rPr>
        <w:t xml:space="preserve">postępującej termomodernizacji, </w:t>
      </w:r>
      <w:r w:rsidR="00B81570">
        <w:rPr>
          <w:rFonts w:eastAsia="Calibri" w:cs="Times New Roman"/>
          <w:lang w:eastAsia="ar-SA"/>
        </w:rPr>
        <w:t>ograniczona zostanie emisja szkodliwych substancji do powietrza poprzez zmniejszenie zapotrzebowania na ciepło. Inwestycje w sieci dystrybucyjne ciepła w obszarze obniżenia temperatury roboczej, ograniczenia strat oraz inteligentnego zarządzania podażą i popytem na ciepło, pozwolą na</w:t>
      </w:r>
      <w:r w:rsidR="00171B72">
        <w:rPr>
          <w:rFonts w:eastAsia="Calibri" w:cs="Times New Roman"/>
          <w:lang w:eastAsia="ar-SA"/>
        </w:rPr>
        <w:t xml:space="preserve"> przyłączenie  dużej </w:t>
      </w:r>
      <w:r w:rsidRPr="0035160C">
        <w:rPr>
          <w:rFonts w:eastAsia="Calibri" w:cs="Times New Roman"/>
          <w:lang w:eastAsia="ar-SA"/>
        </w:rPr>
        <w:t xml:space="preserve">liczby nowych, odnawialnych jednostek </w:t>
      </w:r>
      <w:r w:rsidR="00171B72">
        <w:rPr>
          <w:rFonts w:eastAsia="Calibri" w:cs="Times New Roman"/>
          <w:lang w:eastAsia="ar-SA"/>
        </w:rPr>
        <w:t>wytwórczych, wykorzystujących szeroki wachlarz technologii i lokalnych zasobów.</w:t>
      </w:r>
    </w:p>
    <w:p w14:paraId="37E8ACF7" w14:textId="7B1D57BD" w:rsidR="009F5080" w:rsidRPr="0035160C" w:rsidRDefault="009F5080" w:rsidP="00D25C34">
      <w:pPr>
        <w:tabs>
          <w:tab w:val="right" w:pos="9020"/>
        </w:tabs>
        <w:suppressAutoHyphens/>
        <w:spacing w:before="120" w:after="120" w:line="276" w:lineRule="auto"/>
        <w:jc w:val="both"/>
        <w:rPr>
          <w:rFonts w:eastAsia="Calibri" w:cstheme="minorHAnsi"/>
          <w:color w:val="000000"/>
          <w:lang w:eastAsia="ar-SA"/>
        </w:rPr>
      </w:pPr>
      <w:r w:rsidRPr="0035160C">
        <w:rPr>
          <w:rFonts w:eastAsia="Yu Gothic UI Semilight" w:cs="Times New Roman"/>
          <w:lang w:eastAsia="ar-SA"/>
        </w:rPr>
        <w:t>Cele klimatyczne wymagają od sektora zmiany filozofii prowadzenia działalności gospodarczej w</w:t>
      </w:r>
      <w:r w:rsidR="00D25C34">
        <w:rPr>
          <w:rFonts w:eastAsia="Yu Gothic UI Semilight" w:cs="Times New Roman"/>
          <w:lang w:eastAsia="ar-SA"/>
        </w:rPr>
        <w:t> </w:t>
      </w:r>
      <w:r w:rsidRPr="0035160C">
        <w:rPr>
          <w:rFonts w:eastAsia="Yu Gothic UI Semilight" w:cs="Times New Roman"/>
          <w:lang w:eastAsia="ar-SA"/>
        </w:rPr>
        <w:t xml:space="preserve">zakresie wytwarzania ciepła i oparcia modernizowanych systemów, tam gdzie jest to techniczne wykonalne, na </w:t>
      </w:r>
      <w:r w:rsidR="00171B72">
        <w:rPr>
          <w:rFonts w:eastAsia="Yu Gothic UI Semilight" w:cs="Times New Roman"/>
          <w:lang w:eastAsia="ar-SA"/>
        </w:rPr>
        <w:t>odnawialne źródła energii</w:t>
      </w:r>
      <w:r w:rsidRPr="0035160C">
        <w:rPr>
          <w:rFonts w:eastAsia="Yu Gothic UI Semilight" w:cs="Times New Roman"/>
          <w:lang w:eastAsia="ar-SA"/>
        </w:rPr>
        <w:t xml:space="preserve">. Zwiększanie się </w:t>
      </w:r>
      <w:r w:rsidR="00171B72">
        <w:rPr>
          <w:rFonts w:eastAsia="Yu Gothic UI Semilight" w:cs="Times New Roman"/>
          <w:lang w:eastAsia="ar-SA"/>
        </w:rPr>
        <w:t>liczby</w:t>
      </w:r>
      <w:r w:rsidR="00171B72" w:rsidRPr="0035160C">
        <w:rPr>
          <w:rFonts w:eastAsia="Yu Gothic UI Semilight" w:cs="Times New Roman"/>
          <w:lang w:eastAsia="ar-SA"/>
        </w:rPr>
        <w:t xml:space="preserve"> </w:t>
      </w:r>
      <w:r w:rsidRPr="0035160C">
        <w:rPr>
          <w:rFonts w:eastAsia="Yu Gothic UI Semilight" w:cs="Times New Roman"/>
          <w:lang w:eastAsia="ar-SA"/>
        </w:rPr>
        <w:t xml:space="preserve">dostępnych strumieni ciepła będzie skutkowało koniecznością </w:t>
      </w:r>
      <w:r w:rsidR="00171B72">
        <w:rPr>
          <w:rFonts w:eastAsia="Yu Gothic UI Semilight" w:cs="Times New Roman"/>
          <w:lang w:eastAsia="ar-SA"/>
        </w:rPr>
        <w:t>uwzględnienia w</w:t>
      </w:r>
      <w:r w:rsidRPr="0035160C">
        <w:rPr>
          <w:rFonts w:eastAsia="Yu Gothic UI Semilight" w:cs="Times New Roman"/>
          <w:lang w:eastAsia="ar-SA"/>
        </w:rPr>
        <w:t xml:space="preserve"> hierarchii źródeł ciepła </w:t>
      </w:r>
      <w:r w:rsidR="00171B72">
        <w:rPr>
          <w:rFonts w:eastAsia="Yu Gothic UI Semilight" w:cs="Times New Roman"/>
          <w:lang w:eastAsia="ar-SA"/>
        </w:rPr>
        <w:t>systemowego nowych źródeł w celu efektywnej alokacji lokalnych zasobów energetycznych</w:t>
      </w:r>
      <w:r w:rsidRPr="0035160C">
        <w:rPr>
          <w:rFonts w:eastAsia="Yu Gothic UI Semilight" w:cs="Times New Roman"/>
          <w:lang w:eastAsia="ar-SA"/>
        </w:rPr>
        <w:t xml:space="preserve">. </w:t>
      </w:r>
    </w:p>
    <w:p w14:paraId="4C35C1A2" w14:textId="77777777" w:rsidR="00026246" w:rsidRDefault="00026246" w:rsidP="00D25C34">
      <w:pPr>
        <w:suppressAutoHyphens/>
        <w:spacing w:before="120" w:after="120" w:line="276" w:lineRule="auto"/>
        <w:jc w:val="both"/>
        <w:rPr>
          <w:rFonts w:eastAsia="Calibri" w:cs="Times New Roman"/>
          <w:i/>
          <w:iCs/>
          <w:lang w:eastAsia="ar-SA"/>
        </w:rPr>
      </w:pPr>
    </w:p>
    <w:p w14:paraId="13C2D2F3" w14:textId="75BE4BF0" w:rsidR="00026246" w:rsidRPr="00DD0E4C" w:rsidRDefault="00026246" w:rsidP="00D25C34">
      <w:pPr>
        <w:suppressAutoHyphens/>
        <w:spacing w:before="120" w:after="120" w:line="276" w:lineRule="auto"/>
        <w:jc w:val="both"/>
        <w:rPr>
          <w:rFonts w:eastAsia="Calibri" w:cs="Times New Roman"/>
          <w:b/>
          <w:i/>
          <w:iCs/>
          <w:lang w:eastAsia="ar-SA"/>
        </w:rPr>
      </w:pPr>
      <w:bookmarkStart w:id="83" w:name="_Toc78205905"/>
      <w:r w:rsidRPr="00DD0E4C">
        <w:rPr>
          <w:rStyle w:val="Nagwek3Znak"/>
          <w:rFonts w:eastAsiaTheme="majorEastAsia"/>
          <w:b/>
          <w:sz w:val="22"/>
          <w:szCs w:val="22"/>
        </w:rPr>
        <w:t xml:space="preserve">9.4.3 </w:t>
      </w:r>
      <w:r w:rsidR="009051A5" w:rsidRPr="00B91399">
        <w:rPr>
          <w:rStyle w:val="Nagwek3Znak"/>
          <w:rFonts w:eastAsiaTheme="majorEastAsia"/>
          <w:b/>
          <w:bCs w:val="0"/>
          <w:sz w:val="22"/>
          <w:szCs w:val="22"/>
        </w:rPr>
        <w:t>Rozwój czystej energii, gospodarka wodorow</w:t>
      </w:r>
      <w:r w:rsidR="00FA5B08" w:rsidRPr="00B91399">
        <w:rPr>
          <w:rStyle w:val="Nagwek3Znak"/>
          <w:rFonts w:eastAsiaTheme="majorEastAsia"/>
          <w:b/>
          <w:bCs w:val="0"/>
          <w:sz w:val="22"/>
          <w:szCs w:val="22"/>
        </w:rPr>
        <w:t>a</w:t>
      </w:r>
      <w:bookmarkEnd w:id="83"/>
    </w:p>
    <w:p w14:paraId="013E4093" w14:textId="4DD5983F" w:rsidR="00734945" w:rsidRDefault="009F5080" w:rsidP="00D25C34">
      <w:pPr>
        <w:suppressAutoHyphens/>
        <w:spacing w:before="120" w:after="120" w:line="276" w:lineRule="auto"/>
        <w:jc w:val="both"/>
        <w:rPr>
          <w:rFonts w:eastAsia="Calibri" w:cs="Times New Roman"/>
          <w:lang w:eastAsia="ar-SA"/>
        </w:rPr>
      </w:pPr>
      <w:r w:rsidRPr="0035160C">
        <w:rPr>
          <w:rFonts w:eastAsia="Calibri" w:cs="Times New Roman"/>
          <w:i/>
          <w:iCs/>
          <w:lang w:eastAsia="ar-SA"/>
        </w:rPr>
        <w:t>Projekt dokumentu: „Polska Strategia Wodorowa do roku 2030 z perspektywą do 2040 r.”,</w:t>
      </w:r>
      <w:r w:rsidRPr="0035160C">
        <w:rPr>
          <w:rFonts w:eastAsia="Calibri" w:cs="Times New Roman"/>
          <w:i/>
          <w:iCs/>
          <w:color w:val="44546A" w:themeColor="text2"/>
          <w:lang w:eastAsia="ar-SA"/>
        </w:rPr>
        <w:br/>
      </w:r>
      <w:r w:rsidR="00734945">
        <w:rPr>
          <w:rFonts w:eastAsia="Calibri" w:cs="Times New Roman"/>
          <w:lang w:eastAsia="ar-SA"/>
        </w:rPr>
        <w:t>będzie d</w:t>
      </w:r>
      <w:r w:rsidRPr="0035160C">
        <w:rPr>
          <w:rFonts w:eastAsia="Calibri" w:cs="Times New Roman"/>
          <w:lang w:eastAsia="ar-SA"/>
        </w:rPr>
        <w:t>okument</w:t>
      </w:r>
      <w:r w:rsidR="00734945">
        <w:rPr>
          <w:rFonts w:eastAsia="Calibri" w:cs="Times New Roman"/>
          <w:lang w:eastAsia="ar-SA"/>
        </w:rPr>
        <w:t>em</w:t>
      </w:r>
      <w:r w:rsidRPr="0035160C">
        <w:rPr>
          <w:rFonts w:eastAsia="Calibri" w:cs="Times New Roman"/>
          <w:lang w:eastAsia="ar-SA"/>
        </w:rPr>
        <w:t xml:space="preserve"> strategiczny</w:t>
      </w:r>
      <w:r w:rsidR="00734945">
        <w:rPr>
          <w:rFonts w:eastAsia="Calibri" w:cs="Times New Roman"/>
          <w:lang w:eastAsia="ar-SA"/>
        </w:rPr>
        <w:t>m</w:t>
      </w:r>
      <w:r w:rsidRPr="0035160C">
        <w:rPr>
          <w:rFonts w:eastAsia="Calibri" w:cs="Times New Roman"/>
          <w:lang w:eastAsia="ar-SA"/>
        </w:rPr>
        <w:t xml:space="preserve">, </w:t>
      </w:r>
      <w:r w:rsidR="00026246">
        <w:rPr>
          <w:rFonts w:eastAsia="Calibri" w:cs="Times New Roman"/>
          <w:lang w:eastAsia="ar-SA"/>
        </w:rPr>
        <w:t>o</w:t>
      </w:r>
      <w:r w:rsidRPr="0035160C">
        <w:rPr>
          <w:rFonts w:eastAsia="Calibri" w:cs="Times New Roman"/>
          <w:lang w:eastAsia="ar-SA"/>
        </w:rPr>
        <w:t>kreśla</w:t>
      </w:r>
      <w:r w:rsidR="00026246">
        <w:rPr>
          <w:rFonts w:eastAsia="Calibri" w:cs="Times New Roman"/>
          <w:lang w:eastAsia="ar-SA"/>
        </w:rPr>
        <w:t>jącym</w:t>
      </w:r>
      <w:r w:rsidRPr="0035160C">
        <w:rPr>
          <w:rFonts w:eastAsia="Calibri" w:cs="Times New Roman"/>
          <w:lang w:eastAsia="ar-SA"/>
        </w:rPr>
        <w:t xml:space="preserve"> główne cele rozwoju gospodarki wodorowej w Polsce i kierunki interwencji, jakie są pożądane do ich osiągnięcia. </w:t>
      </w:r>
      <w:r w:rsidR="00734945">
        <w:rPr>
          <w:rFonts w:eastAsia="Calibri" w:cs="Times New Roman"/>
          <w:lang w:eastAsia="ar-SA"/>
        </w:rPr>
        <w:t>Strategia ta w</w:t>
      </w:r>
      <w:r w:rsidRPr="0035160C">
        <w:rPr>
          <w:rFonts w:eastAsia="Calibri" w:cs="Times New Roman"/>
          <w:lang w:eastAsia="ar-SA"/>
        </w:rPr>
        <w:t>pisuje się w globalne, europejskie i</w:t>
      </w:r>
      <w:r w:rsidR="00734945">
        <w:rPr>
          <w:rFonts w:eastAsia="Calibri" w:cs="Times New Roman"/>
          <w:lang w:eastAsia="ar-SA"/>
        </w:rPr>
        <w:t xml:space="preserve"> </w:t>
      </w:r>
      <w:r w:rsidRPr="0035160C">
        <w:rPr>
          <w:rFonts w:eastAsia="Calibri" w:cs="Times New Roman"/>
          <w:lang w:eastAsia="ar-SA"/>
        </w:rPr>
        <w:t xml:space="preserve">krajowe działania mające na celu osiągnięcie gospodarki niskoemisyjnej. </w:t>
      </w:r>
    </w:p>
    <w:p w14:paraId="4CAC4EFE" w14:textId="7B9AEB35" w:rsidR="009F5080" w:rsidRPr="00734945" w:rsidRDefault="009F5080" w:rsidP="00D25C34">
      <w:pPr>
        <w:suppressAutoHyphens/>
        <w:spacing w:before="120" w:after="120" w:line="276" w:lineRule="auto"/>
        <w:jc w:val="both"/>
        <w:rPr>
          <w:rFonts w:eastAsia="Calibri" w:cs="Times New Roman"/>
          <w:b/>
          <w:bCs/>
          <w:color w:val="2F5496" w:themeColor="accent1" w:themeShade="BF"/>
          <w:lang w:eastAsia="ar-SA"/>
        </w:rPr>
      </w:pPr>
      <w:r w:rsidRPr="00734945">
        <w:rPr>
          <w:rFonts w:eastAsia="Calibri" w:cs="Times New Roman"/>
          <w:b/>
          <w:bCs/>
          <w:color w:val="2F5496" w:themeColor="accent1" w:themeShade="BF"/>
          <w:lang w:eastAsia="ar-SA"/>
        </w:rPr>
        <w:t>Wizją i nadrzędnym celem PSW jest stworzenie polskiej gałęzi gospodarki wodorowej oraz jej rozwój na rzecz osiągnięcia neutralności klimatycznej i utrzymania konkurencyjności polskiej gospodarki.</w:t>
      </w:r>
    </w:p>
    <w:p w14:paraId="095F3194" w14:textId="3E46B953" w:rsidR="009F5080" w:rsidRPr="0035160C" w:rsidRDefault="009F5080" w:rsidP="009F5080">
      <w:pPr>
        <w:suppressAutoHyphens/>
        <w:spacing w:after="120" w:line="276" w:lineRule="auto"/>
        <w:jc w:val="both"/>
        <w:rPr>
          <w:rFonts w:eastAsia="Calibri" w:cs="Times New Roman"/>
          <w:lang w:eastAsia="ar-SA"/>
        </w:rPr>
      </w:pPr>
      <w:r w:rsidRPr="00734945">
        <w:rPr>
          <w:rFonts w:eastAsia="Calibri" w:cs="Times New Roman"/>
          <w:b/>
          <w:bCs/>
          <w:color w:val="2F5496" w:themeColor="accent1" w:themeShade="BF"/>
          <w:lang w:eastAsia="ar-SA"/>
        </w:rPr>
        <w:t xml:space="preserve">W ramach prac nad PSW w Instytucie Energetyki – Instytucie Badawczym przygotowana została „Analiza potencjału technologii wodorowych w Polsce do 2030 </w:t>
      </w:r>
      <w:r w:rsidR="00910CEF">
        <w:rPr>
          <w:rFonts w:eastAsia="Calibri" w:cs="Times New Roman"/>
          <w:b/>
          <w:bCs/>
          <w:color w:val="2F5496" w:themeColor="accent1" w:themeShade="BF"/>
          <w:lang w:eastAsia="ar-SA"/>
        </w:rPr>
        <w:t xml:space="preserve">r. </w:t>
      </w:r>
      <w:r w:rsidRPr="00734945">
        <w:rPr>
          <w:rFonts w:eastAsia="Calibri" w:cs="Times New Roman"/>
          <w:b/>
          <w:bCs/>
          <w:color w:val="2F5496" w:themeColor="accent1" w:themeShade="BF"/>
          <w:lang w:eastAsia="ar-SA"/>
        </w:rPr>
        <w:t>z perspektywą do 2040 r</w:t>
      </w:r>
      <w:r w:rsidR="00910CEF">
        <w:rPr>
          <w:rFonts w:eastAsia="Calibri" w:cs="Times New Roman"/>
          <w:b/>
          <w:bCs/>
          <w:color w:val="2F5496" w:themeColor="accent1" w:themeShade="BF"/>
          <w:lang w:eastAsia="ar-SA"/>
        </w:rPr>
        <w:t>.</w:t>
      </w:r>
      <w:r w:rsidRPr="00734945">
        <w:rPr>
          <w:rFonts w:eastAsia="Calibri" w:cs="Times New Roman"/>
          <w:b/>
          <w:bCs/>
          <w:color w:val="2F5496" w:themeColor="accent1" w:themeShade="BF"/>
          <w:lang w:eastAsia="ar-SA"/>
        </w:rPr>
        <w:t xml:space="preserve">”. W Analizie określona została m.in. metodyka </w:t>
      </w:r>
      <w:bookmarkStart w:id="84" w:name="_Hlk67569355"/>
      <w:r w:rsidRPr="00734945">
        <w:rPr>
          <w:rFonts w:eastAsia="Calibri" w:cs="Times New Roman"/>
          <w:b/>
          <w:bCs/>
          <w:color w:val="2F5496" w:themeColor="accent1" w:themeShade="BF"/>
          <w:lang w:eastAsia="ar-SA"/>
        </w:rPr>
        <w:t>szacowania efektów ekologicznych wdrażania w Polsce PSW w horyzoncie 2030</w:t>
      </w:r>
      <w:bookmarkEnd w:id="84"/>
      <w:r w:rsidRPr="00734945">
        <w:rPr>
          <w:rFonts w:eastAsia="Calibri" w:cs="Times New Roman"/>
          <w:b/>
          <w:bCs/>
          <w:color w:val="2F5496" w:themeColor="accent1" w:themeShade="BF"/>
          <w:lang w:eastAsia="ar-SA"/>
        </w:rPr>
        <w:t xml:space="preserve"> i 2040 r. Celem tego zadania jest wskazanie ilości gazów cieplarnianych i innych zanieczyszczeń jakie zostaną uniknięte dzięki zakładanemu wzrostowi wykorzystania odnawialnego wodoru w gospodarce narodowej zgodnie z przyjętymi scenariuszami wykorzystania wodoru.</w:t>
      </w:r>
      <w:r w:rsidRPr="0035160C">
        <w:rPr>
          <w:rFonts w:eastAsia="Calibri" w:cs="Times New Roman"/>
          <w:lang w:eastAsia="ar-SA"/>
        </w:rPr>
        <w:t xml:space="preserve"> Zestaw substancji uwzględnionych w szacowaniu efektu ekologicznego to: </w:t>
      </w:r>
      <w:r w:rsidR="00007245">
        <w:rPr>
          <w:rFonts w:eastAsia="Calibri" w:cs="Times New Roman"/>
          <w:lang w:eastAsia="ar-SA"/>
        </w:rPr>
        <w:t>CO</w:t>
      </w:r>
      <w:r w:rsidR="00007245" w:rsidRPr="00DD0E4C">
        <w:rPr>
          <w:rFonts w:eastAsia="Calibri" w:cs="Times New Roman"/>
          <w:vertAlign w:val="subscript"/>
          <w:lang w:eastAsia="ar-SA"/>
        </w:rPr>
        <w:t>2</w:t>
      </w:r>
      <w:r w:rsidRPr="0035160C">
        <w:rPr>
          <w:rFonts w:eastAsia="Calibri" w:cs="Times New Roman"/>
          <w:lang w:eastAsia="ar-SA"/>
        </w:rPr>
        <w:t>, metan i</w:t>
      </w:r>
      <w:r w:rsidR="00910CEF">
        <w:rPr>
          <w:rFonts w:eastAsia="Calibri" w:cs="Times New Roman"/>
          <w:lang w:eastAsia="ar-SA"/>
        </w:rPr>
        <w:t xml:space="preserve"> </w:t>
      </w:r>
      <w:r w:rsidRPr="0035160C">
        <w:rPr>
          <w:rFonts w:eastAsia="Calibri" w:cs="Times New Roman"/>
          <w:lang w:eastAsia="ar-SA"/>
        </w:rPr>
        <w:t xml:space="preserve">podtlenek azotu jako </w:t>
      </w:r>
      <w:r w:rsidR="001F009D">
        <w:rPr>
          <w:rFonts w:eastAsia="Calibri" w:cs="Times New Roman"/>
          <w:lang w:eastAsia="ar-SA"/>
        </w:rPr>
        <w:t>reprezentujące</w:t>
      </w:r>
      <w:r w:rsidRPr="0035160C">
        <w:rPr>
          <w:rFonts w:eastAsia="Calibri" w:cs="Times New Roman"/>
          <w:lang w:eastAsia="ar-SA"/>
        </w:rPr>
        <w:t xml:space="preserve"> gaz</w:t>
      </w:r>
      <w:r w:rsidR="001F009D">
        <w:rPr>
          <w:rFonts w:eastAsia="Calibri" w:cs="Times New Roman"/>
          <w:lang w:eastAsia="ar-SA"/>
        </w:rPr>
        <w:t>y</w:t>
      </w:r>
      <w:r w:rsidRPr="0035160C">
        <w:rPr>
          <w:rFonts w:eastAsia="Calibri" w:cs="Times New Roman"/>
          <w:lang w:eastAsia="ar-SA"/>
        </w:rPr>
        <w:t xml:space="preserve"> cieplarnian</w:t>
      </w:r>
      <w:r w:rsidR="001F009D">
        <w:rPr>
          <w:rFonts w:eastAsia="Calibri" w:cs="Times New Roman"/>
          <w:lang w:eastAsia="ar-SA"/>
        </w:rPr>
        <w:t>e</w:t>
      </w:r>
      <w:r w:rsidRPr="0035160C">
        <w:rPr>
          <w:rFonts w:eastAsia="Calibri" w:cs="Times New Roman"/>
          <w:lang w:eastAsia="ar-SA"/>
        </w:rPr>
        <w:t xml:space="preserve"> oraz </w:t>
      </w:r>
      <w:r w:rsidR="00007245">
        <w:rPr>
          <w:rFonts w:eastAsia="Calibri" w:cs="Times New Roman"/>
          <w:lang w:eastAsia="ar-SA"/>
        </w:rPr>
        <w:t>SO</w:t>
      </w:r>
      <w:r w:rsidR="00007245" w:rsidRPr="00DD0E4C">
        <w:rPr>
          <w:rFonts w:eastAsia="Calibri" w:cs="Times New Roman"/>
          <w:vertAlign w:val="subscript"/>
          <w:lang w:eastAsia="ar-SA"/>
        </w:rPr>
        <w:t>2</w:t>
      </w:r>
      <w:r w:rsidRPr="0035160C">
        <w:rPr>
          <w:rFonts w:eastAsia="Calibri" w:cs="Times New Roman"/>
          <w:lang w:eastAsia="ar-SA"/>
        </w:rPr>
        <w:t xml:space="preserve">, </w:t>
      </w:r>
      <w:r w:rsidR="00007245">
        <w:rPr>
          <w:rFonts w:eastAsia="Calibri" w:cs="Times New Roman"/>
          <w:lang w:eastAsia="ar-SA"/>
        </w:rPr>
        <w:t>NOx</w:t>
      </w:r>
      <w:r w:rsidRPr="0035160C">
        <w:rPr>
          <w:rFonts w:eastAsia="Calibri" w:cs="Times New Roman"/>
          <w:lang w:eastAsia="ar-SA"/>
        </w:rPr>
        <w:t xml:space="preserve">, </w:t>
      </w:r>
      <w:r w:rsidR="001F009D">
        <w:rPr>
          <w:rFonts w:eastAsia="Calibri" w:cs="Times New Roman"/>
          <w:lang w:eastAsia="ar-SA"/>
        </w:rPr>
        <w:t xml:space="preserve">frakcje </w:t>
      </w:r>
      <w:r w:rsidR="001F009D" w:rsidRPr="0035160C">
        <w:rPr>
          <w:rFonts w:eastAsia="Calibri" w:cs="Times New Roman"/>
          <w:lang w:eastAsia="ar-SA"/>
        </w:rPr>
        <w:t>PM10 i PM2,5</w:t>
      </w:r>
      <w:r w:rsidR="001F009D">
        <w:rPr>
          <w:rFonts w:eastAsia="Calibri" w:cs="Times New Roman"/>
          <w:lang w:eastAsia="ar-SA"/>
        </w:rPr>
        <w:t xml:space="preserve"> </w:t>
      </w:r>
      <w:r w:rsidRPr="0035160C">
        <w:rPr>
          <w:rFonts w:eastAsia="Calibri" w:cs="Times New Roman"/>
          <w:lang w:eastAsia="ar-SA"/>
        </w:rPr>
        <w:t>pył</w:t>
      </w:r>
      <w:r w:rsidR="001F009D">
        <w:rPr>
          <w:rFonts w:eastAsia="Calibri" w:cs="Times New Roman"/>
          <w:lang w:eastAsia="ar-SA"/>
        </w:rPr>
        <w:t>u</w:t>
      </w:r>
      <w:r w:rsidRPr="0035160C">
        <w:rPr>
          <w:rFonts w:eastAsia="Calibri" w:cs="Times New Roman"/>
          <w:lang w:eastAsia="ar-SA"/>
        </w:rPr>
        <w:t xml:space="preserve"> zawieszon</w:t>
      </w:r>
      <w:r w:rsidR="001F009D">
        <w:rPr>
          <w:rFonts w:eastAsia="Calibri" w:cs="Times New Roman"/>
          <w:lang w:eastAsia="ar-SA"/>
        </w:rPr>
        <w:t>ego</w:t>
      </w:r>
      <w:r w:rsidRPr="0035160C">
        <w:rPr>
          <w:rFonts w:eastAsia="Calibri" w:cs="Times New Roman"/>
          <w:lang w:eastAsia="ar-SA"/>
        </w:rPr>
        <w:t xml:space="preserve"> jako </w:t>
      </w:r>
      <w:r w:rsidR="001F009D">
        <w:rPr>
          <w:rFonts w:eastAsia="Calibri" w:cs="Times New Roman"/>
          <w:lang w:eastAsia="ar-SA"/>
        </w:rPr>
        <w:t>reprezentujące</w:t>
      </w:r>
      <w:r w:rsidRPr="0035160C">
        <w:rPr>
          <w:rFonts w:eastAsia="Calibri" w:cs="Times New Roman"/>
          <w:lang w:eastAsia="ar-SA"/>
        </w:rPr>
        <w:t xml:space="preserve"> pozostał</w:t>
      </w:r>
      <w:r w:rsidR="001F009D">
        <w:rPr>
          <w:rFonts w:eastAsia="Calibri" w:cs="Times New Roman"/>
          <w:lang w:eastAsia="ar-SA"/>
        </w:rPr>
        <w:t>e</w:t>
      </w:r>
      <w:r w:rsidRPr="0035160C">
        <w:rPr>
          <w:rFonts w:eastAsia="Calibri" w:cs="Times New Roman"/>
          <w:lang w:eastAsia="ar-SA"/>
        </w:rPr>
        <w:t xml:space="preserve"> zanieczyszcze</w:t>
      </w:r>
      <w:r w:rsidR="001F009D">
        <w:rPr>
          <w:rFonts w:eastAsia="Calibri" w:cs="Times New Roman"/>
          <w:lang w:eastAsia="ar-SA"/>
        </w:rPr>
        <w:t>nia</w:t>
      </w:r>
      <w:r w:rsidRPr="0035160C">
        <w:rPr>
          <w:rFonts w:eastAsia="Calibri" w:cs="Times New Roman"/>
          <w:lang w:eastAsia="ar-SA"/>
        </w:rPr>
        <w:t xml:space="preserve"> powietrza. </w:t>
      </w:r>
    </w:p>
    <w:p w14:paraId="252476F2" w14:textId="55109512" w:rsidR="00026246" w:rsidRDefault="00026246" w:rsidP="009F5080">
      <w:pPr>
        <w:suppressAutoHyphens/>
        <w:spacing w:after="120" w:line="276" w:lineRule="auto"/>
        <w:jc w:val="both"/>
        <w:rPr>
          <w:rFonts w:eastAsia="Calibri" w:cs="Times New Roman"/>
          <w:lang w:eastAsia="ar-SA"/>
        </w:rPr>
      </w:pPr>
      <w:r w:rsidRPr="00C84304">
        <w:rPr>
          <w:rFonts w:eastAsia="Calibri" w:cs="Times New Roman"/>
          <w:lang w:eastAsia="ar-SA"/>
        </w:rPr>
        <w:t>Wdrożenie najbardziej efektywnego scenariusza PSW w Polsce do roku 2040 może przynieść w roku docelowym redukcję średniego rocznego stężenia zanieczyszczeń konwencjonalnych poniżej 1 μg/m</w:t>
      </w:r>
      <w:r w:rsidRPr="00DD0E4C">
        <w:rPr>
          <w:rFonts w:eastAsia="Calibri" w:cs="Times New Roman"/>
          <w:vertAlign w:val="superscript"/>
          <w:lang w:eastAsia="ar-SA"/>
        </w:rPr>
        <w:t xml:space="preserve">3 </w:t>
      </w:r>
      <w:r w:rsidRPr="00C84304">
        <w:rPr>
          <w:rFonts w:eastAsia="Calibri" w:cs="Times New Roman"/>
          <w:lang w:eastAsia="ar-SA"/>
        </w:rPr>
        <w:t>tj. od 0,2 μg/m</w:t>
      </w:r>
      <w:r w:rsidRPr="00DD0E4C">
        <w:rPr>
          <w:rFonts w:eastAsia="Calibri" w:cs="Times New Roman"/>
          <w:vertAlign w:val="superscript"/>
          <w:lang w:eastAsia="ar-SA"/>
        </w:rPr>
        <w:t>3</w:t>
      </w:r>
      <w:r w:rsidRPr="00C84304">
        <w:rPr>
          <w:rFonts w:eastAsia="Calibri" w:cs="Times New Roman"/>
          <w:lang w:eastAsia="ar-SA"/>
        </w:rPr>
        <w:t xml:space="preserve"> dla SO</w:t>
      </w:r>
      <w:r w:rsidRPr="00DD0E4C">
        <w:rPr>
          <w:rFonts w:eastAsia="Calibri" w:cs="Times New Roman"/>
          <w:vertAlign w:val="subscript"/>
          <w:lang w:eastAsia="ar-SA"/>
        </w:rPr>
        <w:t>2</w:t>
      </w:r>
      <w:r>
        <w:rPr>
          <w:rFonts w:eastAsia="Calibri" w:cs="Times New Roman"/>
          <w:lang w:eastAsia="ar-SA"/>
        </w:rPr>
        <w:t>,</w:t>
      </w:r>
      <w:r w:rsidRPr="00C84304">
        <w:rPr>
          <w:rFonts w:eastAsia="Calibri" w:cs="Times New Roman"/>
          <w:lang w:eastAsia="ar-SA"/>
        </w:rPr>
        <w:t xml:space="preserve"> do 0,6 μg/m</w:t>
      </w:r>
      <w:r w:rsidRPr="00DD0E4C">
        <w:rPr>
          <w:rFonts w:eastAsia="Calibri" w:cs="Times New Roman"/>
          <w:vertAlign w:val="superscript"/>
          <w:lang w:eastAsia="ar-SA"/>
        </w:rPr>
        <w:t>3</w:t>
      </w:r>
      <w:r w:rsidRPr="00C84304">
        <w:rPr>
          <w:rFonts w:eastAsia="Calibri" w:cs="Times New Roman"/>
          <w:lang w:eastAsia="ar-SA"/>
        </w:rPr>
        <w:t xml:space="preserve"> dla zanieczyszczeń pyłowych PM10 i PM2,5</w:t>
      </w:r>
      <w:r>
        <w:rPr>
          <w:rFonts w:eastAsia="Calibri" w:cs="Times New Roman"/>
          <w:lang w:eastAsia="ar-SA"/>
        </w:rPr>
        <w:t>.</w:t>
      </w:r>
    </w:p>
    <w:p w14:paraId="23FDC34C" w14:textId="4EE0E7AB" w:rsidR="009F5080" w:rsidRPr="0035160C" w:rsidRDefault="009F5080" w:rsidP="009F5080">
      <w:pPr>
        <w:suppressAutoHyphens/>
        <w:spacing w:after="120" w:line="276" w:lineRule="auto"/>
        <w:jc w:val="both"/>
        <w:rPr>
          <w:rFonts w:eastAsia="Calibri" w:cs="Times New Roman"/>
          <w:lang w:eastAsia="ar-SA"/>
        </w:rPr>
      </w:pPr>
      <w:r w:rsidRPr="0035160C">
        <w:rPr>
          <w:rFonts w:eastAsia="Calibri" w:cs="Times New Roman"/>
          <w:lang w:eastAsia="ar-SA"/>
        </w:rPr>
        <w:t xml:space="preserve">Podstawą do wykonania oszacowania efektu ekologicznego jest przyjęcie scenariuszy wdrażania gospodarki wodorowej w Polsce, obejmujących procesy, w których planuje się wykorzystanie wodoru </w:t>
      </w:r>
      <w:r w:rsidRPr="0035160C">
        <w:rPr>
          <w:rFonts w:eastAsia="Calibri" w:cs="Times New Roman"/>
          <w:lang w:eastAsia="ar-SA"/>
        </w:rPr>
        <w:lastRenderedPageBreak/>
        <w:t>jako nośnika energii lub jako substratu do produkcji. Planowane jest uwzględnienie następujących procesów:</w:t>
      </w:r>
    </w:p>
    <w:p w14:paraId="593A0DDA" w14:textId="77777777" w:rsidR="009F5080" w:rsidRPr="0035160C" w:rsidRDefault="009F5080" w:rsidP="00CA3BB7">
      <w:pPr>
        <w:numPr>
          <w:ilvl w:val="0"/>
          <w:numId w:val="51"/>
        </w:numPr>
        <w:suppressAutoHyphens/>
        <w:spacing w:after="0" w:line="276" w:lineRule="auto"/>
        <w:jc w:val="both"/>
        <w:rPr>
          <w:rFonts w:eastAsia="Calibri" w:cs="Times New Roman"/>
          <w:lang w:eastAsia="ar-SA"/>
        </w:rPr>
      </w:pPr>
      <w:r w:rsidRPr="0035160C">
        <w:rPr>
          <w:rFonts w:eastAsia="Calibri" w:cs="Times New Roman"/>
          <w:lang w:eastAsia="ar-SA"/>
        </w:rPr>
        <w:t>produkcja energii elektrycznej,</w:t>
      </w:r>
    </w:p>
    <w:p w14:paraId="23325CD5" w14:textId="77777777" w:rsidR="009F5080" w:rsidRPr="0035160C" w:rsidRDefault="009F5080" w:rsidP="00CA3BB7">
      <w:pPr>
        <w:numPr>
          <w:ilvl w:val="0"/>
          <w:numId w:val="51"/>
        </w:numPr>
        <w:suppressAutoHyphens/>
        <w:spacing w:after="0" w:line="276" w:lineRule="auto"/>
        <w:jc w:val="both"/>
        <w:rPr>
          <w:rFonts w:eastAsia="Calibri" w:cs="Times New Roman"/>
          <w:lang w:eastAsia="ar-SA"/>
        </w:rPr>
      </w:pPr>
      <w:r w:rsidRPr="0035160C">
        <w:rPr>
          <w:rFonts w:eastAsia="Calibri" w:cs="Times New Roman"/>
          <w:lang w:eastAsia="ar-SA"/>
        </w:rPr>
        <w:t>ogrzewnictwo,</w:t>
      </w:r>
    </w:p>
    <w:p w14:paraId="5E201BC9" w14:textId="77777777" w:rsidR="009F5080" w:rsidRPr="0035160C" w:rsidRDefault="009F5080" w:rsidP="00CA3BB7">
      <w:pPr>
        <w:numPr>
          <w:ilvl w:val="0"/>
          <w:numId w:val="51"/>
        </w:numPr>
        <w:suppressAutoHyphens/>
        <w:spacing w:after="0" w:line="276" w:lineRule="auto"/>
        <w:jc w:val="both"/>
        <w:rPr>
          <w:rFonts w:eastAsia="Calibri" w:cs="Times New Roman"/>
          <w:lang w:eastAsia="ar-SA"/>
        </w:rPr>
      </w:pPr>
      <w:r w:rsidRPr="0035160C">
        <w:rPr>
          <w:rFonts w:eastAsia="Calibri" w:cs="Times New Roman"/>
          <w:lang w:eastAsia="ar-SA"/>
        </w:rPr>
        <w:t>transport samochodowy,</w:t>
      </w:r>
    </w:p>
    <w:p w14:paraId="10D6E802" w14:textId="77777777" w:rsidR="009F5080" w:rsidRPr="0035160C" w:rsidRDefault="009F5080" w:rsidP="00CA3BB7">
      <w:pPr>
        <w:numPr>
          <w:ilvl w:val="0"/>
          <w:numId w:val="51"/>
        </w:numPr>
        <w:suppressAutoHyphens/>
        <w:spacing w:after="0" w:line="276" w:lineRule="auto"/>
        <w:jc w:val="both"/>
        <w:rPr>
          <w:rFonts w:eastAsia="Calibri" w:cs="Times New Roman"/>
          <w:lang w:eastAsia="ar-SA"/>
        </w:rPr>
      </w:pPr>
      <w:r w:rsidRPr="0035160C">
        <w:rPr>
          <w:rFonts w:eastAsia="Calibri" w:cs="Times New Roman"/>
          <w:lang w:eastAsia="ar-SA"/>
        </w:rPr>
        <w:t>transport kolejowy,</w:t>
      </w:r>
    </w:p>
    <w:p w14:paraId="1F8F3D1D" w14:textId="77777777" w:rsidR="009F5080" w:rsidRPr="0035160C" w:rsidRDefault="009F5080" w:rsidP="00CA3BB7">
      <w:pPr>
        <w:numPr>
          <w:ilvl w:val="0"/>
          <w:numId w:val="51"/>
        </w:numPr>
        <w:suppressAutoHyphens/>
        <w:spacing w:after="0" w:line="276" w:lineRule="auto"/>
        <w:jc w:val="both"/>
        <w:rPr>
          <w:rFonts w:eastAsia="Calibri" w:cs="Times New Roman"/>
          <w:lang w:eastAsia="ar-SA"/>
        </w:rPr>
      </w:pPr>
      <w:r w:rsidRPr="0035160C">
        <w:rPr>
          <w:rFonts w:eastAsia="Calibri" w:cs="Times New Roman"/>
          <w:lang w:eastAsia="ar-SA"/>
        </w:rPr>
        <w:t>produkcja paliw syntetycznych, w tym z wykorzystaniem CO</w:t>
      </w:r>
      <w:r w:rsidRPr="0035160C">
        <w:rPr>
          <w:rFonts w:eastAsia="Calibri" w:cs="Times New Roman"/>
          <w:vertAlign w:val="subscript"/>
          <w:lang w:eastAsia="ar-SA"/>
        </w:rPr>
        <w:t>2</w:t>
      </w:r>
      <w:r w:rsidRPr="0035160C">
        <w:rPr>
          <w:rFonts w:eastAsia="Calibri" w:cs="Times New Roman"/>
          <w:lang w:eastAsia="ar-SA"/>
        </w:rPr>
        <w:t xml:space="preserve"> pozyskiwanego z układów CCU/CCS/CRR,</w:t>
      </w:r>
    </w:p>
    <w:p w14:paraId="552857B4" w14:textId="77777777" w:rsidR="009F5080" w:rsidRPr="0035160C" w:rsidRDefault="009F5080" w:rsidP="00CA3BB7">
      <w:pPr>
        <w:numPr>
          <w:ilvl w:val="0"/>
          <w:numId w:val="51"/>
        </w:numPr>
        <w:suppressAutoHyphens/>
        <w:spacing w:after="0" w:line="276" w:lineRule="auto"/>
        <w:jc w:val="both"/>
        <w:rPr>
          <w:rFonts w:eastAsia="Calibri" w:cs="Times New Roman"/>
          <w:lang w:eastAsia="ar-SA"/>
        </w:rPr>
      </w:pPr>
      <w:r w:rsidRPr="0035160C">
        <w:rPr>
          <w:rFonts w:eastAsia="Calibri" w:cs="Times New Roman"/>
          <w:lang w:eastAsia="ar-SA"/>
        </w:rPr>
        <w:t>zastosowanie wodoru w przemyśle chemicznym i rafineryjnym (jako surowiec w procesach produkcyjnych),</w:t>
      </w:r>
    </w:p>
    <w:p w14:paraId="07B969E3" w14:textId="77777777" w:rsidR="009F5080" w:rsidRPr="0035160C" w:rsidRDefault="009F5080" w:rsidP="00CA3BB7">
      <w:pPr>
        <w:numPr>
          <w:ilvl w:val="0"/>
          <w:numId w:val="51"/>
        </w:numPr>
        <w:suppressAutoHyphens/>
        <w:spacing w:after="120" w:line="276" w:lineRule="auto"/>
        <w:jc w:val="both"/>
        <w:rPr>
          <w:rFonts w:eastAsia="Calibri" w:cs="Times New Roman"/>
          <w:lang w:eastAsia="ar-SA"/>
        </w:rPr>
      </w:pPr>
      <w:r w:rsidRPr="0035160C">
        <w:rPr>
          <w:rFonts w:eastAsia="Calibri" w:cs="Times New Roman"/>
          <w:lang w:eastAsia="ar-SA"/>
        </w:rPr>
        <w:t>inne rodzaje przemysłu (np. hutnictwo, cementownie).</w:t>
      </w:r>
    </w:p>
    <w:p w14:paraId="6F1FE69B" w14:textId="3A406E48" w:rsidR="009F5080" w:rsidRPr="0035160C" w:rsidRDefault="009F5080" w:rsidP="009F5080">
      <w:pPr>
        <w:suppressAutoHyphens/>
        <w:spacing w:after="120" w:line="276" w:lineRule="auto"/>
        <w:jc w:val="both"/>
        <w:rPr>
          <w:rFonts w:eastAsia="Calibri" w:cs="Times New Roman"/>
          <w:lang w:eastAsia="ar-SA"/>
        </w:rPr>
      </w:pPr>
      <w:r w:rsidRPr="0035160C">
        <w:rPr>
          <w:rFonts w:eastAsia="Calibri" w:cs="Times New Roman"/>
          <w:lang w:eastAsia="ar-SA"/>
        </w:rPr>
        <w:t xml:space="preserve">W celu określenia efektu ekologicznego zostanie przeprowadzona analiza emitowanych na poziomie krajowym ładunków zanieczyszczeń z wybranych procesów, do czego zostaną wykorzystane prognozy emisji gazów cieplarnianych oraz pozostałych zanieczyszczeń dla lat 2030 i 2040, przygotowane przez KOBiZE na potrzeby konwencji UNECE/EMEP, które zostaną uzupełnione o pył </w:t>
      </w:r>
      <w:r w:rsidR="006875F5">
        <w:rPr>
          <w:rFonts w:eastAsia="Calibri" w:cs="Times New Roman"/>
          <w:lang w:eastAsia="ar-SA"/>
        </w:rPr>
        <w:t xml:space="preserve">zawieszony </w:t>
      </w:r>
      <w:r w:rsidRPr="0035160C">
        <w:rPr>
          <w:rFonts w:eastAsia="Calibri" w:cs="Times New Roman"/>
          <w:lang w:eastAsia="ar-SA"/>
        </w:rPr>
        <w:t>PM10, którego prognozy KOBiZE nie uwzględniają.</w:t>
      </w:r>
    </w:p>
    <w:p w14:paraId="35DEAA8A" w14:textId="77777777" w:rsidR="009F5080" w:rsidRPr="0035160C" w:rsidRDefault="009F5080" w:rsidP="009F5080">
      <w:pPr>
        <w:suppressAutoHyphens/>
        <w:spacing w:after="120" w:line="276" w:lineRule="auto"/>
        <w:jc w:val="both"/>
        <w:rPr>
          <w:rFonts w:eastAsia="Calibri" w:cs="Times New Roman"/>
          <w:lang w:eastAsia="ar-SA"/>
        </w:rPr>
      </w:pPr>
      <w:r w:rsidRPr="0035160C">
        <w:rPr>
          <w:rFonts w:eastAsia="Calibri" w:cs="Times New Roman"/>
          <w:lang w:eastAsia="ar-SA"/>
        </w:rPr>
        <w:t>Określony zostanie efekt ekologiczny w postaci masy unikniętej emisji do powietrza (Mg/rok) poszczególnych zanieczyszczeń dla każdego z procesów, w których wodór będzie stosowany jako paliwo. W przypadku procesów, w których wodór odnawialny stanowi wsad do produkcji, efekt ekologiczny stanowić będzie emisja uniknięta dzięki zastosowaniu tego wodoru (np. emisja powstająca przy produkcji wodoru dotychczas stosowanego, wytwarzanego w procesach generujących emisję do powietrza). W przypadku wykorzystania wodoru odnawialnego do wytwarzania paliw syntetycznych z wykorzystaniem CO</w:t>
      </w:r>
      <w:r w:rsidRPr="00910CEF">
        <w:rPr>
          <w:rFonts w:eastAsia="Calibri" w:cs="Times New Roman"/>
          <w:vertAlign w:val="subscript"/>
          <w:lang w:eastAsia="ar-SA"/>
        </w:rPr>
        <w:t>2</w:t>
      </w:r>
      <w:r w:rsidRPr="0035160C">
        <w:rPr>
          <w:rFonts w:eastAsia="Calibri" w:cs="Times New Roman"/>
          <w:lang w:eastAsia="ar-SA"/>
        </w:rPr>
        <w:t xml:space="preserve"> efekt ekologiczny stanowić będzie ilość związanego CO</w:t>
      </w:r>
      <w:r w:rsidRPr="00910CEF">
        <w:rPr>
          <w:rFonts w:eastAsia="Calibri" w:cs="Times New Roman"/>
          <w:vertAlign w:val="subscript"/>
          <w:lang w:eastAsia="ar-SA"/>
        </w:rPr>
        <w:t>2</w:t>
      </w:r>
      <w:r w:rsidRPr="0035160C">
        <w:rPr>
          <w:rFonts w:eastAsia="Calibri" w:cs="Times New Roman"/>
          <w:lang w:eastAsia="ar-SA"/>
        </w:rPr>
        <w:t>.</w:t>
      </w:r>
    </w:p>
    <w:p w14:paraId="3A414F11" w14:textId="77777777" w:rsidR="009F5080" w:rsidRPr="0035160C" w:rsidRDefault="009F5080" w:rsidP="009F5080">
      <w:pPr>
        <w:suppressAutoHyphens/>
        <w:spacing w:after="240" w:line="276" w:lineRule="auto"/>
        <w:jc w:val="both"/>
        <w:rPr>
          <w:rFonts w:eastAsia="Calibri" w:cs="Times New Roman"/>
          <w:lang w:eastAsia="ar-SA"/>
        </w:rPr>
      </w:pPr>
      <w:r w:rsidRPr="0035160C">
        <w:rPr>
          <w:rFonts w:eastAsia="Calibri" w:cs="Times New Roman"/>
          <w:lang w:eastAsia="ar-SA"/>
        </w:rPr>
        <w:t>Dla oszacowania efektów ekologicznych wdrażania w Polsce PSW w horyzoncie 2030 r. zostanie przeprowadzony bilans emisji unikniętych dzięki zastosowaniu wodoru odnawialnego i emisji prognozowanych w wariancie nieuwzględniającym zastosowania wodoru odnawialnego. Dzięki temu możliwe będzie określenie wpływu wdrożenia gospodarki wodorowej na redukcję emisji zanieczyszczeń, wyrażoną w procentowym zmniejszeniu ładunków emitowanych zanieczyszczeń.</w:t>
      </w:r>
    </w:p>
    <w:p w14:paraId="76831E55" w14:textId="77777777" w:rsidR="009F5080" w:rsidRPr="00910CEF" w:rsidRDefault="009F5080" w:rsidP="00910CEF">
      <w:pPr>
        <w:suppressAutoHyphens/>
        <w:spacing w:after="120" w:line="276" w:lineRule="auto"/>
        <w:jc w:val="both"/>
        <w:rPr>
          <w:rFonts w:eastAsia="Calibri" w:cs="Times New Roman"/>
          <w:b/>
          <w:color w:val="2F5496" w:themeColor="accent1" w:themeShade="BF"/>
          <w:lang w:eastAsia="ar-SA"/>
        </w:rPr>
      </w:pPr>
      <w:r w:rsidRPr="00910CEF">
        <w:rPr>
          <w:rFonts w:eastAsia="Calibri" w:cs="Times New Roman"/>
          <w:b/>
          <w:color w:val="2F5496" w:themeColor="accent1" w:themeShade="BF"/>
          <w:lang w:eastAsia="ar-SA"/>
        </w:rPr>
        <w:t>Cele i działania PSW związane z ochroną powietrza</w:t>
      </w:r>
    </w:p>
    <w:p w14:paraId="1F2F96F2" w14:textId="77777777" w:rsidR="009F5080" w:rsidRPr="00910CEF" w:rsidRDefault="009F5080" w:rsidP="00910CEF">
      <w:pPr>
        <w:suppressAutoHyphens/>
        <w:spacing w:after="120" w:line="276" w:lineRule="auto"/>
        <w:jc w:val="both"/>
        <w:rPr>
          <w:rFonts w:eastAsia="Calibri" w:cs="Times New Roman"/>
          <w:b/>
          <w:color w:val="2F5496" w:themeColor="accent1" w:themeShade="BF"/>
          <w:lang w:eastAsia="ar-SA"/>
        </w:rPr>
      </w:pPr>
      <w:r w:rsidRPr="00910CEF">
        <w:rPr>
          <w:rFonts w:eastAsia="Calibri" w:cs="Times New Roman"/>
          <w:b/>
          <w:color w:val="2F5496" w:themeColor="accent1" w:themeShade="BF"/>
          <w:lang w:eastAsia="ar-SA"/>
        </w:rPr>
        <w:t xml:space="preserve">Cel 1: Wdrożenie technologii wodorowych w energetyce i ciepłownictwie </w:t>
      </w:r>
    </w:p>
    <w:p w14:paraId="7FBE8353" w14:textId="77777777" w:rsidR="009F5080" w:rsidRPr="0035160C" w:rsidRDefault="009F5080" w:rsidP="009F5080">
      <w:pPr>
        <w:suppressAutoHyphens/>
        <w:spacing w:after="120" w:line="276" w:lineRule="auto"/>
        <w:jc w:val="both"/>
        <w:rPr>
          <w:rFonts w:eastAsia="Calibri" w:cs="Times New Roman"/>
          <w:iCs/>
          <w:lang w:eastAsia="ar-SA"/>
        </w:rPr>
      </w:pPr>
      <w:r w:rsidRPr="0035160C">
        <w:rPr>
          <w:rFonts w:eastAsia="Calibri" w:cs="Times New Roman"/>
          <w:bCs/>
          <w:color w:val="000000"/>
          <w:lang w:eastAsia="ar-SA"/>
        </w:rPr>
        <w:t xml:space="preserve">W polskich warunkach geograficznych i pogodowych szacuje się, że produkcja odnawialnego wodoru najszybciej osiągnie rentowność przy wykorzystaniu energii elektrycznej z morskich farm wiatrowych, jednocześnie potencjalnie zwiększając konkurencyjność morskiej energetyki </w:t>
      </w:r>
      <w:r w:rsidRPr="0035160C">
        <w:rPr>
          <w:rFonts w:eastAsia="Calibri" w:cs="Times New Roman"/>
          <w:iCs/>
          <w:lang w:eastAsia="ar-SA"/>
        </w:rPr>
        <w:t xml:space="preserve">wiatrowej. Energia elektryczna może podlegać konwersji i być magazynowana </w:t>
      </w:r>
      <w:r w:rsidRPr="0035160C">
        <w:rPr>
          <w:rFonts w:eastAsia="Arial" w:cs="Times New Roman"/>
          <w:color w:val="000000"/>
          <w:lang w:val="pl" w:eastAsia="ar-SA"/>
        </w:rPr>
        <w:t>dzięki rozwiązaniom technologicznym Power-to-X (P2X), które pozwalają na oddzielenie części generowanej mocy od sektora elektroenergetycznego w celu wykorzystania jej w innych obszarach przemysłowych</w:t>
      </w:r>
      <w:r w:rsidRPr="0035160C">
        <w:rPr>
          <w:rFonts w:eastAsia="Calibri" w:cs="Times New Roman"/>
          <w:lang w:eastAsia="ar-SA"/>
        </w:rPr>
        <w:t xml:space="preserve">, doprowadzając do zmniejszenia zależności polskiej gospodarki od paliw kopalnych. </w:t>
      </w:r>
    </w:p>
    <w:p w14:paraId="4AC0F6F2" w14:textId="77777777" w:rsidR="009F5080" w:rsidRPr="0035160C" w:rsidRDefault="009F5080" w:rsidP="009F5080">
      <w:pPr>
        <w:suppressAutoHyphens/>
        <w:spacing w:after="120" w:line="276" w:lineRule="auto"/>
        <w:jc w:val="both"/>
        <w:rPr>
          <w:rFonts w:eastAsia="Calibri" w:cs="Times New Roman"/>
          <w:lang w:eastAsia="ar-SA"/>
        </w:rPr>
      </w:pPr>
      <w:r w:rsidRPr="0035160C">
        <w:rPr>
          <w:rFonts w:eastAsia="Calibri" w:cs="Times New Roman"/>
          <w:iCs/>
          <w:lang w:eastAsia="ar-SA"/>
        </w:rPr>
        <w:t>Wykorzystanie niskoemisyjnego wodoru w</w:t>
      </w:r>
      <w:r w:rsidRPr="0035160C">
        <w:rPr>
          <w:rFonts w:eastAsia="Calibri" w:cs="Times New Roman"/>
          <w:lang w:eastAsia="ar-SA"/>
        </w:rPr>
        <w:t xml:space="preserve"> sektorze budownictwa na potrzeby ogrzewania budynków oraz wody może wspierać proces dekarbonizacji ciepłownictwa </w:t>
      </w:r>
      <w:r w:rsidRPr="0035160C">
        <w:rPr>
          <w:rFonts w:eastAsia="Times New Roman" w:cs="Times New Roman"/>
          <w:lang w:eastAsia="pl-PL"/>
        </w:rPr>
        <w:t>w regionach, w których duża część budynków jest podłączona do miejskiej sieci ciepłowniczej lub do sieci dystrybucji gazu ziemnego</w:t>
      </w:r>
      <w:r w:rsidRPr="0035160C">
        <w:rPr>
          <w:rFonts w:eastAsia="Calibri" w:cs="Times New Roman"/>
          <w:lang w:eastAsia="ar-SA"/>
        </w:rPr>
        <w:t xml:space="preserve">. </w:t>
      </w:r>
      <w:r w:rsidRPr="0035160C">
        <w:rPr>
          <w:rFonts w:eastAsia="Times New Roman" w:cs="Times New Roman"/>
          <w:lang w:eastAsia="pl-PL"/>
        </w:rPr>
        <w:t xml:space="preserve">Kotły </w:t>
      </w:r>
      <w:r w:rsidRPr="0035160C">
        <w:rPr>
          <w:rFonts w:eastAsia="Times New Roman" w:cs="Times New Roman"/>
          <w:lang w:eastAsia="pl-PL"/>
        </w:rPr>
        <w:lastRenderedPageBreak/>
        <w:t>wodorowe lub instalacje mikro-CHP oparte na wodorze mogłyby zastąpić istniejące urządzenia grzewcze.</w:t>
      </w:r>
      <w:r w:rsidRPr="0035160C">
        <w:rPr>
          <w:rFonts w:eastAsia="Calibri" w:cs="Times New Roman"/>
          <w:lang w:eastAsia="ar-SA"/>
        </w:rPr>
        <w:t xml:space="preserve"> </w:t>
      </w:r>
      <w:r w:rsidRPr="0035160C">
        <w:rPr>
          <w:rFonts w:eastAsia="Times New Roman" w:cs="Times New Roman"/>
          <w:lang w:eastAsia="pl-PL"/>
        </w:rPr>
        <w:t>W przyszłości również niektóre gazowe systemy chłodzenia mogłyby zacząć wykorzystywać wodór.</w:t>
      </w:r>
      <w:bookmarkStart w:id="85" w:name="_Hlk69981220"/>
    </w:p>
    <w:p w14:paraId="67CE7C0D" w14:textId="2CD86D32" w:rsidR="009F5080" w:rsidRPr="00910CEF" w:rsidRDefault="009F5080" w:rsidP="009F5080">
      <w:pPr>
        <w:suppressAutoHyphens/>
        <w:spacing w:after="0" w:line="276" w:lineRule="auto"/>
        <w:jc w:val="both"/>
        <w:rPr>
          <w:rFonts w:eastAsia="Calibri" w:cs="Times New Roman"/>
          <w:b/>
          <w:color w:val="2F5496" w:themeColor="accent1" w:themeShade="BF"/>
          <w:lang w:eastAsia="ar-SA"/>
        </w:rPr>
      </w:pPr>
      <w:r w:rsidRPr="00910CEF">
        <w:rPr>
          <w:rFonts w:eastAsia="Calibri" w:cs="Times New Roman"/>
          <w:b/>
          <w:color w:val="2F5496" w:themeColor="accent1" w:themeShade="BF"/>
          <w:lang w:eastAsia="ar-SA"/>
        </w:rPr>
        <w:t>2025</w:t>
      </w:r>
      <w:r w:rsidR="00910CEF" w:rsidRPr="00910CEF">
        <w:rPr>
          <w:rFonts w:eastAsia="Calibri" w:cs="Times New Roman"/>
          <w:b/>
          <w:color w:val="2F5496" w:themeColor="accent1" w:themeShade="BF"/>
          <w:lang w:eastAsia="ar-SA"/>
        </w:rPr>
        <w:t xml:space="preserve"> r.:</w:t>
      </w:r>
    </w:p>
    <w:p w14:paraId="7779EC44" w14:textId="77784F5A" w:rsidR="009F5080" w:rsidRPr="0035160C" w:rsidRDefault="00910CEF" w:rsidP="00CA3BB7">
      <w:pPr>
        <w:numPr>
          <w:ilvl w:val="0"/>
          <w:numId w:val="45"/>
        </w:numPr>
        <w:suppressAutoHyphens/>
        <w:spacing w:after="0" w:line="276" w:lineRule="auto"/>
        <w:contextualSpacing/>
        <w:jc w:val="both"/>
        <w:rPr>
          <w:rFonts w:eastAsia="Calibri" w:cs="Times New Roman"/>
          <w:lang w:eastAsia="ar-SA"/>
        </w:rPr>
      </w:pPr>
      <w:r>
        <w:rPr>
          <w:rFonts w:eastAsia="Calibri" w:cs="Times New Roman"/>
          <w:lang w:eastAsia="ar-SA"/>
        </w:rPr>
        <w:t>u</w:t>
      </w:r>
      <w:r w:rsidR="009F5080" w:rsidRPr="0035160C">
        <w:rPr>
          <w:rFonts w:eastAsia="Calibri" w:cs="Times New Roman"/>
          <w:lang w:eastAsia="ar-SA"/>
        </w:rPr>
        <w:t>ruchomienie instalacji P2G klasy co najmniej 1 MW celem wsparcia stabilizacji pracy sieci dystrybucyjnych;</w:t>
      </w:r>
    </w:p>
    <w:p w14:paraId="1B69DBF9" w14:textId="728981AD" w:rsidR="009F5080" w:rsidRPr="0035160C" w:rsidRDefault="00910CEF" w:rsidP="00CA3BB7">
      <w:pPr>
        <w:numPr>
          <w:ilvl w:val="0"/>
          <w:numId w:val="45"/>
        </w:numPr>
        <w:suppressAutoHyphens/>
        <w:spacing w:after="0" w:line="276" w:lineRule="auto"/>
        <w:contextualSpacing/>
        <w:jc w:val="both"/>
        <w:rPr>
          <w:rFonts w:eastAsia="Calibri" w:cs="Times New Roman"/>
          <w:lang w:eastAsia="ar-SA"/>
        </w:rPr>
      </w:pPr>
      <w:r>
        <w:rPr>
          <w:rFonts w:eastAsia="Calibri" w:cs="Times New Roman"/>
          <w:lang w:eastAsia="ar-SA"/>
        </w:rPr>
        <w:t>w</w:t>
      </w:r>
      <w:r w:rsidR="009F5080" w:rsidRPr="0035160C">
        <w:rPr>
          <w:rFonts w:eastAsia="Calibri" w:cs="Times New Roman"/>
          <w:lang w:eastAsia="ar-SA"/>
        </w:rPr>
        <w:t>spółspalanie wodoru w turbinach gazowych i konwersja istniejących instalacji.</w:t>
      </w:r>
    </w:p>
    <w:p w14:paraId="4728AF41" w14:textId="74595DDA" w:rsidR="009F5080" w:rsidRPr="00910CEF" w:rsidRDefault="009F5080" w:rsidP="009F5080">
      <w:pPr>
        <w:suppressAutoHyphens/>
        <w:spacing w:after="0" w:line="276" w:lineRule="auto"/>
        <w:jc w:val="both"/>
        <w:rPr>
          <w:rFonts w:eastAsia="Calibri" w:cs="Times New Roman"/>
          <w:b/>
          <w:color w:val="2F5496" w:themeColor="accent1" w:themeShade="BF"/>
          <w:lang w:eastAsia="ar-SA"/>
        </w:rPr>
      </w:pPr>
      <w:r w:rsidRPr="00910CEF">
        <w:rPr>
          <w:rFonts w:eastAsia="Calibri" w:cs="Times New Roman"/>
          <w:b/>
          <w:color w:val="2F5496" w:themeColor="accent1" w:themeShade="BF"/>
          <w:lang w:eastAsia="ar-SA"/>
        </w:rPr>
        <w:t>2030</w:t>
      </w:r>
      <w:r w:rsidR="00910CEF">
        <w:rPr>
          <w:rFonts w:eastAsia="Calibri" w:cs="Times New Roman"/>
          <w:b/>
          <w:color w:val="2F5496" w:themeColor="accent1" w:themeShade="BF"/>
          <w:lang w:eastAsia="ar-SA"/>
        </w:rPr>
        <w:t xml:space="preserve"> r.:</w:t>
      </w:r>
    </w:p>
    <w:p w14:paraId="7ED83B9B" w14:textId="6F2CD6B5" w:rsidR="009F5080" w:rsidRPr="0035160C" w:rsidRDefault="00910CEF" w:rsidP="00CA3BB7">
      <w:pPr>
        <w:numPr>
          <w:ilvl w:val="0"/>
          <w:numId w:val="45"/>
        </w:numPr>
        <w:suppressAutoHyphens/>
        <w:spacing w:after="200" w:line="276" w:lineRule="auto"/>
        <w:contextualSpacing/>
        <w:jc w:val="both"/>
        <w:rPr>
          <w:rFonts w:eastAsia="Calibri" w:cs="Times New Roman"/>
          <w:lang w:eastAsia="ar-SA"/>
        </w:rPr>
      </w:pPr>
      <w:r>
        <w:rPr>
          <w:rFonts w:eastAsia="Calibri" w:cs="Times New Roman"/>
          <w:lang w:eastAsia="ar-SA"/>
        </w:rPr>
        <w:t>u</w:t>
      </w:r>
      <w:r w:rsidR="009F5080" w:rsidRPr="0035160C">
        <w:rPr>
          <w:rFonts w:eastAsia="Calibri" w:cs="Times New Roman"/>
          <w:lang w:eastAsia="ar-SA"/>
        </w:rPr>
        <w:t>ruchomienie instalacji ko- i poligeneracyjnych, np. elektrociepłowni o mocy do 50 MWt, gdzie głównym paliwem będzie wodór;</w:t>
      </w:r>
    </w:p>
    <w:p w14:paraId="4873B832" w14:textId="7A4C0070" w:rsidR="009F5080" w:rsidRPr="0035160C" w:rsidRDefault="00910CEF" w:rsidP="00CA3BB7">
      <w:pPr>
        <w:numPr>
          <w:ilvl w:val="0"/>
          <w:numId w:val="45"/>
        </w:numPr>
        <w:suppressAutoHyphens/>
        <w:spacing w:after="200" w:line="276" w:lineRule="auto"/>
        <w:contextualSpacing/>
        <w:jc w:val="both"/>
        <w:rPr>
          <w:rFonts w:eastAsia="Calibri" w:cs="Times New Roman"/>
          <w:lang w:eastAsia="ar-SA"/>
        </w:rPr>
      </w:pPr>
      <w:r>
        <w:rPr>
          <w:rFonts w:eastAsia="Calibri" w:cs="Times New Roman"/>
          <w:lang w:eastAsia="ar-SA"/>
        </w:rPr>
        <w:t>i</w:t>
      </w:r>
      <w:r w:rsidR="009F5080" w:rsidRPr="0035160C">
        <w:rPr>
          <w:rFonts w:eastAsia="Calibri" w:cs="Times New Roman"/>
          <w:lang w:eastAsia="ar-SA"/>
        </w:rPr>
        <w:t xml:space="preserve">nstalacja układów ko- i poligeneracyjnych dla bloków mieszkalnych, biurowców, małych osiedli oraz obiektów użyteczności publicznej od 10 kW do 250 kW z wykorzystaniem ogniw paliwowych; </w:t>
      </w:r>
    </w:p>
    <w:p w14:paraId="1A6E3EFE" w14:textId="7F6E6666" w:rsidR="009F5080" w:rsidRPr="0035160C" w:rsidRDefault="00910CEF" w:rsidP="00CA3BB7">
      <w:pPr>
        <w:numPr>
          <w:ilvl w:val="0"/>
          <w:numId w:val="45"/>
        </w:numPr>
        <w:suppressAutoHyphens/>
        <w:spacing w:after="240" w:line="276" w:lineRule="auto"/>
        <w:contextualSpacing/>
        <w:jc w:val="both"/>
        <w:rPr>
          <w:rFonts w:eastAsia="Calibri" w:cs="Times New Roman"/>
          <w:lang w:eastAsia="ar-SA"/>
        </w:rPr>
      </w:pPr>
      <w:r>
        <w:rPr>
          <w:rFonts w:eastAsia="Calibri" w:cs="Times New Roman"/>
          <w:lang w:eastAsia="ar-SA"/>
        </w:rPr>
        <w:t>u</w:t>
      </w:r>
      <w:r w:rsidR="009F5080" w:rsidRPr="0035160C">
        <w:rPr>
          <w:rFonts w:eastAsia="Calibri" w:cs="Times New Roman"/>
          <w:lang w:eastAsia="ar-SA"/>
        </w:rPr>
        <w:t>ruchomienie instalacji mikrogeneracyjnych 1-10 kW do wytwarzania wodoru dla instalacji grzewczej lub energii elektrycznej, oraz do zastosowań do zasilania w trudno dostępnych miejscach</w:t>
      </w:r>
      <w:bookmarkEnd w:id="85"/>
      <w:r w:rsidR="009F5080" w:rsidRPr="0035160C">
        <w:rPr>
          <w:rFonts w:eastAsia="Calibri" w:cs="Times New Roman"/>
          <w:lang w:eastAsia="ar-SA"/>
        </w:rPr>
        <w:t>.</w:t>
      </w:r>
    </w:p>
    <w:p w14:paraId="12734E2C" w14:textId="54D3A4C9" w:rsidR="009F5080" w:rsidRPr="0035160C" w:rsidRDefault="009F5080" w:rsidP="009F5080">
      <w:pPr>
        <w:suppressAutoHyphens/>
        <w:spacing w:after="120" w:line="276" w:lineRule="auto"/>
        <w:jc w:val="both"/>
        <w:rPr>
          <w:rFonts w:eastAsia="Calibri" w:cs="Times New Roman"/>
          <w:b/>
          <w:lang w:eastAsia="ar-SA"/>
        </w:rPr>
      </w:pPr>
      <w:r w:rsidRPr="00910CEF">
        <w:rPr>
          <w:rFonts w:eastAsia="Calibri" w:cs="Times New Roman"/>
          <w:b/>
          <w:color w:val="2F5496" w:themeColor="accent1" w:themeShade="BF"/>
          <w:lang w:eastAsia="ar-SA"/>
        </w:rPr>
        <w:t>Dokumenty U</w:t>
      </w:r>
      <w:r w:rsidR="000E1370">
        <w:rPr>
          <w:rFonts w:eastAsia="Calibri" w:cs="Times New Roman"/>
          <w:b/>
          <w:color w:val="2F5496" w:themeColor="accent1" w:themeShade="BF"/>
          <w:lang w:eastAsia="ar-SA"/>
        </w:rPr>
        <w:t xml:space="preserve">nii </w:t>
      </w:r>
      <w:r w:rsidRPr="00910CEF">
        <w:rPr>
          <w:rFonts w:eastAsia="Calibri" w:cs="Times New Roman"/>
          <w:b/>
          <w:color w:val="2F5496" w:themeColor="accent1" w:themeShade="BF"/>
          <w:lang w:eastAsia="ar-SA"/>
        </w:rPr>
        <w:t>E</w:t>
      </w:r>
      <w:r w:rsidR="000E1370">
        <w:rPr>
          <w:rFonts w:eastAsia="Calibri" w:cs="Times New Roman"/>
          <w:b/>
          <w:color w:val="2F5496" w:themeColor="accent1" w:themeShade="BF"/>
          <w:lang w:eastAsia="ar-SA"/>
        </w:rPr>
        <w:t>uropejskiej</w:t>
      </w:r>
      <w:r w:rsidRPr="00910CEF">
        <w:rPr>
          <w:rFonts w:eastAsia="Calibri" w:cs="Times New Roman"/>
          <w:b/>
          <w:color w:val="2F5496" w:themeColor="accent1" w:themeShade="BF"/>
          <w:lang w:eastAsia="ar-SA"/>
        </w:rPr>
        <w:t>, w tym akty prawne, z których wynika proponowany cel</w:t>
      </w:r>
      <w:r w:rsidRPr="00910CEF">
        <w:rPr>
          <w:rFonts w:eastAsia="Calibri" w:cs="Calibri"/>
          <w:color w:val="2F5496" w:themeColor="accent1" w:themeShade="BF"/>
          <w:lang w:eastAsia="ar-SA"/>
        </w:rPr>
        <w:t xml:space="preserve">, </w:t>
      </w:r>
      <w:r w:rsidRPr="00910CEF">
        <w:rPr>
          <w:rFonts w:eastAsia="Calibri" w:cs="Times New Roman"/>
          <w:b/>
          <w:color w:val="2F5496" w:themeColor="accent1" w:themeShade="BF"/>
          <w:lang w:eastAsia="ar-SA"/>
        </w:rPr>
        <w:t>zobowiązania U</w:t>
      </w:r>
      <w:r w:rsidR="000E1370">
        <w:rPr>
          <w:rFonts w:eastAsia="Calibri" w:cs="Times New Roman"/>
          <w:b/>
          <w:color w:val="2F5496" w:themeColor="accent1" w:themeShade="BF"/>
          <w:lang w:eastAsia="ar-SA"/>
        </w:rPr>
        <w:t>nii</w:t>
      </w:r>
      <w:r w:rsidRPr="00910CEF">
        <w:rPr>
          <w:rFonts w:eastAsia="Calibri" w:cs="Times New Roman"/>
          <w:b/>
          <w:color w:val="2F5496" w:themeColor="accent1" w:themeShade="BF"/>
          <w:lang w:eastAsia="ar-SA"/>
        </w:rPr>
        <w:t xml:space="preserve">: </w:t>
      </w:r>
      <w:r w:rsidRPr="0035160C">
        <w:rPr>
          <w:rFonts w:eastAsia="Calibri" w:cs="Times New Roman"/>
          <w:lang w:eastAsia="ar-SA"/>
        </w:rPr>
        <w:t>Komunikat Komisji do Parlamentu Europejskiego, Rady, Europejskiego Komitetu Ekonomiczno-Społecznego i Komitetu Regionów Strategia w zakresie wodoru na rzecz Europy neutralnej dla klimatu</w:t>
      </w:r>
      <w:r w:rsidR="0084303D">
        <w:rPr>
          <w:rFonts w:eastAsia="Calibri" w:cs="Times New Roman"/>
          <w:lang w:eastAsia="ar-SA"/>
        </w:rPr>
        <w:t>.</w:t>
      </w:r>
    </w:p>
    <w:p w14:paraId="6C8AB4CA" w14:textId="77777777" w:rsidR="009F5080" w:rsidRPr="00910CEF" w:rsidRDefault="009F5080" w:rsidP="009F5080">
      <w:pPr>
        <w:suppressAutoHyphens/>
        <w:spacing w:after="120" w:line="276" w:lineRule="auto"/>
        <w:jc w:val="both"/>
        <w:rPr>
          <w:rFonts w:eastAsia="Calibri" w:cs="Times New Roman"/>
          <w:color w:val="2F5496" w:themeColor="accent1" w:themeShade="BF"/>
          <w:lang w:eastAsia="ar-SA"/>
        </w:rPr>
      </w:pPr>
      <w:r w:rsidRPr="00910CEF">
        <w:rPr>
          <w:rFonts w:eastAsia="Calibri" w:cs="Times New Roman"/>
          <w:b/>
          <w:color w:val="2F5496" w:themeColor="accent1" w:themeShade="BF"/>
          <w:lang w:eastAsia="ar-SA"/>
        </w:rPr>
        <w:t xml:space="preserve">Dokumenty krajowe, z których wynika proponowany cel: </w:t>
      </w:r>
    </w:p>
    <w:p w14:paraId="20469C2D" w14:textId="10864959" w:rsidR="009F5080" w:rsidRPr="0035160C" w:rsidRDefault="0084303D" w:rsidP="00CA3BB7">
      <w:pPr>
        <w:numPr>
          <w:ilvl w:val="0"/>
          <w:numId w:val="67"/>
        </w:numPr>
        <w:suppressAutoHyphens/>
        <w:spacing w:after="120" w:line="276" w:lineRule="auto"/>
        <w:contextualSpacing/>
        <w:jc w:val="both"/>
        <w:rPr>
          <w:rFonts w:eastAsia="Calibri" w:cs="Times New Roman"/>
          <w:lang w:eastAsia="ar-SA"/>
        </w:rPr>
      </w:pPr>
      <w:r>
        <w:rPr>
          <w:rFonts w:eastAsia="Calibri" w:cs="Times New Roman"/>
          <w:lang w:eastAsia="ar-SA"/>
        </w:rPr>
        <w:t>SOR</w:t>
      </w:r>
      <w:r w:rsidR="009F5080" w:rsidRPr="0035160C">
        <w:rPr>
          <w:rFonts w:eastAsia="Calibri" w:cs="Times New Roman"/>
          <w:lang w:eastAsia="ar-SA"/>
        </w:rPr>
        <w:t xml:space="preserve"> – powiązanie z celem PSW w zakresie opisanego w SOR „Celu szczegółowego I – Trwały wzrost gospodarczy oparty coraz silniej o wiedzę, dane i doskonałość”,</w:t>
      </w:r>
    </w:p>
    <w:p w14:paraId="4FE22850" w14:textId="65E3C604" w:rsidR="009F5080" w:rsidRPr="0035160C" w:rsidRDefault="0084303D" w:rsidP="00CA3BB7">
      <w:pPr>
        <w:numPr>
          <w:ilvl w:val="0"/>
          <w:numId w:val="67"/>
        </w:numPr>
        <w:suppressAutoHyphens/>
        <w:spacing w:after="120" w:line="276" w:lineRule="auto"/>
        <w:contextualSpacing/>
        <w:jc w:val="both"/>
        <w:rPr>
          <w:rFonts w:eastAsia="Calibri" w:cs="Times New Roman"/>
          <w:b/>
          <w:lang w:eastAsia="ar-SA"/>
        </w:rPr>
      </w:pPr>
      <w:r>
        <w:rPr>
          <w:rFonts w:eastAsia="Calibri" w:cs="Times New Roman"/>
          <w:lang w:eastAsia="ar-SA"/>
        </w:rPr>
        <w:t>KPEiK</w:t>
      </w:r>
      <w:r w:rsidR="009F5080" w:rsidRPr="0035160C">
        <w:rPr>
          <w:rFonts w:eastAsia="Calibri" w:cs="Times New Roman"/>
          <w:lang w:eastAsia="ar-SA"/>
        </w:rPr>
        <w:t xml:space="preserve"> – powiązanie z celem PSW w zakresie opisanych w KPEiK wymiarów „bezpieczeństwo energetyczne” i „badania naukowe, innowacje i konkurencyjność”,</w:t>
      </w:r>
    </w:p>
    <w:p w14:paraId="32316738" w14:textId="6E306C9B" w:rsidR="009F5080" w:rsidRPr="0035160C" w:rsidRDefault="0084303D" w:rsidP="00CA3BB7">
      <w:pPr>
        <w:numPr>
          <w:ilvl w:val="0"/>
          <w:numId w:val="67"/>
        </w:numPr>
        <w:suppressAutoHyphens/>
        <w:spacing w:after="120" w:line="276" w:lineRule="auto"/>
        <w:contextualSpacing/>
        <w:jc w:val="both"/>
        <w:rPr>
          <w:rFonts w:eastAsia="Calibri" w:cs="Times New Roman"/>
          <w:lang w:eastAsia="ar-SA"/>
        </w:rPr>
      </w:pPr>
      <w:r>
        <w:rPr>
          <w:rFonts w:eastAsia="Calibri" w:cs="Times New Roman"/>
          <w:lang w:eastAsia="ar-SA"/>
        </w:rPr>
        <w:t>PEP2040</w:t>
      </w:r>
      <w:r w:rsidR="009F5080" w:rsidRPr="0035160C">
        <w:rPr>
          <w:rFonts w:eastAsia="Calibri" w:cs="Times New Roman"/>
          <w:lang w:eastAsia="ar-SA"/>
        </w:rPr>
        <w:t xml:space="preserve"> – powiązanie z celem PSW w zakresie opisanego w PEP2040 „Celu szczegółowego 2. Rozbudowa infrastruktury wytwórczej i sieciowej energii elektrycznej”, „Celu szczegółowego 4. Rozwój rynków energii”.</w:t>
      </w:r>
    </w:p>
    <w:p w14:paraId="2C51A73C" w14:textId="77777777" w:rsidR="009F5080" w:rsidRPr="0035160C" w:rsidRDefault="009F5080" w:rsidP="009F5080">
      <w:pPr>
        <w:suppressAutoHyphens/>
        <w:spacing w:after="120" w:line="276" w:lineRule="auto"/>
        <w:jc w:val="both"/>
        <w:rPr>
          <w:rFonts w:eastAsia="Calibri" w:cs="Times New Roman"/>
          <w:b/>
          <w:lang w:eastAsia="ar-SA"/>
        </w:rPr>
      </w:pPr>
      <w:r w:rsidRPr="00910CEF">
        <w:rPr>
          <w:rFonts w:eastAsia="Calibri" w:cs="Times New Roman"/>
          <w:b/>
          <w:color w:val="2F5496" w:themeColor="accent1" w:themeShade="BF"/>
          <w:lang w:eastAsia="ar-SA"/>
        </w:rPr>
        <w:t>Organy odpowiedzialne za wdrażanie celu:</w:t>
      </w:r>
      <w:r w:rsidRPr="0035160C">
        <w:rPr>
          <w:rFonts w:eastAsia="Calibri" w:cs="Times New Roman"/>
          <w:b/>
          <w:lang w:eastAsia="ar-SA"/>
        </w:rPr>
        <w:t xml:space="preserve"> </w:t>
      </w:r>
      <w:r w:rsidRPr="0035160C">
        <w:rPr>
          <w:rFonts w:eastAsia="Calibri" w:cs="Times New Roman"/>
          <w:lang w:eastAsia="ar-SA"/>
        </w:rPr>
        <w:t>administracja rządowa i samorządowa.</w:t>
      </w:r>
    </w:p>
    <w:p w14:paraId="5DC4549E" w14:textId="77777777" w:rsidR="009F5080" w:rsidRPr="00910CEF" w:rsidRDefault="009F5080" w:rsidP="009F5080">
      <w:pPr>
        <w:suppressAutoHyphens/>
        <w:spacing w:after="120" w:line="276" w:lineRule="auto"/>
        <w:jc w:val="both"/>
        <w:rPr>
          <w:rFonts w:eastAsia="Calibri" w:cs="Times New Roman"/>
          <w:b/>
          <w:color w:val="2F5496" w:themeColor="accent1" w:themeShade="BF"/>
          <w:lang w:eastAsia="ar-SA"/>
        </w:rPr>
      </w:pPr>
      <w:r w:rsidRPr="00910CEF">
        <w:rPr>
          <w:rFonts w:eastAsia="Calibri" w:cs="Times New Roman"/>
          <w:b/>
          <w:color w:val="2F5496" w:themeColor="accent1" w:themeShade="BF"/>
          <w:lang w:eastAsia="ar-SA"/>
        </w:rPr>
        <w:t xml:space="preserve">Cel 2: Wykorzystanie wodoru jako paliwa alternatywnego w transporcie </w:t>
      </w:r>
    </w:p>
    <w:p w14:paraId="4FEF1C3F" w14:textId="52C35864" w:rsidR="009F5080" w:rsidRPr="0035160C" w:rsidRDefault="009F5080" w:rsidP="009F5080">
      <w:pPr>
        <w:suppressAutoHyphens/>
        <w:spacing w:after="120" w:line="276" w:lineRule="auto"/>
        <w:jc w:val="both"/>
        <w:rPr>
          <w:rFonts w:eastAsia="Calibri" w:cs="Times New Roman"/>
          <w:iCs/>
          <w:lang w:eastAsia="ar-SA"/>
        </w:rPr>
      </w:pPr>
      <w:r w:rsidRPr="0035160C">
        <w:rPr>
          <w:rFonts w:eastAsia="Calibri" w:cs="Times New Roman"/>
          <w:lang w:eastAsia="ar-SA"/>
        </w:rPr>
        <w:t xml:space="preserve">Wodór ma potencjał do zastępowania paliw konwencjonalnych szczególnie w transporcie miejskim (autobusy), drogowym (transport ciężki i długodystansowy), pojazdach lekkich flotowych (wózki widłowe, samochody dostawcze, taksówki), kolejowym (pojazdy kolejowe wyposażone w ogniwa paliwowe), morskim i rzecznym oraz intermodalnym, a w dalszej perspektywie również w lotnictwie, obejmującym także pojazdy bezzałogowe (drony). </w:t>
      </w:r>
    </w:p>
    <w:p w14:paraId="231B777A" w14:textId="77777777" w:rsidR="009F5080" w:rsidRPr="0035160C" w:rsidRDefault="009F5080" w:rsidP="009F5080">
      <w:pPr>
        <w:suppressAutoHyphens/>
        <w:spacing w:after="120" w:line="276" w:lineRule="auto"/>
        <w:jc w:val="both"/>
        <w:rPr>
          <w:rFonts w:eastAsia="Calibri" w:cs="Times New Roman"/>
          <w:iCs/>
          <w:lang w:eastAsia="ar-SA"/>
        </w:rPr>
      </w:pPr>
      <w:r w:rsidRPr="0035160C">
        <w:rPr>
          <w:rFonts w:eastAsia="Calibri" w:cs="Times New Roman"/>
          <w:lang w:eastAsia="ar-SA"/>
        </w:rPr>
        <w:t xml:space="preserve">W celu całkowitej dekarbonizacji transportu potrzebne będzie wdrożenie pojazdów na ogniwa paliwowe (ang. FCEV - Fuel Cell Electric Vehicle). FCEV będą szczególnie istotne w zakresie transportu publicznego oraz drogowego transportu ciężkiego i długodystansowego. </w:t>
      </w:r>
    </w:p>
    <w:p w14:paraId="6FC34DF2" w14:textId="77777777" w:rsidR="009F5080" w:rsidRPr="0035160C" w:rsidRDefault="009F5080" w:rsidP="009F5080">
      <w:pPr>
        <w:suppressAutoHyphens/>
        <w:spacing w:after="120" w:line="276" w:lineRule="auto"/>
        <w:jc w:val="both"/>
        <w:rPr>
          <w:rFonts w:eastAsia="Calibri" w:cs="Times New Roman"/>
          <w:iCs/>
          <w:lang w:eastAsia="ar-SA"/>
        </w:rPr>
      </w:pPr>
      <w:r w:rsidRPr="0035160C">
        <w:rPr>
          <w:rFonts w:eastAsia="Calibri" w:cs="Times New Roman"/>
          <w:lang w:eastAsia="ar-SA"/>
        </w:rPr>
        <w:t>Zastosowanie technologii opartych na wodorze i amoniaku może przyczynić się do osiągnięcia przez transport celów środowiskowych i umożliwić w dłuższej perspektywie jego dekarbonizację</w:t>
      </w:r>
      <w:r w:rsidRPr="0035160C">
        <w:rPr>
          <w:rFonts w:eastAsia="Calibri" w:cs="Times New Roman"/>
          <w:iCs/>
          <w:lang w:eastAsia="ar-SA"/>
        </w:rPr>
        <w:t xml:space="preserve">. </w:t>
      </w:r>
    </w:p>
    <w:p w14:paraId="5484896E" w14:textId="77777777" w:rsidR="00B91399" w:rsidRDefault="00B91399" w:rsidP="009F5080">
      <w:pPr>
        <w:suppressAutoHyphens/>
        <w:spacing w:after="0" w:line="276" w:lineRule="auto"/>
        <w:jc w:val="both"/>
        <w:rPr>
          <w:rFonts w:eastAsia="Calibri" w:cs="Times New Roman"/>
          <w:b/>
          <w:iCs/>
          <w:color w:val="2F5496" w:themeColor="accent1" w:themeShade="BF"/>
          <w:lang w:eastAsia="ar-SA"/>
        </w:rPr>
      </w:pPr>
    </w:p>
    <w:p w14:paraId="3D74C753" w14:textId="77777777" w:rsidR="00B91399" w:rsidRDefault="00B91399" w:rsidP="009F5080">
      <w:pPr>
        <w:suppressAutoHyphens/>
        <w:spacing w:after="0" w:line="276" w:lineRule="auto"/>
        <w:jc w:val="both"/>
        <w:rPr>
          <w:rFonts w:eastAsia="Calibri" w:cs="Times New Roman"/>
          <w:b/>
          <w:iCs/>
          <w:color w:val="2F5496" w:themeColor="accent1" w:themeShade="BF"/>
          <w:lang w:eastAsia="ar-SA"/>
        </w:rPr>
      </w:pPr>
    </w:p>
    <w:p w14:paraId="329239D2" w14:textId="7B9926DC" w:rsidR="009F5080" w:rsidRPr="00146E11" w:rsidRDefault="009F5080" w:rsidP="009F5080">
      <w:pPr>
        <w:suppressAutoHyphens/>
        <w:spacing w:after="0" w:line="276" w:lineRule="auto"/>
        <w:jc w:val="both"/>
        <w:rPr>
          <w:rFonts w:eastAsia="Calibri" w:cs="Times New Roman"/>
          <w:b/>
          <w:iCs/>
          <w:color w:val="2F5496" w:themeColor="accent1" w:themeShade="BF"/>
          <w:lang w:eastAsia="ar-SA"/>
        </w:rPr>
      </w:pPr>
      <w:r w:rsidRPr="00146E11">
        <w:rPr>
          <w:rFonts w:eastAsia="Calibri" w:cs="Times New Roman"/>
          <w:b/>
          <w:iCs/>
          <w:color w:val="2F5496" w:themeColor="accent1" w:themeShade="BF"/>
          <w:lang w:eastAsia="ar-SA"/>
        </w:rPr>
        <w:lastRenderedPageBreak/>
        <w:t>2025</w:t>
      </w:r>
      <w:r w:rsidR="00146E11" w:rsidRPr="00146E11">
        <w:rPr>
          <w:rFonts w:eastAsia="Calibri" w:cs="Times New Roman"/>
          <w:b/>
          <w:iCs/>
          <w:color w:val="2F5496" w:themeColor="accent1" w:themeShade="BF"/>
          <w:lang w:eastAsia="ar-SA"/>
        </w:rPr>
        <w:t xml:space="preserve"> r.</w:t>
      </w:r>
      <w:r w:rsidR="00146E11">
        <w:rPr>
          <w:rFonts w:eastAsia="Calibri" w:cs="Times New Roman"/>
          <w:b/>
          <w:iCs/>
          <w:color w:val="2F5496" w:themeColor="accent1" w:themeShade="BF"/>
          <w:lang w:eastAsia="ar-SA"/>
        </w:rPr>
        <w:t>:</w:t>
      </w:r>
    </w:p>
    <w:p w14:paraId="2EC0FF56" w14:textId="038EADDC" w:rsidR="009F5080" w:rsidRPr="0035160C" w:rsidRDefault="00146E11" w:rsidP="00CA3BB7">
      <w:pPr>
        <w:numPr>
          <w:ilvl w:val="0"/>
          <w:numId w:val="46"/>
        </w:numPr>
        <w:suppressAutoHyphens/>
        <w:spacing w:after="200" w:line="276" w:lineRule="auto"/>
        <w:contextualSpacing/>
        <w:jc w:val="both"/>
        <w:rPr>
          <w:rFonts w:eastAsia="Calibri" w:cs="Times New Roman"/>
          <w:iCs/>
          <w:lang w:eastAsia="ar-SA"/>
        </w:rPr>
      </w:pPr>
      <w:r>
        <w:rPr>
          <w:rFonts w:eastAsia="Calibri" w:cs="Times New Roman"/>
          <w:iCs/>
          <w:lang w:eastAsia="ar-SA"/>
        </w:rPr>
        <w:t>r</w:t>
      </w:r>
      <w:r w:rsidR="009F5080" w:rsidRPr="0035160C">
        <w:rPr>
          <w:rFonts w:eastAsia="Calibri" w:cs="Times New Roman"/>
          <w:iCs/>
          <w:lang w:eastAsia="ar-SA"/>
        </w:rPr>
        <w:t>ozpoczęcie eksploatacji autobusów zeroemisyjnych napędzanych wodorem – od 100 do 250 nowych autobusów wodorowych;</w:t>
      </w:r>
    </w:p>
    <w:p w14:paraId="3D105C1C" w14:textId="31DDD03F" w:rsidR="009F5080" w:rsidRPr="0035160C" w:rsidRDefault="00146E11" w:rsidP="00CA3BB7">
      <w:pPr>
        <w:numPr>
          <w:ilvl w:val="0"/>
          <w:numId w:val="46"/>
        </w:numPr>
        <w:suppressAutoHyphens/>
        <w:spacing w:after="200" w:line="276" w:lineRule="auto"/>
        <w:contextualSpacing/>
        <w:jc w:val="both"/>
        <w:rPr>
          <w:rFonts w:eastAsia="Calibri" w:cs="Times New Roman"/>
          <w:iCs/>
          <w:lang w:eastAsia="ar-SA"/>
        </w:rPr>
      </w:pPr>
      <w:r>
        <w:rPr>
          <w:rFonts w:eastAsia="Calibri" w:cs="Times New Roman"/>
          <w:iCs/>
          <w:lang w:eastAsia="ar-SA"/>
        </w:rPr>
        <w:t>r</w:t>
      </w:r>
      <w:r w:rsidR="009F5080" w:rsidRPr="0035160C">
        <w:rPr>
          <w:rFonts w:eastAsia="Calibri" w:cs="Times New Roman"/>
          <w:iCs/>
          <w:lang w:eastAsia="ar-SA"/>
        </w:rPr>
        <w:t xml:space="preserve">ozwój sieci stacji tankowania i bunkrowania wodoru – </w:t>
      </w:r>
      <w:r w:rsidR="00A33EFC">
        <w:rPr>
          <w:rFonts w:eastAsia="Calibri" w:cs="Times New Roman"/>
          <w:iCs/>
          <w:lang w:eastAsia="ar-SA"/>
        </w:rPr>
        <w:t xml:space="preserve">min. </w:t>
      </w:r>
      <w:r w:rsidR="009F5080" w:rsidRPr="00146E11">
        <w:rPr>
          <w:rFonts w:eastAsia="Calibri" w:cs="Times New Roman"/>
          <w:b/>
          <w:iCs/>
          <w:color w:val="2F5496" w:themeColor="accent1" w:themeShade="BF"/>
          <w:lang w:eastAsia="ar-SA"/>
        </w:rPr>
        <w:t>32 nowe stacje</w:t>
      </w:r>
      <w:r w:rsidR="009F5080" w:rsidRPr="0035160C">
        <w:rPr>
          <w:rFonts w:eastAsia="Calibri" w:cs="Times New Roman"/>
          <w:iCs/>
          <w:lang w:eastAsia="ar-SA"/>
        </w:rPr>
        <w:t>;</w:t>
      </w:r>
    </w:p>
    <w:p w14:paraId="37AA7E28" w14:textId="0C9614E8" w:rsidR="009F5080" w:rsidRPr="0035160C" w:rsidRDefault="00146E11" w:rsidP="00CA3BB7">
      <w:pPr>
        <w:numPr>
          <w:ilvl w:val="0"/>
          <w:numId w:val="46"/>
        </w:numPr>
        <w:suppressAutoHyphens/>
        <w:spacing w:after="200" w:line="276" w:lineRule="auto"/>
        <w:contextualSpacing/>
        <w:jc w:val="both"/>
        <w:rPr>
          <w:rFonts w:eastAsia="Calibri" w:cs="Times New Roman"/>
          <w:iCs/>
          <w:lang w:eastAsia="ar-SA"/>
        </w:rPr>
      </w:pPr>
      <w:r>
        <w:rPr>
          <w:rFonts w:eastAsia="Calibri" w:cs="Times New Roman"/>
          <w:iCs/>
          <w:lang w:eastAsia="ar-SA"/>
        </w:rPr>
        <w:t>p</w:t>
      </w:r>
      <w:r w:rsidR="009F5080" w:rsidRPr="0035160C">
        <w:rPr>
          <w:rFonts w:eastAsia="Calibri" w:cs="Times New Roman"/>
          <w:iCs/>
          <w:lang w:eastAsia="ar-SA"/>
        </w:rPr>
        <w:t>owstanie instalacji do oczyszczania wodoru do standardu czystości zgodnie z normą obowiązującą w U</w:t>
      </w:r>
      <w:r w:rsidR="0084303D">
        <w:rPr>
          <w:rFonts w:eastAsia="Calibri" w:cs="Times New Roman"/>
          <w:iCs/>
          <w:lang w:eastAsia="ar-SA"/>
        </w:rPr>
        <w:t xml:space="preserve">nii </w:t>
      </w:r>
      <w:r w:rsidR="009F5080" w:rsidRPr="0035160C">
        <w:rPr>
          <w:rFonts w:eastAsia="Calibri" w:cs="Times New Roman"/>
          <w:iCs/>
          <w:lang w:eastAsia="ar-SA"/>
        </w:rPr>
        <w:t>E</w:t>
      </w:r>
      <w:r w:rsidR="0084303D">
        <w:rPr>
          <w:rFonts w:eastAsia="Calibri" w:cs="Times New Roman"/>
          <w:iCs/>
          <w:lang w:eastAsia="ar-SA"/>
        </w:rPr>
        <w:t>uropejskiej</w:t>
      </w:r>
      <w:r w:rsidR="009F5080" w:rsidRPr="0035160C">
        <w:rPr>
          <w:rFonts w:eastAsia="Calibri" w:cs="Times New Roman"/>
          <w:iCs/>
          <w:lang w:eastAsia="ar-SA"/>
        </w:rPr>
        <w:t>;</w:t>
      </w:r>
    </w:p>
    <w:p w14:paraId="22B69229" w14:textId="2B22C554" w:rsidR="009F5080" w:rsidRPr="0035160C" w:rsidRDefault="00146E11" w:rsidP="00CA3BB7">
      <w:pPr>
        <w:numPr>
          <w:ilvl w:val="0"/>
          <w:numId w:val="46"/>
        </w:numPr>
        <w:suppressAutoHyphens/>
        <w:spacing w:after="0" w:line="276" w:lineRule="auto"/>
        <w:contextualSpacing/>
        <w:jc w:val="both"/>
        <w:rPr>
          <w:rFonts w:eastAsia="Calibri" w:cs="Times New Roman"/>
          <w:iCs/>
          <w:lang w:eastAsia="ar-SA"/>
        </w:rPr>
      </w:pPr>
      <w:r>
        <w:rPr>
          <w:rFonts w:eastAsia="Calibri" w:cs="Times New Roman"/>
          <w:iCs/>
          <w:lang w:eastAsia="ar-SA"/>
        </w:rPr>
        <w:t>p</w:t>
      </w:r>
      <w:r w:rsidR="009F5080" w:rsidRPr="0035160C">
        <w:rPr>
          <w:rFonts w:eastAsia="Calibri" w:cs="Times New Roman"/>
          <w:iCs/>
          <w:lang w:eastAsia="ar-SA"/>
        </w:rPr>
        <w:t>owstanie pociągów/lokomotyw wodorowych, które zastąpią ich spalinowe odpowiedniki na trudnych do zelektryfikowania trasach</w:t>
      </w:r>
      <w:r w:rsidR="0084303D">
        <w:rPr>
          <w:rFonts w:eastAsia="Calibri" w:cs="Times New Roman"/>
          <w:iCs/>
          <w:lang w:eastAsia="ar-SA"/>
        </w:rPr>
        <w:t>;</w:t>
      </w:r>
    </w:p>
    <w:p w14:paraId="5111E943" w14:textId="3214E1E4" w:rsidR="009F5080" w:rsidRPr="0035160C" w:rsidRDefault="00146E11" w:rsidP="00CA3BB7">
      <w:pPr>
        <w:numPr>
          <w:ilvl w:val="0"/>
          <w:numId w:val="46"/>
        </w:numPr>
        <w:suppressAutoHyphens/>
        <w:spacing w:after="0" w:line="276" w:lineRule="auto"/>
        <w:contextualSpacing/>
        <w:jc w:val="both"/>
        <w:rPr>
          <w:rFonts w:eastAsia="Calibri" w:cs="Times New Roman"/>
          <w:iCs/>
          <w:lang w:eastAsia="ar-SA"/>
        </w:rPr>
      </w:pPr>
      <w:r>
        <w:rPr>
          <w:rFonts w:eastAsia="Calibri" w:cs="Times New Roman"/>
          <w:iCs/>
          <w:lang w:eastAsia="ar-SA"/>
        </w:rPr>
        <w:t>u</w:t>
      </w:r>
      <w:r w:rsidR="009F5080" w:rsidRPr="0035160C">
        <w:rPr>
          <w:rFonts w:eastAsia="Calibri" w:cs="Times New Roman"/>
          <w:iCs/>
          <w:lang w:eastAsia="ar-SA"/>
        </w:rPr>
        <w:t>ruchomienie programów pilotażowych wykorzystania wodoru i jego pochodnych w komunikacji miejskiej, transporcie ciężkim kołowym, kolejowym, morskim, rzecznym i lotniczym oraz intermodalnym.</w:t>
      </w:r>
    </w:p>
    <w:p w14:paraId="372E9C49" w14:textId="368DD579" w:rsidR="009F5080" w:rsidRPr="00146E11" w:rsidRDefault="009F5080" w:rsidP="009F5080">
      <w:pPr>
        <w:suppressAutoHyphens/>
        <w:spacing w:after="0" w:line="276" w:lineRule="auto"/>
        <w:jc w:val="both"/>
        <w:rPr>
          <w:rFonts w:eastAsia="Calibri" w:cs="Times New Roman"/>
          <w:b/>
          <w:iCs/>
          <w:color w:val="2F5496" w:themeColor="accent1" w:themeShade="BF"/>
          <w:lang w:eastAsia="ar-SA"/>
        </w:rPr>
      </w:pPr>
      <w:r w:rsidRPr="00146E11">
        <w:rPr>
          <w:rFonts w:eastAsia="Calibri" w:cs="Times New Roman"/>
          <w:b/>
          <w:iCs/>
          <w:color w:val="2F5496" w:themeColor="accent1" w:themeShade="BF"/>
          <w:lang w:eastAsia="ar-SA"/>
        </w:rPr>
        <w:t>2030</w:t>
      </w:r>
      <w:r w:rsidR="00146E11">
        <w:rPr>
          <w:rFonts w:eastAsia="Calibri" w:cs="Times New Roman"/>
          <w:b/>
          <w:iCs/>
          <w:color w:val="2F5496" w:themeColor="accent1" w:themeShade="BF"/>
          <w:lang w:eastAsia="ar-SA"/>
        </w:rPr>
        <w:t xml:space="preserve"> r.:</w:t>
      </w:r>
    </w:p>
    <w:p w14:paraId="122E7A68" w14:textId="1168ADE4" w:rsidR="009F5080" w:rsidRPr="0035160C" w:rsidRDefault="00146E11" w:rsidP="00CA3BB7">
      <w:pPr>
        <w:numPr>
          <w:ilvl w:val="0"/>
          <w:numId w:val="46"/>
        </w:numPr>
        <w:suppressAutoHyphens/>
        <w:spacing w:after="0" w:line="276" w:lineRule="auto"/>
        <w:contextualSpacing/>
        <w:jc w:val="both"/>
        <w:rPr>
          <w:rFonts w:eastAsia="Calibri" w:cs="Times New Roman"/>
          <w:lang w:eastAsia="ar-SA"/>
        </w:rPr>
      </w:pPr>
      <w:r>
        <w:rPr>
          <w:rFonts w:eastAsia="Calibri" w:cs="Times New Roman"/>
          <w:lang w:eastAsia="ar-SA"/>
        </w:rPr>
        <w:t>r</w:t>
      </w:r>
      <w:r w:rsidR="009F5080" w:rsidRPr="0035160C">
        <w:rPr>
          <w:rFonts w:eastAsia="Calibri" w:cs="Times New Roman"/>
          <w:lang w:eastAsia="ar-SA"/>
        </w:rPr>
        <w:t xml:space="preserve">ozpoczęcie eksploatacji – </w:t>
      </w:r>
      <w:r w:rsidR="009F5080" w:rsidRPr="00146E11">
        <w:rPr>
          <w:rFonts w:eastAsia="Calibri" w:cs="Times New Roman"/>
          <w:b/>
          <w:color w:val="2F5496" w:themeColor="accent1" w:themeShade="BF"/>
          <w:lang w:eastAsia="ar-SA"/>
        </w:rPr>
        <w:t>od 800 do 1000 nowych autobusów wodorowych</w:t>
      </w:r>
      <w:r w:rsidR="009F5080" w:rsidRPr="0035160C">
        <w:rPr>
          <w:rFonts w:eastAsia="Calibri" w:cs="Times New Roman"/>
          <w:lang w:eastAsia="ar-SA"/>
        </w:rPr>
        <w:t xml:space="preserve">, w tym wyprodukowanych w Polsce; </w:t>
      </w:r>
    </w:p>
    <w:p w14:paraId="1C1AB21D" w14:textId="7757CD5B" w:rsidR="009F5080" w:rsidRPr="0035160C" w:rsidRDefault="00146E11" w:rsidP="00CA3BB7">
      <w:pPr>
        <w:numPr>
          <w:ilvl w:val="0"/>
          <w:numId w:val="46"/>
        </w:numPr>
        <w:suppressAutoHyphens/>
        <w:spacing w:after="0" w:line="276" w:lineRule="auto"/>
        <w:contextualSpacing/>
        <w:jc w:val="both"/>
        <w:rPr>
          <w:rFonts w:eastAsia="Calibri" w:cs="Times New Roman"/>
          <w:lang w:eastAsia="ar-SA"/>
        </w:rPr>
      </w:pPr>
      <w:r>
        <w:rPr>
          <w:rFonts w:eastAsia="Calibri" w:cs="Times New Roman"/>
          <w:lang w:eastAsia="ar-SA"/>
        </w:rPr>
        <w:t>d</w:t>
      </w:r>
      <w:r w:rsidR="009F5080" w:rsidRPr="0035160C">
        <w:rPr>
          <w:rFonts w:eastAsia="Calibri" w:cs="Times New Roman"/>
          <w:lang w:eastAsia="ar-SA"/>
        </w:rPr>
        <w:t>alszy rozwój infrastruktury tankowania i bunkrowania wodoru;</w:t>
      </w:r>
    </w:p>
    <w:p w14:paraId="472FBD34" w14:textId="6133889A" w:rsidR="009F5080" w:rsidRPr="0035160C" w:rsidRDefault="00146E11" w:rsidP="00CA3BB7">
      <w:pPr>
        <w:numPr>
          <w:ilvl w:val="0"/>
          <w:numId w:val="46"/>
        </w:numPr>
        <w:suppressAutoHyphens/>
        <w:spacing w:after="0" w:line="276" w:lineRule="auto"/>
        <w:contextualSpacing/>
        <w:jc w:val="both"/>
        <w:rPr>
          <w:rFonts w:eastAsia="Calibri" w:cs="Times New Roman"/>
          <w:lang w:eastAsia="ar-SA"/>
        </w:rPr>
      </w:pPr>
      <w:r>
        <w:rPr>
          <w:rFonts w:eastAsia="Calibri" w:cs="Times New Roman"/>
          <w:lang w:eastAsia="ar-SA"/>
        </w:rPr>
        <w:t>s</w:t>
      </w:r>
      <w:r w:rsidR="009F5080" w:rsidRPr="0035160C">
        <w:rPr>
          <w:rFonts w:eastAsia="Calibri" w:cs="Times New Roman"/>
          <w:lang w:eastAsia="ar-SA"/>
        </w:rPr>
        <w:t>topniowe zastępowanie pociągów i lokomotyw spalinowych ich wodorowymi odpowiednikami;</w:t>
      </w:r>
    </w:p>
    <w:p w14:paraId="0D7A565A" w14:textId="24B929DC" w:rsidR="009F5080" w:rsidRPr="0035160C" w:rsidRDefault="00146E11" w:rsidP="00CA3BB7">
      <w:pPr>
        <w:numPr>
          <w:ilvl w:val="0"/>
          <w:numId w:val="46"/>
        </w:numPr>
        <w:suppressAutoHyphens/>
        <w:spacing w:after="0" w:line="276" w:lineRule="auto"/>
        <w:contextualSpacing/>
        <w:jc w:val="both"/>
        <w:rPr>
          <w:rFonts w:eastAsia="Calibri" w:cs="Times New Roman"/>
          <w:lang w:eastAsia="ar-SA"/>
        </w:rPr>
      </w:pPr>
      <w:r>
        <w:rPr>
          <w:rFonts w:eastAsia="Calibri" w:cs="Times New Roman"/>
          <w:lang w:eastAsia="ar-SA"/>
        </w:rPr>
        <w:t>r</w:t>
      </w:r>
      <w:r w:rsidR="009F5080" w:rsidRPr="0035160C">
        <w:rPr>
          <w:rFonts w:eastAsia="Calibri" w:cs="Times New Roman"/>
          <w:lang w:eastAsia="ar-SA"/>
        </w:rPr>
        <w:t>ozwój wykorzystania wodoru w transporcie ciężkim, kolejowym, morskim, rzecznym i lotniczym oraz intermodalnym;</w:t>
      </w:r>
    </w:p>
    <w:p w14:paraId="294F61BC" w14:textId="6FF8E88D" w:rsidR="009F5080" w:rsidRPr="0035160C" w:rsidRDefault="00146E11" w:rsidP="00CA3BB7">
      <w:pPr>
        <w:numPr>
          <w:ilvl w:val="0"/>
          <w:numId w:val="46"/>
        </w:numPr>
        <w:suppressAutoHyphens/>
        <w:spacing w:after="0" w:line="276" w:lineRule="auto"/>
        <w:contextualSpacing/>
        <w:jc w:val="both"/>
        <w:rPr>
          <w:rFonts w:eastAsia="Calibri" w:cs="Times New Roman"/>
          <w:lang w:eastAsia="ar-SA"/>
        </w:rPr>
      </w:pPr>
      <w:r>
        <w:rPr>
          <w:rFonts w:eastAsia="Calibri" w:cs="Times New Roman"/>
          <w:lang w:eastAsia="ar-SA"/>
        </w:rPr>
        <w:t>o</w:t>
      </w:r>
      <w:r w:rsidR="009F5080" w:rsidRPr="0035160C">
        <w:rPr>
          <w:rFonts w:eastAsia="Calibri" w:cs="Times New Roman"/>
          <w:lang w:eastAsia="ar-SA"/>
        </w:rPr>
        <w:t>ddanie do użytku jednostek pływających z systemem napędowym bazującym na wodorze</w:t>
      </w:r>
      <w:r w:rsidR="0084303D">
        <w:rPr>
          <w:rFonts w:eastAsia="Calibri" w:cs="Times New Roman"/>
          <w:lang w:eastAsia="ar-SA"/>
        </w:rPr>
        <w:t>;</w:t>
      </w:r>
    </w:p>
    <w:p w14:paraId="6565351F" w14:textId="276D7B46" w:rsidR="009F5080" w:rsidRPr="0035160C" w:rsidRDefault="00146E11" w:rsidP="00CA3BB7">
      <w:pPr>
        <w:numPr>
          <w:ilvl w:val="0"/>
          <w:numId w:val="46"/>
        </w:numPr>
        <w:suppressAutoHyphens/>
        <w:spacing w:after="240" w:line="276" w:lineRule="auto"/>
        <w:contextualSpacing/>
        <w:jc w:val="both"/>
        <w:rPr>
          <w:rFonts w:eastAsia="Calibri" w:cs="Times New Roman"/>
          <w:lang w:eastAsia="ar-SA"/>
        </w:rPr>
      </w:pPr>
      <w:r>
        <w:rPr>
          <w:rFonts w:eastAsia="Calibri" w:cs="Times New Roman"/>
          <w:lang w:eastAsia="ar-SA"/>
        </w:rPr>
        <w:t>p</w:t>
      </w:r>
      <w:r w:rsidR="009F5080" w:rsidRPr="0035160C">
        <w:rPr>
          <w:rFonts w:eastAsia="Calibri" w:cs="Times New Roman"/>
          <w:lang w:eastAsia="ar-SA"/>
        </w:rPr>
        <w:t>rodukcja paliw syntetycznych opartych na wodorze.</w:t>
      </w:r>
    </w:p>
    <w:p w14:paraId="76B3DF91" w14:textId="1F817AA8" w:rsidR="009F5080" w:rsidRPr="0035160C" w:rsidRDefault="009F5080" w:rsidP="009F5080">
      <w:pPr>
        <w:suppressAutoHyphens/>
        <w:spacing w:after="120" w:line="276" w:lineRule="auto"/>
        <w:jc w:val="both"/>
        <w:rPr>
          <w:rFonts w:eastAsia="Calibri" w:cs="Times New Roman"/>
          <w:b/>
          <w:lang w:eastAsia="ar-SA"/>
        </w:rPr>
      </w:pPr>
      <w:r w:rsidRPr="00146E11">
        <w:rPr>
          <w:rFonts w:eastAsia="Calibri" w:cs="Times New Roman"/>
          <w:b/>
          <w:color w:val="2F5496" w:themeColor="accent1" w:themeShade="BF"/>
          <w:lang w:eastAsia="ar-SA"/>
        </w:rPr>
        <w:t>Dokumenty U</w:t>
      </w:r>
      <w:r w:rsidR="0084303D">
        <w:rPr>
          <w:rFonts w:eastAsia="Calibri" w:cs="Times New Roman"/>
          <w:b/>
          <w:color w:val="2F5496" w:themeColor="accent1" w:themeShade="BF"/>
          <w:lang w:eastAsia="ar-SA"/>
        </w:rPr>
        <w:t xml:space="preserve">nii </w:t>
      </w:r>
      <w:r w:rsidRPr="00146E11">
        <w:rPr>
          <w:rFonts w:eastAsia="Calibri" w:cs="Times New Roman"/>
          <w:b/>
          <w:color w:val="2F5496" w:themeColor="accent1" w:themeShade="BF"/>
          <w:lang w:eastAsia="ar-SA"/>
        </w:rPr>
        <w:t>E</w:t>
      </w:r>
      <w:r w:rsidR="0084303D">
        <w:rPr>
          <w:rFonts w:eastAsia="Calibri" w:cs="Times New Roman"/>
          <w:b/>
          <w:color w:val="2F5496" w:themeColor="accent1" w:themeShade="BF"/>
          <w:lang w:eastAsia="ar-SA"/>
        </w:rPr>
        <w:t>uropejskiej</w:t>
      </w:r>
      <w:r w:rsidRPr="00146E11">
        <w:rPr>
          <w:rFonts w:eastAsia="Calibri" w:cs="Times New Roman"/>
          <w:b/>
          <w:color w:val="2F5496" w:themeColor="accent1" w:themeShade="BF"/>
          <w:lang w:eastAsia="ar-SA"/>
        </w:rPr>
        <w:t>, w tym akty prawne,</w:t>
      </w:r>
      <w:r w:rsidRPr="00146E11">
        <w:rPr>
          <w:rFonts w:eastAsia="Calibri" w:cs="Calibri"/>
          <w:color w:val="2F5496" w:themeColor="accent1" w:themeShade="BF"/>
          <w:lang w:eastAsia="ar-SA"/>
        </w:rPr>
        <w:t xml:space="preserve"> </w:t>
      </w:r>
      <w:r w:rsidRPr="00146E11">
        <w:rPr>
          <w:rFonts w:eastAsia="Calibri" w:cs="Times New Roman"/>
          <w:b/>
          <w:color w:val="2F5496" w:themeColor="accent1" w:themeShade="BF"/>
          <w:lang w:eastAsia="ar-SA"/>
        </w:rPr>
        <w:t>z których wynika proponowany cel,</w:t>
      </w:r>
      <w:r w:rsidRPr="00146E11">
        <w:rPr>
          <w:rFonts w:eastAsia="Calibri" w:cs="Calibri"/>
          <w:color w:val="2F5496" w:themeColor="accent1" w:themeShade="BF"/>
          <w:lang w:eastAsia="ar-SA"/>
        </w:rPr>
        <w:t xml:space="preserve"> </w:t>
      </w:r>
      <w:r w:rsidRPr="00146E11">
        <w:rPr>
          <w:rFonts w:eastAsia="Calibri" w:cs="Times New Roman"/>
          <w:b/>
          <w:color w:val="2F5496" w:themeColor="accent1" w:themeShade="BF"/>
          <w:lang w:eastAsia="ar-SA"/>
        </w:rPr>
        <w:t>zobowiązania UE:</w:t>
      </w:r>
      <w:r w:rsidRPr="0035160C">
        <w:rPr>
          <w:rFonts w:eastAsia="Calibri" w:cs="Calibri"/>
          <w:lang w:eastAsia="ar-SA"/>
        </w:rPr>
        <w:t xml:space="preserve"> </w:t>
      </w:r>
      <w:r w:rsidRPr="0035160C">
        <w:rPr>
          <w:rFonts w:eastAsia="Calibri" w:cs="Times New Roman"/>
          <w:lang w:eastAsia="ar-SA"/>
        </w:rPr>
        <w:t>Komunikat Komisji do Parlamentu Europejskiego, Rady, Europejskiego Komitetu Ekonomiczno-Społecznego i Komitetu Regionów Strategia w zakresie wodoru na rzecz Europy neutralnej dla klimatu</w:t>
      </w:r>
    </w:p>
    <w:p w14:paraId="6D94C0CC" w14:textId="77777777" w:rsidR="009F5080" w:rsidRPr="0035160C" w:rsidRDefault="009F5080" w:rsidP="009F5080">
      <w:pPr>
        <w:suppressAutoHyphens/>
        <w:spacing w:before="120" w:after="0" w:line="276" w:lineRule="auto"/>
        <w:jc w:val="both"/>
        <w:rPr>
          <w:rFonts w:eastAsia="Calibri" w:cs="Times New Roman"/>
          <w:lang w:eastAsia="ar-SA"/>
        </w:rPr>
      </w:pPr>
      <w:r w:rsidRPr="00146E11">
        <w:rPr>
          <w:rFonts w:eastAsia="Calibri" w:cs="Times New Roman"/>
          <w:b/>
          <w:color w:val="2F5496" w:themeColor="accent1" w:themeShade="BF"/>
          <w:lang w:eastAsia="ar-SA"/>
        </w:rPr>
        <w:t>Dokumenty krajowe, z których wynika proponowany cel:</w:t>
      </w:r>
      <w:r w:rsidRPr="0035160C">
        <w:rPr>
          <w:rFonts w:eastAsia="Calibri" w:cs="Times New Roman"/>
          <w:lang w:eastAsia="ar-SA"/>
        </w:rPr>
        <w:t xml:space="preserve"> </w:t>
      </w:r>
    </w:p>
    <w:p w14:paraId="7EB54D83" w14:textId="3AFE5C8A" w:rsidR="009F5080" w:rsidRPr="0035160C" w:rsidRDefault="0084303D" w:rsidP="00CA3BB7">
      <w:pPr>
        <w:numPr>
          <w:ilvl w:val="0"/>
          <w:numId w:val="66"/>
        </w:numPr>
        <w:suppressAutoHyphens/>
        <w:spacing w:before="120" w:after="120" w:line="276" w:lineRule="auto"/>
        <w:contextualSpacing/>
        <w:jc w:val="both"/>
        <w:rPr>
          <w:rFonts w:eastAsia="Calibri" w:cs="Times New Roman"/>
          <w:iCs/>
          <w:lang w:eastAsia="ar-SA"/>
        </w:rPr>
      </w:pPr>
      <w:r>
        <w:rPr>
          <w:rFonts w:eastAsia="Calibri" w:cs="Times New Roman"/>
          <w:lang w:eastAsia="ar-SA"/>
        </w:rPr>
        <w:t>SOR</w:t>
      </w:r>
      <w:r w:rsidR="009F5080" w:rsidRPr="0035160C">
        <w:rPr>
          <w:rFonts w:eastAsia="Calibri" w:cs="Times New Roman"/>
          <w:lang w:eastAsia="ar-SA"/>
        </w:rPr>
        <w:t xml:space="preserve"> – powiązanie z celem PSW w zakresie opisanego w SOR „Celu szczegółowego I – Trwały wzrost gospodarczy oparty coraz silniej o wiedzę, dane i doskonałość”, Projektu Flagowego</w:t>
      </w:r>
      <w:r w:rsidR="009F5080" w:rsidRPr="0035160C">
        <w:rPr>
          <w:rFonts w:eastAsia="Calibri" w:cs="Times New Roman"/>
          <w:i/>
          <w:lang w:eastAsia="ar-SA"/>
        </w:rPr>
        <w:t xml:space="preserve"> „</w:t>
      </w:r>
      <w:r w:rsidR="009F5080" w:rsidRPr="0035160C">
        <w:rPr>
          <w:rFonts w:eastAsia="Calibri" w:cs="Times New Roman"/>
          <w:lang w:eastAsia="ar-SA"/>
        </w:rPr>
        <w:t>Program Elektromobilność”</w:t>
      </w:r>
      <w:r w:rsidR="009F5080" w:rsidRPr="0035160C">
        <w:rPr>
          <w:rFonts w:eastAsia="Calibri" w:cs="Times New Roman"/>
          <w:i/>
          <w:lang w:eastAsia="ar-SA"/>
        </w:rPr>
        <w:t xml:space="preserve"> </w:t>
      </w:r>
      <w:r w:rsidR="009F5080" w:rsidRPr="0035160C">
        <w:rPr>
          <w:rFonts w:eastAsia="Calibri" w:cs="Times New Roman"/>
          <w:lang w:eastAsia="ar-SA"/>
        </w:rPr>
        <w:t>oraz Projektu Strategicznego</w:t>
      </w:r>
      <w:r w:rsidR="009F5080" w:rsidRPr="0035160C">
        <w:rPr>
          <w:rFonts w:eastAsia="Calibri" w:cs="Times New Roman"/>
          <w:i/>
          <w:lang w:eastAsia="ar-SA"/>
        </w:rPr>
        <w:t xml:space="preserve"> </w:t>
      </w:r>
      <w:r w:rsidR="009F5080" w:rsidRPr="0035160C">
        <w:rPr>
          <w:rFonts w:eastAsia="Calibri" w:cs="Times New Roman"/>
          <w:lang w:eastAsia="ar-SA"/>
        </w:rPr>
        <w:t>„Program Rozwoju Elektromobilności”,</w:t>
      </w:r>
    </w:p>
    <w:p w14:paraId="0C6BA117" w14:textId="2D718722" w:rsidR="009F5080" w:rsidRPr="0035160C" w:rsidRDefault="0084303D" w:rsidP="00CA3BB7">
      <w:pPr>
        <w:numPr>
          <w:ilvl w:val="0"/>
          <w:numId w:val="66"/>
        </w:numPr>
        <w:suppressAutoHyphens/>
        <w:spacing w:before="120" w:after="120" w:line="276" w:lineRule="auto"/>
        <w:contextualSpacing/>
        <w:jc w:val="both"/>
        <w:rPr>
          <w:rFonts w:eastAsia="Calibri" w:cs="Times New Roman"/>
          <w:iCs/>
          <w:lang w:eastAsia="ar-SA"/>
        </w:rPr>
      </w:pPr>
      <w:r>
        <w:rPr>
          <w:rFonts w:eastAsia="Calibri" w:cs="Times New Roman"/>
          <w:iCs/>
          <w:lang w:eastAsia="ar-SA"/>
        </w:rPr>
        <w:t>KPEiK</w:t>
      </w:r>
      <w:r w:rsidR="009F5080" w:rsidRPr="0035160C">
        <w:rPr>
          <w:rFonts w:eastAsia="Calibri" w:cs="Times New Roman"/>
          <w:iCs/>
          <w:lang w:eastAsia="ar-SA"/>
        </w:rPr>
        <w:t xml:space="preserve"> – powiązanie z celem PSW w zakresie opisanego w KPEiK wymiarów „bezpieczeństwo energetyczne”, „obniżenie emisyjności”, „badania naukowe, innowacje i konkurencyjność”,</w:t>
      </w:r>
    </w:p>
    <w:p w14:paraId="180FA4A2" w14:textId="07517E61" w:rsidR="009F5080" w:rsidRPr="0035160C" w:rsidRDefault="0084303D" w:rsidP="00CA3BB7">
      <w:pPr>
        <w:numPr>
          <w:ilvl w:val="0"/>
          <w:numId w:val="66"/>
        </w:numPr>
        <w:suppressAutoHyphens/>
        <w:spacing w:after="200" w:line="276" w:lineRule="auto"/>
        <w:contextualSpacing/>
        <w:jc w:val="both"/>
        <w:rPr>
          <w:rFonts w:eastAsia="Calibri" w:cs="Times New Roman"/>
          <w:iCs/>
          <w:lang w:eastAsia="ar-SA"/>
        </w:rPr>
      </w:pPr>
      <w:r>
        <w:rPr>
          <w:rFonts w:eastAsia="Calibri" w:cs="Times New Roman"/>
          <w:iCs/>
          <w:lang w:eastAsia="ar-SA"/>
        </w:rPr>
        <w:t>PEP2040</w:t>
      </w:r>
      <w:r w:rsidR="009F5080" w:rsidRPr="0035160C">
        <w:rPr>
          <w:rFonts w:eastAsia="Calibri" w:cs="Times New Roman"/>
          <w:iCs/>
          <w:lang w:eastAsia="ar-SA"/>
        </w:rPr>
        <w:t xml:space="preserve"> – powiązanie z celem PSW w zakresie opisanego w PEP2040 „Celu szczegółowego 3. Dywersyfikacja dostaw i rozbudowa infrastruktury sieciowej gazu ziemnego, ropy naftowej i paliw ciekłych”, „Celu szczegółowego 4. Rozwój rynków energii”, Celu szczegółowego 8. Poprawa efektywności energetycznej”,</w:t>
      </w:r>
    </w:p>
    <w:p w14:paraId="2B2B93F3" w14:textId="77777777" w:rsidR="009F5080" w:rsidRPr="0035160C" w:rsidRDefault="009F5080" w:rsidP="00CA3BB7">
      <w:pPr>
        <w:numPr>
          <w:ilvl w:val="0"/>
          <w:numId w:val="66"/>
        </w:numPr>
        <w:suppressAutoHyphens/>
        <w:spacing w:after="200" w:line="276" w:lineRule="auto"/>
        <w:contextualSpacing/>
        <w:jc w:val="both"/>
        <w:rPr>
          <w:rFonts w:eastAsia="Calibri" w:cs="Times New Roman"/>
          <w:iCs/>
          <w:lang w:eastAsia="ar-SA"/>
        </w:rPr>
      </w:pPr>
      <w:r w:rsidRPr="0035160C">
        <w:rPr>
          <w:rFonts w:eastAsia="Calibri" w:cs="Times New Roman"/>
          <w:iCs/>
          <w:lang w:eastAsia="ar-SA"/>
        </w:rPr>
        <w:t>„Krajowy Plan Odbudowy i Zwiększania Odporności” – powiązanie z celem PSW w zakresie komponentu „B. Zielona energia i zmniejszenie energochłonności” celu „B2. Zwiększenie wykorzystania odnawialnych źródeł energii” reformy: „B2.1. Poprawa warunków dla rozwoju technologii wodorowych oraz innych gazów zdekarbonizowanych” inwestycji „B2.1.1. Inwestycje w technologie wodorowe, wytwarzanie, magazynowanie i transport wodoru”.</w:t>
      </w:r>
    </w:p>
    <w:p w14:paraId="41D7947D" w14:textId="77777777" w:rsidR="009F5080" w:rsidRPr="0035160C" w:rsidRDefault="009F5080" w:rsidP="009F5080">
      <w:pPr>
        <w:suppressAutoHyphens/>
        <w:spacing w:after="120" w:line="276" w:lineRule="auto"/>
        <w:jc w:val="both"/>
        <w:rPr>
          <w:rFonts w:eastAsia="Calibri" w:cs="Times New Roman"/>
          <w:b/>
          <w:lang w:eastAsia="ar-SA"/>
        </w:rPr>
      </w:pPr>
      <w:r w:rsidRPr="00146E11">
        <w:rPr>
          <w:rFonts w:eastAsia="Calibri" w:cs="Times New Roman"/>
          <w:b/>
          <w:color w:val="2F5496" w:themeColor="accent1" w:themeShade="BF"/>
          <w:lang w:eastAsia="ar-SA"/>
        </w:rPr>
        <w:t>Organy odpowiedzialne za wdrażanie celu:</w:t>
      </w:r>
      <w:r w:rsidRPr="0035160C">
        <w:rPr>
          <w:rFonts w:eastAsia="Calibri" w:cs="Times New Roman"/>
          <w:b/>
          <w:lang w:eastAsia="ar-SA"/>
        </w:rPr>
        <w:t xml:space="preserve"> </w:t>
      </w:r>
      <w:r w:rsidRPr="0035160C">
        <w:rPr>
          <w:rFonts w:eastAsia="Calibri" w:cs="Times New Roman"/>
          <w:lang w:eastAsia="ar-SA"/>
        </w:rPr>
        <w:t>administracja rządowa i samorządowa.</w:t>
      </w:r>
    </w:p>
    <w:p w14:paraId="23133A1F" w14:textId="77777777" w:rsidR="00B91399" w:rsidRDefault="00B91399" w:rsidP="009F5080">
      <w:pPr>
        <w:suppressAutoHyphens/>
        <w:spacing w:after="120" w:line="276" w:lineRule="auto"/>
        <w:jc w:val="both"/>
        <w:rPr>
          <w:rFonts w:eastAsia="Calibri" w:cs="Times New Roman"/>
          <w:b/>
          <w:color w:val="2F5496" w:themeColor="accent1" w:themeShade="BF"/>
          <w:lang w:eastAsia="ar-SA"/>
        </w:rPr>
      </w:pPr>
    </w:p>
    <w:p w14:paraId="09BAB4EF" w14:textId="77777777" w:rsidR="00B91399" w:rsidRDefault="00B91399" w:rsidP="009F5080">
      <w:pPr>
        <w:suppressAutoHyphens/>
        <w:spacing w:after="120" w:line="276" w:lineRule="auto"/>
        <w:jc w:val="both"/>
        <w:rPr>
          <w:rFonts w:eastAsia="Calibri" w:cs="Times New Roman"/>
          <w:b/>
          <w:color w:val="2F5496" w:themeColor="accent1" w:themeShade="BF"/>
          <w:lang w:eastAsia="ar-SA"/>
        </w:rPr>
      </w:pPr>
    </w:p>
    <w:p w14:paraId="066856A1" w14:textId="33A9875C" w:rsidR="009F5080" w:rsidRPr="0035160C" w:rsidRDefault="009F5080" w:rsidP="009F5080">
      <w:pPr>
        <w:suppressAutoHyphens/>
        <w:spacing w:after="120" w:line="276" w:lineRule="auto"/>
        <w:jc w:val="both"/>
        <w:rPr>
          <w:rFonts w:eastAsia="Calibri" w:cs="Times New Roman"/>
          <w:b/>
          <w:color w:val="2F5496" w:themeColor="accent1" w:themeShade="BF"/>
          <w:lang w:eastAsia="ar-SA"/>
        </w:rPr>
      </w:pPr>
      <w:r w:rsidRPr="0035160C">
        <w:rPr>
          <w:rFonts w:eastAsia="Calibri" w:cs="Times New Roman"/>
          <w:b/>
          <w:color w:val="2F5496" w:themeColor="accent1" w:themeShade="BF"/>
          <w:lang w:eastAsia="ar-SA"/>
        </w:rPr>
        <w:lastRenderedPageBreak/>
        <w:t xml:space="preserve">Mierniki: </w:t>
      </w:r>
    </w:p>
    <w:p w14:paraId="6BD02272" w14:textId="77777777" w:rsidR="009F5080" w:rsidRPr="00E83218" w:rsidRDefault="009F5080" w:rsidP="00CA3BB7">
      <w:pPr>
        <w:numPr>
          <w:ilvl w:val="0"/>
          <w:numId w:val="64"/>
        </w:numPr>
        <w:suppressAutoHyphens/>
        <w:spacing w:after="120" w:line="276" w:lineRule="auto"/>
        <w:contextualSpacing/>
        <w:jc w:val="both"/>
        <w:rPr>
          <w:rFonts w:eastAsia="Calibri" w:cs="Times New Roman"/>
          <w:b/>
          <w:bCs/>
          <w:color w:val="2F5496" w:themeColor="accent1" w:themeShade="BF"/>
          <w:lang w:eastAsia="ar-SA"/>
        </w:rPr>
      </w:pPr>
      <w:bookmarkStart w:id="86" w:name="_Hlk76411496"/>
      <w:r w:rsidRPr="00E83218">
        <w:rPr>
          <w:rFonts w:eastAsia="Calibri" w:cs="Times New Roman"/>
          <w:b/>
          <w:bCs/>
          <w:color w:val="2F5496" w:themeColor="accent1" w:themeShade="BF"/>
          <w:lang w:eastAsia="ar-SA"/>
        </w:rPr>
        <w:t>rozpoczęcie eksploatacji 800 – 1000 nowych autobusów wodorowych, w tym wyprodukowanych w Polsce;</w:t>
      </w:r>
    </w:p>
    <w:p w14:paraId="2AC665F4" w14:textId="300C0B7B" w:rsidR="009F5080" w:rsidRPr="0035160C" w:rsidRDefault="009F5080" w:rsidP="00A77FE9">
      <w:pPr>
        <w:numPr>
          <w:ilvl w:val="0"/>
          <w:numId w:val="64"/>
        </w:numPr>
        <w:suppressAutoHyphens/>
        <w:spacing w:before="120" w:after="120" w:line="276" w:lineRule="auto"/>
        <w:ind w:left="714" w:hanging="357"/>
        <w:contextualSpacing/>
        <w:jc w:val="both"/>
        <w:rPr>
          <w:rFonts w:eastAsia="Calibri" w:cs="Times New Roman"/>
          <w:color w:val="2F5496" w:themeColor="accent1" w:themeShade="BF"/>
          <w:lang w:eastAsia="ar-SA"/>
        </w:rPr>
      </w:pPr>
      <w:r w:rsidRPr="00E83218">
        <w:rPr>
          <w:rFonts w:eastAsia="Calibri" w:cs="Times New Roman"/>
          <w:b/>
          <w:bCs/>
          <w:color w:val="2F5496" w:themeColor="accent1" w:themeShade="BF"/>
          <w:lang w:eastAsia="ar-SA"/>
        </w:rPr>
        <w:t>powstanie co najmniej</w:t>
      </w:r>
      <w:r w:rsidRPr="00E83218">
        <w:rPr>
          <w:rFonts w:eastAsia="Calibri" w:cs="Times New Roman"/>
          <w:color w:val="2F5496" w:themeColor="accent1" w:themeShade="BF"/>
          <w:lang w:eastAsia="ar-SA"/>
        </w:rPr>
        <w:t xml:space="preserve"> </w:t>
      </w:r>
      <w:r w:rsidRPr="0035160C">
        <w:rPr>
          <w:rFonts w:eastAsia="Calibri" w:cs="Times New Roman"/>
          <w:b/>
          <w:color w:val="2F5496" w:themeColor="accent1" w:themeShade="BF"/>
          <w:lang w:eastAsia="ar-SA"/>
        </w:rPr>
        <w:t>32 stacji tankowania i bunkrowania wodoru</w:t>
      </w:r>
      <w:r w:rsidR="00A77FE9">
        <w:rPr>
          <w:rFonts w:eastAsia="Calibri" w:cs="Times New Roman"/>
          <w:color w:val="2F5496" w:themeColor="accent1" w:themeShade="BF"/>
          <w:lang w:eastAsia="ar-SA"/>
        </w:rPr>
        <w:t>.</w:t>
      </w:r>
    </w:p>
    <w:bookmarkEnd w:id="86"/>
    <w:p w14:paraId="184202E8" w14:textId="77777777" w:rsidR="009F5080" w:rsidRPr="00146E11" w:rsidRDefault="009F5080" w:rsidP="00A77FE9">
      <w:pPr>
        <w:suppressAutoHyphens/>
        <w:spacing w:before="120" w:after="120" w:line="276" w:lineRule="auto"/>
        <w:jc w:val="both"/>
        <w:rPr>
          <w:rFonts w:eastAsia="Calibri" w:cs="Times New Roman"/>
          <w:b/>
          <w:color w:val="2F5496" w:themeColor="accent1" w:themeShade="BF"/>
          <w:lang w:eastAsia="ar-SA"/>
        </w:rPr>
      </w:pPr>
      <w:r w:rsidRPr="00146E11">
        <w:rPr>
          <w:rFonts w:eastAsia="Calibri" w:cs="Times New Roman"/>
          <w:b/>
          <w:color w:val="2F5496" w:themeColor="accent1" w:themeShade="BF"/>
          <w:lang w:eastAsia="ar-SA"/>
        </w:rPr>
        <w:t>Cel 3: Wsparcie dekarbonizacji przemysłu</w:t>
      </w:r>
    </w:p>
    <w:p w14:paraId="377639C6" w14:textId="77777777" w:rsidR="009F5080" w:rsidRPr="0035160C" w:rsidRDefault="009F5080" w:rsidP="009F5080">
      <w:pPr>
        <w:suppressAutoHyphens/>
        <w:spacing w:after="120" w:line="276" w:lineRule="auto"/>
        <w:jc w:val="both"/>
        <w:rPr>
          <w:rFonts w:eastAsia="Calibri" w:cs="Times New Roman"/>
          <w:lang w:eastAsia="ar-SA"/>
        </w:rPr>
      </w:pPr>
      <w:r w:rsidRPr="0035160C">
        <w:rPr>
          <w:rFonts w:eastAsia="Calibri" w:cs="Times New Roman"/>
          <w:lang w:eastAsia="ar-SA"/>
        </w:rPr>
        <w:t>Obecnie wodór jest wykorzystywany w Polsce przede wszystkim jako surowiec w przemyśle chemicznym, głównie do produkcji amoniaku, i rafineryjnym, w procesie rafinacji. Wodór stanowi szansę na ograniczenie emisji z przemysłu poprzez: produkcję i zastosowanie niskoemisyjnego wodoru w procesach technologicznych, zastosowanie wodoru jako reduktora w procesie wytwarzania stali, oraz blendingu wodoru z gazem naturalnym w procesach przemysłowych. Zastosowanie wodoru jako paliwa i reduktora w procesach wyrobu stali umożliwi odejście od węgla i koksu, których spalanie przyczynia się do znaczącej emisji CO</w:t>
      </w:r>
      <w:r w:rsidRPr="0035160C">
        <w:rPr>
          <w:rFonts w:eastAsia="Calibri" w:cs="Times New Roman"/>
          <w:vertAlign w:val="subscript"/>
          <w:lang w:eastAsia="ar-SA"/>
        </w:rPr>
        <w:t>2</w:t>
      </w:r>
      <w:r w:rsidRPr="0035160C">
        <w:rPr>
          <w:rFonts w:eastAsia="Calibri" w:cs="Times New Roman"/>
          <w:lang w:eastAsia="ar-SA"/>
        </w:rPr>
        <w:t>.</w:t>
      </w:r>
    </w:p>
    <w:p w14:paraId="0625FD5E" w14:textId="4E7D2360" w:rsidR="00A77FE9" w:rsidRPr="001E4DA0" w:rsidRDefault="009F5080" w:rsidP="001E4DA0">
      <w:pPr>
        <w:suppressAutoHyphens/>
        <w:spacing w:after="120" w:line="276" w:lineRule="auto"/>
        <w:jc w:val="both"/>
        <w:rPr>
          <w:rFonts w:eastAsia="Calibri" w:cs="Times New Roman"/>
          <w:lang w:eastAsia="ar-SA"/>
        </w:rPr>
      </w:pPr>
      <w:r w:rsidRPr="0035160C">
        <w:rPr>
          <w:rFonts w:eastAsia="Calibri" w:cs="Times New Roman"/>
          <w:iCs/>
          <w:lang w:eastAsia="ar-SA"/>
        </w:rPr>
        <w:t>W</w:t>
      </w:r>
      <w:r w:rsidRPr="0035160C">
        <w:rPr>
          <w:rFonts w:eastAsia="Calibri" w:cs="Times New Roman"/>
          <w:lang w:eastAsia="ar-SA"/>
        </w:rPr>
        <w:t xml:space="preserve"> celu rozwoju przemysłowych zastosowań wodoru przewiduje się wparcie dla powstawania </w:t>
      </w:r>
      <w:r w:rsidRPr="0035160C">
        <w:rPr>
          <w:rFonts w:eastAsia="Calibri" w:cs="Times New Roman"/>
          <w:bCs/>
          <w:lang w:eastAsia="ar-SA"/>
        </w:rPr>
        <w:t>dolin wodorowych</w:t>
      </w:r>
      <w:r w:rsidRPr="0035160C">
        <w:rPr>
          <w:rFonts w:eastAsia="Calibri" w:cs="Times New Roman"/>
          <w:lang w:eastAsia="ar-SA"/>
        </w:rPr>
        <w:t xml:space="preserve"> czyli ekosystemów, które pozwolą zbudować łańcuch wartości związanych z gospodarką wodorową takich jak produkcja, transport, magazynowanie i końcowe zastosowanie wodoru w przemyśle. W dolinie wodorowej istnieje produkcja energii elektrycznej z OZE, która przy pomocy elektrolizerów zamieniana jest w wodór, a ten następnie wykorzystywany jest przez partnera przemysłowego. </w:t>
      </w:r>
    </w:p>
    <w:p w14:paraId="0E612C2C" w14:textId="77777777" w:rsidR="00A77FE9" w:rsidRDefault="00A77FE9" w:rsidP="009F5080">
      <w:pPr>
        <w:suppressAutoHyphens/>
        <w:spacing w:after="0" w:line="276" w:lineRule="auto"/>
        <w:jc w:val="both"/>
        <w:rPr>
          <w:rFonts w:eastAsia="Calibri" w:cs="Times New Roman"/>
          <w:b/>
          <w:color w:val="2F5496" w:themeColor="accent1" w:themeShade="BF"/>
          <w:lang w:eastAsia="ar-SA"/>
        </w:rPr>
      </w:pPr>
    </w:p>
    <w:p w14:paraId="258A1A7F" w14:textId="7A75A5A9" w:rsidR="009F5080" w:rsidRPr="00146E11" w:rsidRDefault="009F5080" w:rsidP="009F5080">
      <w:pPr>
        <w:suppressAutoHyphens/>
        <w:spacing w:after="0" w:line="276" w:lineRule="auto"/>
        <w:jc w:val="both"/>
        <w:rPr>
          <w:rFonts w:eastAsia="Calibri" w:cs="Times New Roman"/>
          <w:b/>
          <w:color w:val="2F5496" w:themeColor="accent1" w:themeShade="BF"/>
          <w:lang w:eastAsia="ar-SA"/>
        </w:rPr>
      </w:pPr>
      <w:r w:rsidRPr="00146E11">
        <w:rPr>
          <w:rFonts w:eastAsia="Calibri" w:cs="Times New Roman"/>
          <w:b/>
          <w:color w:val="2F5496" w:themeColor="accent1" w:themeShade="BF"/>
          <w:lang w:eastAsia="ar-SA"/>
        </w:rPr>
        <w:t>2025</w:t>
      </w:r>
      <w:r w:rsidR="00146E11" w:rsidRPr="00146E11">
        <w:rPr>
          <w:rFonts w:eastAsia="Calibri" w:cs="Times New Roman"/>
          <w:b/>
          <w:color w:val="2F5496" w:themeColor="accent1" w:themeShade="BF"/>
          <w:lang w:eastAsia="ar-SA"/>
        </w:rPr>
        <w:t xml:space="preserve"> r.:</w:t>
      </w:r>
    </w:p>
    <w:p w14:paraId="3E274A16" w14:textId="77C8D042" w:rsidR="009F5080" w:rsidRPr="0035160C" w:rsidRDefault="00146E11" w:rsidP="00CA3BB7">
      <w:pPr>
        <w:numPr>
          <w:ilvl w:val="0"/>
          <w:numId w:val="47"/>
        </w:numPr>
        <w:suppressAutoHyphens/>
        <w:spacing w:after="0" w:line="276" w:lineRule="auto"/>
        <w:contextualSpacing/>
        <w:jc w:val="both"/>
        <w:rPr>
          <w:rFonts w:eastAsia="Calibri" w:cs="Times New Roman"/>
          <w:lang w:eastAsia="ar-SA"/>
        </w:rPr>
      </w:pPr>
      <w:r>
        <w:rPr>
          <w:rFonts w:eastAsia="Calibri" w:cs="Times New Roman"/>
          <w:lang w:eastAsia="ar-SA"/>
        </w:rPr>
        <w:t>d</w:t>
      </w:r>
      <w:r w:rsidR="009F5080" w:rsidRPr="0035160C">
        <w:rPr>
          <w:rFonts w:eastAsia="Calibri" w:cs="Times New Roman"/>
          <w:lang w:eastAsia="ar-SA"/>
        </w:rPr>
        <w:t>ziałania na rzecz pozyskania i zastosowania niskoemisyjnego wodoru do procesów produkcji petrochemicznej, chemicznej oraz nawozowej w oparciu o zieloną energetykę przemysłową;</w:t>
      </w:r>
    </w:p>
    <w:p w14:paraId="04520091" w14:textId="52A3A6A2" w:rsidR="009F5080" w:rsidRPr="0035160C" w:rsidRDefault="00146E11" w:rsidP="00CA3BB7">
      <w:pPr>
        <w:numPr>
          <w:ilvl w:val="0"/>
          <w:numId w:val="47"/>
        </w:numPr>
        <w:suppressAutoHyphens/>
        <w:spacing w:after="0" w:line="276" w:lineRule="auto"/>
        <w:contextualSpacing/>
        <w:jc w:val="both"/>
        <w:rPr>
          <w:rFonts w:eastAsia="Calibri" w:cs="Times New Roman"/>
          <w:lang w:eastAsia="ar-SA"/>
        </w:rPr>
      </w:pPr>
      <w:r>
        <w:rPr>
          <w:rFonts w:eastAsia="Calibri" w:cs="Times New Roman"/>
          <w:lang w:eastAsia="ar-SA"/>
        </w:rPr>
        <w:t>b</w:t>
      </w:r>
      <w:r w:rsidR="009F5080" w:rsidRPr="0035160C">
        <w:rPr>
          <w:rFonts w:eastAsia="Calibri" w:cs="Times New Roman"/>
          <w:lang w:eastAsia="ar-SA"/>
        </w:rPr>
        <w:t>udowa strategii wdrażania wodorowych technologii niskoemisyjnych w najbardziej energochłonnych gałęziach przemysłu;</w:t>
      </w:r>
    </w:p>
    <w:p w14:paraId="58EC7498" w14:textId="08584F03" w:rsidR="009F5080" w:rsidRPr="0035160C" w:rsidRDefault="00146E11" w:rsidP="00CA3BB7">
      <w:pPr>
        <w:numPr>
          <w:ilvl w:val="0"/>
          <w:numId w:val="47"/>
        </w:numPr>
        <w:suppressAutoHyphens/>
        <w:spacing w:after="0" w:line="276" w:lineRule="auto"/>
        <w:contextualSpacing/>
        <w:jc w:val="both"/>
        <w:rPr>
          <w:rFonts w:eastAsia="Calibri" w:cs="Times New Roman"/>
          <w:lang w:eastAsia="ar-SA"/>
        </w:rPr>
      </w:pPr>
      <w:r>
        <w:rPr>
          <w:rFonts w:eastAsia="Calibri" w:cs="Times New Roman"/>
          <w:lang w:eastAsia="ar-SA"/>
        </w:rPr>
        <w:t>p</w:t>
      </w:r>
      <w:r w:rsidR="009F5080" w:rsidRPr="0035160C">
        <w:rPr>
          <w:rFonts w:eastAsia="Calibri" w:cs="Times New Roman"/>
          <w:lang w:eastAsia="ar-SA"/>
        </w:rPr>
        <w:t>ilotażowe projekty technologiczne dla sektorów, w których trudno jest osiągnąć neutralność klimatyczną – w szczególności w stalowym, rafineryjnym i chemicznym.</w:t>
      </w:r>
    </w:p>
    <w:p w14:paraId="0241D4B9" w14:textId="4F4C55E3" w:rsidR="009F5080" w:rsidRPr="00146E11" w:rsidRDefault="009F5080" w:rsidP="009F5080">
      <w:pPr>
        <w:suppressAutoHyphens/>
        <w:spacing w:after="0" w:line="276" w:lineRule="auto"/>
        <w:jc w:val="both"/>
        <w:rPr>
          <w:rFonts w:eastAsia="Calibri" w:cs="Times New Roman"/>
          <w:b/>
          <w:color w:val="2F5496" w:themeColor="accent1" w:themeShade="BF"/>
          <w:lang w:eastAsia="ar-SA"/>
        </w:rPr>
      </w:pPr>
      <w:r w:rsidRPr="00146E11">
        <w:rPr>
          <w:rFonts w:eastAsia="Calibri" w:cs="Times New Roman"/>
          <w:b/>
          <w:color w:val="2F5496" w:themeColor="accent1" w:themeShade="BF"/>
          <w:lang w:eastAsia="ar-SA"/>
        </w:rPr>
        <w:t>2030</w:t>
      </w:r>
      <w:r w:rsidR="00146E11" w:rsidRPr="00146E11">
        <w:rPr>
          <w:rFonts w:eastAsia="Calibri" w:cs="Times New Roman"/>
          <w:b/>
          <w:color w:val="2F5496" w:themeColor="accent1" w:themeShade="BF"/>
          <w:lang w:eastAsia="ar-SA"/>
        </w:rPr>
        <w:t xml:space="preserve"> r.:</w:t>
      </w:r>
    </w:p>
    <w:p w14:paraId="328A6718" w14:textId="5C6A0C3A" w:rsidR="009F5080" w:rsidRPr="0035160C" w:rsidRDefault="00146E11" w:rsidP="00CA3BB7">
      <w:pPr>
        <w:numPr>
          <w:ilvl w:val="0"/>
          <w:numId w:val="48"/>
        </w:numPr>
        <w:suppressAutoHyphens/>
        <w:spacing w:after="0" w:line="276" w:lineRule="auto"/>
        <w:contextualSpacing/>
        <w:jc w:val="both"/>
        <w:rPr>
          <w:rFonts w:eastAsia="Calibri" w:cs="Times New Roman"/>
          <w:lang w:eastAsia="ar-SA"/>
        </w:rPr>
      </w:pPr>
      <w:r>
        <w:rPr>
          <w:rFonts w:eastAsia="Calibri" w:cs="Times New Roman"/>
          <w:lang w:eastAsia="ar-SA"/>
        </w:rPr>
        <w:t>p</w:t>
      </w:r>
      <w:r w:rsidR="009F5080" w:rsidRPr="0035160C">
        <w:rPr>
          <w:rFonts w:eastAsia="Calibri" w:cs="Times New Roman"/>
          <w:lang w:eastAsia="ar-SA"/>
        </w:rPr>
        <w:t xml:space="preserve">owstanie co najmniej </w:t>
      </w:r>
      <w:r w:rsidR="009F5080" w:rsidRPr="00146E11">
        <w:rPr>
          <w:rFonts w:eastAsia="Calibri" w:cs="Times New Roman"/>
          <w:b/>
          <w:color w:val="2F5496" w:themeColor="accent1" w:themeShade="BF"/>
          <w:lang w:eastAsia="ar-SA"/>
        </w:rPr>
        <w:t>5 dolin wodorowych</w:t>
      </w:r>
      <w:r w:rsidR="009F5080" w:rsidRPr="00146E11">
        <w:rPr>
          <w:rFonts w:eastAsia="Calibri" w:cs="Times New Roman"/>
          <w:color w:val="2F5496" w:themeColor="accent1" w:themeShade="BF"/>
          <w:lang w:eastAsia="ar-SA"/>
        </w:rPr>
        <w:t xml:space="preserve"> </w:t>
      </w:r>
      <w:r w:rsidR="009F5080" w:rsidRPr="0035160C">
        <w:rPr>
          <w:rFonts w:eastAsia="Calibri" w:cs="Times New Roman"/>
          <w:lang w:eastAsia="ar-SA"/>
        </w:rPr>
        <w:t>będącymi centrami doskonałości w procesie wdrażania gospodarki wodorowej, integracji sektorów, transformacji klimatycznej przemysłu oraz budowie infrastruktury</w:t>
      </w:r>
      <w:r w:rsidR="0084303D">
        <w:rPr>
          <w:rFonts w:eastAsia="Calibri" w:cs="Times New Roman"/>
          <w:lang w:eastAsia="ar-SA"/>
        </w:rPr>
        <w:t>;</w:t>
      </w:r>
    </w:p>
    <w:p w14:paraId="02A1CBCE" w14:textId="764CF405" w:rsidR="009F5080" w:rsidRPr="0035160C" w:rsidRDefault="00146E11" w:rsidP="00CA3BB7">
      <w:pPr>
        <w:numPr>
          <w:ilvl w:val="0"/>
          <w:numId w:val="48"/>
        </w:numPr>
        <w:suppressAutoHyphens/>
        <w:spacing w:after="240" w:line="276" w:lineRule="auto"/>
        <w:contextualSpacing/>
        <w:jc w:val="both"/>
        <w:rPr>
          <w:rFonts w:eastAsia="Calibri" w:cs="Times New Roman"/>
          <w:lang w:eastAsia="ar-SA"/>
        </w:rPr>
      </w:pPr>
      <w:r>
        <w:rPr>
          <w:rFonts w:eastAsia="Calibri" w:cs="Times New Roman"/>
          <w:lang w:eastAsia="ar-SA"/>
        </w:rPr>
        <w:t>w</w:t>
      </w:r>
      <w:r w:rsidR="009F5080" w:rsidRPr="0035160C">
        <w:rPr>
          <w:rFonts w:eastAsia="Calibri" w:cs="Times New Roman"/>
          <w:lang w:eastAsia="ar-SA"/>
        </w:rPr>
        <w:t>łączenie powstałych inwestycji we wspólną infrastrukturę europejską.</w:t>
      </w:r>
    </w:p>
    <w:p w14:paraId="14145E47" w14:textId="780D0A0C" w:rsidR="009F5080" w:rsidRPr="0035160C" w:rsidRDefault="009F5080" w:rsidP="009F5080">
      <w:pPr>
        <w:suppressAutoHyphens/>
        <w:spacing w:after="120" w:line="276" w:lineRule="auto"/>
        <w:jc w:val="both"/>
        <w:rPr>
          <w:rFonts w:eastAsia="Calibri" w:cs="Times New Roman"/>
          <w:lang w:eastAsia="ar-SA"/>
        </w:rPr>
      </w:pPr>
      <w:r w:rsidRPr="00146E11">
        <w:rPr>
          <w:rFonts w:eastAsia="Calibri" w:cs="Times New Roman"/>
          <w:b/>
          <w:color w:val="2F5496" w:themeColor="accent1" w:themeShade="BF"/>
          <w:lang w:eastAsia="ar-SA"/>
        </w:rPr>
        <w:t>Dokumenty U</w:t>
      </w:r>
      <w:r w:rsidR="0084303D">
        <w:rPr>
          <w:rFonts w:eastAsia="Calibri" w:cs="Times New Roman"/>
          <w:b/>
          <w:color w:val="2F5496" w:themeColor="accent1" w:themeShade="BF"/>
          <w:lang w:eastAsia="ar-SA"/>
        </w:rPr>
        <w:t xml:space="preserve">nii </w:t>
      </w:r>
      <w:r w:rsidRPr="00146E11">
        <w:rPr>
          <w:rFonts w:eastAsia="Calibri" w:cs="Times New Roman"/>
          <w:b/>
          <w:color w:val="2F5496" w:themeColor="accent1" w:themeShade="BF"/>
          <w:lang w:eastAsia="ar-SA"/>
        </w:rPr>
        <w:t>E</w:t>
      </w:r>
      <w:r w:rsidR="0084303D">
        <w:rPr>
          <w:rFonts w:eastAsia="Calibri" w:cs="Times New Roman"/>
          <w:b/>
          <w:color w:val="2F5496" w:themeColor="accent1" w:themeShade="BF"/>
          <w:lang w:eastAsia="ar-SA"/>
        </w:rPr>
        <w:t>uropejskiej</w:t>
      </w:r>
      <w:r w:rsidRPr="00146E11">
        <w:rPr>
          <w:rFonts w:eastAsia="Calibri" w:cs="Times New Roman"/>
          <w:b/>
          <w:color w:val="2F5496" w:themeColor="accent1" w:themeShade="BF"/>
          <w:lang w:eastAsia="ar-SA"/>
        </w:rPr>
        <w:t>, w tym akty prawne, z których wynika proponowany cel, zobowiązania UE:</w:t>
      </w:r>
      <w:r w:rsidRPr="0035160C">
        <w:rPr>
          <w:rFonts w:eastAsia="Calibri" w:cs="Times New Roman"/>
          <w:b/>
          <w:lang w:eastAsia="ar-SA"/>
        </w:rPr>
        <w:t xml:space="preserve"> </w:t>
      </w:r>
      <w:r w:rsidRPr="0035160C">
        <w:rPr>
          <w:rFonts w:eastAsia="Calibri" w:cs="Times New Roman"/>
          <w:lang w:eastAsia="ar-SA"/>
        </w:rPr>
        <w:t>Komunikat Komisji do Parlamentu Europejskiego, Rady, Europejskiego Komitetu Ekonomiczno-Społecznego i Komitetu Regionów Strategia w zakresie wodoru na rzecz Europy neutralnej dla klimatu</w:t>
      </w:r>
      <w:r w:rsidR="0084303D">
        <w:rPr>
          <w:rFonts w:eastAsia="Calibri" w:cs="Times New Roman"/>
          <w:lang w:eastAsia="ar-SA"/>
        </w:rPr>
        <w:t>.</w:t>
      </w:r>
    </w:p>
    <w:p w14:paraId="6C71855C" w14:textId="6B6407BA" w:rsidR="009F5080" w:rsidRPr="0035160C" w:rsidRDefault="009F5080" w:rsidP="009F5080">
      <w:pPr>
        <w:suppressAutoHyphens/>
        <w:spacing w:after="120" w:line="276" w:lineRule="auto"/>
        <w:jc w:val="both"/>
        <w:rPr>
          <w:rFonts w:eastAsia="Calibri" w:cs="Times New Roman"/>
          <w:lang w:eastAsia="ar-SA"/>
        </w:rPr>
      </w:pPr>
      <w:r w:rsidRPr="00146E11">
        <w:rPr>
          <w:rFonts w:eastAsia="Calibri" w:cs="Times New Roman"/>
          <w:b/>
          <w:color w:val="2F5496" w:themeColor="accent1" w:themeShade="BF"/>
          <w:lang w:eastAsia="ar-SA"/>
        </w:rPr>
        <w:t>Dokumenty krajowe, z których wynika proponowany cel</w:t>
      </w:r>
      <w:r w:rsidRPr="0035160C">
        <w:rPr>
          <w:rFonts w:eastAsia="Calibri" w:cs="Times New Roman"/>
          <w:b/>
          <w:lang w:eastAsia="ar-SA"/>
        </w:rPr>
        <w:t>:</w:t>
      </w:r>
      <w:r w:rsidRPr="0035160C">
        <w:rPr>
          <w:rFonts w:eastAsia="Calibri" w:cs="Calibri"/>
          <w:lang w:eastAsia="ar-SA"/>
        </w:rPr>
        <w:t xml:space="preserve"> </w:t>
      </w:r>
      <w:r w:rsidR="0084303D">
        <w:rPr>
          <w:rFonts w:eastAsia="Calibri" w:cs="Times New Roman"/>
          <w:lang w:eastAsia="ar-SA"/>
        </w:rPr>
        <w:t>SOR</w:t>
      </w:r>
      <w:r w:rsidRPr="0035160C">
        <w:rPr>
          <w:rFonts w:eastAsia="Calibri" w:cs="Times New Roman"/>
          <w:lang w:eastAsia="ar-SA"/>
        </w:rPr>
        <w:t>– powiązanie z celem PSW w zakresie opisanego w SOR „Celu szczegółowego I – Trwały wzrost gospodarczy oparty coraz silniej o wiedzę, dane i doskonałość”.</w:t>
      </w:r>
    </w:p>
    <w:p w14:paraId="5A161AC6" w14:textId="77777777" w:rsidR="009F5080" w:rsidRPr="00146E11" w:rsidRDefault="009F5080" w:rsidP="009F5080">
      <w:pPr>
        <w:suppressAutoHyphens/>
        <w:spacing w:after="120" w:line="276" w:lineRule="auto"/>
        <w:jc w:val="both"/>
        <w:rPr>
          <w:rFonts w:eastAsia="Calibri" w:cs="Times New Roman"/>
          <w:color w:val="2F5496" w:themeColor="accent1" w:themeShade="BF"/>
          <w:lang w:eastAsia="ar-SA"/>
        </w:rPr>
      </w:pPr>
      <w:r w:rsidRPr="00146E11">
        <w:rPr>
          <w:rFonts w:eastAsia="Calibri" w:cs="Times New Roman"/>
          <w:b/>
          <w:color w:val="2F5496" w:themeColor="accent1" w:themeShade="BF"/>
          <w:lang w:eastAsia="ar-SA"/>
        </w:rPr>
        <w:t xml:space="preserve">Organy odpowiedzialne za wdrażanie celu: </w:t>
      </w:r>
      <w:r w:rsidRPr="00146E11">
        <w:rPr>
          <w:rFonts w:eastAsia="Calibri" w:cs="Times New Roman"/>
          <w:color w:val="2F5496" w:themeColor="accent1" w:themeShade="BF"/>
          <w:lang w:eastAsia="ar-SA"/>
        </w:rPr>
        <w:t>administracja rządowa i samorządowa.</w:t>
      </w:r>
    </w:p>
    <w:p w14:paraId="1D0DFD9E" w14:textId="77777777" w:rsidR="009F5080" w:rsidRPr="00146E11" w:rsidRDefault="009F5080" w:rsidP="009F5080">
      <w:pPr>
        <w:suppressAutoHyphens/>
        <w:spacing w:after="120" w:line="276" w:lineRule="auto"/>
        <w:jc w:val="both"/>
        <w:rPr>
          <w:rFonts w:eastAsia="Calibri" w:cs="Times New Roman"/>
          <w:b/>
          <w:color w:val="2F5496" w:themeColor="accent1" w:themeShade="BF"/>
          <w:lang w:eastAsia="ar-SA"/>
        </w:rPr>
      </w:pPr>
      <w:r w:rsidRPr="00146E11">
        <w:rPr>
          <w:rFonts w:eastAsia="Calibri" w:cs="Times New Roman"/>
          <w:b/>
          <w:color w:val="2F5496" w:themeColor="accent1" w:themeShade="BF"/>
          <w:lang w:eastAsia="ar-SA"/>
        </w:rPr>
        <w:t xml:space="preserve">Miernik: </w:t>
      </w:r>
      <w:r w:rsidRPr="00146E11">
        <w:rPr>
          <w:rFonts w:eastAsia="Calibri" w:cs="Times New Roman"/>
          <w:color w:val="2F5496" w:themeColor="accent1" w:themeShade="BF"/>
          <w:lang w:eastAsia="ar-SA"/>
        </w:rPr>
        <w:t xml:space="preserve">powstanie co najmniej </w:t>
      </w:r>
      <w:r w:rsidRPr="00146E11">
        <w:rPr>
          <w:rFonts w:eastAsia="Calibri" w:cs="Times New Roman"/>
          <w:b/>
          <w:color w:val="2F5496" w:themeColor="accent1" w:themeShade="BF"/>
          <w:lang w:eastAsia="ar-SA"/>
        </w:rPr>
        <w:t>5 dolin wodorowych</w:t>
      </w:r>
      <w:r w:rsidRPr="00146E11">
        <w:rPr>
          <w:rFonts w:eastAsia="Calibri" w:cs="Times New Roman"/>
          <w:color w:val="2F5496" w:themeColor="accent1" w:themeShade="BF"/>
          <w:lang w:eastAsia="ar-SA"/>
        </w:rPr>
        <w:t>.</w:t>
      </w:r>
    </w:p>
    <w:p w14:paraId="7586A6BF" w14:textId="77777777" w:rsidR="00B91399" w:rsidRDefault="00B91399" w:rsidP="009F5080">
      <w:pPr>
        <w:suppressAutoHyphens/>
        <w:spacing w:after="120" w:line="276" w:lineRule="auto"/>
        <w:jc w:val="both"/>
        <w:rPr>
          <w:rFonts w:eastAsia="Calibri" w:cs="Times New Roman"/>
          <w:b/>
          <w:color w:val="2F5496" w:themeColor="accent1" w:themeShade="BF"/>
          <w:lang w:eastAsia="ar-SA"/>
        </w:rPr>
      </w:pPr>
    </w:p>
    <w:p w14:paraId="2DA46850" w14:textId="77777777" w:rsidR="00B91399" w:rsidRDefault="00B91399" w:rsidP="009F5080">
      <w:pPr>
        <w:suppressAutoHyphens/>
        <w:spacing w:after="120" w:line="276" w:lineRule="auto"/>
        <w:jc w:val="both"/>
        <w:rPr>
          <w:rFonts w:eastAsia="Calibri" w:cs="Times New Roman"/>
          <w:b/>
          <w:color w:val="2F5496" w:themeColor="accent1" w:themeShade="BF"/>
          <w:lang w:eastAsia="ar-SA"/>
        </w:rPr>
      </w:pPr>
    </w:p>
    <w:p w14:paraId="3CC74827" w14:textId="49B7DCF4" w:rsidR="009F5080" w:rsidRPr="00146E11" w:rsidRDefault="009F5080" w:rsidP="009F5080">
      <w:pPr>
        <w:suppressAutoHyphens/>
        <w:spacing w:after="120" w:line="276" w:lineRule="auto"/>
        <w:jc w:val="both"/>
        <w:rPr>
          <w:rFonts w:eastAsia="Calibri" w:cs="Times New Roman"/>
          <w:b/>
          <w:color w:val="2F5496" w:themeColor="accent1" w:themeShade="BF"/>
          <w:lang w:eastAsia="ar-SA"/>
        </w:rPr>
      </w:pPr>
      <w:r w:rsidRPr="00146E11">
        <w:rPr>
          <w:rFonts w:eastAsia="Calibri" w:cs="Times New Roman"/>
          <w:b/>
          <w:color w:val="2F5496" w:themeColor="accent1" w:themeShade="BF"/>
          <w:lang w:eastAsia="ar-SA"/>
        </w:rPr>
        <w:lastRenderedPageBreak/>
        <w:t xml:space="preserve">Cel 4: Produkcja wodoru w nowych instalacjach </w:t>
      </w:r>
    </w:p>
    <w:p w14:paraId="4427CB05" w14:textId="778951AB" w:rsidR="009F5080" w:rsidRPr="0035160C" w:rsidRDefault="009F5080" w:rsidP="009F5080">
      <w:pPr>
        <w:suppressAutoHyphens/>
        <w:spacing w:after="120" w:line="276" w:lineRule="auto"/>
        <w:jc w:val="both"/>
        <w:rPr>
          <w:rFonts w:eastAsia="Calibri" w:cs="Times New Roman"/>
          <w:iCs/>
          <w:lang w:eastAsia="ar-SA"/>
        </w:rPr>
      </w:pPr>
      <w:r w:rsidRPr="0035160C">
        <w:rPr>
          <w:rFonts w:eastAsia="Calibri" w:cs="Times New Roman"/>
          <w:lang w:eastAsia="ar-SA"/>
        </w:rPr>
        <w:t>Rząd RP zamierza objąć wsparciem wyłącznie wodór niskoemisyjny, tj. z</w:t>
      </w:r>
      <w:r w:rsidR="0084303D">
        <w:rPr>
          <w:rFonts w:eastAsia="Calibri" w:cs="Times New Roman"/>
          <w:lang w:eastAsia="ar-SA"/>
        </w:rPr>
        <w:t>e</w:t>
      </w:r>
      <w:r w:rsidRPr="0035160C">
        <w:rPr>
          <w:rFonts w:eastAsia="Calibri" w:cs="Times New Roman"/>
          <w:lang w:eastAsia="ar-SA"/>
        </w:rPr>
        <w:t xml:space="preserve"> źródeł odnawialnych oraz powstały przy wykorzystaniu technologii bezemisyjnych. Uzyskanie wsparcia dla produkcji wodoru z paliw kopalnych możliwe będzie wyłącznie pod warunkiem zastosowania technologii wychwytywania dwutlenku węgla (np. CCS/CCU). </w:t>
      </w:r>
    </w:p>
    <w:p w14:paraId="45A46A43" w14:textId="77777777" w:rsidR="009F5080" w:rsidRPr="0035160C" w:rsidRDefault="009F5080" w:rsidP="009F5080">
      <w:pPr>
        <w:suppressAutoHyphens/>
        <w:spacing w:after="120" w:line="276" w:lineRule="auto"/>
        <w:jc w:val="both"/>
        <w:rPr>
          <w:rFonts w:eastAsia="Calibri" w:cs="Times New Roman"/>
          <w:iCs/>
          <w:lang w:eastAsia="ar-SA"/>
        </w:rPr>
      </w:pPr>
      <w:r w:rsidRPr="0035160C">
        <w:rPr>
          <w:rFonts w:eastAsia="Calibri" w:cs="Times New Roman"/>
          <w:lang w:eastAsia="ar-SA"/>
        </w:rPr>
        <w:t>Produkcja syntetycznego metanu w procesie P2G pozwoli zagospodarować odpadowy CO</w:t>
      </w:r>
      <w:r w:rsidRPr="0035160C">
        <w:rPr>
          <w:rFonts w:eastAsia="Calibri" w:cs="Times New Roman"/>
          <w:vertAlign w:val="subscript"/>
          <w:lang w:eastAsia="ar-SA"/>
        </w:rPr>
        <w:t>2</w:t>
      </w:r>
      <w:r w:rsidRPr="0035160C">
        <w:rPr>
          <w:rFonts w:eastAsia="Calibri" w:cs="Times New Roman"/>
          <w:lang w:eastAsia="ar-SA"/>
        </w:rPr>
        <w:t xml:space="preserve"> wychwycony ze spalin bloków węglowych oraz przetworzyć nadwyżki energii elektrycznej z nieprzewidywalnych/niestabilnych produkcyjnie odnawialnych źródeł energii oraz wykorzystanie niskoemisyjnego wodoru w produkcji amoniaku. </w:t>
      </w:r>
      <w:r w:rsidRPr="0035160C">
        <w:rPr>
          <w:rFonts w:eastAsiaTheme="majorEastAsia" w:cs="Times New Roman"/>
          <w:lang w:eastAsia="ar-SA"/>
        </w:rPr>
        <w:t>Amoniak może być wykorzystywany np. do produkcji nawozów, jako paliwa do statków, spalany wraz z węglem w istniejących elektrowniach węglowych, a także bezpośrednio wykorzystany w ogniwach paliwowych do wytwarzania energii elektrycznej.</w:t>
      </w:r>
    </w:p>
    <w:p w14:paraId="4F8D7850" w14:textId="013BE481" w:rsidR="009F5080" w:rsidRPr="00146E11" w:rsidRDefault="009F5080" w:rsidP="009F5080">
      <w:pPr>
        <w:suppressAutoHyphens/>
        <w:spacing w:after="0" w:line="276" w:lineRule="auto"/>
        <w:jc w:val="both"/>
        <w:rPr>
          <w:rFonts w:eastAsia="Calibri" w:cs="Times New Roman"/>
          <w:b/>
          <w:color w:val="2F5496" w:themeColor="accent1" w:themeShade="BF"/>
          <w:lang w:eastAsia="ar-SA"/>
        </w:rPr>
      </w:pPr>
      <w:r w:rsidRPr="00146E11">
        <w:rPr>
          <w:rFonts w:eastAsia="Calibri" w:cs="Times New Roman"/>
          <w:b/>
          <w:color w:val="2F5496" w:themeColor="accent1" w:themeShade="BF"/>
          <w:lang w:eastAsia="ar-SA"/>
        </w:rPr>
        <w:t>2025</w:t>
      </w:r>
      <w:r w:rsidR="00146E11" w:rsidRPr="00146E11">
        <w:rPr>
          <w:rFonts w:eastAsia="Calibri" w:cs="Times New Roman"/>
          <w:b/>
          <w:color w:val="2F5496" w:themeColor="accent1" w:themeShade="BF"/>
          <w:lang w:eastAsia="ar-SA"/>
        </w:rPr>
        <w:t xml:space="preserve"> r.:</w:t>
      </w:r>
    </w:p>
    <w:p w14:paraId="014D6517" w14:textId="6A0F0AEC" w:rsidR="009F5080" w:rsidRPr="0035160C" w:rsidRDefault="00146E11" w:rsidP="00CA3BB7">
      <w:pPr>
        <w:numPr>
          <w:ilvl w:val="0"/>
          <w:numId w:val="50"/>
        </w:numPr>
        <w:suppressAutoHyphens/>
        <w:spacing w:after="200" w:line="276" w:lineRule="auto"/>
        <w:contextualSpacing/>
        <w:jc w:val="both"/>
        <w:rPr>
          <w:rFonts w:eastAsia="Calibri" w:cs="Times New Roman"/>
          <w:b/>
          <w:lang w:eastAsia="ar-SA"/>
        </w:rPr>
      </w:pPr>
      <w:r>
        <w:rPr>
          <w:rFonts w:eastAsia="Times New Roman" w:cs="Times New Roman"/>
          <w:lang w:eastAsia="ar-SA"/>
        </w:rPr>
        <w:t>u</w:t>
      </w:r>
      <w:r w:rsidR="009F5080" w:rsidRPr="0035160C">
        <w:rPr>
          <w:rFonts w:eastAsia="Times New Roman" w:cs="Times New Roman"/>
          <w:lang w:eastAsia="ar-SA"/>
        </w:rPr>
        <w:t>ruchomienie</w:t>
      </w:r>
      <w:r w:rsidR="009F5080" w:rsidRPr="0035160C">
        <w:rPr>
          <w:rFonts w:eastAsia="Calibri" w:cs="Times New Roman"/>
          <w:lang w:eastAsia="ar-SA"/>
        </w:rPr>
        <w:t xml:space="preserve"> instalacji do produkcji wodoru z niskoemisyjnych źródeł, procesów i technologii o łącznej mocy min. 50 MW: wody w procesie elektrolizy, biomasy w technologii zgazowania, fermentacji lub pirolizy, biogazu w procesie reformingu, biometanu w procesie reformingu, odpadów w technologii zgazowania lub procesie pirolizy, gazów odpadowych, węglowodorów w procesie reformingu parowego z wykorzystaniem CCS/CCU, węgla w procesie zgazowania z wykorzystaniem CCS/CCU, technologii IGCC oraz IFGC oraz innych niskoemisyjnych procesów i technologii pozyskiwania wodoru;</w:t>
      </w:r>
    </w:p>
    <w:p w14:paraId="112BD689" w14:textId="1D61984D" w:rsidR="009F5080" w:rsidRPr="0035160C" w:rsidRDefault="00146E11" w:rsidP="00CA3BB7">
      <w:pPr>
        <w:numPr>
          <w:ilvl w:val="0"/>
          <w:numId w:val="49"/>
        </w:numPr>
        <w:suppressAutoHyphens/>
        <w:spacing w:after="0" w:line="276" w:lineRule="auto"/>
        <w:contextualSpacing/>
        <w:jc w:val="both"/>
        <w:rPr>
          <w:rFonts w:eastAsia="Calibri" w:cs="Times New Roman"/>
          <w:b/>
          <w:bCs/>
          <w:lang w:eastAsia="ar-SA"/>
        </w:rPr>
      </w:pPr>
      <w:r>
        <w:rPr>
          <w:rFonts w:eastAsia="Times New Roman" w:cs="Times New Roman"/>
          <w:lang w:eastAsia="ar-SA"/>
        </w:rPr>
        <w:t>u</w:t>
      </w:r>
      <w:r w:rsidR="009F5080" w:rsidRPr="0035160C">
        <w:rPr>
          <w:rFonts w:eastAsia="Times New Roman" w:cs="Times New Roman"/>
          <w:lang w:eastAsia="ar-SA"/>
        </w:rPr>
        <w:t>ruchomienie</w:t>
      </w:r>
      <w:r w:rsidR="009F5080" w:rsidRPr="0035160C">
        <w:rPr>
          <w:rFonts w:cs="Times New Roman"/>
          <w:lang w:eastAsia="ar-SA"/>
        </w:rPr>
        <w:t xml:space="preserve"> wytwarzania gazów syntetycznych w procesie metanizacji wodoru oraz wykorzystanie niskoemisyjnego wodoru w produkcji amoniaku.</w:t>
      </w:r>
    </w:p>
    <w:p w14:paraId="59D1FB91" w14:textId="6D14C052" w:rsidR="009F5080" w:rsidRPr="00215939" w:rsidRDefault="009F5080" w:rsidP="009F5080">
      <w:pPr>
        <w:suppressAutoHyphens/>
        <w:spacing w:after="0" w:line="276" w:lineRule="auto"/>
        <w:jc w:val="both"/>
        <w:rPr>
          <w:rFonts w:eastAsia="Calibri" w:cs="Times New Roman"/>
          <w:b/>
          <w:bCs/>
          <w:color w:val="2F5496" w:themeColor="accent1" w:themeShade="BF"/>
          <w:lang w:eastAsia="ar-SA"/>
        </w:rPr>
      </w:pPr>
      <w:r w:rsidRPr="00215939">
        <w:rPr>
          <w:rFonts w:eastAsia="Calibri" w:cs="Times New Roman"/>
          <w:b/>
          <w:bCs/>
          <w:color w:val="2F5496" w:themeColor="accent1" w:themeShade="BF"/>
          <w:lang w:eastAsia="ar-SA"/>
        </w:rPr>
        <w:t>2030</w:t>
      </w:r>
      <w:r w:rsidR="00146E11" w:rsidRPr="00215939">
        <w:rPr>
          <w:rFonts w:eastAsia="Calibri" w:cs="Times New Roman"/>
          <w:b/>
          <w:bCs/>
          <w:color w:val="2F5496" w:themeColor="accent1" w:themeShade="BF"/>
          <w:lang w:eastAsia="ar-SA"/>
        </w:rPr>
        <w:t xml:space="preserve"> r.:</w:t>
      </w:r>
    </w:p>
    <w:p w14:paraId="67ACDF0D" w14:textId="5E22FF09" w:rsidR="009F5080" w:rsidRPr="0035160C" w:rsidRDefault="0084303D" w:rsidP="00CA3BB7">
      <w:pPr>
        <w:numPr>
          <w:ilvl w:val="0"/>
          <w:numId w:val="49"/>
        </w:numPr>
        <w:suppressAutoHyphens/>
        <w:spacing w:after="240" w:line="276" w:lineRule="auto"/>
        <w:contextualSpacing/>
        <w:jc w:val="both"/>
        <w:rPr>
          <w:rFonts w:eastAsia="Calibri" w:cs="Times New Roman"/>
          <w:b/>
          <w:bCs/>
          <w:lang w:eastAsia="ar-SA"/>
        </w:rPr>
      </w:pPr>
      <w:r>
        <w:rPr>
          <w:rFonts w:eastAsia="Calibri" w:cs="Times New Roman"/>
          <w:bCs/>
          <w:lang w:eastAsia="ar-SA"/>
        </w:rPr>
        <w:t>d</w:t>
      </w:r>
      <w:r w:rsidR="009F5080" w:rsidRPr="0035160C">
        <w:rPr>
          <w:rFonts w:eastAsia="Calibri" w:cs="Times New Roman"/>
          <w:bCs/>
          <w:lang w:eastAsia="ar-SA"/>
        </w:rPr>
        <w:t xml:space="preserve">ążenie do osiągnięcia </w:t>
      </w:r>
      <w:r w:rsidR="009F5080" w:rsidRPr="00215939">
        <w:rPr>
          <w:rFonts w:eastAsia="Calibri" w:cs="Times New Roman"/>
          <w:b/>
          <w:bCs/>
          <w:color w:val="2F5496" w:themeColor="accent1" w:themeShade="BF"/>
          <w:lang w:eastAsia="ar-SA"/>
        </w:rPr>
        <w:t>mocy instalacji do produkcji wodoru i jego pochodnych z niskoemisyjnych źródeł, procesów i technologii na poziomie 2 GW</w:t>
      </w:r>
      <w:r w:rsidR="009F5080" w:rsidRPr="0035160C">
        <w:rPr>
          <w:rFonts w:eastAsia="Calibri" w:cs="Times New Roman"/>
          <w:bCs/>
          <w:lang w:eastAsia="ar-SA"/>
        </w:rPr>
        <w:t>, w tym w szczególności instalacji elektrolizerów.</w:t>
      </w:r>
    </w:p>
    <w:p w14:paraId="6DF5D122" w14:textId="1E6C8A0B" w:rsidR="009F5080" w:rsidRPr="0035160C" w:rsidRDefault="009F5080" w:rsidP="009F5080">
      <w:pPr>
        <w:suppressAutoHyphens/>
        <w:spacing w:after="120" w:line="276" w:lineRule="auto"/>
        <w:jc w:val="both"/>
        <w:rPr>
          <w:rFonts w:eastAsia="Calibri" w:cs="Times New Roman"/>
          <w:lang w:eastAsia="ar-SA"/>
        </w:rPr>
      </w:pPr>
      <w:bookmarkStart w:id="87" w:name="_Hlk54712863"/>
      <w:r w:rsidRPr="00215939">
        <w:rPr>
          <w:rFonts w:eastAsia="Calibri" w:cs="Times New Roman"/>
          <w:b/>
          <w:color w:val="2F5496" w:themeColor="accent1" w:themeShade="BF"/>
          <w:lang w:eastAsia="ar-SA"/>
        </w:rPr>
        <w:t>Dokumenty U</w:t>
      </w:r>
      <w:r w:rsidR="0084303D">
        <w:rPr>
          <w:rFonts w:eastAsia="Calibri" w:cs="Times New Roman"/>
          <w:b/>
          <w:color w:val="2F5496" w:themeColor="accent1" w:themeShade="BF"/>
          <w:lang w:eastAsia="ar-SA"/>
        </w:rPr>
        <w:t xml:space="preserve">nii </w:t>
      </w:r>
      <w:r w:rsidRPr="00215939">
        <w:rPr>
          <w:rFonts w:eastAsia="Calibri" w:cs="Times New Roman"/>
          <w:b/>
          <w:color w:val="2F5496" w:themeColor="accent1" w:themeShade="BF"/>
          <w:lang w:eastAsia="ar-SA"/>
        </w:rPr>
        <w:t>E</w:t>
      </w:r>
      <w:r w:rsidR="0084303D">
        <w:rPr>
          <w:rFonts w:eastAsia="Calibri" w:cs="Times New Roman"/>
          <w:b/>
          <w:color w:val="2F5496" w:themeColor="accent1" w:themeShade="BF"/>
          <w:lang w:eastAsia="ar-SA"/>
        </w:rPr>
        <w:t>uropejskiej</w:t>
      </w:r>
      <w:r w:rsidRPr="00215939">
        <w:rPr>
          <w:rFonts w:eastAsia="Calibri" w:cs="Times New Roman"/>
          <w:b/>
          <w:color w:val="2F5496" w:themeColor="accent1" w:themeShade="BF"/>
          <w:lang w:eastAsia="ar-SA"/>
        </w:rPr>
        <w:t>, w tym akty prawne, z których wynika proponowany cel, zobowiązania UE:</w:t>
      </w:r>
      <w:r w:rsidRPr="0035160C">
        <w:rPr>
          <w:rFonts w:eastAsia="Calibri" w:cs="Times New Roman"/>
          <w:b/>
          <w:lang w:eastAsia="ar-SA"/>
        </w:rPr>
        <w:t xml:space="preserve"> </w:t>
      </w:r>
      <w:r w:rsidRPr="0035160C">
        <w:rPr>
          <w:rFonts w:eastAsia="Calibri" w:cs="Times New Roman"/>
          <w:lang w:eastAsia="ar-SA"/>
        </w:rPr>
        <w:t>Komunikat Komisji do Parlamentu Europejskiego, Rady, Europejskiego Komitetu Ekonomiczno-Społecznego i Komitetu Regionów Strategia w zakresie wodoru na rzecz Europy neutralnej dla klimatu, zobowiązanie UE wynikające z Komunikatu:</w:t>
      </w:r>
    </w:p>
    <w:p w14:paraId="0A64F646" w14:textId="7F9EED68" w:rsidR="009F5080" w:rsidRPr="0035160C" w:rsidRDefault="009F5080" w:rsidP="00CA3BB7">
      <w:pPr>
        <w:numPr>
          <w:ilvl w:val="0"/>
          <w:numId w:val="65"/>
        </w:numPr>
        <w:suppressAutoHyphens/>
        <w:spacing w:after="120" w:line="276" w:lineRule="auto"/>
        <w:contextualSpacing/>
        <w:jc w:val="both"/>
        <w:rPr>
          <w:rFonts w:eastAsia="Calibri" w:cs="Times New Roman"/>
          <w:lang w:eastAsia="ar-SA"/>
        </w:rPr>
      </w:pPr>
      <w:r w:rsidRPr="0035160C">
        <w:rPr>
          <w:rFonts w:eastAsia="Calibri" w:cs="Times New Roman"/>
          <w:lang w:eastAsia="ar-SA"/>
        </w:rPr>
        <w:t xml:space="preserve">do 2024 r. zainstalowanie </w:t>
      </w:r>
      <w:r w:rsidRPr="0035160C">
        <w:rPr>
          <w:rFonts w:eastAsia="Calibri" w:cs="Times New Roman"/>
          <w:bCs/>
          <w:lang w:eastAsia="ar-SA"/>
        </w:rPr>
        <w:t>zasilanych energią ze źródeł odnawialnych elektrolizerów o mocy co najmniej 6 GW</w:t>
      </w:r>
      <w:r w:rsidRPr="0035160C">
        <w:rPr>
          <w:rFonts w:eastAsia="Calibri" w:cs="Times New Roman"/>
          <w:lang w:eastAsia="ar-SA"/>
        </w:rPr>
        <w:t xml:space="preserve"> i roczna produkcja 1 mln ton wodoru odnawialnego w U</w:t>
      </w:r>
      <w:r w:rsidR="0084303D">
        <w:rPr>
          <w:rFonts w:eastAsia="Calibri" w:cs="Times New Roman"/>
          <w:lang w:eastAsia="ar-SA"/>
        </w:rPr>
        <w:t>nii</w:t>
      </w:r>
      <w:r w:rsidRPr="0035160C">
        <w:rPr>
          <w:rFonts w:eastAsia="Calibri" w:cs="Times New Roman"/>
          <w:lang w:eastAsia="ar-SA"/>
        </w:rPr>
        <w:t>;</w:t>
      </w:r>
    </w:p>
    <w:p w14:paraId="5E4884B7" w14:textId="0F06B9A0" w:rsidR="009F5080" w:rsidRPr="0035160C" w:rsidRDefault="009F5080" w:rsidP="00CA3BB7">
      <w:pPr>
        <w:numPr>
          <w:ilvl w:val="0"/>
          <w:numId w:val="65"/>
        </w:numPr>
        <w:suppressAutoHyphens/>
        <w:spacing w:after="120" w:line="276" w:lineRule="auto"/>
        <w:contextualSpacing/>
        <w:jc w:val="both"/>
        <w:rPr>
          <w:rFonts w:eastAsia="Calibri" w:cs="Times New Roman"/>
          <w:lang w:eastAsia="ar-SA"/>
        </w:rPr>
      </w:pPr>
      <w:r w:rsidRPr="0035160C">
        <w:rPr>
          <w:rFonts w:eastAsia="Calibri" w:cs="Times New Roman"/>
          <w:lang w:eastAsia="ar-SA"/>
        </w:rPr>
        <w:t>do 2030 r. zainstalowanie zasilanych energią ze źródeł odnawialnych elektrolizerów o mocy co najmniej 40 GW i roczna produkcja 10 mln ton wodoru odnawialnego w U</w:t>
      </w:r>
      <w:r w:rsidR="0084303D">
        <w:rPr>
          <w:rFonts w:eastAsia="Calibri" w:cs="Times New Roman"/>
          <w:lang w:eastAsia="ar-SA"/>
        </w:rPr>
        <w:t>nii</w:t>
      </w:r>
      <w:r w:rsidRPr="0035160C">
        <w:rPr>
          <w:rFonts w:eastAsia="Calibri" w:cs="Times New Roman"/>
          <w:lang w:eastAsia="ar-SA"/>
        </w:rPr>
        <w:t>.</w:t>
      </w:r>
    </w:p>
    <w:p w14:paraId="1F183D8B" w14:textId="77777777" w:rsidR="009F5080" w:rsidRPr="00215939" w:rsidRDefault="009F5080" w:rsidP="009F5080">
      <w:pPr>
        <w:suppressAutoHyphens/>
        <w:spacing w:after="120" w:line="276" w:lineRule="auto"/>
        <w:jc w:val="both"/>
        <w:rPr>
          <w:rFonts w:eastAsia="Calibri" w:cs="Times New Roman"/>
          <w:b/>
          <w:color w:val="2F5496" w:themeColor="accent1" w:themeShade="BF"/>
          <w:lang w:eastAsia="ar-SA"/>
        </w:rPr>
      </w:pPr>
      <w:r w:rsidRPr="00215939">
        <w:rPr>
          <w:rFonts w:eastAsia="Calibri" w:cs="Times New Roman"/>
          <w:b/>
          <w:color w:val="2F5496" w:themeColor="accent1" w:themeShade="BF"/>
          <w:lang w:eastAsia="ar-SA"/>
        </w:rPr>
        <w:t>Dokumenty krajowe, z których wynika proponowany cel:</w:t>
      </w:r>
    </w:p>
    <w:p w14:paraId="7FFDC7E5" w14:textId="100BF8EF" w:rsidR="009F5080" w:rsidRPr="0035160C" w:rsidRDefault="0084303D" w:rsidP="00CA3BB7">
      <w:pPr>
        <w:numPr>
          <w:ilvl w:val="0"/>
          <w:numId w:val="68"/>
        </w:numPr>
        <w:suppressAutoHyphens/>
        <w:spacing w:after="120" w:line="276" w:lineRule="auto"/>
        <w:contextualSpacing/>
        <w:jc w:val="both"/>
        <w:rPr>
          <w:rFonts w:eastAsia="Calibri" w:cs="Times New Roman"/>
          <w:lang w:eastAsia="ar-SA"/>
        </w:rPr>
      </w:pPr>
      <w:r>
        <w:rPr>
          <w:rFonts w:eastAsia="Calibri" w:cs="Times New Roman"/>
          <w:lang w:eastAsia="ar-SA"/>
        </w:rPr>
        <w:t>KPEiK</w:t>
      </w:r>
      <w:r w:rsidR="009F5080" w:rsidRPr="0035160C">
        <w:rPr>
          <w:rFonts w:eastAsia="Calibri" w:cs="Times New Roman"/>
          <w:lang w:eastAsia="ar-SA"/>
        </w:rPr>
        <w:t xml:space="preserve"> – powiązanie z celem PSW w zakresie opisanego w KPEiK wymiaru ”badania naukowe, innowacje i konkurencyjność”,</w:t>
      </w:r>
    </w:p>
    <w:p w14:paraId="45EAAA8E" w14:textId="36599914" w:rsidR="009F5080" w:rsidRPr="0035160C" w:rsidRDefault="0084303D" w:rsidP="00CA3BB7">
      <w:pPr>
        <w:numPr>
          <w:ilvl w:val="0"/>
          <w:numId w:val="68"/>
        </w:numPr>
        <w:suppressAutoHyphens/>
        <w:spacing w:after="120" w:line="276" w:lineRule="auto"/>
        <w:contextualSpacing/>
        <w:jc w:val="both"/>
        <w:rPr>
          <w:rFonts w:eastAsia="Calibri" w:cs="Times New Roman"/>
          <w:lang w:eastAsia="ar-SA"/>
        </w:rPr>
      </w:pPr>
      <w:r>
        <w:rPr>
          <w:rFonts w:eastAsia="Calibri" w:cs="Times New Roman"/>
          <w:lang w:eastAsia="ar-SA"/>
        </w:rPr>
        <w:t>PEP2040</w:t>
      </w:r>
      <w:r w:rsidR="009F5080" w:rsidRPr="0035160C">
        <w:rPr>
          <w:rFonts w:eastAsia="Calibri" w:cs="Times New Roman"/>
          <w:lang w:eastAsia="ar-SA"/>
        </w:rPr>
        <w:t xml:space="preserve"> – powiązanie z celem PSW w zakresie opisanego w PEP2040 „Celu szczegółowego 2. Rozbudowa infrastruktury wytwórczej i sieciowej energii elektrycznej”,</w:t>
      </w:r>
      <w:r w:rsidR="009F5080" w:rsidRPr="0035160C">
        <w:rPr>
          <w:rFonts w:eastAsia="Calibri" w:cs="Calibri"/>
          <w:lang w:eastAsia="ar-SA"/>
        </w:rPr>
        <w:t xml:space="preserve"> </w:t>
      </w:r>
      <w:r w:rsidR="009F5080" w:rsidRPr="0035160C">
        <w:rPr>
          <w:rFonts w:eastAsia="Calibri" w:cs="Times New Roman"/>
          <w:lang w:eastAsia="ar-SA"/>
        </w:rPr>
        <w:t>„Celu szczegółowego 4. Rozwój rynków energii”,</w:t>
      </w:r>
    </w:p>
    <w:p w14:paraId="569DE7EB" w14:textId="77777777" w:rsidR="009F5080" w:rsidRPr="0035160C" w:rsidRDefault="009F5080" w:rsidP="00CA3BB7">
      <w:pPr>
        <w:numPr>
          <w:ilvl w:val="0"/>
          <w:numId w:val="68"/>
        </w:numPr>
        <w:suppressAutoHyphens/>
        <w:spacing w:after="200" w:line="276" w:lineRule="auto"/>
        <w:contextualSpacing/>
        <w:jc w:val="both"/>
        <w:rPr>
          <w:rFonts w:eastAsia="Calibri" w:cs="Times New Roman"/>
          <w:lang w:eastAsia="ar-SA"/>
        </w:rPr>
      </w:pPr>
      <w:r w:rsidRPr="0035160C">
        <w:rPr>
          <w:rFonts w:eastAsia="Calibri" w:cs="Times New Roman"/>
          <w:lang w:eastAsia="ar-SA"/>
        </w:rPr>
        <w:t xml:space="preserve">„Krajowy Plan Odbudowy i Zwiększania Odporności” – powiązanie z celem PSW w zakresie komponentu „B. Zielona energia i zmniejszenie energochłonności” celu „B2. Zwiększenie wykorzystania odnawialnych źródeł energii” reformy: „B2.1. Poprawa warunków dla rozwoju </w:t>
      </w:r>
      <w:r w:rsidRPr="0035160C">
        <w:rPr>
          <w:rFonts w:eastAsia="Calibri" w:cs="Times New Roman"/>
          <w:lang w:eastAsia="ar-SA"/>
        </w:rPr>
        <w:lastRenderedPageBreak/>
        <w:t>technologii wodorowych oraz innych gazów zdekarbonizowanych” inwestycji „B2.1.1. Inwestycje w technologie wodorowe, wytwarzanie, magazynowanie i transport wodoru”.</w:t>
      </w:r>
    </w:p>
    <w:p w14:paraId="02D71684" w14:textId="77777777" w:rsidR="009F5080" w:rsidRPr="0035160C" w:rsidRDefault="009F5080" w:rsidP="009F5080">
      <w:pPr>
        <w:suppressAutoHyphens/>
        <w:spacing w:after="120" w:line="276" w:lineRule="auto"/>
        <w:jc w:val="both"/>
        <w:rPr>
          <w:rFonts w:eastAsia="Calibri" w:cs="Times New Roman"/>
          <w:b/>
          <w:lang w:eastAsia="ar-SA"/>
        </w:rPr>
      </w:pPr>
      <w:r w:rsidRPr="00215939">
        <w:rPr>
          <w:rFonts w:eastAsia="Calibri" w:cs="Times New Roman"/>
          <w:b/>
          <w:color w:val="2F5496" w:themeColor="accent1" w:themeShade="BF"/>
          <w:lang w:eastAsia="ar-SA"/>
        </w:rPr>
        <w:t xml:space="preserve">Organy odpowiedzialne za wdrażanie celu: </w:t>
      </w:r>
      <w:r w:rsidRPr="0035160C">
        <w:rPr>
          <w:rFonts w:eastAsia="Calibri" w:cs="Times New Roman"/>
          <w:lang w:eastAsia="ar-SA"/>
        </w:rPr>
        <w:t>administracja rządowa i samorządowa.</w:t>
      </w:r>
    </w:p>
    <w:p w14:paraId="108767E6" w14:textId="77777777" w:rsidR="009F5080" w:rsidRPr="00215939" w:rsidRDefault="009F5080" w:rsidP="009F5080">
      <w:pPr>
        <w:suppressAutoHyphens/>
        <w:spacing w:after="240" w:line="276" w:lineRule="auto"/>
        <w:jc w:val="both"/>
        <w:rPr>
          <w:rFonts w:eastAsia="Calibri" w:cs="Times New Roman"/>
          <w:b/>
          <w:color w:val="2F5496" w:themeColor="accent1" w:themeShade="BF"/>
          <w:lang w:eastAsia="ar-SA"/>
        </w:rPr>
      </w:pPr>
      <w:r w:rsidRPr="00215939">
        <w:rPr>
          <w:rFonts w:eastAsia="Calibri" w:cs="Times New Roman"/>
          <w:b/>
          <w:color w:val="2F5496" w:themeColor="accent1" w:themeShade="BF"/>
          <w:lang w:eastAsia="ar-SA"/>
        </w:rPr>
        <w:t xml:space="preserve">Miernik: </w:t>
      </w:r>
      <w:r w:rsidRPr="00215939">
        <w:rPr>
          <w:rFonts w:eastAsia="Calibri" w:cs="Times New Roman"/>
          <w:color w:val="2F5496" w:themeColor="accent1" w:themeShade="BF"/>
          <w:lang w:eastAsia="ar-SA"/>
        </w:rPr>
        <w:t xml:space="preserve">osiągnięcie mocy instalacji do produkcji wodoru i jego pochodnych z niskoemisyjnych źródeł, procesów i technologii dla potrzeb produkcji na poziomie </w:t>
      </w:r>
      <w:r w:rsidRPr="00215939">
        <w:rPr>
          <w:rFonts w:eastAsia="Calibri" w:cs="Times New Roman"/>
          <w:b/>
          <w:color w:val="2F5496" w:themeColor="accent1" w:themeShade="BF"/>
          <w:lang w:eastAsia="ar-SA"/>
        </w:rPr>
        <w:t>2 GW</w:t>
      </w:r>
      <w:r w:rsidRPr="00215939">
        <w:rPr>
          <w:rFonts w:eastAsia="Calibri" w:cs="Times New Roman"/>
          <w:color w:val="2F5496" w:themeColor="accent1" w:themeShade="BF"/>
          <w:lang w:eastAsia="ar-SA"/>
        </w:rPr>
        <w:t>, w tym w szczególności instalacji elektrolizerów.</w:t>
      </w:r>
    </w:p>
    <w:p w14:paraId="28D0A848" w14:textId="77777777" w:rsidR="00215939" w:rsidRPr="00215939" w:rsidRDefault="009F5080" w:rsidP="009F5080">
      <w:pPr>
        <w:suppressAutoHyphens/>
        <w:spacing w:after="120" w:line="276" w:lineRule="auto"/>
        <w:jc w:val="both"/>
        <w:rPr>
          <w:rFonts w:eastAsia="Calibri" w:cs="Times New Roman"/>
          <w:b/>
          <w:color w:val="2F5496" w:themeColor="accent1" w:themeShade="BF"/>
          <w:lang w:eastAsia="ar-SA"/>
        </w:rPr>
      </w:pPr>
      <w:r w:rsidRPr="00215939">
        <w:rPr>
          <w:rFonts w:eastAsia="Calibri" w:cs="Times New Roman"/>
          <w:b/>
          <w:color w:val="2F5496" w:themeColor="accent1" w:themeShade="BF"/>
          <w:lang w:eastAsia="ar-SA"/>
        </w:rPr>
        <w:t xml:space="preserve">PERSPEKTYWA PSW DO 2040 </w:t>
      </w:r>
      <w:r w:rsidR="00215939" w:rsidRPr="00215939">
        <w:rPr>
          <w:rFonts w:eastAsia="Calibri" w:cs="Times New Roman"/>
          <w:b/>
          <w:color w:val="2F5496" w:themeColor="accent1" w:themeShade="BF"/>
          <w:lang w:eastAsia="ar-SA"/>
        </w:rPr>
        <w:t>r.:</w:t>
      </w:r>
      <w:bookmarkEnd w:id="87"/>
    </w:p>
    <w:p w14:paraId="478E66D4" w14:textId="5AEBF2DB" w:rsidR="009F5080" w:rsidRPr="0035160C" w:rsidRDefault="009F5080" w:rsidP="009F5080">
      <w:pPr>
        <w:suppressAutoHyphens/>
        <w:spacing w:after="120" w:line="276" w:lineRule="auto"/>
        <w:jc w:val="both"/>
        <w:rPr>
          <w:rFonts w:eastAsia="Calibri" w:cs="Times New Roman"/>
          <w:lang w:eastAsia="ar-SA"/>
        </w:rPr>
      </w:pPr>
      <w:r w:rsidRPr="0035160C">
        <w:rPr>
          <w:rFonts w:eastAsia="Times New Roman" w:cs="Times New Roman"/>
          <w:lang w:eastAsia="ar-SA"/>
        </w:rPr>
        <w:t>Po</w:t>
      </w:r>
      <w:r w:rsidRPr="0035160C">
        <w:rPr>
          <w:rFonts w:eastAsia="Calibri" w:cs="Times New Roman"/>
          <w:lang w:eastAsia="ar-SA"/>
        </w:rPr>
        <w:t xml:space="preserve"> roku 2030 możliwy będzie rozwój produkcji wodoru w oparciu o elektrownie jądrowe i podłączone do nich elektrolizery. Aby tak się stało należy przygotować wcześniej odpowiednie warunki do budowy instalacji do produkcji wodoru przy elektrowniach jądrowych. Przewaga konkurencyjna wodoru wytwarzanego w źródłach jądrowych opiera się nie tylko na zerowej emisyjności, ale również możliwej dużej skali produkcji. </w:t>
      </w:r>
    </w:p>
    <w:p w14:paraId="3D0BB399" w14:textId="77777777" w:rsidR="009F5080" w:rsidRPr="0035160C" w:rsidRDefault="009F5080" w:rsidP="009F5080">
      <w:pPr>
        <w:suppressAutoHyphens/>
        <w:spacing w:after="120" w:line="276" w:lineRule="auto"/>
        <w:jc w:val="both"/>
        <w:rPr>
          <w:rFonts w:eastAsia="Calibri" w:cs="Times New Roman"/>
          <w:b/>
          <w:lang w:eastAsia="ar-SA"/>
        </w:rPr>
      </w:pPr>
      <w:r w:rsidRPr="00215939">
        <w:rPr>
          <w:rFonts w:eastAsia="Calibri" w:cs="Times New Roman"/>
          <w:b/>
          <w:color w:val="2F5496" w:themeColor="accent1" w:themeShade="BF"/>
          <w:lang w:eastAsia="ar-SA"/>
        </w:rPr>
        <w:t>Dokumenty krajowe, z których wynika proponowany cel</w:t>
      </w:r>
      <w:r w:rsidRPr="0035160C">
        <w:rPr>
          <w:rFonts w:eastAsia="Calibri" w:cs="Times New Roman"/>
          <w:b/>
          <w:lang w:eastAsia="ar-SA"/>
        </w:rPr>
        <w:t xml:space="preserve">: </w:t>
      </w:r>
    </w:p>
    <w:p w14:paraId="04F5D398" w14:textId="52070676" w:rsidR="009F5080" w:rsidRPr="0035160C" w:rsidRDefault="0084303D" w:rsidP="00CA3BB7">
      <w:pPr>
        <w:numPr>
          <w:ilvl w:val="0"/>
          <w:numId w:val="68"/>
        </w:numPr>
        <w:suppressAutoHyphens/>
        <w:spacing w:after="120" w:line="276" w:lineRule="auto"/>
        <w:contextualSpacing/>
        <w:jc w:val="both"/>
        <w:rPr>
          <w:rFonts w:eastAsia="Calibri" w:cs="Times New Roman"/>
          <w:lang w:eastAsia="ar-SA"/>
        </w:rPr>
      </w:pPr>
      <w:r>
        <w:rPr>
          <w:rFonts w:eastAsia="Calibri" w:cs="Times New Roman"/>
          <w:lang w:eastAsia="ar-SA"/>
        </w:rPr>
        <w:t>SOR -</w:t>
      </w:r>
      <w:r w:rsidR="009F5080" w:rsidRPr="0035160C">
        <w:rPr>
          <w:rFonts w:eastAsia="Calibri" w:cs="Times New Roman"/>
          <w:lang w:eastAsia="ar-SA"/>
        </w:rPr>
        <w:t xml:space="preserve"> powiązanie z celem PSW w zakresie opisanego w SOR Projektu Strategicznego „Program polskiej energetyki jądrowej”,</w:t>
      </w:r>
    </w:p>
    <w:p w14:paraId="65C32DFB" w14:textId="728FCC22" w:rsidR="009F5080" w:rsidRPr="0035160C" w:rsidRDefault="0084303D" w:rsidP="00CA3BB7">
      <w:pPr>
        <w:numPr>
          <w:ilvl w:val="0"/>
          <w:numId w:val="68"/>
        </w:numPr>
        <w:suppressAutoHyphens/>
        <w:spacing w:after="0" w:line="276" w:lineRule="auto"/>
        <w:ind w:left="714" w:hanging="357"/>
        <w:jc w:val="both"/>
        <w:rPr>
          <w:rFonts w:eastAsia="Calibri" w:cs="Times New Roman"/>
          <w:lang w:eastAsia="ar-SA"/>
        </w:rPr>
      </w:pPr>
      <w:r>
        <w:rPr>
          <w:rFonts w:eastAsia="Calibri" w:cs="Times New Roman"/>
          <w:lang w:eastAsia="ar-SA"/>
        </w:rPr>
        <w:t>KPEiK</w:t>
      </w:r>
      <w:r w:rsidR="009F5080" w:rsidRPr="0035160C">
        <w:rPr>
          <w:rFonts w:eastAsia="Calibri" w:cs="Times New Roman"/>
          <w:lang w:eastAsia="ar-SA"/>
        </w:rPr>
        <w:t xml:space="preserve"> – powiązanie z celem PSW w zakresie opisanych w KPEiK wymiarów „bezpieczeństwo energetyczne”, „obniżenie emisyjności”, „wewnętrzny rynek energii”,</w:t>
      </w:r>
    </w:p>
    <w:p w14:paraId="0BC7E621" w14:textId="11972A71" w:rsidR="009F5080" w:rsidRPr="0035160C" w:rsidRDefault="0084303D" w:rsidP="00CA3BB7">
      <w:pPr>
        <w:numPr>
          <w:ilvl w:val="0"/>
          <w:numId w:val="68"/>
        </w:numPr>
        <w:suppressAutoHyphens/>
        <w:spacing w:after="120" w:line="276" w:lineRule="auto"/>
        <w:jc w:val="both"/>
        <w:rPr>
          <w:rFonts w:eastAsia="Calibri" w:cs="Times New Roman"/>
          <w:lang w:eastAsia="ar-SA"/>
        </w:rPr>
      </w:pPr>
      <w:r>
        <w:rPr>
          <w:rFonts w:eastAsia="Calibri" w:cs="Times New Roman"/>
          <w:lang w:eastAsia="ar-SA"/>
        </w:rPr>
        <w:t xml:space="preserve">PEP2040 </w:t>
      </w:r>
      <w:r w:rsidR="009F5080" w:rsidRPr="0035160C">
        <w:rPr>
          <w:rFonts w:eastAsia="Calibri" w:cs="Times New Roman"/>
          <w:lang w:eastAsia="ar-SA"/>
        </w:rPr>
        <w:t>– powiązanie z celem PSW w zakresie opisanego w PEP2040 „Celu szczegółowego 5. Wdrożenie energetyki jądrowej”.</w:t>
      </w:r>
    </w:p>
    <w:p w14:paraId="7FE95554" w14:textId="3E4802AF" w:rsidR="009F5080" w:rsidRPr="00215939" w:rsidRDefault="009F5080" w:rsidP="009F5080">
      <w:pPr>
        <w:suppressAutoHyphens/>
        <w:spacing w:after="120" w:line="276" w:lineRule="auto"/>
        <w:rPr>
          <w:rFonts w:eastAsia="Calibri" w:cs="Times New Roman"/>
          <w:b/>
          <w:color w:val="2F5496" w:themeColor="accent1" w:themeShade="BF"/>
          <w:lang w:eastAsia="ar-SA"/>
        </w:rPr>
      </w:pPr>
      <w:r w:rsidRPr="00215939">
        <w:rPr>
          <w:rFonts w:eastAsia="Calibri" w:cs="Times New Roman"/>
          <w:b/>
          <w:color w:val="2F5496" w:themeColor="accent1" w:themeShade="BF"/>
          <w:lang w:eastAsia="ar-SA"/>
        </w:rPr>
        <w:t xml:space="preserve">Organy odpowiedzialne za wdrażanie celu: </w:t>
      </w:r>
      <w:r w:rsidRPr="00215939">
        <w:rPr>
          <w:rFonts w:eastAsia="Calibri" w:cs="Times New Roman"/>
          <w:color w:val="2F5496" w:themeColor="accent1" w:themeShade="BF"/>
          <w:lang w:eastAsia="ar-SA"/>
        </w:rPr>
        <w:t>administracja rządowa i samorządowa.</w:t>
      </w:r>
    </w:p>
    <w:p w14:paraId="035253C7" w14:textId="18ACC7DA" w:rsidR="00BD7513" w:rsidRPr="0035160C" w:rsidRDefault="00BD7513">
      <w:r w:rsidRPr="0035160C">
        <w:br w:type="page"/>
      </w:r>
    </w:p>
    <w:p w14:paraId="0864AC06" w14:textId="6A3B5D9D" w:rsidR="00541BCE" w:rsidRPr="0035160C" w:rsidRDefault="008A7028" w:rsidP="00F03C94">
      <w:pPr>
        <w:pStyle w:val="Nagwek2"/>
        <w:numPr>
          <w:ilvl w:val="0"/>
          <w:numId w:val="0"/>
        </w:numPr>
        <w:rPr>
          <w:b/>
          <w:sz w:val="22"/>
          <w:szCs w:val="22"/>
        </w:rPr>
      </w:pPr>
      <w:bookmarkStart w:id="88" w:name="_Toc78205906"/>
      <w:bookmarkStart w:id="89" w:name="_Hlk59375751"/>
      <w:r w:rsidRPr="0035160C">
        <w:rPr>
          <w:b/>
          <w:sz w:val="22"/>
          <w:szCs w:val="22"/>
        </w:rPr>
        <w:lastRenderedPageBreak/>
        <w:t>9</w:t>
      </w:r>
      <w:r w:rsidR="00F03C94" w:rsidRPr="0035160C">
        <w:rPr>
          <w:b/>
          <w:sz w:val="22"/>
          <w:szCs w:val="22"/>
        </w:rPr>
        <w:t xml:space="preserve">.5 </w:t>
      </w:r>
      <w:r w:rsidR="00541BCE" w:rsidRPr="0035160C">
        <w:rPr>
          <w:b/>
          <w:sz w:val="22"/>
          <w:szCs w:val="22"/>
        </w:rPr>
        <w:t xml:space="preserve">Kierunek Interwencji </w:t>
      </w:r>
      <w:r w:rsidR="000E6A7F" w:rsidRPr="0035160C">
        <w:rPr>
          <w:b/>
          <w:sz w:val="22"/>
          <w:szCs w:val="22"/>
        </w:rPr>
        <w:t>5</w:t>
      </w:r>
      <w:r w:rsidR="00541BCE" w:rsidRPr="0035160C">
        <w:rPr>
          <w:b/>
          <w:sz w:val="22"/>
          <w:szCs w:val="22"/>
        </w:rPr>
        <w:t xml:space="preserve"> – EDUKACJA EKOLOGICZNA</w:t>
      </w:r>
      <w:bookmarkEnd w:id="88"/>
    </w:p>
    <w:p w14:paraId="61CCE68C" w14:textId="6F43EEB7" w:rsidR="00715C83" w:rsidRPr="0035160C" w:rsidRDefault="00715C83" w:rsidP="00715C83">
      <w:pPr>
        <w:suppressAutoHyphens/>
        <w:spacing w:after="0" w:line="276" w:lineRule="auto"/>
        <w:jc w:val="both"/>
        <w:rPr>
          <w:rFonts w:eastAsia="Times New Roman" w:cstheme="minorHAnsi"/>
          <w:i/>
          <w:iCs/>
          <w:lang w:eastAsia="ar-SA"/>
        </w:rPr>
      </w:pPr>
      <w:r w:rsidRPr="0035160C">
        <w:rPr>
          <w:rFonts w:eastAsia="Times New Roman" w:cstheme="minorHAnsi"/>
          <w:lang w:eastAsia="ar-SA"/>
        </w:rPr>
        <w:t xml:space="preserve">Dotychczasowe doświadczenia płynące z przygotowania i realizacji </w:t>
      </w:r>
      <w:r w:rsidR="0075035F" w:rsidRPr="0035160C">
        <w:rPr>
          <w:rFonts w:eastAsia="Times New Roman" w:cstheme="minorHAnsi"/>
          <w:lang w:eastAsia="ar-SA"/>
        </w:rPr>
        <w:t xml:space="preserve">narzędzi finansowych, </w:t>
      </w:r>
      <w:r w:rsidR="00303278" w:rsidRPr="0035160C">
        <w:rPr>
          <w:rFonts w:eastAsia="Times New Roman" w:cstheme="minorHAnsi"/>
          <w:lang w:eastAsia="ar-SA"/>
        </w:rPr>
        <w:t>zarówno na poziomie krajowym, wojewódzkim</w:t>
      </w:r>
      <w:r w:rsidR="0084303D">
        <w:rPr>
          <w:rFonts w:eastAsia="Times New Roman" w:cstheme="minorHAnsi"/>
          <w:lang w:eastAsia="ar-SA"/>
        </w:rPr>
        <w:t>,</w:t>
      </w:r>
      <w:r w:rsidR="000E6A7F" w:rsidRPr="0035160C">
        <w:rPr>
          <w:rFonts w:eastAsia="Times New Roman" w:cstheme="minorHAnsi"/>
          <w:lang w:eastAsia="ar-SA"/>
        </w:rPr>
        <w:t xml:space="preserve"> jak</w:t>
      </w:r>
      <w:r w:rsidR="00303278" w:rsidRPr="0035160C">
        <w:rPr>
          <w:rFonts w:eastAsia="Times New Roman" w:cstheme="minorHAnsi"/>
          <w:lang w:eastAsia="ar-SA"/>
        </w:rPr>
        <w:t xml:space="preserve"> i lokalnym, </w:t>
      </w:r>
      <w:r w:rsidR="0075035F" w:rsidRPr="0035160C">
        <w:rPr>
          <w:rFonts w:eastAsia="Times New Roman" w:cstheme="minorHAnsi"/>
          <w:lang w:eastAsia="ar-SA"/>
        </w:rPr>
        <w:t>prowadzą do pesymistycznego wniosku</w:t>
      </w:r>
      <w:r w:rsidR="0084303D">
        <w:rPr>
          <w:rFonts w:eastAsia="Times New Roman" w:cstheme="minorHAnsi"/>
          <w:lang w:eastAsia="ar-SA"/>
        </w:rPr>
        <w:t>, że</w:t>
      </w:r>
      <w:r w:rsidR="0075035F" w:rsidRPr="0035160C">
        <w:rPr>
          <w:rFonts w:eastAsia="Times New Roman" w:cstheme="minorHAnsi"/>
          <w:lang w:eastAsia="ar-SA"/>
        </w:rPr>
        <w:t xml:space="preserve">  czynności te nie są wystarczające</w:t>
      </w:r>
      <w:r w:rsidR="00303278" w:rsidRPr="0035160C">
        <w:rPr>
          <w:rFonts w:eastAsia="Times New Roman" w:cstheme="minorHAnsi"/>
          <w:lang w:eastAsia="ar-SA"/>
        </w:rPr>
        <w:t xml:space="preserve"> </w:t>
      </w:r>
      <w:r w:rsidR="0075035F" w:rsidRPr="0035160C">
        <w:rPr>
          <w:rFonts w:eastAsia="Times New Roman" w:cstheme="minorHAnsi"/>
          <w:lang w:eastAsia="ar-SA"/>
        </w:rPr>
        <w:t xml:space="preserve">do dokonania </w:t>
      </w:r>
      <w:r w:rsidRPr="0035160C">
        <w:rPr>
          <w:rFonts w:eastAsia="Times New Roman" w:cstheme="minorHAnsi"/>
          <w:lang w:eastAsia="ar-SA"/>
        </w:rPr>
        <w:t xml:space="preserve">przełomowej zmiany w </w:t>
      </w:r>
      <w:r w:rsidR="00303278" w:rsidRPr="0035160C">
        <w:rPr>
          <w:rFonts w:eastAsia="Times New Roman" w:cstheme="minorHAnsi"/>
          <w:lang w:eastAsia="ar-SA"/>
        </w:rPr>
        <w:t xml:space="preserve">działaniach na rzecz pilnej poprawy jakości powietrza w Polsce, poprzez ograniczenie </w:t>
      </w:r>
      <w:r w:rsidRPr="0035160C">
        <w:rPr>
          <w:rFonts w:eastAsia="Times New Roman" w:cstheme="minorHAnsi"/>
          <w:lang w:eastAsia="ar-SA"/>
        </w:rPr>
        <w:t>główn</w:t>
      </w:r>
      <w:r w:rsidR="00303278" w:rsidRPr="0035160C">
        <w:rPr>
          <w:rFonts w:eastAsia="Times New Roman" w:cstheme="minorHAnsi"/>
          <w:lang w:eastAsia="ar-SA"/>
        </w:rPr>
        <w:t xml:space="preserve">ej </w:t>
      </w:r>
      <w:r w:rsidRPr="0035160C">
        <w:rPr>
          <w:rFonts w:eastAsia="Times New Roman" w:cstheme="minorHAnsi"/>
          <w:lang w:eastAsia="ar-SA"/>
        </w:rPr>
        <w:t>przyczyn</w:t>
      </w:r>
      <w:r w:rsidR="00303278" w:rsidRPr="0035160C">
        <w:rPr>
          <w:rFonts w:eastAsia="Times New Roman" w:cstheme="minorHAnsi"/>
          <w:lang w:eastAsia="ar-SA"/>
        </w:rPr>
        <w:t>y</w:t>
      </w:r>
      <w:r w:rsidRPr="0035160C">
        <w:rPr>
          <w:rFonts w:eastAsia="Times New Roman" w:cstheme="minorHAnsi"/>
          <w:lang w:eastAsia="ar-SA"/>
        </w:rPr>
        <w:t xml:space="preserve"> zanieczyszczenia powietrza w Polsce – tzw. „nisk</w:t>
      </w:r>
      <w:r w:rsidR="00303278" w:rsidRPr="0035160C">
        <w:rPr>
          <w:rFonts w:eastAsia="Times New Roman" w:cstheme="minorHAnsi"/>
          <w:lang w:eastAsia="ar-SA"/>
        </w:rPr>
        <w:t>iej</w:t>
      </w:r>
      <w:r w:rsidRPr="0035160C">
        <w:rPr>
          <w:rFonts w:eastAsia="Times New Roman" w:cstheme="minorHAnsi"/>
          <w:lang w:eastAsia="ar-SA"/>
        </w:rPr>
        <w:t xml:space="preserve"> emisj</w:t>
      </w:r>
      <w:r w:rsidR="00303278" w:rsidRPr="0035160C">
        <w:rPr>
          <w:rFonts w:eastAsia="Times New Roman" w:cstheme="minorHAnsi"/>
          <w:lang w:eastAsia="ar-SA"/>
        </w:rPr>
        <w:t>i</w:t>
      </w:r>
      <w:r w:rsidRPr="0035160C">
        <w:rPr>
          <w:rFonts w:eastAsia="Times New Roman" w:cstheme="minorHAnsi"/>
          <w:lang w:eastAsia="ar-SA"/>
        </w:rPr>
        <w:t>”, pochodząc</w:t>
      </w:r>
      <w:r w:rsidR="00303278" w:rsidRPr="0035160C">
        <w:rPr>
          <w:rFonts w:eastAsia="Times New Roman" w:cstheme="minorHAnsi"/>
          <w:lang w:eastAsia="ar-SA"/>
        </w:rPr>
        <w:t>ej</w:t>
      </w:r>
      <w:r w:rsidRPr="0035160C">
        <w:rPr>
          <w:rFonts w:eastAsia="Times New Roman" w:cstheme="minorHAnsi"/>
          <w:lang w:eastAsia="ar-SA"/>
        </w:rPr>
        <w:t xml:space="preserve"> przede wszystkim ze spalania paliw stałych (węgla i drewna) w</w:t>
      </w:r>
      <w:r w:rsidR="004715E9" w:rsidRPr="0035160C">
        <w:rPr>
          <w:rFonts w:eastAsia="Times New Roman" w:cstheme="minorHAnsi"/>
          <w:lang w:eastAsia="ar-SA"/>
        </w:rPr>
        <w:t> </w:t>
      </w:r>
      <w:r w:rsidRPr="0035160C">
        <w:rPr>
          <w:rFonts w:eastAsia="Times New Roman" w:cstheme="minorHAnsi"/>
          <w:lang w:eastAsia="ar-SA"/>
        </w:rPr>
        <w:t xml:space="preserve">gospodarstwach domowych. </w:t>
      </w:r>
      <w:r w:rsidRPr="0035160C">
        <w:rPr>
          <w:rFonts w:eastAsia="Times New Roman" w:cstheme="minorHAnsi"/>
          <w:b/>
          <w:bCs/>
          <w:color w:val="2F5496" w:themeColor="accent1" w:themeShade="BF"/>
          <w:lang w:eastAsia="ar-SA"/>
        </w:rPr>
        <w:t>Potrzebna jest zmiana postaw obywateli</w:t>
      </w:r>
      <w:r w:rsidR="0072713B" w:rsidRPr="0035160C">
        <w:rPr>
          <w:rStyle w:val="Odwoanieprzypisudolnego"/>
          <w:rFonts w:eastAsia="Times New Roman" w:cstheme="minorHAnsi"/>
          <w:b/>
          <w:bCs/>
          <w:color w:val="4472C4" w:themeColor="accent1"/>
          <w:lang w:eastAsia="ar-SA"/>
        </w:rPr>
        <w:footnoteReference w:id="31"/>
      </w:r>
      <w:r w:rsidRPr="0035160C">
        <w:rPr>
          <w:rFonts w:eastAsia="Times New Roman" w:cstheme="minorHAnsi"/>
          <w:lang w:eastAsia="ar-SA"/>
        </w:rPr>
        <w:t xml:space="preserve">. </w:t>
      </w:r>
      <w:r w:rsidR="004715E9" w:rsidRPr="0035160C">
        <w:rPr>
          <w:rFonts w:eastAsia="Times New Roman" w:cstheme="minorHAnsi"/>
          <w:lang w:eastAsia="ar-SA"/>
        </w:rPr>
        <w:t>„</w:t>
      </w:r>
      <w:r w:rsidRPr="0035160C">
        <w:rPr>
          <w:rFonts w:eastAsia="Times New Roman" w:cstheme="minorHAnsi"/>
          <w:i/>
          <w:iCs/>
          <w:lang w:eastAsia="ar-SA"/>
        </w:rPr>
        <w:t>Właścicielom domów jednorodzinnych korzystającym z przestarzałych systemów ogrzewania trzeba nie tylko uświadamiać ich bezpośredni wpływ na pogarszającą się jakość powietrza i wynikające z tego konsekwencje, ale również fakt, że ich działania podlegają karze i nie są akceptowane przez większość ich sąsiadów. Jak wynika z badań</w:t>
      </w:r>
      <w:r w:rsidR="004715E9" w:rsidRPr="0035160C">
        <w:rPr>
          <w:rFonts w:eastAsia="Times New Roman" w:cstheme="minorHAnsi"/>
          <w:i/>
          <w:iCs/>
          <w:lang w:eastAsia="ar-SA"/>
        </w:rPr>
        <w:t xml:space="preserve"> Polskiego Instytutu </w:t>
      </w:r>
      <w:r w:rsidR="0075035F" w:rsidRPr="0035160C">
        <w:rPr>
          <w:rFonts w:eastAsia="Times New Roman" w:cstheme="minorHAnsi"/>
          <w:i/>
          <w:iCs/>
          <w:lang w:eastAsia="ar-SA"/>
        </w:rPr>
        <w:t>Ekonomicznego</w:t>
      </w:r>
      <w:r w:rsidRPr="0035160C">
        <w:rPr>
          <w:rFonts w:eastAsia="Times New Roman" w:cstheme="minorHAnsi"/>
          <w:i/>
          <w:iCs/>
          <w:lang w:eastAsia="ar-SA"/>
        </w:rPr>
        <w:t>, między</w:t>
      </w:r>
      <w:r w:rsidR="004715E9" w:rsidRPr="0035160C">
        <w:rPr>
          <w:rFonts w:eastAsia="Times New Roman" w:cstheme="minorHAnsi"/>
          <w:i/>
          <w:iCs/>
          <w:lang w:eastAsia="ar-SA"/>
        </w:rPr>
        <w:t xml:space="preserve"> </w:t>
      </w:r>
      <w:r w:rsidRPr="0035160C">
        <w:rPr>
          <w:rFonts w:eastAsia="Times New Roman" w:cstheme="minorHAnsi"/>
          <w:i/>
          <w:iCs/>
          <w:lang w:eastAsia="ar-SA"/>
        </w:rPr>
        <w:t xml:space="preserve">mieszkańcami </w:t>
      </w:r>
      <w:r w:rsidR="004715E9" w:rsidRPr="0035160C">
        <w:rPr>
          <w:rFonts w:eastAsia="Times New Roman" w:cstheme="minorHAnsi"/>
          <w:i/>
          <w:iCs/>
          <w:lang w:eastAsia="ar-SA"/>
        </w:rPr>
        <w:t>domów</w:t>
      </w:r>
      <w:r w:rsidRPr="0035160C">
        <w:rPr>
          <w:rFonts w:eastAsia="Times New Roman" w:cstheme="minorHAnsi"/>
          <w:i/>
          <w:iCs/>
          <w:lang w:eastAsia="ar-SA"/>
        </w:rPr>
        <w:t xml:space="preserve"> jednorodzinnych a</w:t>
      </w:r>
      <w:r w:rsidR="004715E9" w:rsidRPr="0035160C">
        <w:rPr>
          <w:rFonts w:eastAsia="Times New Roman" w:cstheme="minorHAnsi"/>
          <w:i/>
          <w:iCs/>
          <w:lang w:eastAsia="ar-SA"/>
        </w:rPr>
        <w:t> </w:t>
      </w:r>
      <w:r w:rsidRPr="0035160C">
        <w:rPr>
          <w:rFonts w:eastAsia="Times New Roman" w:cstheme="minorHAnsi"/>
          <w:i/>
          <w:iCs/>
          <w:lang w:eastAsia="ar-SA"/>
        </w:rPr>
        <w:t>mieszkańcami</w:t>
      </w:r>
      <w:r w:rsidR="004715E9" w:rsidRPr="0035160C">
        <w:rPr>
          <w:rFonts w:eastAsia="Times New Roman" w:cstheme="minorHAnsi"/>
          <w:i/>
          <w:iCs/>
          <w:lang w:eastAsia="ar-SA"/>
        </w:rPr>
        <w:t xml:space="preserve"> budynków</w:t>
      </w:r>
      <w:r w:rsidRPr="0035160C">
        <w:rPr>
          <w:rFonts w:eastAsia="Times New Roman" w:cstheme="minorHAnsi"/>
          <w:i/>
          <w:iCs/>
          <w:lang w:eastAsia="ar-SA"/>
        </w:rPr>
        <w:t xml:space="preserve"> wielorodzinnych występują</w:t>
      </w:r>
      <w:r w:rsidR="004715E9" w:rsidRPr="0035160C">
        <w:rPr>
          <w:rFonts w:eastAsia="Times New Roman" w:cstheme="minorHAnsi"/>
          <w:i/>
          <w:iCs/>
          <w:lang w:eastAsia="ar-SA"/>
        </w:rPr>
        <w:t xml:space="preserve"> </w:t>
      </w:r>
      <w:r w:rsidRPr="0035160C">
        <w:rPr>
          <w:rFonts w:eastAsia="Times New Roman" w:cstheme="minorHAnsi"/>
          <w:i/>
          <w:iCs/>
          <w:lang w:eastAsia="ar-SA"/>
        </w:rPr>
        <w:t>istotne rozbieżności w ocenie moralnej i</w:t>
      </w:r>
      <w:r w:rsidR="004715E9" w:rsidRPr="0035160C">
        <w:rPr>
          <w:rFonts w:eastAsia="Times New Roman" w:cstheme="minorHAnsi"/>
          <w:i/>
          <w:iCs/>
          <w:lang w:eastAsia="ar-SA"/>
        </w:rPr>
        <w:t> </w:t>
      </w:r>
      <w:r w:rsidRPr="0035160C">
        <w:rPr>
          <w:rFonts w:eastAsia="Times New Roman" w:cstheme="minorHAnsi"/>
          <w:i/>
          <w:iCs/>
          <w:lang w:eastAsia="ar-SA"/>
        </w:rPr>
        <w:t>społecznej</w:t>
      </w:r>
      <w:r w:rsidR="004715E9" w:rsidRPr="0035160C">
        <w:rPr>
          <w:rFonts w:eastAsia="Times New Roman" w:cstheme="minorHAnsi"/>
          <w:i/>
          <w:iCs/>
          <w:lang w:eastAsia="ar-SA"/>
        </w:rPr>
        <w:t xml:space="preserve"> </w:t>
      </w:r>
      <w:r w:rsidRPr="0035160C">
        <w:rPr>
          <w:rFonts w:eastAsia="Times New Roman" w:cstheme="minorHAnsi"/>
          <w:i/>
          <w:iCs/>
          <w:lang w:eastAsia="ar-SA"/>
        </w:rPr>
        <w:t>akceptowalności zachowań przyczyniających</w:t>
      </w:r>
      <w:r w:rsidR="004715E9" w:rsidRPr="0035160C">
        <w:rPr>
          <w:rFonts w:eastAsia="Times New Roman" w:cstheme="minorHAnsi"/>
          <w:i/>
          <w:iCs/>
          <w:lang w:eastAsia="ar-SA"/>
        </w:rPr>
        <w:t xml:space="preserve"> </w:t>
      </w:r>
      <w:r w:rsidRPr="0035160C">
        <w:rPr>
          <w:rFonts w:eastAsia="Times New Roman" w:cstheme="minorHAnsi"/>
          <w:i/>
          <w:iCs/>
          <w:lang w:eastAsia="ar-SA"/>
        </w:rPr>
        <w:t>się do zanieczyszczenia powietrza.</w:t>
      </w:r>
      <w:r w:rsidR="004715E9" w:rsidRPr="0035160C">
        <w:rPr>
          <w:rFonts w:eastAsia="Times New Roman" w:cstheme="minorHAnsi"/>
          <w:i/>
          <w:iCs/>
          <w:lang w:eastAsia="ar-SA"/>
        </w:rPr>
        <w:t>”.</w:t>
      </w:r>
    </w:p>
    <w:p w14:paraId="745FE29B" w14:textId="6526D288" w:rsidR="00FE41AE" w:rsidRPr="0035160C" w:rsidRDefault="004715E9" w:rsidP="004D340E">
      <w:pPr>
        <w:suppressAutoHyphens/>
        <w:spacing w:before="120" w:after="0" w:line="276" w:lineRule="auto"/>
        <w:jc w:val="both"/>
        <w:rPr>
          <w:rFonts w:eastAsia="Times New Roman" w:cstheme="minorHAnsi"/>
          <w:lang w:eastAsia="ar-SA"/>
        </w:rPr>
      </w:pPr>
      <w:r w:rsidRPr="0035160C">
        <w:rPr>
          <w:rFonts w:eastAsia="Times New Roman" w:cstheme="minorHAnsi"/>
          <w:lang w:eastAsia="ar-SA"/>
        </w:rPr>
        <w:t xml:space="preserve">Dlatego tak </w:t>
      </w:r>
      <w:r w:rsidRPr="0035160C">
        <w:rPr>
          <w:rFonts w:eastAsia="Times New Roman" w:cstheme="minorHAnsi"/>
          <w:b/>
          <w:bCs/>
          <w:color w:val="2F5496" w:themeColor="accent1" w:themeShade="BF"/>
          <w:lang w:eastAsia="ar-SA"/>
        </w:rPr>
        <w:t xml:space="preserve">ważnym </w:t>
      </w:r>
      <w:r w:rsidR="00FE41AE" w:rsidRPr="0035160C">
        <w:rPr>
          <w:rFonts w:eastAsia="Times New Roman" w:cstheme="minorHAnsi"/>
          <w:b/>
          <w:bCs/>
          <w:color w:val="2F5496" w:themeColor="accent1" w:themeShade="BF"/>
          <w:lang w:eastAsia="ar-SA"/>
        </w:rPr>
        <w:t xml:space="preserve">elementem </w:t>
      </w:r>
      <w:r w:rsidRPr="0035160C">
        <w:rPr>
          <w:rFonts w:eastAsia="Times New Roman" w:cstheme="minorHAnsi"/>
          <w:b/>
          <w:bCs/>
          <w:color w:val="2F5496" w:themeColor="accent1" w:themeShade="BF"/>
          <w:lang w:eastAsia="ar-SA"/>
        </w:rPr>
        <w:t>p</w:t>
      </w:r>
      <w:r w:rsidR="00FE41AE" w:rsidRPr="0035160C">
        <w:rPr>
          <w:rFonts w:eastAsia="Times New Roman" w:cstheme="minorHAnsi"/>
          <w:b/>
          <w:bCs/>
          <w:color w:val="2F5496" w:themeColor="accent1" w:themeShade="BF"/>
          <w:lang w:eastAsia="ar-SA"/>
        </w:rPr>
        <w:t>roces</w:t>
      </w:r>
      <w:r w:rsidRPr="0035160C">
        <w:rPr>
          <w:rFonts w:eastAsia="Times New Roman" w:cstheme="minorHAnsi"/>
          <w:b/>
          <w:bCs/>
          <w:color w:val="2F5496" w:themeColor="accent1" w:themeShade="BF"/>
          <w:lang w:eastAsia="ar-SA"/>
        </w:rPr>
        <w:t>u</w:t>
      </w:r>
      <w:r w:rsidR="00FE41AE" w:rsidRPr="0035160C">
        <w:rPr>
          <w:rFonts w:eastAsia="Times New Roman" w:cstheme="minorHAnsi"/>
          <w:b/>
          <w:bCs/>
          <w:color w:val="2F5496" w:themeColor="accent1" w:themeShade="BF"/>
          <w:lang w:eastAsia="ar-SA"/>
        </w:rPr>
        <w:t xml:space="preserve"> poprawy jakości powietrza jest świadomość społeczna dotycząca negatywnego wpływu zanieczyszczeń powietrza na zdrowie </w:t>
      </w:r>
      <w:r w:rsidRPr="0035160C">
        <w:rPr>
          <w:rFonts w:eastAsia="Times New Roman" w:cstheme="minorHAnsi"/>
          <w:b/>
          <w:bCs/>
          <w:color w:val="2F5496" w:themeColor="accent1" w:themeShade="BF"/>
          <w:lang w:eastAsia="ar-SA"/>
        </w:rPr>
        <w:t>i komfort życia</w:t>
      </w:r>
      <w:r w:rsidR="00FE41AE" w:rsidRPr="0035160C">
        <w:rPr>
          <w:rFonts w:eastAsia="Times New Roman" w:cstheme="minorHAnsi"/>
          <w:b/>
          <w:bCs/>
          <w:color w:val="2F5496" w:themeColor="accent1" w:themeShade="BF"/>
          <w:lang w:eastAsia="ar-SA"/>
        </w:rPr>
        <w:t xml:space="preserve">, stan środowiska </w:t>
      </w:r>
      <w:r w:rsidRPr="0035160C">
        <w:rPr>
          <w:rFonts w:eastAsia="Times New Roman" w:cstheme="minorHAnsi"/>
          <w:b/>
          <w:bCs/>
          <w:color w:val="2F5496" w:themeColor="accent1" w:themeShade="BF"/>
          <w:lang w:eastAsia="ar-SA"/>
        </w:rPr>
        <w:t>naturalnego</w:t>
      </w:r>
      <w:r w:rsidR="00FE41AE" w:rsidRPr="0035160C">
        <w:rPr>
          <w:rFonts w:eastAsia="Times New Roman" w:cstheme="minorHAnsi"/>
          <w:lang w:eastAsia="ar-SA"/>
        </w:rPr>
        <w:t>.</w:t>
      </w:r>
      <w:r w:rsidR="00FE41AE" w:rsidRPr="0035160C">
        <w:rPr>
          <w:rFonts w:eastAsia="Times New Roman" w:cstheme="minorHAnsi"/>
          <w:b/>
          <w:bCs/>
          <w:lang w:eastAsia="ar-SA"/>
        </w:rPr>
        <w:t xml:space="preserve"> </w:t>
      </w:r>
      <w:r w:rsidR="00FE41AE" w:rsidRPr="0035160C">
        <w:rPr>
          <w:rFonts w:eastAsia="Times New Roman" w:cstheme="minorHAnsi"/>
          <w:bCs/>
          <w:lang w:eastAsia="ar-SA"/>
        </w:rPr>
        <w:t>Podniesienie świadomości społecznej w</w:t>
      </w:r>
      <w:r w:rsidR="004D340E" w:rsidRPr="0035160C">
        <w:rPr>
          <w:rFonts w:eastAsia="Times New Roman" w:cstheme="minorHAnsi"/>
          <w:bCs/>
          <w:lang w:eastAsia="ar-SA"/>
        </w:rPr>
        <w:t xml:space="preserve"> </w:t>
      </w:r>
      <w:r w:rsidR="00E415DF" w:rsidRPr="0035160C">
        <w:rPr>
          <w:rFonts w:eastAsia="Times New Roman" w:cstheme="minorHAnsi"/>
          <w:bCs/>
          <w:lang w:eastAsia="ar-SA"/>
        </w:rPr>
        <w:t xml:space="preserve">tym </w:t>
      </w:r>
      <w:r w:rsidR="00FE41AE" w:rsidRPr="0035160C">
        <w:rPr>
          <w:rFonts w:eastAsia="Times New Roman" w:cstheme="minorHAnsi"/>
          <w:bCs/>
          <w:lang w:eastAsia="ar-SA"/>
        </w:rPr>
        <w:t xml:space="preserve">zakresie powinno </w:t>
      </w:r>
      <w:r w:rsidR="00E415DF" w:rsidRPr="0035160C">
        <w:rPr>
          <w:rFonts w:eastAsia="Times New Roman" w:cstheme="minorHAnsi"/>
          <w:bCs/>
          <w:lang w:eastAsia="ar-SA"/>
        </w:rPr>
        <w:t xml:space="preserve">wpłynąć </w:t>
      </w:r>
      <w:r w:rsidR="00FE41AE" w:rsidRPr="0035160C">
        <w:rPr>
          <w:rFonts w:eastAsia="Times New Roman" w:cstheme="minorHAnsi"/>
          <w:bCs/>
          <w:lang w:eastAsia="ar-SA"/>
        </w:rPr>
        <w:t>przede wszystkim</w:t>
      </w:r>
      <w:r w:rsidR="00E415DF" w:rsidRPr="0035160C">
        <w:rPr>
          <w:rFonts w:eastAsia="Times New Roman" w:cstheme="minorHAnsi"/>
          <w:bCs/>
          <w:lang w:eastAsia="ar-SA"/>
        </w:rPr>
        <w:t xml:space="preserve"> na</w:t>
      </w:r>
      <w:r w:rsidR="00FE41AE" w:rsidRPr="0035160C">
        <w:rPr>
          <w:rFonts w:eastAsia="Times New Roman" w:cstheme="minorHAnsi"/>
          <w:bCs/>
          <w:lang w:eastAsia="ar-SA"/>
        </w:rPr>
        <w:t xml:space="preserve"> zmian</w:t>
      </w:r>
      <w:r w:rsidRPr="0035160C">
        <w:rPr>
          <w:rFonts w:eastAsia="Times New Roman" w:cstheme="minorHAnsi"/>
          <w:bCs/>
          <w:lang w:eastAsia="ar-SA"/>
        </w:rPr>
        <w:t>ę</w:t>
      </w:r>
      <w:r w:rsidR="00FE41AE" w:rsidRPr="0035160C">
        <w:rPr>
          <w:rFonts w:eastAsia="Times New Roman" w:cstheme="minorHAnsi"/>
          <w:bCs/>
          <w:lang w:eastAsia="ar-SA"/>
        </w:rPr>
        <w:t xml:space="preserve"> zachowań społeczeństwa, </w:t>
      </w:r>
      <w:r w:rsidR="0075035F" w:rsidRPr="0035160C">
        <w:rPr>
          <w:rFonts w:eastAsia="Times New Roman" w:cstheme="minorHAnsi"/>
          <w:bCs/>
          <w:lang w:eastAsia="ar-SA"/>
        </w:rPr>
        <w:t xml:space="preserve">powinno spowodować </w:t>
      </w:r>
      <w:r w:rsidR="00FE41AE" w:rsidRPr="0035160C">
        <w:rPr>
          <w:rFonts w:eastAsia="Times New Roman" w:cstheme="minorHAnsi"/>
          <w:bCs/>
          <w:lang w:eastAsia="ar-SA"/>
        </w:rPr>
        <w:t>wzrost zainteresowania i poparcia dla działań naprawczych oraz dla decyzji podejmowanych przez administrację szczebla wojewódzkiego i lokalnego.</w:t>
      </w:r>
    </w:p>
    <w:p w14:paraId="6C790DF0" w14:textId="1C29CF21" w:rsidR="0057102A" w:rsidRPr="0035160C" w:rsidRDefault="00E415DF" w:rsidP="004D340E">
      <w:pPr>
        <w:spacing w:line="276" w:lineRule="auto"/>
        <w:jc w:val="both"/>
        <w:rPr>
          <w:rFonts w:eastAsia="Times New Roman" w:cstheme="minorHAnsi"/>
          <w:lang w:eastAsia="ar-SA"/>
        </w:rPr>
      </w:pPr>
      <w:r w:rsidRPr="0035160C">
        <w:rPr>
          <w:rFonts w:eastAsia="Times New Roman" w:cstheme="minorHAnsi"/>
          <w:lang w:eastAsia="ar-SA"/>
        </w:rPr>
        <w:t>Tym samym</w:t>
      </w:r>
      <w:r w:rsidR="00FE41AE" w:rsidRPr="0035160C">
        <w:rPr>
          <w:rFonts w:eastAsia="Times New Roman" w:cstheme="minorHAnsi"/>
          <w:lang w:eastAsia="ar-SA"/>
        </w:rPr>
        <w:t xml:space="preserve">, na zlecenie Ministerstwa </w:t>
      </w:r>
      <w:r w:rsidR="00620517" w:rsidRPr="0035160C">
        <w:rPr>
          <w:rFonts w:eastAsia="Times New Roman" w:cstheme="minorHAnsi"/>
          <w:lang w:eastAsia="ar-SA"/>
        </w:rPr>
        <w:t xml:space="preserve">Klimatu i </w:t>
      </w:r>
      <w:r w:rsidR="00FE41AE" w:rsidRPr="0035160C">
        <w:rPr>
          <w:rFonts w:eastAsia="Times New Roman" w:cstheme="minorHAnsi"/>
          <w:lang w:eastAsia="ar-SA"/>
        </w:rPr>
        <w:t>Środowiska, w ramach przeprowadzanego cyklicznie co rok (w 20</w:t>
      </w:r>
      <w:r w:rsidR="00620517" w:rsidRPr="0035160C">
        <w:rPr>
          <w:rFonts w:eastAsia="Times New Roman" w:cstheme="minorHAnsi"/>
          <w:lang w:eastAsia="ar-SA"/>
        </w:rPr>
        <w:t>20</w:t>
      </w:r>
      <w:r w:rsidR="00FE41AE" w:rsidRPr="0035160C">
        <w:rPr>
          <w:rFonts w:eastAsia="Times New Roman" w:cstheme="minorHAnsi"/>
          <w:lang w:eastAsia="ar-SA"/>
        </w:rPr>
        <w:t xml:space="preserve"> r. po raz </w:t>
      </w:r>
      <w:r w:rsidR="00620517" w:rsidRPr="0035160C">
        <w:rPr>
          <w:rFonts w:eastAsia="Times New Roman" w:cstheme="minorHAnsi"/>
          <w:lang w:eastAsia="ar-SA"/>
        </w:rPr>
        <w:t>dziesiąty</w:t>
      </w:r>
      <w:r w:rsidR="00FE41AE" w:rsidRPr="0035160C">
        <w:rPr>
          <w:rFonts w:eastAsia="Times New Roman" w:cstheme="minorHAnsi"/>
          <w:lang w:eastAsia="ar-SA"/>
        </w:rPr>
        <w:t xml:space="preserve">) badania pt. </w:t>
      </w:r>
      <w:r w:rsidR="00FE41AE" w:rsidRPr="0035160C">
        <w:rPr>
          <w:rFonts w:eastAsia="Times New Roman" w:cstheme="minorHAnsi"/>
          <w:i/>
          <w:lang w:eastAsia="ar-SA"/>
        </w:rPr>
        <w:t>„Badanie świadomości i zachowań ekologicznych mieszkańców Polski”</w:t>
      </w:r>
      <w:r w:rsidR="00FE41AE" w:rsidRPr="0035160C">
        <w:rPr>
          <w:rFonts w:eastAsia="Times New Roman" w:cstheme="minorHAnsi"/>
          <w:vertAlign w:val="superscript"/>
          <w:lang w:eastAsia="ar-SA"/>
        </w:rPr>
        <w:footnoteReference w:id="32"/>
      </w:r>
      <w:r w:rsidR="00FE41AE" w:rsidRPr="0035160C">
        <w:rPr>
          <w:rFonts w:eastAsia="Times New Roman" w:cstheme="minorHAnsi"/>
          <w:lang w:eastAsia="ar-SA"/>
        </w:rPr>
        <w:t>, rozszer</w:t>
      </w:r>
      <w:r w:rsidR="00620517" w:rsidRPr="0035160C">
        <w:rPr>
          <w:rFonts w:eastAsia="Times New Roman" w:cstheme="minorHAnsi"/>
          <w:lang w:eastAsia="ar-SA"/>
        </w:rPr>
        <w:t>z</w:t>
      </w:r>
      <w:r w:rsidRPr="0035160C">
        <w:rPr>
          <w:rFonts w:eastAsia="Times New Roman" w:cstheme="minorHAnsi"/>
          <w:lang w:eastAsia="ar-SA"/>
        </w:rPr>
        <w:t>ono</w:t>
      </w:r>
      <w:r w:rsidR="00FE41AE" w:rsidRPr="0035160C">
        <w:rPr>
          <w:rFonts w:eastAsia="Times New Roman" w:cstheme="minorHAnsi"/>
          <w:lang w:eastAsia="ar-SA"/>
        </w:rPr>
        <w:t xml:space="preserve"> </w:t>
      </w:r>
      <w:r w:rsidR="0057102A" w:rsidRPr="0035160C">
        <w:rPr>
          <w:rFonts w:eastAsia="Times New Roman" w:cstheme="minorHAnsi"/>
          <w:lang w:eastAsia="ar-SA"/>
        </w:rPr>
        <w:t xml:space="preserve">jego </w:t>
      </w:r>
      <w:r w:rsidR="00FE41AE" w:rsidRPr="0035160C">
        <w:rPr>
          <w:rFonts w:eastAsia="Times New Roman" w:cstheme="minorHAnsi"/>
          <w:lang w:eastAsia="ar-SA"/>
        </w:rPr>
        <w:t xml:space="preserve">zakres o kwestie związane z problematyką jakości powietrza w Polsce. </w:t>
      </w:r>
      <w:r w:rsidR="0057102A" w:rsidRPr="0035160C">
        <w:rPr>
          <w:rFonts w:eastAsia="Times New Roman" w:cstheme="minorHAnsi"/>
          <w:lang w:eastAsia="ar-SA"/>
        </w:rPr>
        <w:t>Podkreślić należy, że badani</w:t>
      </w:r>
      <w:r w:rsidR="0084303D">
        <w:rPr>
          <w:rFonts w:eastAsia="Times New Roman" w:cstheme="minorHAnsi"/>
          <w:lang w:eastAsia="ar-SA"/>
        </w:rPr>
        <w:t xml:space="preserve">a są </w:t>
      </w:r>
      <w:r w:rsidR="0057102A" w:rsidRPr="0035160C">
        <w:rPr>
          <w:rFonts w:eastAsia="Times New Roman" w:cstheme="minorHAnsi"/>
          <w:lang w:eastAsia="ar-SA"/>
        </w:rPr>
        <w:t>jednotematyczne - co roku dotyczą innego obszaru, to jednak badania dotyczące obszaru jakości powietrza były realizowane stosunkowo bardzo często, tj. w latach: 2015, 2017, 2019 oraz w 2020.</w:t>
      </w:r>
    </w:p>
    <w:p w14:paraId="0B9A06E6" w14:textId="7CDF858D" w:rsidR="00103284" w:rsidRPr="0035160C" w:rsidRDefault="00103284" w:rsidP="00103284">
      <w:pPr>
        <w:suppressAutoHyphens/>
        <w:spacing w:before="120" w:after="0" w:line="276" w:lineRule="auto"/>
        <w:jc w:val="both"/>
        <w:rPr>
          <w:rFonts w:eastAsia="Times New Roman" w:cstheme="minorHAnsi"/>
          <w:lang w:eastAsia="ar-SA"/>
        </w:rPr>
      </w:pPr>
      <w:r w:rsidRPr="0035160C">
        <w:rPr>
          <w:rFonts w:eastAsia="Times New Roman" w:cstheme="minorHAnsi"/>
          <w:lang w:eastAsia="ar-SA"/>
        </w:rPr>
        <w:t xml:space="preserve">Badania świadomości w 2020 r. zrealizowano na reprezentatywnej próbie losowej mieszkańców Polski n=1015 – tracking, n=1005 – ad hoc w wieku 15+. Umożliwia ona uogólnienie wyników na badaną populację. Jednocześnie ze względu na pandemię COVID-19 badania w 2020 r. zrealizowano metodą CATI (wywiady telefoniczne), a nie jak w latach poprzednich - CAPI (wywiady bezpośrednie wspomagane komputerowo). Badanie prowadzone było w miesiącach: październik – listopad 2020 r. </w:t>
      </w:r>
    </w:p>
    <w:p w14:paraId="63C6D13A" w14:textId="0F1CD818" w:rsidR="0057102A" w:rsidRPr="0035160C" w:rsidRDefault="00103284" w:rsidP="00E415DF">
      <w:pPr>
        <w:suppressAutoHyphens/>
        <w:spacing w:before="120" w:after="0" w:line="276" w:lineRule="auto"/>
        <w:jc w:val="both"/>
        <w:rPr>
          <w:rFonts w:eastAsia="Times New Roman" w:cstheme="minorHAnsi"/>
          <w:lang w:eastAsia="ar-SA"/>
        </w:rPr>
      </w:pPr>
      <w:r w:rsidRPr="0035160C">
        <w:rPr>
          <w:rFonts w:eastAsia="Times New Roman" w:cstheme="minorHAnsi"/>
          <w:lang w:eastAsia="ar-SA"/>
        </w:rPr>
        <w:t>W badaniu</w:t>
      </w:r>
      <w:r w:rsidR="00536B41" w:rsidRPr="0035160C">
        <w:rPr>
          <w:rFonts w:eastAsia="Times New Roman" w:cstheme="minorHAnsi"/>
          <w:lang w:eastAsia="ar-SA"/>
        </w:rPr>
        <w:t xml:space="preserve"> przeprowadzonym w 2020 r.</w:t>
      </w:r>
      <w:r w:rsidRPr="0035160C">
        <w:rPr>
          <w:rFonts w:eastAsia="Times New Roman" w:cstheme="minorHAnsi"/>
          <w:lang w:eastAsia="ar-SA"/>
        </w:rPr>
        <w:t xml:space="preserve">, respondenci poproszeni o wskazanie trzech dziedzin, w których </w:t>
      </w:r>
      <w:r w:rsidR="00536B41" w:rsidRPr="0035160C">
        <w:rPr>
          <w:rFonts w:eastAsia="Times New Roman" w:cstheme="minorHAnsi"/>
          <w:lang w:eastAsia="ar-SA"/>
        </w:rPr>
        <w:t>Polska</w:t>
      </w:r>
      <w:r w:rsidRPr="0035160C">
        <w:rPr>
          <w:rFonts w:eastAsia="Times New Roman" w:cstheme="minorHAnsi"/>
          <w:lang w:eastAsia="ar-SA"/>
        </w:rPr>
        <w:t xml:space="preserve"> ma najwięcej problemów do rozwiązania, głównie podawali </w:t>
      </w:r>
      <w:r w:rsidRPr="0035160C">
        <w:rPr>
          <w:rFonts w:eastAsia="Times New Roman" w:cstheme="minorHAnsi"/>
          <w:b/>
          <w:bCs/>
          <w:color w:val="2F5496" w:themeColor="accent1" w:themeShade="BF"/>
          <w:lang w:eastAsia="ar-SA"/>
        </w:rPr>
        <w:t xml:space="preserve">ochronę środowiska </w:t>
      </w:r>
      <w:r w:rsidRPr="0035160C">
        <w:rPr>
          <w:rFonts w:eastAsia="Times New Roman" w:cstheme="minorHAnsi"/>
          <w:lang w:eastAsia="ar-SA"/>
        </w:rPr>
        <w:t xml:space="preserve">– tak wybrała ponad połowa mieszkańców Polski. Na drugim miejscu znalazła się </w:t>
      </w:r>
      <w:r w:rsidRPr="0035160C">
        <w:rPr>
          <w:rFonts w:eastAsia="Times New Roman" w:cstheme="minorHAnsi"/>
          <w:b/>
          <w:bCs/>
          <w:color w:val="2F5496" w:themeColor="accent1" w:themeShade="BF"/>
          <w:lang w:eastAsia="ar-SA"/>
        </w:rPr>
        <w:t xml:space="preserve">ochrona zdrowia </w:t>
      </w:r>
      <w:r w:rsidRPr="0035160C">
        <w:rPr>
          <w:rFonts w:eastAsia="Times New Roman" w:cstheme="minorHAnsi"/>
          <w:lang w:eastAsia="ar-SA"/>
        </w:rPr>
        <w:t>(48%), a</w:t>
      </w:r>
      <w:r w:rsidR="00536B41" w:rsidRPr="0035160C">
        <w:rPr>
          <w:rFonts w:eastAsia="Times New Roman" w:cstheme="minorHAnsi"/>
          <w:lang w:eastAsia="ar-SA"/>
        </w:rPr>
        <w:t> </w:t>
      </w:r>
      <w:r w:rsidRPr="0035160C">
        <w:rPr>
          <w:rFonts w:eastAsia="Times New Roman" w:cstheme="minorHAnsi"/>
          <w:lang w:eastAsia="ar-SA"/>
        </w:rPr>
        <w:t xml:space="preserve">jedna piąta badanych wybrała </w:t>
      </w:r>
      <w:r w:rsidRPr="0035160C">
        <w:rPr>
          <w:rFonts w:eastAsia="Times New Roman" w:cstheme="minorHAnsi"/>
          <w:b/>
          <w:bCs/>
          <w:color w:val="2F5496" w:themeColor="accent1" w:themeShade="BF"/>
          <w:lang w:eastAsia="ar-SA"/>
        </w:rPr>
        <w:t>gospodarkę</w:t>
      </w:r>
      <w:r w:rsidR="00B93CC2" w:rsidRPr="0035160C">
        <w:rPr>
          <w:rFonts w:eastAsia="Times New Roman" w:cstheme="minorHAnsi"/>
          <w:lang w:eastAsia="ar-SA"/>
        </w:rPr>
        <w:t xml:space="preserve"> </w:t>
      </w:r>
      <w:r w:rsidRPr="0035160C">
        <w:rPr>
          <w:rFonts w:eastAsia="Times New Roman" w:cstheme="minorHAnsi"/>
          <w:lang w:eastAsia="ar-SA"/>
        </w:rPr>
        <w:t>–</w:t>
      </w:r>
      <w:r w:rsidR="00B93CC2" w:rsidRPr="0035160C">
        <w:rPr>
          <w:rFonts w:eastAsia="Times New Roman" w:cstheme="minorHAnsi"/>
          <w:lang w:eastAsia="ar-SA"/>
        </w:rPr>
        <w:t xml:space="preserve"> </w:t>
      </w:r>
      <w:r w:rsidRPr="0035160C">
        <w:rPr>
          <w:rFonts w:eastAsia="Times New Roman" w:cstheme="minorHAnsi"/>
          <w:lang w:eastAsia="ar-SA"/>
        </w:rPr>
        <w:t>rozwój ekonomiczny.</w:t>
      </w:r>
    </w:p>
    <w:p w14:paraId="6C57EBCA" w14:textId="18F56666" w:rsidR="00D568CE" w:rsidRPr="0035160C" w:rsidRDefault="00103284" w:rsidP="00D568CE">
      <w:pPr>
        <w:suppressAutoHyphens/>
        <w:spacing w:before="120" w:after="0" w:line="276" w:lineRule="auto"/>
        <w:jc w:val="both"/>
        <w:rPr>
          <w:rFonts w:eastAsia="Times New Roman" w:cstheme="minorHAnsi"/>
          <w:lang w:eastAsia="ar-SA"/>
        </w:rPr>
      </w:pPr>
      <w:r w:rsidRPr="0035160C">
        <w:rPr>
          <w:rFonts w:eastAsia="Times New Roman" w:cstheme="minorHAnsi"/>
          <w:lang w:eastAsia="ar-SA"/>
        </w:rPr>
        <w:t xml:space="preserve">W przypadku problemów środowiska naturalnego największym problemem jest </w:t>
      </w:r>
      <w:r w:rsidRPr="0035160C">
        <w:rPr>
          <w:rFonts w:eastAsia="Times New Roman" w:cstheme="minorHAnsi"/>
          <w:b/>
          <w:bCs/>
          <w:color w:val="2F5496" w:themeColor="accent1" w:themeShade="BF"/>
          <w:lang w:eastAsia="ar-SA"/>
        </w:rPr>
        <w:t>zanieczyszczenie powietrza</w:t>
      </w:r>
      <w:r w:rsidRPr="0035160C">
        <w:rPr>
          <w:rFonts w:eastAsia="Times New Roman" w:cstheme="minorHAnsi"/>
          <w:lang w:eastAsia="ar-SA"/>
        </w:rPr>
        <w:t>, problem śmieci i zanieczyszczenie wód, problemy z wodą.</w:t>
      </w:r>
      <w:r w:rsidR="00D568CE" w:rsidRPr="0035160C">
        <w:rPr>
          <w:rFonts w:cs="Calibri"/>
          <w:color w:val="000000"/>
          <w:sz w:val="28"/>
          <w:szCs w:val="28"/>
        </w:rPr>
        <w:t xml:space="preserve"> </w:t>
      </w:r>
      <w:r w:rsidR="00D568CE" w:rsidRPr="0035160C">
        <w:rPr>
          <w:rFonts w:eastAsia="Times New Roman" w:cstheme="minorHAnsi"/>
          <w:lang w:eastAsia="ar-SA"/>
        </w:rPr>
        <w:t xml:space="preserve">Mieszkańcy Polski niezmiennie od 2011 r. </w:t>
      </w:r>
      <w:r w:rsidR="00D568CE" w:rsidRPr="0035160C">
        <w:rPr>
          <w:rFonts w:eastAsia="Times New Roman" w:cstheme="minorHAnsi"/>
          <w:b/>
          <w:bCs/>
          <w:color w:val="2F5496" w:themeColor="accent1" w:themeShade="BF"/>
          <w:lang w:eastAsia="ar-SA"/>
        </w:rPr>
        <w:t>lepiej oceniają obecny stan środowiska</w:t>
      </w:r>
      <w:r w:rsidR="00D568CE" w:rsidRPr="0035160C">
        <w:rPr>
          <w:rFonts w:eastAsia="Times New Roman" w:cstheme="minorHAnsi"/>
          <w:color w:val="2F5496" w:themeColor="accent1" w:themeShade="BF"/>
          <w:lang w:eastAsia="ar-SA"/>
        </w:rPr>
        <w:t xml:space="preserve"> </w:t>
      </w:r>
      <w:r w:rsidR="00D568CE" w:rsidRPr="0035160C">
        <w:rPr>
          <w:rFonts w:eastAsia="Times New Roman" w:cstheme="minorHAnsi"/>
          <w:b/>
          <w:bCs/>
          <w:color w:val="2F5496" w:themeColor="accent1" w:themeShade="BF"/>
          <w:lang w:eastAsia="ar-SA"/>
        </w:rPr>
        <w:t>w swojej okolicy zamieszkania</w:t>
      </w:r>
      <w:r w:rsidR="00D568CE" w:rsidRPr="0035160C">
        <w:rPr>
          <w:rFonts w:eastAsia="Times New Roman" w:cstheme="minorHAnsi"/>
          <w:color w:val="2F5496" w:themeColor="accent1" w:themeShade="BF"/>
          <w:lang w:eastAsia="ar-SA"/>
        </w:rPr>
        <w:t xml:space="preserve"> </w:t>
      </w:r>
      <w:r w:rsidR="00D568CE" w:rsidRPr="0035160C">
        <w:rPr>
          <w:rFonts w:eastAsia="Times New Roman" w:cstheme="minorHAnsi"/>
          <w:lang w:eastAsia="ar-SA"/>
        </w:rPr>
        <w:t>niż ogólnie w kraju.</w:t>
      </w:r>
    </w:p>
    <w:p w14:paraId="415DFB03" w14:textId="7FB0DDBB" w:rsidR="00127DA3" w:rsidRPr="0035160C" w:rsidRDefault="00127DA3" w:rsidP="00D568CE">
      <w:pPr>
        <w:suppressAutoHyphens/>
        <w:spacing w:before="120" w:after="0" w:line="276" w:lineRule="auto"/>
        <w:jc w:val="both"/>
        <w:rPr>
          <w:rFonts w:eastAsia="Times New Roman" w:cstheme="minorHAnsi"/>
          <w:lang w:eastAsia="ar-SA"/>
        </w:rPr>
      </w:pPr>
      <w:r w:rsidRPr="0035160C">
        <w:rPr>
          <w:rFonts w:eastAsia="Times New Roman" w:cstheme="minorHAnsi"/>
          <w:noProof/>
          <w:lang w:eastAsia="pl-PL"/>
        </w:rPr>
        <w:lastRenderedPageBreak/>
        <w:drawing>
          <wp:inline distT="0" distB="0" distL="0" distR="0" wp14:anchorId="3F374BFD" wp14:editId="281BFA0E">
            <wp:extent cx="5760720" cy="393192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760720" cy="3931920"/>
                    </a:xfrm>
                    <a:prstGeom prst="rect">
                      <a:avLst/>
                    </a:prstGeom>
                  </pic:spPr>
                </pic:pic>
              </a:graphicData>
            </a:graphic>
          </wp:inline>
        </w:drawing>
      </w:r>
    </w:p>
    <w:p w14:paraId="217B8B61" w14:textId="77777777" w:rsidR="00127DA3" w:rsidRPr="0035160C" w:rsidRDefault="00127DA3" w:rsidP="00127DA3">
      <w:pPr>
        <w:suppressAutoHyphens/>
        <w:spacing w:before="120" w:after="0" w:line="276" w:lineRule="auto"/>
        <w:jc w:val="both"/>
        <w:rPr>
          <w:rFonts w:eastAsia="Times New Roman" w:cstheme="minorHAnsi"/>
          <w:lang w:eastAsia="ar-SA"/>
        </w:rPr>
      </w:pPr>
    </w:p>
    <w:p w14:paraId="1B9EBA71" w14:textId="51F370B4" w:rsidR="00127DA3" w:rsidRPr="0035160C" w:rsidRDefault="00127DA3" w:rsidP="00127DA3">
      <w:pPr>
        <w:suppressAutoHyphens/>
        <w:spacing w:before="120" w:after="0" w:line="276" w:lineRule="auto"/>
        <w:jc w:val="both"/>
        <w:rPr>
          <w:rFonts w:eastAsia="Times New Roman" w:cstheme="minorHAnsi"/>
          <w:lang w:eastAsia="ar-SA"/>
        </w:rPr>
      </w:pPr>
      <w:r w:rsidRPr="0035160C">
        <w:rPr>
          <w:rFonts w:eastAsia="Times New Roman" w:cstheme="minorHAnsi"/>
          <w:lang w:eastAsia="ar-SA"/>
        </w:rPr>
        <w:t xml:space="preserve">Najczęściej wskazywanym </w:t>
      </w:r>
      <w:r w:rsidRPr="0035160C">
        <w:rPr>
          <w:rFonts w:eastAsia="Times New Roman" w:cstheme="minorHAnsi"/>
          <w:b/>
          <w:bCs/>
          <w:color w:val="2F5496" w:themeColor="accent1" w:themeShade="BF"/>
          <w:lang w:eastAsia="ar-SA"/>
        </w:rPr>
        <w:t>powodem, dla którego warto chronić środowisko, jest troska o przyszłe pokolenia</w:t>
      </w:r>
      <w:r w:rsidRPr="0035160C">
        <w:rPr>
          <w:rFonts w:eastAsia="Times New Roman" w:cstheme="minorHAnsi"/>
          <w:lang w:eastAsia="ar-SA"/>
        </w:rPr>
        <w:t xml:space="preserve">. Ten powód wybrało prawie trzy czwarte badanych (73%) i jest to najwyższy uzyskany wynik na przestrzeni wszystkich edycji badania. Na drugim miejscu z wynikiem 63% znalazła się </w:t>
      </w:r>
      <w:r w:rsidRPr="0035160C">
        <w:rPr>
          <w:rFonts w:eastAsia="Times New Roman" w:cstheme="minorHAnsi"/>
          <w:b/>
          <w:bCs/>
          <w:color w:val="2F5496" w:themeColor="accent1" w:themeShade="BF"/>
          <w:lang w:eastAsia="ar-SA"/>
        </w:rPr>
        <w:t>dbałość i troska o zdrowie człowieka</w:t>
      </w:r>
      <w:r w:rsidRPr="0035160C">
        <w:rPr>
          <w:rFonts w:eastAsia="Times New Roman" w:cstheme="minorHAnsi"/>
          <w:lang w:eastAsia="ar-SA"/>
        </w:rPr>
        <w:t>. Przyroda jako wartość sama w sobie</w:t>
      </w:r>
      <w:r w:rsidR="0075035F" w:rsidRPr="0035160C">
        <w:rPr>
          <w:rFonts w:eastAsia="Times New Roman" w:cstheme="minorHAnsi"/>
          <w:lang w:eastAsia="ar-SA"/>
        </w:rPr>
        <w:t>,</w:t>
      </w:r>
      <w:r w:rsidRPr="0035160C">
        <w:rPr>
          <w:rFonts w:eastAsia="Times New Roman" w:cstheme="minorHAnsi"/>
          <w:lang w:eastAsia="ar-SA"/>
        </w:rPr>
        <w:t xml:space="preserve"> to powód wybrany przez prawie połowę (49%) –wynik ten jest również najwyższy pośród wszystkich edycji. Co dziesiąty respondent wskazał oszczędność i względy ekonomiczne.</w:t>
      </w:r>
    </w:p>
    <w:p w14:paraId="33634F5A" w14:textId="26136FE1" w:rsidR="00127DA3" w:rsidRPr="0035160C" w:rsidRDefault="00127DA3" w:rsidP="00127DA3">
      <w:pPr>
        <w:suppressAutoHyphens/>
        <w:spacing w:before="120" w:after="0" w:line="276" w:lineRule="auto"/>
        <w:jc w:val="both"/>
        <w:rPr>
          <w:rFonts w:eastAsia="Times New Roman" w:cstheme="minorHAnsi"/>
          <w:lang w:eastAsia="ar-SA"/>
        </w:rPr>
      </w:pPr>
      <w:r w:rsidRPr="0035160C">
        <w:rPr>
          <w:rFonts w:eastAsia="Times New Roman" w:cstheme="minorHAnsi"/>
          <w:lang w:eastAsia="ar-SA"/>
        </w:rPr>
        <w:t xml:space="preserve">W opinii respondentów </w:t>
      </w:r>
      <w:r w:rsidRPr="0035160C">
        <w:rPr>
          <w:rFonts w:eastAsia="Times New Roman" w:cstheme="minorHAnsi"/>
          <w:b/>
          <w:bCs/>
          <w:color w:val="2F5496" w:themeColor="accent1" w:themeShade="BF"/>
          <w:lang w:eastAsia="ar-SA"/>
        </w:rPr>
        <w:t>stan środowiska w największym stopniu zależy od aktywności każdego z nas</w:t>
      </w:r>
      <w:r w:rsidRPr="0035160C">
        <w:rPr>
          <w:rFonts w:eastAsia="Times New Roman" w:cstheme="minorHAnsi"/>
          <w:color w:val="2F5496" w:themeColor="accent1" w:themeShade="BF"/>
          <w:lang w:eastAsia="ar-SA"/>
        </w:rPr>
        <w:t xml:space="preserve"> </w:t>
      </w:r>
      <w:r w:rsidRPr="0035160C">
        <w:rPr>
          <w:rFonts w:eastAsia="Times New Roman" w:cstheme="minorHAnsi"/>
          <w:lang w:eastAsia="ar-SA"/>
        </w:rPr>
        <w:t>(69%). Jedna piąta rozmówców (21%) uważa, że od położenia przez Rząd RP nacisku na sprawy ochron</w:t>
      </w:r>
      <w:r w:rsidR="002D59CB">
        <w:rPr>
          <w:rFonts w:eastAsia="Times New Roman" w:cstheme="minorHAnsi"/>
          <w:lang w:eastAsia="ar-SA"/>
        </w:rPr>
        <w:t>ę</w:t>
      </w:r>
      <w:r w:rsidRPr="0035160C">
        <w:rPr>
          <w:rFonts w:eastAsia="Times New Roman" w:cstheme="minorHAnsi"/>
          <w:lang w:eastAsia="ar-SA"/>
        </w:rPr>
        <w:t xml:space="preserve"> środowiska, a 13% twierdzi, że od uznania przez nasze społeczeństwo kwestii środowiska za ważny problem.</w:t>
      </w:r>
    </w:p>
    <w:p w14:paraId="76B18AB9" w14:textId="3A469443" w:rsidR="00127DA3" w:rsidRPr="0035160C" w:rsidRDefault="00127DA3" w:rsidP="00127DA3">
      <w:pPr>
        <w:suppressAutoHyphens/>
        <w:spacing w:before="120" w:after="0" w:line="276" w:lineRule="auto"/>
        <w:jc w:val="both"/>
        <w:rPr>
          <w:rFonts w:eastAsia="Times New Roman" w:cstheme="minorHAnsi"/>
          <w:lang w:eastAsia="ar-SA"/>
        </w:rPr>
      </w:pPr>
      <w:r w:rsidRPr="0035160C">
        <w:rPr>
          <w:rFonts w:eastAsia="Times New Roman" w:cstheme="minorHAnsi"/>
          <w:lang w:eastAsia="ar-SA"/>
        </w:rPr>
        <w:t xml:space="preserve">Mieszkańcy Polski o sprawach dotyczących środowiska na ogół dowiadują się z </w:t>
      </w:r>
      <w:r w:rsidR="00B91399">
        <w:rPr>
          <w:rFonts w:eastAsia="Times New Roman" w:cstheme="minorHAnsi"/>
          <w:lang w:eastAsia="ar-SA"/>
        </w:rPr>
        <w:t>I</w:t>
      </w:r>
      <w:r w:rsidR="00B91399" w:rsidRPr="0035160C">
        <w:rPr>
          <w:rFonts w:eastAsia="Times New Roman" w:cstheme="minorHAnsi"/>
          <w:lang w:eastAsia="ar-SA"/>
        </w:rPr>
        <w:t>nternetu</w:t>
      </w:r>
      <w:r w:rsidRPr="0035160C">
        <w:rPr>
          <w:rFonts w:eastAsia="Times New Roman" w:cstheme="minorHAnsi"/>
          <w:lang w:eastAsia="ar-SA"/>
        </w:rPr>
        <w:t xml:space="preserve"> (73%), z telewizji (65%) i z prasy (27%). Z badań wynika, że większość respondentów badania jest zdania, iż o kształtowanie postaw i zachowań ekologicznych społeczeństwa przede wszystkim powinna dbać władza centralna, czyli rząd (44%) oraz szkoła (40%). Co trzeci respondent wskazał, że każdy indywidualnie. W dalszej kolejności znalazła się rodzina (29%) oraz władze samorządowe i wojewódzkie (28%).</w:t>
      </w:r>
    </w:p>
    <w:p w14:paraId="6C7B22DB" w14:textId="77777777" w:rsidR="00D568CE" w:rsidRPr="0035160C" w:rsidRDefault="00D568CE" w:rsidP="00D568CE">
      <w:pPr>
        <w:suppressAutoHyphens/>
        <w:spacing w:before="120" w:after="0" w:line="276" w:lineRule="auto"/>
        <w:jc w:val="both"/>
        <w:rPr>
          <w:rFonts w:eastAsia="Times New Roman" w:cstheme="minorHAnsi"/>
          <w:lang w:eastAsia="ar-SA"/>
        </w:rPr>
      </w:pPr>
      <w:r w:rsidRPr="0035160C">
        <w:rPr>
          <w:rFonts w:eastAsia="Times New Roman" w:cstheme="minorHAnsi"/>
          <w:lang w:eastAsia="ar-SA"/>
        </w:rPr>
        <w:t xml:space="preserve">Za największy powód zanieczyszczenia powietrza w Polsce respondenci uznali </w:t>
      </w:r>
      <w:r w:rsidRPr="0035160C">
        <w:rPr>
          <w:rFonts w:eastAsia="Times New Roman" w:cstheme="minorHAnsi"/>
          <w:b/>
          <w:bCs/>
          <w:color w:val="2F5496" w:themeColor="accent1" w:themeShade="BF"/>
          <w:lang w:eastAsia="ar-SA"/>
        </w:rPr>
        <w:t>emisję z indywidualnych źródeł</w:t>
      </w:r>
      <w:r w:rsidRPr="0035160C">
        <w:rPr>
          <w:rFonts w:eastAsia="Times New Roman" w:cstheme="minorHAnsi"/>
          <w:lang w:eastAsia="ar-SA"/>
        </w:rPr>
        <w:t>, czyli pieców domowych. Z roku na rok zmniejsza się ważność emisji z dużych obiektów energetycznych spalania, fabryk itp.</w:t>
      </w:r>
    </w:p>
    <w:p w14:paraId="6E6B287D" w14:textId="77777777" w:rsidR="004D0B39" w:rsidRPr="0035160C" w:rsidRDefault="004D0B39" w:rsidP="004D0B39">
      <w:pPr>
        <w:suppressAutoHyphens/>
        <w:spacing w:before="120" w:after="0" w:line="276" w:lineRule="auto"/>
        <w:jc w:val="both"/>
        <w:rPr>
          <w:rFonts w:eastAsia="Times New Roman" w:cstheme="minorHAnsi"/>
          <w:lang w:eastAsia="ar-SA"/>
        </w:rPr>
      </w:pPr>
    </w:p>
    <w:p w14:paraId="1FFD3813" w14:textId="7EFCADE8" w:rsidR="004D0B39" w:rsidRPr="0035160C" w:rsidRDefault="004D0B39" w:rsidP="004D0B39">
      <w:pPr>
        <w:suppressAutoHyphens/>
        <w:spacing w:before="120" w:after="0" w:line="276" w:lineRule="auto"/>
        <w:jc w:val="both"/>
        <w:rPr>
          <w:rFonts w:eastAsia="Times New Roman" w:cstheme="minorHAnsi"/>
          <w:lang w:eastAsia="ar-SA"/>
        </w:rPr>
      </w:pPr>
      <w:r w:rsidRPr="0035160C">
        <w:rPr>
          <w:rFonts w:eastAsia="Times New Roman" w:cstheme="minorHAnsi"/>
          <w:lang w:eastAsia="ar-SA"/>
        </w:rPr>
        <w:lastRenderedPageBreak/>
        <w:t>Z badań wynika, że najczęstszym powodem złej jakości powietrza w opinii respondentów jest emisja z pieców domowych. Biorąc pod uwagę wszystkie edycje badania ten powód po raz pierwszy znalazł się na najwyższym miejscu.</w:t>
      </w:r>
    </w:p>
    <w:p w14:paraId="505D03B3" w14:textId="4FCF190E" w:rsidR="004D0B39" w:rsidRPr="0035160C" w:rsidRDefault="004D0B39" w:rsidP="004D0B39">
      <w:pPr>
        <w:suppressAutoHyphens/>
        <w:spacing w:before="120" w:after="0" w:line="276" w:lineRule="auto"/>
        <w:jc w:val="both"/>
        <w:rPr>
          <w:rFonts w:eastAsia="Times New Roman" w:cstheme="minorHAnsi"/>
          <w:lang w:eastAsia="ar-SA"/>
        </w:rPr>
      </w:pPr>
      <w:r w:rsidRPr="0035160C">
        <w:rPr>
          <w:rFonts w:eastAsia="Times New Roman" w:cstheme="minorHAnsi"/>
          <w:lang w:eastAsia="ar-SA"/>
        </w:rPr>
        <w:t>Podłączenie do sieci ciepłowniczej niezmiennie jest głównym rodzajem ogrzewania i stosuje je 31% badanych</w:t>
      </w:r>
      <w:r w:rsidR="00332FF0" w:rsidRPr="0035160C">
        <w:rPr>
          <w:rFonts w:eastAsia="Times New Roman" w:cstheme="minorHAnsi"/>
          <w:lang w:eastAsia="ar-SA"/>
        </w:rPr>
        <w:t xml:space="preserve"> (wynika to zapewne z faktu, że respondentami w większości przypadków były osoby zamieszkujące w zabudowie wielorodzinnej oraz w miastach)</w:t>
      </w:r>
      <w:r w:rsidRPr="0035160C">
        <w:rPr>
          <w:rFonts w:eastAsia="Times New Roman" w:cstheme="minorHAnsi"/>
          <w:lang w:eastAsia="ar-SA"/>
        </w:rPr>
        <w:t xml:space="preserve">. Nieco mniej, bo 28% respondentów, ogrzewa gospodarstwo domowe gazem. </w:t>
      </w:r>
      <w:r w:rsidRPr="0035160C">
        <w:rPr>
          <w:rFonts w:eastAsia="Times New Roman" w:cstheme="minorHAnsi"/>
          <w:b/>
          <w:bCs/>
          <w:color w:val="2F5496" w:themeColor="accent1" w:themeShade="BF"/>
          <w:lang w:eastAsia="ar-SA"/>
        </w:rPr>
        <w:t>W porównaniu do 2018 r. największy spadek wskazań odnotował węgiel. W 2018 r. z tego rodzaju ogrzewania korzystało 35%, a obecnie jest to 14%</w:t>
      </w:r>
      <w:r w:rsidRPr="0035160C">
        <w:rPr>
          <w:rFonts w:eastAsia="Times New Roman" w:cstheme="minorHAnsi"/>
          <w:color w:val="2F5496" w:themeColor="accent1" w:themeShade="BF"/>
          <w:lang w:eastAsia="ar-SA"/>
        </w:rPr>
        <w:t xml:space="preserve"> </w:t>
      </w:r>
      <w:r w:rsidRPr="0035160C">
        <w:rPr>
          <w:rFonts w:eastAsia="Times New Roman" w:cstheme="minorHAnsi"/>
          <w:lang w:eastAsia="ar-SA"/>
        </w:rPr>
        <w:t>(różnica 21 p.p.).</w:t>
      </w:r>
    </w:p>
    <w:p w14:paraId="5BB76054" w14:textId="718FAD0B" w:rsidR="004D0B39" w:rsidRPr="0035160C" w:rsidRDefault="004D0B39" w:rsidP="004D0B39">
      <w:pPr>
        <w:suppressAutoHyphens/>
        <w:spacing w:before="120" w:after="0" w:line="276" w:lineRule="auto"/>
        <w:jc w:val="both"/>
        <w:rPr>
          <w:rFonts w:eastAsia="Times New Roman" w:cstheme="minorHAnsi"/>
          <w:b/>
          <w:bCs/>
          <w:color w:val="4472C4" w:themeColor="accent1"/>
          <w:lang w:eastAsia="ar-SA"/>
        </w:rPr>
      </w:pPr>
      <w:r w:rsidRPr="0035160C">
        <w:rPr>
          <w:rFonts w:eastAsia="Times New Roman" w:cstheme="minorHAnsi"/>
          <w:lang w:eastAsia="ar-SA"/>
        </w:rPr>
        <w:t>Ponad połowa osób korzystających z</w:t>
      </w:r>
      <w:r w:rsidR="00826CF1" w:rsidRPr="0035160C">
        <w:rPr>
          <w:rFonts w:eastAsia="Times New Roman" w:cstheme="minorHAnsi"/>
          <w:lang w:eastAsia="ar-SA"/>
        </w:rPr>
        <w:t xml:space="preserve"> </w:t>
      </w:r>
      <w:r w:rsidRPr="0035160C">
        <w:rPr>
          <w:rFonts w:eastAsia="Times New Roman" w:cstheme="minorHAnsi"/>
          <w:lang w:eastAsia="ar-SA"/>
        </w:rPr>
        <w:t>węgla lub pelletu/brykietu deklaruje chęć zmiany swojego pieca na bardziej ekologiczne źródło energii –</w:t>
      </w:r>
      <w:r w:rsidR="00332FF0" w:rsidRPr="0035160C">
        <w:rPr>
          <w:rFonts w:eastAsia="Times New Roman" w:cstheme="minorHAnsi"/>
          <w:lang w:eastAsia="ar-SA"/>
        </w:rPr>
        <w:t xml:space="preserve"> </w:t>
      </w:r>
      <w:r w:rsidRPr="0035160C">
        <w:rPr>
          <w:rFonts w:eastAsia="Times New Roman" w:cstheme="minorHAnsi"/>
          <w:lang w:eastAsia="ar-SA"/>
        </w:rPr>
        <w:t xml:space="preserve">58%. Natomiast </w:t>
      </w:r>
      <w:r w:rsidRPr="0035160C">
        <w:rPr>
          <w:rFonts w:eastAsia="Times New Roman" w:cstheme="minorHAnsi"/>
          <w:b/>
          <w:bCs/>
          <w:color w:val="2F5496" w:themeColor="accent1" w:themeShade="BF"/>
          <w:lang w:eastAsia="ar-SA"/>
        </w:rPr>
        <w:t>wśród najczęstszych powodów nie wymienienia swojego pieca na bardziej ekologiczne źródło energii badani</w:t>
      </w:r>
      <w:r w:rsidR="002D59CB">
        <w:rPr>
          <w:rFonts w:eastAsia="Times New Roman" w:cstheme="minorHAnsi"/>
          <w:b/>
          <w:bCs/>
          <w:color w:val="2F5496" w:themeColor="accent1" w:themeShade="BF"/>
          <w:lang w:eastAsia="ar-SA"/>
        </w:rPr>
        <w:t xml:space="preserve"> wskazali</w:t>
      </w:r>
      <w:r w:rsidRPr="0035160C">
        <w:rPr>
          <w:rFonts w:eastAsia="Times New Roman" w:cstheme="minorHAnsi"/>
          <w:b/>
          <w:bCs/>
          <w:color w:val="2F5496" w:themeColor="accent1" w:themeShade="BF"/>
          <w:lang w:eastAsia="ar-SA"/>
        </w:rPr>
        <w:t>, że jest to kosztowna inwestycja</w:t>
      </w:r>
      <w:r w:rsidRPr="0035160C">
        <w:rPr>
          <w:rFonts w:eastAsia="Times New Roman" w:cstheme="minorHAnsi"/>
          <w:lang w:eastAsia="ar-SA"/>
        </w:rPr>
        <w:t xml:space="preserve"> (28%).</w:t>
      </w:r>
      <w:r w:rsidR="00332FF0" w:rsidRPr="0035160C">
        <w:rPr>
          <w:rFonts w:eastAsia="Times New Roman" w:cstheme="minorHAnsi"/>
          <w:lang w:eastAsia="ar-SA"/>
        </w:rPr>
        <w:t xml:space="preserve"> </w:t>
      </w:r>
    </w:p>
    <w:p w14:paraId="24F76E41" w14:textId="1BCAD370" w:rsidR="004D0B39" w:rsidRPr="0035160C" w:rsidRDefault="00332FF0" w:rsidP="004D0B39">
      <w:pPr>
        <w:suppressAutoHyphens/>
        <w:spacing w:before="120" w:after="0" w:line="276" w:lineRule="auto"/>
        <w:jc w:val="both"/>
        <w:rPr>
          <w:rFonts w:eastAsia="Times New Roman" w:cstheme="minorHAnsi"/>
          <w:b/>
          <w:bCs/>
          <w:color w:val="2F5496" w:themeColor="accent1" w:themeShade="BF"/>
          <w:lang w:eastAsia="ar-SA"/>
        </w:rPr>
      </w:pPr>
      <w:r w:rsidRPr="0035160C">
        <w:rPr>
          <w:rFonts w:eastAsia="Times New Roman" w:cstheme="minorHAnsi"/>
          <w:lang w:eastAsia="ar-SA"/>
        </w:rPr>
        <w:t xml:space="preserve">Wykształcenie nie różnicuje wyboru najważniejszych powodów złej jakości powietrza. </w:t>
      </w:r>
      <w:r w:rsidRPr="0035160C">
        <w:rPr>
          <w:rFonts w:eastAsia="Times New Roman" w:cstheme="minorHAnsi"/>
          <w:b/>
          <w:bCs/>
          <w:color w:val="2F5496" w:themeColor="accent1" w:themeShade="BF"/>
          <w:lang w:eastAsia="ar-SA"/>
        </w:rPr>
        <w:t>Osoby z wykształceniem wyższym istotnie rzadziej niż pozostali, jako główny rodzaj ogrzewania stosują węgiel oraz drewno. W przypadku działań, jakie należy stosować, aby poprawić powietrze osoby z wyższym wykształceniem częściej niż osoby ze średnim wykształceniem, wybierały: wprowadzenie systemów rowerowych, obniżenie cen energooszczędnych instalacji, ostrzejsze regulacje prawne oraz lepszą edukację.</w:t>
      </w:r>
    </w:p>
    <w:p w14:paraId="5FD5FC09" w14:textId="72DE018C" w:rsidR="00332FF0" w:rsidRPr="0035160C" w:rsidRDefault="00332FF0" w:rsidP="004D0B39">
      <w:pPr>
        <w:suppressAutoHyphens/>
        <w:spacing w:before="120" w:after="0" w:line="276" w:lineRule="auto"/>
        <w:jc w:val="both"/>
        <w:rPr>
          <w:rFonts w:eastAsia="Times New Roman" w:cstheme="minorHAnsi"/>
          <w:lang w:eastAsia="ar-SA"/>
        </w:rPr>
      </w:pPr>
      <w:r w:rsidRPr="0035160C">
        <w:rPr>
          <w:rFonts w:eastAsia="Times New Roman" w:cstheme="minorHAnsi"/>
          <w:b/>
          <w:bCs/>
          <w:color w:val="2F5496" w:themeColor="accent1" w:themeShade="BF"/>
          <w:lang w:eastAsia="ar-SA"/>
        </w:rPr>
        <w:t>Gospodarstwa z dochodami do 1500 zł na 1 członka rodziny jako najważniejszy powód złej jakości powietrza częściej wybierały emisję z transportu samochodowego, a gospodarstwa z dochodami powyżej 2500 zł –</w:t>
      </w:r>
      <w:r w:rsidR="002D59CB">
        <w:rPr>
          <w:rFonts w:eastAsia="Times New Roman" w:cstheme="minorHAnsi"/>
          <w:b/>
          <w:bCs/>
          <w:color w:val="2F5496" w:themeColor="accent1" w:themeShade="BF"/>
          <w:lang w:eastAsia="ar-SA"/>
        </w:rPr>
        <w:t xml:space="preserve"> </w:t>
      </w:r>
      <w:r w:rsidRPr="0035160C">
        <w:rPr>
          <w:rFonts w:eastAsia="Times New Roman" w:cstheme="minorHAnsi"/>
          <w:b/>
          <w:bCs/>
          <w:color w:val="2F5496" w:themeColor="accent1" w:themeShade="BF"/>
          <w:lang w:eastAsia="ar-SA"/>
        </w:rPr>
        <w:t>emisję z pieców domowych.</w:t>
      </w:r>
      <w:r w:rsidRPr="0035160C">
        <w:rPr>
          <w:rFonts w:eastAsia="Times New Roman" w:cstheme="minorHAnsi"/>
          <w:color w:val="2F5496" w:themeColor="accent1" w:themeShade="BF"/>
          <w:lang w:eastAsia="ar-SA"/>
        </w:rPr>
        <w:t xml:space="preserve"> </w:t>
      </w:r>
      <w:r w:rsidRPr="0035160C">
        <w:rPr>
          <w:rFonts w:eastAsia="Times New Roman" w:cstheme="minorHAnsi"/>
          <w:lang w:eastAsia="ar-SA"/>
        </w:rPr>
        <w:t>Z węgla i drewna jako głównego rodzaju ogrzewania istotnie najczęściej korzysta grupa osób z dochodami do 1500 zł. Zmiany w transporcie np. przejście na kolej i obniżenie cen energooszczędnych instalacji to rozwiązania poprawiające jakość powietrza, które były istotnie częściej wybierane przez osoby z dochodami powyżej 2500 zł</w:t>
      </w:r>
      <w:r w:rsidR="002D59CB">
        <w:rPr>
          <w:rFonts w:eastAsia="Times New Roman" w:cstheme="minorHAnsi"/>
          <w:lang w:eastAsia="ar-SA"/>
        </w:rPr>
        <w:t>,</w:t>
      </w:r>
      <w:r w:rsidRPr="0035160C">
        <w:rPr>
          <w:rFonts w:eastAsia="Times New Roman" w:cstheme="minorHAnsi"/>
          <w:lang w:eastAsia="ar-SA"/>
        </w:rPr>
        <w:t xml:space="preserve"> niż z dochodami poniżej 1500 zł.</w:t>
      </w:r>
    </w:p>
    <w:p w14:paraId="1CA385D0" w14:textId="2BC72136" w:rsidR="00541BCE" w:rsidRPr="0035160C" w:rsidRDefault="00684812" w:rsidP="00282106">
      <w:pPr>
        <w:jc w:val="both"/>
        <w:rPr>
          <w:rFonts w:eastAsia="Times New Roman" w:cstheme="minorHAnsi"/>
          <w:b/>
          <w:bCs/>
          <w:color w:val="2F5496" w:themeColor="accent1" w:themeShade="BF"/>
          <w:lang w:eastAsia="ar-SA"/>
        </w:rPr>
      </w:pPr>
      <w:r w:rsidRPr="0035160C">
        <w:rPr>
          <w:rFonts w:eastAsia="Times New Roman" w:cstheme="minorHAnsi"/>
          <w:b/>
          <w:bCs/>
          <w:color w:val="2F5496" w:themeColor="accent1" w:themeShade="BF"/>
          <w:lang w:eastAsia="ar-SA"/>
        </w:rPr>
        <w:t>Chcąc poprawić jakość powietrza w Polsce należy przede wszystkim wymienić stare piece węglowe na niskoemisyjne (54%) oraz stosować odnawialne źródła energii (33%).</w:t>
      </w:r>
    </w:p>
    <w:p w14:paraId="6AAE4F05" w14:textId="33C64F18" w:rsidR="00826CF1" w:rsidRPr="0035160C" w:rsidRDefault="00826CF1" w:rsidP="00826CF1">
      <w:pPr>
        <w:jc w:val="both"/>
        <w:rPr>
          <w:rFonts w:eastAsia="Times New Roman" w:cstheme="minorHAnsi"/>
          <w:b/>
          <w:bCs/>
          <w:color w:val="2F5496" w:themeColor="accent1" w:themeShade="BF"/>
          <w:lang w:eastAsia="ar-SA"/>
        </w:rPr>
      </w:pPr>
      <w:r w:rsidRPr="0035160C">
        <w:rPr>
          <w:rFonts w:eastAsia="Times New Roman" w:cstheme="minorHAnsi"/>
          <w:b/>
          <w:bCs/>
          <w:color w:val="2F5496" w:themeColor="accent1" w:themeShade="BF"/>
          <w:lang w:eastAsia="ar-SA"/>
        </w:rPr>
        <w:t xml:space="preserve">W tym celu niezwykle ważną rolę pełnią działania o charakterze edukacyjno-promocyjnym. Działania te powinny być prowadzone na wszystkich szczeblach zarządzania, zarówno na poziomie krajowym przez Ministerstwo Klimatu i Środowiska, Ministerstwo Zdrowia czy też NFOŚiGW, jak również na poziomie wojewódzkim, powiatowym oraz gminnym, gdzie jednostki samorządu terytorialnego mają bezpośredni kontakt z mieszkańcami oraz są odpowiedzialne za realizację działań naprawczych bezpośrednio ukierunkowanych na poprawę jakości powietrza. </w:t>
      </w:r>
    </w:p>
    <w:p w14:paraId="4FC2CE40" w14:textId="034FCD88" w:rsidR="00A468A6" w:rsidRPr="00215939" w:rsidRDefault="00826CF1" w:rsidP="00A468A6">
      <w:pPr>
        <w:jc w:val="both"/>
        <w:rPr>
          <w:rFonts w:eastAsia="Times New Roman" w:cstheme="minorHAnsi"/>
          <w:lang w:eastAsia="ar-SA"/>
        </w:rPr>
      </w:pPr>
      <w:r w:rsidRPr="00215939">
        <w:rPr>
          <w:rFonts w:eastAsia="Times New Roman" w:cstheme="minorHAnsi"/>
          <w:lang w:eastAsia="ar-SA"/>
        </w:rPr>
        <w:t xml:space="preserve">Podkreślić należy, że zarówno Ministerstwo Klimatu i Środowiska oraz NFOŚiGW od kilku lat sukcesywnie realizują działania o charakterze edukacyjno-promocyjnym </w:t>
      </w:r>
      <w:r w:rsidR="00A468A6" w:rsidRPr="00215939">
        <w:rPr>
          <w:rFonts w:eastAsia="Times New Roman" w:cstheme="minorHAnsi"/>
          <w:lang w:eastAsia="ar-SA"/>
        </w:rPr>
        <w:t xml:space="preserve">związane z tematyką poprawy jakości powietrza </w:t>
      </w:r>
      <w:r w:rsidR="004E5926">
        <w:rPr>
          <w:rFonts w:eastAsia="Times New Roman" w:cstheme="minorHAnsi"/>
          <w:lang w:eastAsia="ar-SA"/>
        </w:rPr>
        <w:t xml:space="preserve">skierowane </w:t>
      </w:r>
      <w:r w:rsidR="00A468A6" w:rsidRPr="00215939">
        <w:rPr>
          <w:rFonts w:eastAsia="Times New Roman" w:cstheme="minorHAnsi"/>
          <w:lang w:eastAsia="ar-SA"/>
        </w:rPr>
        <w:t xml:space="preserve">zarówno do pracowników jednostek samorządowych, jak i bezpośrednio do mieszkańców gmin. </w:t>
      </w:r>
    </w:p>
    <w:p w14:paraId="6C0705E8" w14:textId="674E4A6A" w:rsidR="00A468A6" w:rsidRPr="00215939" w:rsidRDefault="00A468A6" w:rsidP="0032047C">
      <w:pPr>
        <w:jc w:val="both"/>
        <w:rPr>
          <w:rFonts w:eastAsia="Times New Roman" w:cstheme="minorHAnsi"/>
          <w:lang w:eastAsia="ar-SA"/>
        </w:rPr>
      </w:pPr>
      <w:r w:rsidRPr="00215939">
        <w:rPr>
          <w:rFonts w:eastAsia="Times New Roman" w:cstheme="minorHAnsi"/>
          <w:lang w:eastAsia="ar-SA"/>
        </w:rPr>
        <w:t xml:space="preserve">W 2018 r. ówczesne Ministerstwo Środowiska rozpoczęło wieloletnią kampanię crossmediową pt. </w:t>
      </w:r>
      <w:r w:rsidRPr="00215939">
        <w:rPr>
          <w:rFonts w:eastAsia="Times New Roman" w:cstheme="minorHAnsi"/>
          <w:i/>
          <w:iCs/>
          <w:lang w:eastAsia="ar-SA"/>
        </w:rPr>
        <w:t>„Czyste powietrze – zdrowy wybór. Twój Wybór!”</w:t>
      </w:r>
      <w:r w:rsidRPr="00215939">
        <w:rPr>
          <w:rFonts w:eastAsia="Times New Roman" w:cstheme="minorHAnsi"/>
          <w:lang w:eastAsia="ar-SA"/>
        </w:rPr>
        <w:t xml:space="preserve">, której celem było wyjaśnienie przyczyny powstawania zjawiska smogu oraz zachęcenie obywateli do podejmowania działań, które służą zmniejszeniu emisji szkodliwych zanieczyszczeń do powietrza. Uzupełnieniem kampanii realizowanej </w:t>
      </w:r>
      <w:r w:rsidRPr="00215939">
        <w:rPr>
          <w:rFonts w:eastAsia="Times New Roman" w:cstheme="minorHAnsi"/>
          <w:lang w:eastAsia="ar-SA"/>
        </w:rPr>
        <w:lastRenderedPageBreak/>
        <w:t xml:space="preserve">w 2018 r. było zorganizowanie w niemal każdej gminie w Polsce (w większości przypadków we współpracy z jednostkami samorządu terytorialnego) spotkania informacyjno-edukacyjnego. Głównym celem spotkań było przekazanie informacji na temat problemu jakim jest zanieczyszczenie powietrza oraz działań jakie może podjąć każdy mieszkaniec, aby przyczynić się do poprawy jego jakości, w tym przekazanie informacji o ofercie finansowej NFOŚiGW udzielanej w ramach </w:t>
      </w:r>
      <w:r w:rsidR="002D59CB">
        <w:rPr>
          <w:rFonts w:eastAsia="Times New Roman" w:cstheme="minorHAnsi"/>
          <w:lang w:eastAsia="ar-SA"/>
        </w:rPr>
        <w:t>P</w:t>
      </w:r>
      <w:r w:rsidRPr="00215939">
        <w:rPr>
          <w:rFonts w:eastAsia="Times New Roman" w:cstheme="minorHAnsi"/>
          <w:lang w:eastAsia="ar-SA"/>
        </w:rPr>
        <w:t xml:space="preserve">rogramu </w:t>
      </w:r>
      <w:r w:rsidR="002D59CB">
        <w:rPr>
          <w:rFonts w:eastAsia="Times New Roman" w:cstheme="minorHAnsi"/>
          <w:lang w:eastAsia="ar-SA"/>
        </w:rPr>
        <w:t>P</w:t>
      </w:r>
      <w:r w:rsidRPr="00215939">
        <w:rPr>
          <w:rFonts w:eastAsia="Times New Roman" w:cstheme="minorHAnsi"/>
          <w:lang w:eastAsia="ar-SA"/>
        </w:rPr>
        <w:t xml:space="preserve">riorytetowego „Czyste Powietrze”. Natomiast w 2019 r. kontynuowano kampanię pod hasłem „Stać Cię na czyste powietrze” nawołując do dbałości o jakość powietrza i równocześnie wzywając do działania. </w:t>
      </w:r>
    </w:p>
    <w:p w14:paraId="491EEEEB" w14:textId="7EBEFE66" w:rsidR="00826CF1" w:rsidRPr="00215939" w:rsidRDefault="00A468A6" w:rsidP="00A468A6">
      <w:pPr>
        <w:jc w:val="both"/>
        <w:rPr>
          <w:rFonts w:eastAsia="Times New Roman" w:cstheme="minorHAnsi"/>
          <w:lang w:eastAsia="ar-SA"/>
        </w:rPr>
      </w:pPr>
      <w:r w:rsidRPr="00215939">
        <w:rPr>
          <w:rFonts w:eastAsia="Times New Roman" w:cstheme="minorHAnsi"/>
          <w:lang w:eastAsia="ar-SA"/>
        </w:rPr>
        <w:t xml:space="preserve">W 2020 r., w ramach kontynuacji kampanii „Czyste Powietrze – Twój wybór. Zdrowy wybór!”, zrealizowano działania adresowane do właścicieli domów jednorodzinnych, jak również do przedstawicieli jednostek samorządu terytorialnego. </w:t>
      </w:r>
    </w:p>
    <w:p w14:paraId="710FAE2E" w14:textId="10BF1F97" w:rsidR="00630B08" w:rsidRPr="0035160C" w:rsidRDefault="00630B08" w:rsidP="00826CF1">
      <w:pPr>
        <w:jc w:val="both"/>
        <w:rPr>
          <w:rFonts w:eastAsia="Times New Roman" w:cstheme="minorHAnsi"/>
          <w:b/>
          <w:bCs/>
          <w:color w:val="2F5496" w:themeColor="accent1" w:themeShade="BF"/>
          <w:lang w:eastAsia="ar-SA"/>
        </w:rPr>
      </w:pPr>
      <w:r w:rsidRPr="0035160C">
        <w:rPr>
          <w:rFonts w:eastAsia="Times New Roman" w:cstheme="minorHAnsi"/>
          <w:b/>
          <w:bCs/>
          <w:color w:val="2F5496" w:themeColor="accent1" w:themeShade="BF"/>
          <w:lang w:eastAsia="ar-SA"/>
        </w:rPr>
        <w:t>Jednocześnie w dniu 24 marca 202</w:t>
      </w:r>
      <w:r w:rsidR="00A468A6" w:rsidRPr="0035160C">
        <w:rPr>
          <w:rFonts w:eastAsia="Times New Roman" w:cstheme="minorHAnsi"/>
          <w:b/>
          <w:bCs/>
          <w:color w:val="2F5496" w:themeColor="accent1" w:themeShade="BF"/>
          <w:lang w:eastAsia="ar-SA"/>
        </w:rPr>
        <w:t xml:space="preserve">1 r. Ministerstwo Klimatu i Środowiska we współpracy z NFOŚiGW oraz Stowarzyszeniem </w:t>
      </w:r>
      <w:r w:rsidRPr="0035160C">
        <w:rPr>
          <w:rFonts w:eastAsia="Times New Roman" w:cstheme="minorHAnsi"/>
          <w:b/>
          <w:bCs/>
          <w:color w:val="2F5496" w:themeColor="accent1" w:themeShade="BF"/>
          <w:lang w:eastAsia="ar-SA"/>
        </w:rPr>
        <w:t xml:space="preserve">„Program </w:t>
      </w:r>
      <w:r w:rsidR="00A468A6" w:rsidRPr="0035160C">
        <w:rPr>
          <w:rFonts w:eastAsia="Times New Roman" w:cstheme="minorHAnsi"/>
          <w:b/>
          <w:bCs/>
          <w:color w:val="2F5496" w:themeColor="accent1" w:themeShade="BF"/>
          <w:lang w:eastAsia="ar-SA"/>
        </w:rPr>
        <w:t>Czysta Polska”</w:t>
      </w:r>
      <w:r w:rsidR="004839FF" w:rsidRPr="0035160C">
        <w:rPr>
          <w:rFonts w:eastAsia="Times New Roman" w:cstheme="minorHAnsi"/>
          <w:b/>
          <w:bCs/>
          <w:color w:val="2F5496" w:themeColor="accent1" w:themeShade="BF"/>
          <w:lang w:eastAsia="ar-SA"/>
        </w:rPr>
        <w:t xml:space="preserve"> </w:t>
      </w:r>
      <w:r w:rsidRPr="0035160C">
        <w:rPr>
          <w:rFonts w:eastAsia="Times New Roman" w:cstheme="minorHAnsi"/>
          <w:b/>
          <w:bCs/>
          <w:color w:val="2F5496" w:themeColor="accent1" w:themeShade="BF"/>
          <w:lang w:eastAsia="ar-SA"/>
        </w:rPr>
        <w:t>ogłosiło kolejną edycję ogólnokrajowej kampanii informacyjno-edukacyjnej pn. "Czyste Powietrze - zdrowy wybór. Twój wybór!".</w:t>
      </w:r>
    </w:p>
    <w:p w14:paraId="66379BA1" w14:textId="77777777" w:rsidR="004E5926" w:rsidRDefault="004E5926" w:rsidP="00DD0E4C">
      <w:pPr>
        <w:pStyle w:val="Akapitzlist"/>
        <w:suppressAutoHyphens/>
        <w:spacing w:after="120" w:line="240" w:lineRule="auto"/>
        <w:ind w:left="0"/>
        <w:jc w:val="both"/>
        <w:rPr>
          <w:rFonts w:cstheme="minorHAnsi"/>
          <w:lang w:eastAsia="ar-SA"/>
        </w:rPr>
      </w:pPr>
      <w:r>
        <w:rPr>
          <w:rFonts w:cstheme="minorHAnsi"/>
          <w:b/>
          <w:bCs/>
          <w:color w:val="2F5496" w:themeColor="accent1" w:themeShade="BF"/>
          <w:lang w:eastAsia="ar-SA"/>
        </w:rPr>
        <w:t>P</w:t>
      </w:r>
      <w:r w:rsidRPr="00802E12">
        <w:rPr>
          <w:rFonts w:cstheme="minorHAnsi"/>
          <w:b/>
          <w:bCs/>
          <w:color w:val="2F5496" w:themeColor="accent1" w:themeShade="BF"/>
          <w:lang w:eastAsia="ar-SA"/>
        </w:rPr>
        <w:t>rowadzeni</w:t>
      </w:r>
      <w:r>
        <w:rPr>
          <w:rFonts w:cstheme="minorHAnsi"/>
          <w:b/>
          <w:bCs/>
          <w:color w:val="2F5496" w:themeColor="accent1" w:themeShade="BF"/>
          <w:lang w:eastAsia="ar-SA"/>
        </w:rPr>
        <w:t>e</w:t>
      </w:r>
      <w:r w:rsidRPr="00802E12">
        <w:rPr>
          <w:rFonts w:cstheme="minorHAnsi"/>
          <w:b/>
          <w:bCs/>
          <w:color w:val="2F5496" w:themeColor="accent1" w:themeShade="BF"/>
          <w:lang w:eastAsia="ar-SA"/>
        </w:rPr>
        <w:t xml:space="preserve"> </w:t>
      </w:r>
      <w:r>
        <w:rPr>
          <w:rFonts w:cstheme="minorHAnsi"/>
          <w:b/>
          <w:bCs/>
          <w:color w:val="2F5496" w:themeColor="accent1" w:themeShade="BF"/>
          <w:lang w:eastAsia="ar-SA"/>
        </w:rPr>
        <w:t xml:space="preserve">aktualnych i planowanych działań </w:t>
      </w:r>
      <w:r w:rsidRPr="00802E12">
        <w:rPr>
          <w:rFonts w:cstheme="minorHAnsi"/>
          <w:b/>
          <w:bCs/>
          <w:color w:val="2F5496" w:themeColor="accent1" w:themeShade="BF"/>
          <w:lang w:eastAsia="ar-SA"/>
        </w:rPr>
        <w:t>edukac</w:t>
      </w:r>
      <w:r>
        <w:rPr>
          <w:rFonts w:cstheme="minorHAnsi"/>
          <w:b/>
          <w:bCs/>
          <w:color w:val="2F5496" w:themeColor="accent1" w:themeShade="BF"/>
          <w:lang w:eastAsia="ar-SA"/>
        </w:rPr>
        <w:t xml:space="preserve">yjno-informacyjnych </w:t>
      </w:r>
      <w:r w:rsidRPr="00802E12">
        <w:rPr>
          <w:rFonts w:cstheme="minorHAnsi"/>
          <w:b/>
          <w:bCs/>
          <w:color w:val="2F5496" w:themeColor="accent1" w:themeShade="BF"/>
          <w:lang w:eastAsia="ar-SA"/>
        </w:rPr>
        <w:t>związanych z ochroną powietrza</w:t>
      </w:r>
      <w:r w:rsidRPr="00802E12">
        <w:rPr>
          <w:rFonts w:cstheme="minorHAnsi"/>
          <w:color w:val="2F5496" w:themeColor="accent1" w:themeShade="BF"/>
          <w:lang w:eastAsia="ar-SA"/>
        </w:rPr>
        <w:t xml:space="preserve"> </w:t>
      </w:r>
      <w:r>
        <w:rPr>
          <w:rFonts w:cstheme="minorHAnsi"/>
          <w:lang w:eastAsia="ar-SA"/>
        </w:rPr>
        <w:t>ma, w szczególności, na celu</w:t>
      </w:r>
      <w:r w:rsidRPr="00AA66D6">
        <w:rPr>
          <w:rFonts w:cstheme="minorHAnsi"/>
          <w:lang w:eastAsia="ar-SA"/>
        </w:rPr>
        <w:t>:</w:t>
      </w:r>
    </w:p>
    <w:p w14:paraId="7E5A638C" w14:textId="657F2C10" w:rsidR="004E5926" w:rsidRPr="00AA66D6" w:rsidRDefault="004E5926" w:rsidP="004E5926">
      <w:pPr>
        <w:pStyle w:val="Akapitzlist"/>
        <w:numPr>
          <w:ilvl w:val="0"/>
          <w:numId w:val="77"/>
        </w:numPr>
        <w:suppressAutoHyphens/>
        <w:spacing w:after="120" w:line="240" w:lineRule="auto"/>
        <w:ind w:left="284" w:hanging="284"/>
        <w:jc w:val="both"/>
        <w:rPr>
          <w:rFonts w:cstheme="minorHAnsi"/>
          <w:lang w:eastAsia="ar-SA"/>
        </w:rPr>
      </w:pPr>
      <w:r w:rsidRPr="00AA66D6">
        <w:rPr>
          <w:rFonts w:cstheme="minorHAnsi"/>
          <w:lang w:eastAsia="ar-SA"/>
        </w:rPr>
        <w:t>uświadami</w:t>
      </w:r>
      <w:r>
        <w:rPr>
          <w:rFonts w:cstheme="minorHAnsi"/>
          <w:lang w:eastAsia="ar-SA"/>
        </w:rPr>
        <w:t xml:space="preserve">anie </w:t>
      </w:r>
      <w:r w:rsidRPr="00AA66D6">
        <w:rPr>
          <w:rFonts w:cstheme="minorHAnsi"/>
          <w:lang w:eastAsia="ar-SA"/>
        </w:rPr>
        <w:t>mieszkańcom zagrożenia dla zdrowia, jakie niesie ze sobą zanieczyszczenie powietrza,</w:t>
      </w:r>
    </w:p>
    <w:p w14:paraId="6CA9FFEC" w14:textId="3442FD53" w:rsidR="004E5926" w:rsidRPr="00AA66D6" w:rsidRDefault="004E5926" w:rsidP="00DD0E4C">
      <w:pPr>
        <w:pStyle w:val="Akapitzlist"/>
        <w:numPr>
          <w:ilvl w:val="0"/>
          <w:numId w:val="77"/>
        </w:numPr>
        <w:suppressAutoHyphens/>
        <w:spacing w:after="120" w:line="240" w:lineRule="auto"/>
        <w:ind w:left="284" w:hanging="284"/>
        <w:jc w:val="both"/>
        <w:rPr>
          <w:rFonts w:cstheme="minorHAnsi"/>
          <w:lang w:eastAsia="ar-SA"/>
        </w:rPr>
      </w:pPr>
      <w:r w:rsidRPr="00AA66D6">
        <w:rPr>
          <w:rFonts w:cstheme="minorHAnsi"/>
          <w:lang w:eastAsia="ar-SA"/>
        </w:rPr>
        <w:t>uświadami</w:t>
      </w:r>
      <w:r>
        <w:rPr>
          <w:rFonts w:cstheme="minorHAnsi"/>
          <w:lang w:eastAsia="ar-SA"/>
        </w:rPr>
        <w:t>anie</w:t>
      </w:r>
      <w:r w:rsidRPr="00AA66D6">
        <w:rPr>
          <w:rFonts w:cstheme="minorHAnsi"/>
          <w:lang w:eastAsia="ar-SA"/>
        </w:rPr>
        <w:t xml:space="preserve"> mieszkańcom wpływ</w:t>
      </w:r>
      <w:r w:rsidR="002D59CB">
        <w:rPr>
          <w:rFonts w:cstheme="minorHAnsi"/>
          <w:lang w:eastAsia="ar-SA"/>
        </w:rPr>
        <w:t>u</w:t>
      </w:r>
      <w:r w:rsidRPr="00AA66D6">
        <w:rPr>
          <w:rFonts w:cstheme="minorHAnsi"/>
          <w:lang w:eastAsia="ar-SA"/>
        </w:rPr>
        <w:t xml:space="preserve"> spalania paliw niskiej jakości oraz odpadów na jakość powietrza,</w:t>
      </w:r>
    </w:p>
    <w:p w14:paraId="50CBE98F" w14:textId="08FD3398" w:rsidR="004E5926" w:rsidRDefault="004E5926" w:rsidP="00DD0E4C">
      <w:pPr>
        <w:pStyle w:val="Akapitzlist"/>
        <w:numPr>
          <w:ilvl w:val="0"/>
          <w:numId w:val="77"/>
        </w:numPr>
        <w:suppressAutoHyphens/>
        <w:spacing w:after="120" w:line="240" w:lineRule="auto"/>
        <w:ind w:left="284" w:hanging="284"/>
        <w:jc w:val="both"/>
        <w:rPr>
          <w:rFonts w:cstheme="minorHAnsi"/>
          <w:lang w:eastAsia="ar-SA"/>
        </w:rPr>
      </w:pPr>
      <w:r>
        <w:rPr>
          <w:rFonts w:cstheme="minorHAnsi"/>
          <w:lang w:eastAsia="ar-SA"/>
        </w:rPr>
        <w:t>informowanie</w:t>
      </w:r>
      <w:r w:rsidRPr="00AA66D6">
        <w:rPr>
          <w:rFonts w:cstheme="minorHAnsi"/>
          <w:lang w:eastAsia="ar-SA"/>
        </w:rPr>
        <w:t xml:space="preserve"> na temat obowiązując</w:t>
      </w:r>
      <w:r>
        <w:rPr>
          <w:rFonts w:cstheme="minorHAnsi"/>
          <w:lang w:eastAsia="ar-SA"/>
        </w:rPr>
        <w:t xml:space="preserve">ych </w:t>
      </w:r>
      <w:r w:rsidRPr="00AA66D6">
        <w:rPr>
          <w:rFonts w:cstheme="minorHAnsi"/>
          <w:lang w:eastAsia="ar-SA"/>
        </w:rPr>
        <w:t>uchwał</w:t>
      </w:r>
      <w:r>
        <w:rPr>
          <w:rFonts w:cstheme="minorHAnsi"/>
          <w:lang w:eastAsia="ar-SA"/>
        </w:rPr>
        <w:t xml:space="preserve"> </w:t>
      </w:r>
      <w:r w:rsidRPr="00AA66D6">
        <w:rPr>
          <w:rFonts w:cstheme="minorHAnsi"/>
          <w:lang w:eastAsia="ar-SA"/>
        </w:rPr>
        <w:t>antysmogow</w:t>
      </w:r>
      <w:r>
        <w:rPr>
          <w:rFonts w:cstheme="minorHAnsi"/>
          <w:lang w:eastAsia="ar-SA"/>
        </w:rPr>
        <w:t>ych</w:t>
      </w:r>
      <w:r w:rsidR="002D59CB">
        <w:rPr>
          <w:rFonts w:cstheme="minorHAnsi"/>
          <w:lang w:eastAsia="ar-SA"/>
        </w:rPr>
        <w:t>,</w:t>
      </w:r>
    </w:p>
    <w:p w14:paraId="39CBF149" w14:textId="5CB22C42" w:rsidR="004E5926" w:rsidRDefault="004E5926" w:rsidP="00DD0E4C">
      <w:pPr>
        <w:pStyle w:val="Akapitzlist"/>
        <w:numPr>
          <w:ilvl w:val="0"/>
          <w:numId w:val="77"/>
        </w:numPr>
        <w:suppressAutoHyphens/>
        <w:spacing w:after="120" w:line="240" w:lineRule="auto"/>
        <w:ind w:left="284" w:hanging="284"/>
        <w:jc w:val="both"/>
        <w:rPr>
          <w:rFonts w:cstheme="minorHAnsi"/>
          <w:lang w:eastAsia="ar-SA"/>
        </w:rPr>
      </w:pPr>
      <w:r>
        <w:rPr>
          <w:rFonts w:cstheme="minorHAnsi"/>
          <w:lang w:eastAsia="ar-SA"/>
        </w:rPr>
        <w:t xml:space="preserve">pokazywanie korzyści wynikających </w:t>
      </w:r>
      <w:r w:rsidR="002D59CB">
        <w:rPr>
          <w:rFonts w:cstheme="minorHAnsi"/>
          <w:lang w:eastAsia="ar-SA"/>
        </w:rPr>
        <w:t xml:space="preserve">z </w:t>
      </w:r>
      <w:r>
        <w:rPr>
          <w:rFonts w:cstheme="minorHAnsi"/>
          <w:lang w:eastAsia="ar-SA"/>
        </w:rPr>
        <w:t>indywidualnych wyborów związanych z dbałością o jakość powietrza</w:t>
      </w:r>
      <w:r w:rsidR="002D59CB">
        <w:rPr>
          <w:rFonts w:cstheme="minorHAnsi"/>
          <w:lang w:eastAsia="ar-SA"/>
        </w:rPr>
        <w:t>,</w:t>
      </w:r>
    </w:p>
    <w:p w14:paraId="5FF44B4B" w14:textId="77777777" w:rsidR="004E5926" w:rsidRPr="00443A0E" w:rsidRDefault="004E5926" w:rsidP="00DD0E4C">
      <w:pPr>
        <w:pStyle w:val="Akapitzlist"/>
        <w:numPr>
          <w:ilvl w:val="0"/>
          <w:numId w:val="77"/>
        </w:numPr>
        <w:suppressAutoHyphens/>
        <w:spacing w:after="120" w:line="240" w:lineRule="auto"/>
        <w:ind w:left="284" w:hanging="284"/>
        <w:jc w:val="both"/>
        <w:rPr>
          <w:rFonts w:cstheme="minorHAnsi"/>
          <w:lang w:eastAsia="ar-SA"/>
        </w:rPr>
      </w:pPr>
      <w:r w:rsidRPr="00443A0E">
        <w:rPr>
          <w:rFonts w:cstheme="minorHAnsi"/>
          <w:lang w:eastAsia="ar-SA"/>
        </w:rPr>
        <w:t>wsparcie w dokonywaniu indywidualnych wyborów związanych z dbałością o jakość powietrza</w:t>
      </w:r>
      <w:r>
        <w:rPr>
          <w:rFonts w:cstheme="minorHAnsi"/>
          <w:lang w:eastAsia="ar-SA"/>
        </w:rPr>
        <w:t>.</w:t>
      </w:r>
    </w:p>
    <w:p w14:paraId="155BAD95" w14:textId="2D641737" w:rsidR="00BD7513" w:rsidRPr="0035160C" w:rsidRDefault="00BD7513">
      <w:pPr>
        <w:rPr>
          <w:b/>
          <w:bCs/>
          <w:color w:val="2F5496" w:themeColor="accent1" w:themeShade="BF"/>
        </w:rPr>
      </w:pPr>
      <w:r w:rsidRPr="0035160C">
        <w:rPr>
          <w:b/>
          <w:bCs/>
          <w:color w:val="2F5496" w:themeColor="accent1" w:themeShade="BF"/>
        </w:rPr>
        <w:br w:type="page"/>
      </w:r>
    </w:p>
    <w:p w14:paraId="33DD4497" w14:textId="7F6B4B34" w:rsidR="002D6DCF" w:rsidRPr="0035160C" w:rsidRDefault="008A7028" w:rsidP="00E83716">
      <w:pPr>
        <w:pStyle w:val="Nagwek2"/>
        <w:numPr>
          <w:ilvl w:val="0"/>
          <w:numId w:val="0"/>
        </w:numPr>
        <w:rPr>
          <w:b/>
          <w:sz w:val="22"/>
          <w:szCs w:val="22"/>
        </w:rPr>
      </w:pPr>
      <w:bookmarkStart w:id="90" w:name="_Toc78205907"/>
      <w:r w:rsidRPr="0035160C">
        <w:rPr>
          <w:b/>
          <w:sz w:val="22"/>
          <w:szCs w:val="22"/>
        </w:rPr>
        <w:lastRenderedPageBreak/>
        <w:t>9</w:t>
      </w:r>
      <w:r w:rsidR="00F03C94" w:rsidRPr="0035160C">
        <w:rPr>
          <w:b/>
          <w:sz w:val="22"/>
          <w:szCs w:val="22"/>
        </w:rPr>
        <w:t xml:space="preserve">.6 </w:t>
      </w:r>
      <w:r w:rsidR="002D6DCF" w:rsidRPr="0035160C">
        <w:rPr>
          <w:b/>
          <w:sz w:val="22"/>
          <w:szCs w:val="22"/>
        </w:rPr>
        <w:t>Kierunek Interwencji 6 ŹRÓDŁA FINANSOWANIA DZIAŁAŃ OKREŚLONYCH W AKTUALIZACJI KPOP</w:t>
      </w:r>
      <w:bookmarkEnd w:id="90"/>
      <w:r w:rsidR="002D6DCF" w:rsidRPr="0035160C">
        <w:rPr>
          <w:b/>
          <w:sz w:val="22"/>
          <w:szCs w:val="22"/>
        </w:rPr>
        <w:t xml:space="preserve"> </w:t>
      </w:r>
    </w:p>
    <w:p w14:paraId="500BE221" w14:textId="77777777" w:rsidR="00A34D99" w:rsidRPr="0035160C" w:rsidRDefault="002D6DCF" w:rsidP="002D6DCF">
      <w:pPr>
        <w:jc w:val="both"/>
      </w:pPr>
      <w:r w:rsidRPr="0035160C">
        <w:t xml:space="preserve">Działania mające na celu poprawę jakości powietrza stanowią jeden z priorytetów polskiego rządu. </w:t>
      </w:r>
    </w:p>
    <w:p w14:paraId="35D91831" w14:textId="77777777" w:rsidR="00A34D99" w:rsidRPr="0035160C" w:rsidRDefault="00A34D99" w:rsidP="00A34D99">
      <w:pPr>
        <w:jc w:val="both"/>
      </w:pPr>
      <w:r w:rsidRPr="0035160C">
        <w:t>Niewątpliwie działania podejmowane na rzecz ochrony powietrza wymagają wysokich nakładów finansowych, które pozwolą na przeprowadzenie przedsięwzięć w sposób kompleksowy, zapewniający poprawę jakości powietrza. Zapewnienie finansowania/dofinansowania działań podejmowanych zarówno na szczeblu rządowym i samorządowym, jak również przez obywateli przyczyni się z pewnością do poprawy jakości powietrza w kraju.</w:t>
      </w:r>
    </w:p>
    <w:p w14:paraId="6481EDD5" w14:textId="116A8524" w:rsidR="00A34D99" w:rsidRPr="0035160C" w:rsidRDefault="00A34D99" w:rsidP="00A34D99">
      <w:pPr>
        <w:jc w:val="both"/>
      </w:pPr>
      <w:r w:rsidRPr="0035160C">
        <w:t xml:space="preserve">Ze względu na fakt, że znaczna większość działań rekomendowanych do realizacji dotyczy sektora bytowo-komunalnego oraz sektora ciepłownictwa i transportu będą one realizowane na poziomie krajowym na podstawie dokumentów strategicznych, w tym przede wszystkim: </w:t>
      </w:r>
      <w:r w:rsidR="002D59CB">
        <w:t>PEP2040</w:t>
      </w:r>
      <w:r w:rsidRPr="0035160C">
        <w:t xml:space="preserve">, </w:t>
      </w:r>
      <w:r w:rsidR="002D59CB">
        <w:t>KPEiK, KPOZP</w:t>
      </w:r>
      <w:r w:rsidRPr="0035160C">
        <w:t xml:space="preserve"> , Strategii Zrównoważonego Rozwoju Transportu do roku 2030, Strategii dla Ciepłownictwa do 2030, </w:t>
      </w:r>
      <w:r w:rsidR="002D59CB">
        <w:t xml:space="preserve">SOR </w:t>
      </w:r>
      <w:r w:rsidRPr="0035160C">
        <w:t>oraz na poziomie wojewódzkim, w tym powiatowym i gminnym na podstawie przyjętych POP</w:t>
      </w:r>
      <w:r w:rsidR="00391BD3">
        <w:t xml:space="preserve"> oraz uchwał antysmogowych</w:t>
      </w:r>
      <w:r w:rsidRPr="0035160C">
        <w:t>. Ponadto należy pamiętać, że ogromną rolę w realizacji działań mających na celu poprawę jakości powietrza, w tym przede wszystkim w sektorze bytowo-komunalnym, będzie miał wkład środków własnych podmiotów prywatnych.</w:t>
      </w:r>
    </w:p>
    <w:p w14:paraId="678E0301" w14:textId="77777777" w:rsidR="00A34D99" w:rsidRPr="0035160C" w:rsidRDefault="00A34D99" w:rsidP="00A34D99">
      <w:pPr>
        <w:jc w:val="both"/>
        <w:rPr>
          <w:color w:val="2F5496" w:themeColor="accent1" w:themeShade="BF"/>
        </w:rPr>
      </w:pPr>
      <w:r w:rsidRPr="0035160C">
        <w:rPr>
          <w:b/>
          <w:bCs/>
          <w:color w:val="2F5496" w:themeColor="accent1" w:themeShade="BF"/>
        </w:rPr>
        <w:t>Wszystkie planowane zadania zostały przeanalizowane i wybrane tak, by z wykorzystaniem dostępnych środków finansowych zapewnić uzyskanie jak największego efektu poprawy jakości powietrza</w:t>
      </w:r>
      <w:r w:rsidRPr="0035160C">
        <w:rPr>
          <w:color w:val="2F5496" w:themeColor="accent1" w:themeShade="BF"/>
        </w:rPr>
        <w:t>.</w:t>
      </w:r>
    </w:p>
    <w:p w14:paraId="4E163C84" w14:textId="77777777" w:rsidR="00A34D99" w:rsidRPr="0035160C" w:rsidRDefault="00A34D99" w:rsidP="00A34D99">
      <w:pPr>
        <w:jc w:val="both"/>
      </w:pPr>
      <w:r w:rsidRPr="0035160C">
        <w:t>Mając na uwadze powyższe, realizacja niniejszego Programu będzie oparta na finansowaniu z następujących źródeł:</w:t>
      </w:r>
    </w:p>
    <w:p w14:paraId="461C7728" w14:textId="18D52317" w:rsidR="00A34D99" w:rsidRPr="0035160C" w:rsidRDefault="00A34D99" w:rsidP="00CA3BB7">
      <w:pPr>
        <w:pStyle w:val="Akapitzlist"/>
        <w:numPr>
          <w:ilvl w:val="0"/>
          <w:numId w:val="63"/>
        </w:numPr>
        <w:jc w:val="both"/>
      </w:pPr>
      <w:r w:rsidRPr="0035160C">
        <w:t xml:space="preserve">krajowe środki publiczne, tj. budżet państwa, </w:t>
      </w:r>
      <w:r w:rsidR="00897482">
        <w:t>NFOŚiGW</w:t>
      </w:r>
      <w:r w:rsidR="002D59CB">
        <w:t xml:space="preserve"> </w:t>
      </w:r>
      <w:r w:rsidRPr="0035160C">
        <w:t xml:space="preserve">oraz </w:t>
      </w:r>
      <w:r w:rsidR="00897482">
        <w:t>WFOŚIGW</w:t>
      </w:r>
      <w:r w:rsidRPr="0035160C">
        <w:t xml:space="preserve">, budżety jednostek samorządu terytorialnego, </w:t>
      </w:r>
      <w:r w:rsidR="00897482">
        <w:t xml:space="preserve">a także </w:t>
      </w:r>
      <w:r w:rsidRPr="0035160C">
        <w:t>inne instrumenty finansowe wsparcia publicznego,</w:t>
      </w:r>
    </w:p>
    <w:p w14:paraId="4D142640" w14:textId="43AFF33C" w:rsidR="00A34D99" w:rsidRPr="0035160C" w:rsidRDefault="00A34D99" w:rsidP="00CA3BB7">
      <w:pPr>
        <w:pStyle w:val="Akapitzlist"/>
        <w:numPr>
          <w:ilvl w:val="0"/>
          <w:numId w:val="63"/>
        </w:numPr>
        <w:jc w:val="both"/>
      </w:pPr>
      <w:r w:rsidRPr="0035160C">
        <w:t>środki unijne – w ramach Krajowego Planu Odbudowy, Funduszu Europejskiego na Infrastrukturę, Klimat, Środowisko na lata 2021-2027</w:t>
      </w:r>
      <w:r w:rsidR="00897482">
        <w:t xml:space="preserve"> oraz </w:t>
      </w:r>
      <w:r w:rsidRPr="0035160C">
        <w:t>innych instrumentów finansowych,</w:t>
      </w:r>
    </w:p>
    <w:p w14:paraId="190C5499" w14:textId="77777777" w:rsidR="00A34D99" w:rsidRPr="0035160C" w:rsidRDefault="00A34D99" w:rsidP="00CA3BB7">
      <w:pPr>
        <w:pStyle w:val="Akapitzlist"/>
        <w:numPr>
          <w:ilvl w:val="0"/>
          <w:numId w:val="63"/>
        </w:numPr>
        <w:jc w:val="both"/>
      </w:pPr>
      <w:r w:rsidRPr="0035160C">
        <w:t>środki prywatne inwestorów, m.in. w systemie partnerstwa publiczno-prywatnego,</w:t>
      </w:r>
    </w:p>
    <w:p w14:paraId="091621EA" w14:textId="77777777" w:rsidR="00A34D99" w:rsidRPr="0035160C" w:rsidRDefault="00A34D99" w:rsidP="00CA3BB7">
      <w:pPr>
        <w:pStyle w:val="Akapitzlist"/>
        <w:numPr>
          <w:ilvl w:val="0"/>
          <w:numId w:val="63"/>
        </w:numPr>
        <w:jc w:val="both"/>
      </w:pPr>
      <w:r w:rsidRPr="0035160C">
        <w:t>środki własne podmiotów prywatnych,</w:t>
      </w:r>
    </w:p>
    <w:p w14:paraId="311FC78E" w14:textId="77777777" w:rsidR="00A34D99" w:rsidRPr="0035160C" w:rsidRDefault="00A34D99" w:rsidP="00CA3BB7">
      <w:pPr>
        <w:pStyle w:val="Akapitzlist"/>
        <w:numPr>
          <w:ilvl w:val="0"/>
          <w:numId w:val="63"/>
        </w:numPr>
        <w:jc w:val="both"/>
      </w:pPr>
      <w:r w:rsidRPr="0035160C">
        <w:t>środki uzyskiwane dzięki wdrażaniu zasad „zanieczyszczający płaci”,</w:t>
      </w:r>
    </w:p>
    <w:p w14:paraId="2B37593F" w14:textId="77777777" w:rsidR="00A34D99" w:rsidRPr="0035160C" w:rsidRDefault="00A34D99" w:rsidP="00CA3BB7">
      <w:pPr>
        <w:pStyle w:val="Akapitzlist"/>
        <w:numPr>
          <w:ilvl w:val="0"/>
          <w:numId w:val="63"/>
        </w:numPr>
        <w:jc w:val="both"/>
      </w:pPr>
      <w:r w:rsidRPr="0035160C">
        <w:t>kredyty komercyjne i pożyczki.</w:t>
      </w:r>
    </w:p>
    <w:p w14:paraId="05678461" w14:textId="50132262" w:rsidR="00A34D99" w:rsidRDefault="00A34D99" w:rsidP="00A34D99">
      <w:pPr>
        <w:jc w:val="both"/>
      </w:pPr>
      <w:r w:rsidRPr="0035160C">
        <w:t xml:space="preserve">NFOŚiGW jest głównym ogniwem polskiego systemu finansowania ochrony środowiska i gospodarki wodnej, dysponując największym potencjałem finansowym. </w:t>
      </w:r>
      <w:r w:rsidR="002D59CB">
        <w:t>J</w:t>
      </w:r>
      <w:r w:rsidRPr="0035160C">
        <w:t xml:space="preserve">est </w:t>
      </w:r>
      <w:r w:rsidR="002D59CB">
        <w:t xml:space="preserve">on </w:t>
      </w:r>
      <w:r w:rsidRPr="0035160C">
        <w:t>ważnym narzędziem realizacji polityki ochrony środowiska w Polsce. Głównymi celami wydatkowania środków są inwestycje służące ochronie środowiska, działania w zakresie poprawy stanu środowiska, ochrony wód, ochrony atmosfery, zachowania dziedzictwa przyrodniczego, w tym zachowania różnorodności biologicznej i podniesienia poziomu świadomości ekologicznej mieszkańców. NFOŚiGW oferuje pożyczki, dotacje oraz inne formy dofinansowania projektów realizowanych, m.in. przez samorządy, przedsiębiorstwa, podmioty publiczne, organizacje społeczne, a także osoby fizyczne. Jest on również największym w Polsce partnerem w obsłudze środków zagranicznych przeznaczonych na ochronę środowiska. NFOŚiGW realizuje m.in. projekty, które mogą przyczynić się do wsparcia działań podejmowanych w zakresie poprawy jakości powietrza.</w:t>
      </w:r>
    </w:p>
    <w:p w14:paraId="159188B6" w14:textId="28E891CE" w:rsidR="00897482" w:rsidRDefault="00897482" w:rsidP="00897482">
      <w:pPr>
        <w:jc w:val="both"/>
      </w:pPr>
      <w:r>
        <w:t xml:space="preserve">W tym miejscu szczególną uwagę należy poświęcić przygotowanemu w 2018 r. ogólnokrajowemu </w:t>
      </w:r>
      <w:r w:rsidRPr="00DD0E4C">
        <w:rPr>
          <w:b/>
          <w:bCs/>
          <w:color w:val="2F5496" w:themeColor="accent1" w:themeShade="BF"/>
        </w:rPr>
        <w:t>Programowi Priorytetowemu „Czyste Powietrze”</w:t>
      </w:r>
      <w:r>
        <w:t>, który dedykowany jest bezpośrednio dofinansowaniu realizacji przedsięwzięć proekologicznych, mających na celu poprawę jakości powietrza.</w:t>
      </w:r>
    </w:p>
    <w:p w14:paraId="0B3658C1" w14:textId="091ADE6D" w:rsidR="00897482" w:rsidRDefault="00897482" w:rsidP="00897482">
      <w:pPr>
        <w:jc w:val="both"/>
      </w:pPr>
      <w:r>
        <w:lastRenderedPageBreak/>
        <w:t xml:space="preserve">Program realizowany jest począwszy od września 20218 r przez </w:t>
      </w:r>
      <w:r w:rsidR="005444D9">
        <w:t>NFOŚiGW</w:t>
      </w:r>
      <w:r>
        <w:t xml:space="preserve"> wraz </w:t>
      </w:r>
      <w:r w:rsidR="002D59CB">
        <w:t>WFOŚiGW</w:t>
      </w:r>
      <w:r>
        <w:t xml:space="preserve">, a także z gminami, które podpisały umowę porozumienia o wspólnej jego realizacji. </w:t>
      </w:r>
    </w:p>
    <w:p w14:paraId="3EF7A527" w14:textId="5FBCD6EC" w:rsidR="00897482" w:rsidRDefault="00897482" w:rsidP="00897482">
      <w:pPr>
        <w:jc w:val="both"/>
      </w:pPr>
      <w:r>
        <w:t>Program skupia się na wymianie starych pieców i kotłów na paliwo stałe oraz przeprowadzeniu termomodernizacji budynków</w:t>
      </w:r>
      <w:r w:rsidR="002D59CB">
        <w:t xml:space="preserve">, </w:t>
      </w:r>
      <w:r>
        <w:t>a także wykorzystania odnawialnych źródeł energii w celu zwiększenia efektywności energetycznej budynków.</w:t>
      </w:r>
    </w:p>
    <w:p w14:paraId="19B8A8D0" w14:textId="62D10BF3" w:rsidR="00897482" w:rsidRPr="0035160C" w:rsidRDefault="005444D9" w:rsidP="00897482">
      <w:pPr>
        <w:jc w:val="both"/>
      </w:pPr>
      <w:r>
        <w:t xml:space="preserve">Budżet Programu wynosi ok. 103 mld zł, natomiast termin realizacji Programu określony został na lata 2018 – 2029. </w:t>
      </w:r>
      <w:r w:rsidR="00897482">
        <w:t>Program w miarę diagnozowanych potrzeb i nowych wyzwań stale ewaluuje.</w:t>
      </w:r>
    </w:p>
    <w:p w14:paraId="5A0B7DC6" w14:textId="546315DD" w:rsidR="005444D9" w:rsidRDefault="005444D9" w:rsidP="005444D9">
      <w:pPr>
        <w:jc w:val="both"/>
      </w:pPr>
      <w:r>
        <w:t>Ze względu na swój unikatowy charakter i szeroki zakres Programu, począwszy od września 2018 r., tj. od momentu jego uruchomienia, był już kilkukrotnie modyfikowany. Obowiązująca obecnie nowa wersja Programu (wersja 2.0), ogłoszona w dniu 15 maja 2020 r. wprowadziła szereg zmian, gdzie do najważniejszych należą uproszczenie zasad przyznawania dotacji, skrócenie czasu rozpatrywania wniosków z 90 do 30 dni, uproszczenie wniosku o dotację, wprowadzenie możliwości składania wniosku online, integracja z programem „Mój Prąd”, powiązanie poziomu dotacji z efektem ekologicznym, premiowanie inwestycji bezemisyjnych, dotacje dla tych, którzy wymienili już źródło ciepła oraz możliwość finansowania przedsięwzięć rozpoczętych i zakończonych, możliwość składania elektronicznej wersji wniosku o dofinansowanie.</w:t>
      </w:r>
    </w:p>
    <w:p w14:paraId="05E4EC26" w14:textId="0EC69E9A" w:rsidR="005444D9" w:rsidRDefault="005444D9" w:rsidP="005444D9">
      <w:pPr>
        <w:jc w:val="both"/>
      </w:pPr>
      <w:r>
        <w:t>Program uruchomiony w dniu 15 maja 2020 r., obejmował pierwszą grupę Beneficjentów z podstawowym poziomem dofinansowania. Ogłoszona natomiast przez Ministra Klimatu i Środowiska oraz Prezesa NFOŚiGW w dniu 21 października 2020 r. druga część Programu, dała możliwość podwyższonego poziomu dofinansowania na realizację przedsięwzięć w ramach Programu. Jest to szansa na dotację do 60% poniesionych kosztów realizacji inwestycji, czyli aż o 7 tys. zł więcej w</w:t>
      </w:r>
      <w:r w:rsidR="00B91399">
        <w:t> </w:t>
      </w:r>
      <w:r>
        <w:t xml:space="preserve">stosunku do podstawowego poziomu dofinansowania, tj. w sumie maksymalnie 37 tys. zł. </w:t>
      </w:r>
    </w:p>
    <w:p w14:paraId="3A4431C4" w14:textId="77777777" w:rsidR="005444D9" w:rsidRDefault="005444D9" w:rsidP="005444D9">
      <w:pPr>
        <w:jc w:val="both"/>
      </w:pPr>
      <w:r>
        <w:t xml:space="preserve">Ta część Programu przygotowana została z myślą o osobach o niższych dochodach, dla których samorządy gminne wydadzą stosowne zaświadczenia o dochodzie na jednego członka w gospodarstwie domowym. Nowy nabór wniosków jest szansą dla właścicieli domów jednorodzinnych, których dotychczas nie było stać na przeprowadzenie inwestycji mających na celu nie tylko podniesienie efektywności energetycznej budynków poprzez ich termomodernizację wraz z wymianą źródła ciepła, ale także w wyniku podjęcia działań mających na celu zmniejszenie zapotrzebowania na ciepło. </w:t>
      </w:r>
    </w:p>
    <w:p w14:paraId="5B6EFE2F" w14:textId="5475E5F2" w:rsidR="00231AE5" w:rsidRDefault="005444D9" w:rsidP="005444D9">
      <w:pPr>
        <w:jc w:val="both"/>
      </w:pPr>
      <w:r>
        <w:t>Dodatkowo druga część Programu jest też szansą do wzmocnienia współpracy z jednostkami samorządu terytorialnego szczebla gminnego, które zobowiązane zostały do wydawania zaświadczeń uprawniających mniej zamożnych beneficjentów Programu do podwyższonego poziomu dofinansowania oraz możliwość pozyskania przez gminy środków finansowych za obsługę składanych przez właścicieli budynków mieszkalnych wniosków o dofinansowanie w ramach Programu.</w:t>
      </w:r>
      <w:r w:rsidR="00231AE5">
        <w:t xml:space="preserve"> W tym celu w Biuletynie Informacji Publicznej Minist</w:t>
      </w:r>
      <w:r w:rsidR="00785C58">
        <w:t>ra</w:t>
      </w:r>
      <w:r w:rsidR="00231AE5">
        <w:t xml:space="preserve"> Klimatu i Środowiska zamieszczone zostały:</w:t>
      </w:r>
    </w:p>
    <w:p w14:paraId="26B96C1F" w14:textId="0A6644B1" w:rsidR="00231AE5" w:rsidRDefault="00231AE5" w:rsidP="00DD0E4C">
      <w:pPr>
        <w:pStyle w:val="Akapitzlist"/>
        <w:numPr>
          <w:ilvl w:val="0"/>
          <w:numId w:val="92"/>
        </w:numPr>
        <w:jc w:val="both"/>
      </w:pPr>
      <w:r>
        <w:t>wzór żądania o wydanie zaświadczenia potwierdzającego przeciętny miesięczny dochód na jednego członka gospodarstwa domowego,</w:t>
      </w:r>
    </w:p>
    <w:p w14:paraId="6535FC60" w14:textId="1FB44C5A" w:rsidR="005444D9" w:rsidRDefault="00231AE5" w:rsidP="00DD0E4C">
      <w:pPr>
        <w:pStyle w:val="Akapitzlist"/>
        <w:numPr>
          <w:ilvl w:val="0"/>
          <w:numId w:val="92"/>
        </w:numPr>
        <w:jc w:val="both"/>
      </w:pPr>
      <w:r>
        <w:t xml:space="preserve">wzór takiego zaświadczenia. </w:t>
      </w:r>
      <w:r w:rsidR="005444D9">
        <w:t xml:space="preserve"> </w:t>
      </w:r>
    </w:p>
    <w:p w14:paraId="631FD659" w14:textId="5F51FDE3" w:rsidR="005444D9" w:rsidRDefault="005444D9" w:rsidP="005444D9">
      <w:pPr>
        <w:jc w:val="both"/>
      </w:pPr>
      <w:r>
        <w:t>Należy podkreślić, iż wprowadzone zmiany w wersji 2.0 Programu mają na celu przyspieszenie i ułatwienie ubiegania się o dofinansowanie na wymianę tzw. „kopciuchów” i termomodernizację budynków</w:t>
      </w:r>
      <w:r w:rsidR="00911C72">
        <w:t>.</w:t>
      </w:r>
      <w:r>
        <w:t xml:space="preserve">. Dlatego też NFOŚiGW przygotował nowe udogodnienia: kalkulator dotacji, kalkulator </w:t>
      </w:r>
      <w:r>
        <w:lastRenderedPageBreak/>
        <w:t>grubości ocieplenia, wydłużenie realizacji przedsięwzięcia o dodatkowe pół roku oraz listę urządzeń i materiałów zgodnych z Programem.</w:t>
      </w:r>
    </w:p>
    <w:p w14:paraId="49CD17F4" w14:textId="6785C3EE" w:rsidR="005444D9" w:rsidRDefault="005444D9" w:rsidP="005444D9">
      <w:pPr>
        <w:jc w:val="both"/>
      </w:pPr>
      <w:r>
        <w:t xml:space="preserve">Nabór wniosków o dofinansowanie realizowany jest w sposób ciągły przez </w:t>
      </w:r>
      <w:r w:rsidR="00911C72">
        <w:t>WFOŚiGW</w:t>
      </w:r>
      <w:r>
        <w:t xml:space="preserve"> i przy udziale gmin, które wyraziły wolę uczestniczenia w Programie.</w:t>
      </w:r>
    </w:p>
    <w:p w14:paraId="28189442" w14:textId="1634A46A" w:rsidR="005444D9" w:rsidRDefault="005444D9" w:rsidP="005444D9">
      <w:pPr>
        <w:jc w:val="both"/>
      </w:pPr>
      <w:r>
        <w:t>Ścieżka bankowa w Programie Priorytetowym „Czyste Powietrze”, czyli nabór wniosków o dotacje na częściową spłatę kapitału kredytu bankowego, ruszyła 6 lipca 2021 r.</w:t>
      </w:r>
    </w:p>
    <w:p w14:paraId="5BB004A4" w14:textId="46C5A62E" w:rsidR="005444D9" w:rsidRDefault="005444D9" w:rsidP="005444D9">
      <w:pPr>
        <w:jc w:val="both"/>
      </w:pPr>
      <w:r>
        <w:t>Ścieżka bankowa w Programie przewiduje też możliwość objęcia kredytów gwarancjami z Ekologicznego Funduszu Poręczeń i Gwarancji (EFPiG), którym dysponuje Bank Gospodarstwa Krajowego (BGK). Dzięki tym gwarancjom, banki kredytujące mogą zaproponować korzystniejsze warunki kredytu przeznaczonego na finansowanie inwestycji zgodnych z programem.</w:t>
      </w:r>
    </w:p>
    <w:p w14:paraId="6F4E4372" w14:textId="1FBDA76F" w:rsidR="00A34D99" w:rsidRPr="0035160C" w:rsidRDefault="00A34D99" w:rsidP="00A34D99">
      <w:pPr>
        <w:jc w:val="both"/>
      </w:pPr>
      <w:r w:rsidRPr="0035160C">
        <w:t>WFOŚiGW umożliwiają uzyskanie wsparcia finansowego na szeroko rozumianą ochronę środowiska. Corocznie określana jest lista przedsięwzięć priorytetowych oraz zasady finansowania działań z zakresu m.in. ochrony powietrza, edukacji ekologicznej, wykorzystania OZE oraz innych.</w:t>
      </w:r>
    </w:p>
    <w:p w14:paraId="501C5CE5" w14:textId="1A86ABBC" w:rsidR="00A34D99" w:rsidRPr="0035160C" w:rsidRDefault="00A34D99" w:rsidP="002D6DCF">
      <w:pPr>
        <w:jc w:val="both"/>
        <w:rPr>
          <w:b/>
          <w:bCs/>
          <w:color w:val="2F5496" w:themeColor="accent1" w:themeShade="BF"/>
        </w:rPr>
      </w:pPr>
      <w:r w:rsidRPr="0035160C">
        <w:rPr>
          <w:b/>
          <w:bCs/>
          <w:color w:val="2F5496" w:themeColor="accent1" w:themeShade="BF"/>
        </w:rPr>
        <w:t>Wszystkie realizowane przez NFOŚiGW oraz WFOŚiGW projekty przedstawione zostały w załączniku nr 1 i ze względu na fakt, że ulegają one częstym modyfikacjom, załącznik będzie podlegał weryfikacji i aktualizacji  w terminie do 15 dnia każdego miesiąca następującego po kwartale.</w:t>
      </w:r>
    </w:p>
    <w:p w14:paraId="77CC9BD0" w14:textId="7FD96741" w:rsidR="002D6DCF" w:rsidRPr="0035160C" w:rsidRDefault="002D6DCF" w:rsidP="002D6DCF">
      <w:pPr>
        <w:jc w:val="both"/>
      </w:pPr>
      <w:r w:rsidRPr="0035160C">
        <w:t xml:space="preserve">Inwestycje w zakresie </w:t>
      </w:r>
      <w:r w:rsidR="00A34D99" w:rsidRPr="0035160C">
        <w:t xml:space="preserve">poprawy jakości powietrza </w:t>
      </w:r>
      <w:r w:rsidRPr="0035160C">
        <w:t xml:space="preserve">będą finansowane również przy wykorzystaniu środków zagranicznych, w tym polityki spójności, Instrumentu na rzecz Odbudowy i Zwiększania Oporności, Mechanizmu Sprawiedliwej Transformacji, Norweskiego Mechanizmu Finansowego (NMF) i Mechanizmu Finansowego Europejskiego Obszaru Gospodarczego (MF EOG), Funduszu Modernizacyjnego oraz instrumentu LIFE. </w:t>
      </w:r>
    </w:p>
    <w:p w14:paraId="7F826AA7" w14:textId="77777777" w:rsidR="002D6DCF" w:rsidRPr="0035160C" w:rsidRDefault="002D6DCF" w:rsidP="002D6DCF">
      <w:pPr>
        <w:jc w:val="both"/>
      </w:pPr>
      <w:r w:rsidRPr="0035160C">
        <w:t xml:space="preserve">Poszczególne instrumenty będą działać na zasadzie komplementarności różnych źródeł przy jednoczesnym wprowadzeniu narzędzi minimalizującym ryzyko podwójnego finansowania. W katalogu wymienionych źródeł finansowania znajdują się zarówno narzędzia, które stanowią kontynuację realizowanych wcześniej programów – jak również zupełnie nowe programy i mechanizmy. Stanowią one odpowiedź na szok gospodarczy wywołany pandemią SARS-COV-2 oraz wyzwaniami dotyczącymi transformacji polskiej gospodarki w kierunku niskoemisyjnego modelu rozwoju. </w:t>
      </w:r>
    </w:p>
    <w:p w14:paraId="49427EAE" w14:textId="77777777" w:rsidR="002D6DCF" w:rsidRPr="0035160C" w:rsidRDefault="002D6DCF" w:rsidP="002D6DCF">
      <w:pPr>
        <w:jc w:val="both"/>
      </w:pPr>
      <w:r w:rsidRPr="0035160C">
        <w:t xml:space="preserve">W ramach </w:t>
      </w:r>
      <w:r w:rsidRPr="0035160C">
        <w:rPr>
          <w:b/>
          <w:bCs/>
          <w:color w:val="2F5496" w:themeColor="accent1" w:themeShade="BF"/>
        </w:rPr>
        <w:t>Krajowego Planu Odbudowy</w:t>
      </w:r>
      <w:r w:rsidRPr="0035160C">
        <w:rPr>
          <w:color w:val="2F5496" w:themeColor="accent1" w:themeShade="BF"/>
        </w:rPr>
        <w:t xml:space="preserve"> </w:t>
      </w:r>
      <w:r w:rsidRPr="0035160C">
        <w:t xml:space="preserve">wspierana będzie transformacja kluczowych sektorów gospodarki do modelu niskoemisyjnego przy wykorzystaniu szans rozwoju w obszarze zielonych technologii, jak również efektywna adaptacja najbardziej zagrożonych obszarów i sektorów do zmian klimatu. </w:t>
      </w:r>
    </w:p>
    <w:p w14:paraId="1702B65A" w14:textId="77777777" w:rsidR="002D6DCF" w:rsidRPr="0035160C" w:rsidRDefault="002D6DCF" w:rsidP="002D6DCF">
      <w:pPr>
        <w:jc w:val="both"/>
      </w:pPr>
      <w:r w:rsidRPr="0035160C">
        <w:t xml:space="preserve">W ramach celu szczegółowego B.1 </w:t>
      </w:r>
      <w:r w:rsidRPr="0035160C">
        <w:rPr>
          <w:i/>
          <w:iCs/>
        </w:rPr>
        <w:t>Poprawa efektywności energetycznej gospodarki</w:t>
      </w:r>
      <w:r w:rsidRPr="0035160C">
        <w:t xml:space="preserve"> będzie realizowana reforma B.1.1 Czyste powietrze i efektywność energetyczna. W ramach reformy współfinansowane będą m.in. inwestycje dotyczące poprawy efektywności źródeł ciepła i chłodu </w:t>
      </w:r>
      <w:r w:rsidRPr="0035160C">
        <w:br/>
        <w:t xml:space="preserve">w systemach ciepłowniczych, wymiana źródeł ciepła i poprawa efektywności energetycznej </w:t>
      </w:r>
      <w:r w:rsidRPr="0035160C">
        <w:br/>
        <w:t xml:space="preserve">w budynkach mieszkalnych, wymiana źródeł ciepła i poprawa efektywności energetycznej szkół, wsparcie efektywności energetycznej obiektów lokalnej aktywności społecznej. </w:t>
      </w:r>
    </w:p>
    <w:p w14:paraId="5E1A45B4" w14:textId="77777777" w:rsidR="002D6DCF" w:rsidRPr="0035160C" w:rsidRDefault="002D6DCF" w:rsidP="002D6DCF">
      <w:pPr>
        <w:jc w:val="both"/>
      </w:pPr>
      <w:r w:rsidRPr="0035160C">
        <w:t xml:space="preserve">Jednocześnie wspierane będzie zwiększenie wykorzystania odnawialnych źródeł energii, inwestycje </w:t>
      </w:r>
      <w:r w:rsidRPr="0035160C">
        <w:br/>
        <w:t xml:space="preserve">w technologie wodorowe, rozwój sieci przesyłowych w celu dostosowania ich do wymogów tzw. smart grid, budowa infrastruktury niezbędnej do rozwoju odnawialnych źródeł energii na morzu. </w:t>
      </w:r>
    </w:p>
    <w:p w14:paraId="30F0EE45" w14:textId="77777777" w:rsidR="002D6DCF" w:rsidRPr="0035160C" w:rsidRDefault="002D6DCF" w:rsidP="002D6DCF">
      <w:pPr>
        <w:jc w:val="both"/>
      </w:pPr>
      <w:r w:rsidRPr="0035160C">
        <w:lastRenderedPageBreak/>
        <w:t xml:space="preserve">Poprawą jakości powietrza skutkować będą również inwestycje realizowane w ramach celu szczegółowego E.1 </w:t>
      </w:r>
      <w:r w:rsidRPr="0035160C">
        <w:rPr>
          <w:i/>
          <w:iCs/>
        </w:rPr>
        <w:t>Zwiększenie udziału zero i niskoemisyjnego transportu</w:t>
      </w:r>
      <w:r w:rsidRPr="0035160C">
        <w:t xml:space="preserve"> oraz przeciwdziałanie </w:t>
      </w:r>
      <w:r w:rsidRPr="0035160C">
        <w:br/>
        <w:t xml:space="preserve">i zmniejszenie negatywnego oddziaływania transportu na środowisko. </w:t>
      </w:r>
    </w:p>
    <w:p w14:paraId="25F1ABC7" w14:textId="77777777" w:rsidR="002D6DCF" w:rsidRPr="0035160C" w:rsidRDefault="002D6DCF" w:rsidP="002D6DCF">
      <w:pPr>
        <w:jc w:val="both"/>
      </w:pPr>
      <w:r w:rsidRPr="0035160C">
        <w:t>Szacowany koszt działań realizowanych w ramach komponentu B KPO: zielona energia i zmniejszenie energochłonności wynosi 5, 696 mln mld €</w:t>
      </w:r>
      <w:r w:rsidRPr="0035160C">
        <w:rPr>
          <w:vertAlign w:val="superscript"/>
        </w:rPr>
        <w:footnoteReference w:id="33"/>
      </w:r>
      <w:r w:rsidRPr="0035160C">
        <w:t xml:space="preserve"> natomiast w ramach komponentu E KPO: zielona, inteligentna mobilność wynosi 6,818 mld €</w:t>
      </w:r>
      <w:r w:rsidRPr="0035160C">
        <w:rPr>
          <w:vertAlign w:val="superscript"/>
        </w:rPr>
        <w:footnoteReference w:id="34"/>
      </w:r>
    </w:p>
    <w:p w14:paraId="4357BB8C" w14:textId="77777777" w:rsidR="002D6DCF" w:rsidRPr="0035160C" w:rsidRDefault="002D6DCF" w:rsidP="002D6DCF">
      <w:pPr>
        <w:jc w:val="both"/>
      </w:pPr>
      <w:r w:rsidRPr="0035160C">
        <w:t xml:space="preserve">Działania na rzecz poprawy jakości powietrza będą finansowane również ze środków </w:t>
      </w:r>
      <w:r w:rsidRPr="0035160C">
        <w:rPr>
          <w:b/>
          <w:bCs/>
          <w:color w:val="2F5496" w:themeColor="accent1" w:themeShade="BF"/>
        </w:rPr>
        <w:t>polityki spójności</w:t>
      </w:r>
      <w:r w:rsidRPr="0035160C">
        <w:rPr>
          <w:color w:val="2F5496" w:themeColor="accent1" w:themeShade="BF"/>
        </w:rPr>
        <w:t xml:space="preserve">, </w:t>
      </w:r>
      <w:r w:rsidRPr="0035160C">
        <w:t xml:space="preserve">w tym w ramach krajowego programu operacyjnego przeznaczonego na infrastrukturę, klimat </w:t>
      </w:r>
      <w:r w:rsidRPr="0035160C">
        <w:br/>
        <w:t xml:space="preserve">i środowisko. Działania w tym obszarze będą finansowane na zasadzie komplementarności </w:t>
      </w:r>
      <w:r w:rsidRPr="0035160C">
        <w:br/>
        <w:t>i zachowaniu odpowiednich linii demarkacyjnych. W ramach programu wspierane będzie m.in. promowanie efektywności energetycznej i redukcja emisji gazów cieplarnianych. W programie operacyjnym przewidziano również finansowanie monitoringu i badań prowadzonych w ramach Państwowego Monitoringu Środowiska, dotyczących m.in. jakości powietrza. Wsparcie będzie obejmowało zarówno część inwestycyjną (m.in. zakup specjalistycznego sprzętu do badań, pomiarów i analiz, zakup sprzętu wspierającego działania kontrolne), jak i nieinwestycyjną (m.in. prowadzenie badań pilotażowych związanych z monitoringiem środowiska, opracowanie materiałów metodycznych i wytycznych, wzmocnienie systemów informatycznych do gromadzenia i przetwarzania danych oraz szkolenia pracowników).</w:t>
      </w:r>
    </w:p>
    <w:p w14:paraId="17C2C3ED" w14:textId="77777777" w:rsidR="002D6DCF" w:rsidRPr="0035160C" w:rsidRDefault="002D6DCF" w:rsidP="002D6DCF">
      <w:pPr>
        <w:jc w:val="both"/>
      </w:pPr>
      <w:r w:rsidRPr="0035160C">
        <w:t xml:space="preserve">Działania na rzecz ochrony powietrza będą wspierane również w ramach regionalnych programów operacyjnych. </w:t>
      </w:r>
    </w:p>
    <w:p w14:paraId="25E31B50" w14:textId="77777777" w:rsidR="002D6DCF" w:rsidRPr="0035160C" w:rsidRDefault="002D6DCF" w:rsidP="002D6DCF">
      <w:pPr>
        <w:jc w:val="both"/>
      </w:pPr>
      <w:r w:rsidRPr="0035160C">
        <w:t xml:space="preserve">Kolejnym, potencjalnym źródłem finansowania działań, które mogą skutkować poprawą jakości powietrza jest </w:t>
      </w:r>
      <w:r w:rsidRPr="0035160C">
        <w:rPr>
          <w:b/>
          <w:bCs/>
          <w:color w:val="2F5496" w:themeColor="accent1" w:themeShade="BF"/>
        </w:rPr>
        <w:t>Mechanizm Sprawiedliwej Transformacji</w:t>
      </w:r>
      <w:r w:rsidRPr="0035160C">
        <w:rPr>
          <w:color w:val="2F5496" w:themeColor="accent1" w:themeShade="BF"/>
        </w:rPr>
        <w:t xml:space="preserve"> </w:t>
      </w:r>
      <w:r w:rsidRPr="0035160C">
        <w:t xml:space="preserve">składający się z III filarów, w tym Funduszu Sprawiedliwej Transformacji. Celem FST jest finansowanie działań służących łagodzeniu skutków społecznych i gospodarczych transformacji w kierunku zielonej gospodarki. Polska ma być wśród największych beneficjentów instrumentu z alokacją do 4,4 mld € (I filar). Głównymi działaniami wstępnie planowanymi do realizacji w Polsce z Funduszu Sprawiedliwej Transformacji jest m.in. wspieranie procesu intensywnego wdrażania rozwiązań OZE i zielonej gospodarki </w:t>
      </w:r>
      <w:r w:rsidRPr="0035160C">
        <w:br/>
        <w:t xml:space="preserve">z uwzględnieniem lokalnych zasobów i rozwiązań pilotażowo – demonstracyjnych; </w:t>
      </w:r>
    </w:p>
    <w:p w14:paraId="149B9917" w14:textId="77777777" w:rsidR="002D6DCF" w:rsidRPr="0035160C" w:rsidRDefault="002D6DCF" w:rsidP="002D6DCF">
      <w:pPr>
        <w:jc w:val="both"/>
        <w:rPr>
          <w:b/>
          <w:bCs/>
        </w:rPr>
      </w:pPr>
      <w:r w:rsidRPr="0035160C">
        <w:rPr>
          <w:b/>
          <w:bCs/>
          <w:color w:val="2F5496" w:themeColor="accent1" w:themeShade="BF"/>
        </w:rPr>
        <w:t>Norweski Mechanizm Finansowy</w:t>
      </w:r>
      <w:r w:rsidRPr="0035160C">
        <w:rPr>
          <w:color w:val="2F5496" w:themeColor="accent1" w:themeShade="BF"/>
        </w:rPr>
        <w:t xml:space="preserve"> </w:t>
      </w:r>
      <w:r w:rsidRPr="0035160C">
        <w:t xml:space="preserve">(NMF) i </w:t>
      </w:r>
      <w:r w:rsidRPr="0035160C">
        <w:rPr>
          <w:b/>
          <w:bCs/>
          <w:color w:val="2F5496" w:themeColor="accent1" w:themeShade="BF"/>
        </w:rPr>
        <w:t>Mechanizm Finansowy Europejskiego Obszaru Gospodarczego</w:t>
      </w:r>
      <w:r w:rsidRPr="0035160C">
        <w:rPr>
          <w:color w:val="2F5496" w:themeColor="accent1" w:themeShade="BF"/>
        </w:rPr>
        <w:t xml:space="preserve"> </w:t>
      </w:r>
      <w:r w:rsidRPr="0035160C">
        <w:t xml:space="preserve">(MF EOG), zwane Funduszami EOG i norweskimi to dwa instrumenty finansowe ustanowione przez Islandię, Liechtenstein, Norwegię. Głównym celem Funduszy EOG i norweskich jest przyczynianie się do zmniejszania różnic ekonomicznych i społecznych w obrębie EOG oraz wzmacnianie stosunków dwustronnych pomiędzy państwami zaangażowanymi w realizację celów tych mechanizmów. W ramach </w:t>
      </w:r>
      <w:r w:rsidRPr="0035160C">
        <w:rPr>
          <w:b/>
          <w:bCs/>
          <w:color w:val="2F5496" w:themeColor="accent1" w:themeShade="BF"/>
        </w:rPr>
        <w:t xml:space="preserve">Programu Środowisko, Energia i Zmiany Klimatu MF EOG 2014-2021 </w:t>
      </w:r>
      <w:r w:rsidRPr="0035160C">
        <w:t>planuje się wspierać</w:t>
      </w:r>
      <w:r w:rsidRPr="0035160C">
        <w:rPr>
          <w:b/>
          <w:bCs/>
        </w:rPr>
        <w:t xml:space="preserve"> </w:t>
      </w:r>
      <w:r w:rsidRPr="0035160C">
        <w:t xml:space="preserve">poprawę efektywności energetycznej i bezpieczeństwa energetycznego, wzrost produkcji energii z OZE; łagodzenie zmian klimatu i ograniczenie narażenia na tego typu zmiany. Całkowita alokacja programu dot. środowiska, energii i klimatu wynosi prawie </w:t>
      </w:r>
      <w:r w:rsidRPr="0035160C">
        <w:rPr>
          <w:b/>
          <w:bCs/>
          <w:color w:val="2F5496" w:themeColor="accent1" w:themeShade="BF"/>
        </w:rPr>
        <w:t>165 mln €</w:t>
      </w:r>
    </w:p>
    <w:p w14:paraId="304CD6B5" w14:textId="77777777" w:rsidR="002D6DCF" w:rsidRPr="0035160C" w:rsidRDefault="002D6DCF" w:rsidP="002D6DCF">
      <w:pPr>
        <w:jc w:val="both"/>
      </w:pPr>
      <w:r w:rsidRPr="0035160C">
        <w:t xml:space="preserve">Środki tzw. </w:t>
      </w:r>
      <w:r w:rsidRPr="0035160C">
        <w:rPr>
          <w:b/>
          <w:bCs/>
          <w:color w:val="2F5496" w:themeColor="accent1" w:themeShade="BF"/>
        </w:rPr>
        <w:t>Funduszu Modernizacyjnego</w:t>
      </w:r>
      <w:r w:rsidRPr="0035160C">
        <w:rPr>
          <w:color w:val="2F5496" w:themeColor="accent1" w:themeShade="BF"/>
        </w:rPr>
        <w:t xml:space="preserve"> </w:t>
      </w:r>
      <w:r w:rsidRPr="0035160C">
        <w:t xml:space="preserve">zostaną wykorzystane na finansowanie inwestycji w odnawialne źródła energii, poprawę efektywności energetycznej, magazynowanie energii, modernizację sieci energetycznych oraz wsparcie transformacji w regionach węglowych. Finansowanie inwestycji ze środków Funduszu Modernizacyjnego będzie odbywało się w ramach programów </w:t>
      </w:r>
      <w:r w:rsidRPr="0035160C">
        <w:lastRenderedPageBreak/>
        <w:t xml:space="preserve">priorytetowych NFOŚiGW. Wartość instrumentu jest zależna od wartości uprawnień do emisji (w 2021 roku szacuje się ją na około 18 mld zł). </w:t>
      </w:r>
    </w:p>
    <w:p w14:paraId="0ED59EF2" w14:textId="77777777" w:rsidR="002D6DCF" w:rsidRPr="0035160C" w:rsidRDefault="002D6DCF" w:rsidP="002D6DCF">
      <w:pPr>
        <w:jc w:val="both"/>
      </w:pPr>
      <w:r w:rsidRPr="0035160C">
        <w:t xml:space="preserve">Celem Programu działań na rzecz środowiska i klimatu </w:t>
      </w:r>
      <w:r w:rsidRPr="0035160C">
        <w:rPr>
          <w:b/>
          <w:bCs/>
          <w:color w:val="2F5496" w:themeColor="accent1" w:themeShade="BF"/>
        </w:rPr>
        <w:t xml:space="preserve">(LIFE) </w:t>
      </w:r>
      <w:r w:rsidRPr="0035160C">
        <w:t>jest</w:t>
      </w:r>
      <w:r w:rsidRPr="0035160C">
        <w:rPr>
          <w:b/>
          <w:bCs/>
        </w:rPr>
        <w:t xml:space="preserve"> </w:t>
      </w:r>
      <w:r w:rsidRPr="0035160C">
        <w:t xml:space="preserve">wspieranie procesu wdrażania unijnego prawa ochrony środowiska, realizacja polityki ochrony środowiska oraz identyfikacja </w:t>
      </w:r>
      <w:r w:rsidRPr="0035160C">
        <w:br/>
        <w:t xml:space="preserve">i promocja nowych rozwiązań dla problemów dotyczących kwestii środowiskowych i klimatycznych. </w:t>
      </w:r>
      <w:r w:rsidRPr="0035160C">
        <w:br/>
        <w:t>W założeniu KE, LIFE stanowi katalizator zmian, który będzie narzędziem przyspieszającym transformację społeczeństw UE do niskoemisyjnej gospodarki o obiegu zamkniętym</w:t>
      </w:r>
      <w:r w:rsidRPr="0035160C">
        <w:rPr>
          <w:b/>
          <w:bCs/>
        </w:rPr>
        <w:t xml:space="preserve">. </w:t>
      </w:r>
      <w:r w:rsidRPr="0035160C">
        <w:rPr>
          <w:b/>
          <w:bCs/>
          <w:color w:val="2F5496" w:themeColor="accent1" w:themeShade="BF"/>
        </w:rPr>
        <w:t xml:space="preserve">Działania na rzecz poprawy jakości będą mogły uzyskać wsparcie w ramach trzech podprogramów </w:t>
      </w:r>
      <w:r w:rsidRPr="0035160C">
        <w:rPr>
          <w:b/>
          <w:bCs/>
        </w:rPr>
        <w:t xml:space="preserve">– </w:t>
      </w:r>
      <w:r w:rsidRPr="0035160C">
        <w:rPr>
          <w:i/>
          <w:iCs/>
        </w:rPr>
        <w:t xml:space="preserve">Gospodarka </w:t>
      </w:r>
      <w:r w:rsidRPr="0035160C">
        <w:rPr>
          <w:i/>
          <w:iCs/>
        </w:rPr>
        <w:br/>
        <w:t>o obiegu zamkniętym i jakość życia</w:t>
      </w:r>
      <w:r w:rsidRPr="0035160C">
        <w:t xml:space="preserve">; </w:t>
      </w:r>
      <w:r w:rsidRPr="0035160C">
        <w:rPr>
          <w:i/>
          <w:iCs/>
        </w:rPr>
        <w:t>Łagodzenie zmiany klimatu i przystosowanie się do niej</w:t>
      </w:r>
      <w:r w:rsidRPr="0035160C">
        <w:t xml:space="preserve">; </w:t>
      </w:r>
      <w:r w:rsidRPr="0035160C">
        <w:rPr>
          <w:i/>
          <w:iCs/>
        </w:rPr>
        <w:t>Przejście na czystą energię.</w:t>
      </w:r>
      <w:r w:rsidRPr="0035160C">
        <w:t xml:space="preserve"> Potencjalnie każda osoba prawna będzie mogła aplikować o wsparcie na projekty dotyczące działań standardowych (m.in. innowacyjne; dotyczące zarządzania czy działań koordynacyjnych). Ponadto organy publiczne mogą wnioskować o środki na realizację strategicznych projektów zintegrowanych, które mają potencjał pozyskania środków publicznych i prywatnych, aby stały się przykładami najlepszych praktyk i pełniły rolę katalizatora we wdrażaniu planów </w:t>
      </w:r>
      <w:r w:rsidRPr="0035160C">
        <w:br/>
        <w:t>i ustawodawstwa dotyczących jakości powietrza, na poziomie lokalnym, regionalnym, międzyregionalnym, krajowym i ponadnarodowym.</w:t>
      </w:r>
    </w:p>
    <w:p w14:paraId="6D53A550" w14:textId="525B30E8" w:rsidR="00541BCE" w:rsidRPr="0035160C" w:rsidRDefault="00541BCE" w:rsidP="00282106">
      <w:pPr>
        <w:jc w:val="both"/>
        <w:rPr>
          <w:b/>
          <w:bCs/>
          <w:color w:val="2F5496" w:themeColor="accent1" w:themeShade="BF"/>
        </w:rPr>
      </w:pPr>
      <w:r w:rsidRPr="0035160C">
        <w:rPr>
          <w:b/>
          <w:bCs/>
          <w:color w:val="2F5496" w:themeColor="accent1" w:themeShade="BF"/>
        </w:rPr>
        <w:br w:type="page"/>
      </w:r>
    </w:p>
    <w:p w14:paraId="3CF9D41E" w14:textId="3E8E0145" w:rsidR="000B3A1B" w:rsidRPr="0035160C" w:rsidRDefault="008A7028" w:rsidP="00A84A81">
      <w:pPr>
        <w:pStyle w:val="Nagwek1"/>
        <w:numPr>
          <w:ilvl w:val="0"/>
          <w:numId w:val="0"/>
        </w:numPr>
        <w:rPr>
          <w:b/>
          <w:sz w:val="24"/>
          <w:szCs w:val="24"/>
        </w:rPr>
      </w:pPr>
      <w:bookmarkStart w:id="91" w:name="_Toc78205908"/>
      <w:bookmarkStart w:id="92" w:name="_Hlk70440807"/>
      <w:r w:rsidRPr="0035160C">
        <w:rPr>
          <w:b/>
          <w:sz w:val="24"/>
          <w:szCs w:val="24"/>
        </w:rPr>
        <w:lastRenderedPageBreak/>
        <w:t>10</w:t>
      </w:r>
      <w:r w:rsidR="00A84A81" w:rsidRPr="0035160C">
        <w:rPr>
          <w:b/>
          <w:sz w:val="24"/>
          <w:szCs w:val="24"/>
        </w:rPr>
        <w:t xml:space="preserve">. </w:t>
      </w:r>
      <w:bookmarkStart w:id="93" w:name="_Hlk76415027"/>
      <w:r w:rsidR="000B3A1B" w:rsidRPr="0035160C">
        <w:rPr>
          <w:b/>
          <w:sz w:val="24"/>
          <w:szCs w:val="24"/>
        </w:rPr>
        <w:t>Zadania aKPOP do 2025 (z perspektywą do 2030 r. oraz do 2040 r.)</w:t>
      </w:r>
      <w:bookmarkEnd w:id="91"/>
    </w:p>
    <w:bookmarkEnd w:id="93"/>
    <w:p w14:paraId="574B45A9" w14:textId="77777777" w:rsidR="000B3A1B" w:rsidRPr="0035160C" w:rsidRDefault="000B3A1B" w:rsidP="000B3A1B">
      <w:pPr>
        <w:pStyle w:val="Akapitzlist"/>
        <w:jc w:val="both"/>
        <w:rPr>
          <w:b/>
          <w:bCs/>
          <w:color w:val="2F5496" w:themeColor="accent1" w:themeShade="BF"/>
        </w:rPr>
      </w:pP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9"/>
        <w:gridCol w:w="5370"/>
        <w:gridCol w:w="2410"/>
        <w:gridCol w:w="11"/>
      </w:tblGrid>
      <w:tr w:rsidR="002959F3" w:rsidRPr="00F81987" w14:paraId="260EC769" w14:textId="77777777" w:rsidTr="00745D42">
        <w:trPr>
          <w:gridAfter w:val="1"/>
          <w:wAfter w:w="11" w:type="dxa"/>
          <w:trHeight w:val="591"/>
          <w:jc w:val="center"/>
        </w:trPr>
        <w:tc>
          <w:tcPr>
            <w:tcW w:w="1429" w:type="dxa"/>
            <w:shd w:val="clear" w:color="auto" w:fill="D9E2F3" w:themeFill="accent1" w:themeFillTint="33"/>
          </w:tcPr>
          <w:p w14:paraId="7DBC3829" w14:textId="77777777" w:rsidR="002959F3" w:rsidRPr="00F81987" w:rsidRDefault="002959F3" w:rsidP="002959F3">
            <w:pPr>
              <w:pStyle w:val="Akapitzlist"/>
              <w:ind w:left="34" w:right="339" w:hanging="34"/>
              <w:rPr>
                <w:rFonts w:cstheme="minorHAnsi"/>
                <w:b/>
                <w:bCs/>
                <w:sz w:val="20"/>
                <w:szCs w:val="20"/>
              </w:rPr>
            </w:pPr>
            <w:r w:rsidRPr="00F81987">
              <w:rPr>
                <w:rFonts w:cstheme="minorHAnsi"/>
                <w:b/>
                <w:bCs/>
                <w:sz w:val="20"/>
                <w:szCs w:val="20"/>
              </w:rPr>
              <w:t>Ramy czasowe</w:t>
            </w:r>
          </w:p>
        </w:tc>
        <w:tc>
          <w:tcPr>
            <w:tcW w:w="5370" w:type="dxa"/>
            <w:shd w:val="clear" w:color="auto" w:fill="D9E2F3" w:themeFill="accent1" w:themeFillTint="33"/>
          </w:tcPr>
          <w:p w14:paraId="38C37FF2" w14:textId="77777777" w:rsidR="002959F3" w:rsidRPr="00F81987" w:rsidRDefault="002959F3" w:rsidP="002959F3">
            <w:pPr>
              <w:pStyle w:val="Akapitzlist"/>
              <w:ind w:left="153" w:hanging="141"/>
              <w:rPr>
                <w:rFonts w:cstheme="minorHAnsi"/>
                <w:b/>
                <w:bCs/>
                <w:sz w:val="20"/>
                <w:szCs w:val="20"/>
              </w:rPr>
            </w:pPr>
            <w:r w:rsidRPr="00F81987">
              <w:rPr>
                <w:rFonts w:cstheme="minorHAnsi"/>
                <w:b/>
                <w:bCs/>
                <w:sz w:val="20"/>
                <w:szCs w:val="20"/>
              </w:rPr>
              <w:t>Nazwa działania</w:t>
            </w:r>
          </w:p>
          <w:p w14:paraId="3F1034EA" w14:textId="77777777" w:rsidR="00AC3FF4" w:rsidRPr="00F81987" w:rsidDel="003C68FC" w:rsidRDefault="00AC3FF4" w:rsidP="00AC3FF4">
            <w:pPr>
              <w:tabs>
                <w:tab w:val="left" w:pos="972"/>
              </w:tabs>
              <w:rPr>
                <w:rFonts w:cstheme="minorHAnsi"/>
                <w:sz w:val="20"/>
                <w:szCs w:val="20"/>
              </w:rPr>
            </w:pPr>
            <w:r w:rsidRPr="00F81987">
              <w:rPr>
                <w:rFonts w:cstheme="minorHAnsi"/>
                <w:sz w:val="20"/>
                <w:szCs w:val="20"/>
              </w:rPr>
              <w:tab/>
            </w:r>
          </w:p>
        </w:tc>
        <w:tc>
          <w:tcPr>
            <w:tcW w:w="2410" w:type="dxa"/>
            <w:shd w:val="clear" w:color="auto" w:fill="D9E2F3" w:themeFill="accent1" w:themeFillTint="33"/>
          </w:tcPr>
          <w:p w14:paraId="6BCAD237" w14:textId="77777777" w:rsidR="002959F3" w:rsidRPr="00F81987" w:rsidRDefault="002959F3" w:rsidP="002959F3">
            <w:pPr>
              <w:pStyle w:val="Akapitzlist"/>
              <w:tabs>
                <w:tab w:val="left" w:pos="276"/>
              </w:tabs>
              <w:ind w:left="21" w:right="29"/>
              <w:rPr>
                <w:rFonts w:cstheme="minorHAnsi"/>
                <w:b/>
                <w:bCs/>
                <w:sz w:val="20"/>
                <w:szCs w:val="20"/>
              </w:rPr>
            </w:pPr>
            <w:r w:rsidRPr="00F81987">
              <w:rPr>
                <w:rFonts w:cstheme="minorHAnsi"/>
                <w:b/>
                <w:bCs/>
                <w:sz w:val="20"/>
                <w:szCs w:val="20"/>
              </w:rPr>
              <w:t>Instytucja odpowiedzialna/</w:t>
            </w:r>
          </w:p>
          <w:p w14:paraId="5EEF86AF" w14:textId="77777777" w:rsidR="002959F3" w:rsidRPr="00F81987" w:rsidRDefault="002959F3" w:rsidP="002959F3">
            <w:pPr>
              <w:pStyle w:val="Akapitzlist"/>
              <w:ind w:left="0" w:firstLine="39"/>
              <w:rPr>
                <w:rFonts w:cstheme="minorHAnsi"/>
                <w:b/>
                <w:bCs/>
                <w:sz w:val="20"/>
                <w:szCs w:val="20"/>
              </w:rPr>
            </w:pPr>
            <w:r w:rsidRPr="00F81987">
              <w:rPr>
                <w:rFonts w:cstheme="minorHAnsi"/>
                <w:b/>
                <w:bCs/>
                <w:sz w:val="20"/>
                <w:szCs w:val="20"/>
              </w:rPr>
              <w:t>koordynator</w:t>
            </w:r>
          </w:p>
        </w:tc>
      </w:tr>
      <w:tr w:rsidR="002959F3" w:rsidRPr="00F81987" w14:paraId="05C8E2E5" w14:textId="77777777" w:rsidTr="00745D42">
        <w:trPr>
          <w:trHeight w:val="591"/>
          <w:jc w:val="center"/>
        </w:trPr>
        <w:tc>
          <w:tcPr>
            <w:tcW w:w="9220" w:type="dxa"/>
            <w:gridSpan w:val="4"/>
            <w:shd w:val="clear" w:color="auto" w:fill="D9E2F3" w:themeFill="accent1" w:themeFillTint="33"/>
          </w:tcPr>
          <w:p w14:paraId="724CC25A" w14:textId="6B7961DC" w:rsidR="002959F3" w:rsidRPr="00F81987" w:rsidRDefault="00745D42" w:rsidP="002959F3">
            <w:pPr>
              <w:pStyle w:val="Akapitzlist"/>
              <w:ind w:left="34" w:hanging="34"/>
              <w:jc w:val="both"/>
              <w:rPr>
                <w:rFonts w:cstheme="minorHAnsi"/>
                <w:b/>
                <w:bCs/>
                <w:sz w:val="20"/>
                <w:szCs w:val="20"/>
              </w:rPr>
            </w:pPr>
            <w:r w:rsidRPr="00F81987">
              <w:rPr>
                <w:rFonts w:cstheme="minorHAnsi"/>
                <w:b/>
                <w:bCs/>
                <w:sz w:val="20"/>
                <w:szCs w:val="20"/>
              </w:rPr>
              <w:t>Ocena jakości powietrza oraz modelowanie matematyczne przenoszenia zanieczyszczeń powietrza – diagnoza stanu powietrza</w:t>
            </w:r>
          </w:p>
        </w:tc>
      </w:tr>
      <w:tr w:rsidR="00E0671B" w:rsidRPr="00F81987" w14:paraId="08F16062" w14:textId="77777777" w:rsidTr="00A77FE9">
        <w:trPr>
          <w:gridAfter w:val="1"/>
          <w:wAfter w:w="11" w:type="dxa"/>
          <w:trHeight w:val="6015"/>
          <w:jc w:val="center"/>
        </w:trPr>
        <w:tc>
          <w:tcPr>
            <w:tcW w:w="1429" w:type="dxa"/>
            <w:vMerge w:val="restart"/>
          </w:tcPr>
          <w:p w14:paraId="0F767711" w14:textId="7F1D5011" w:rsidR="00E0671B" w:rsidRPr="00F81987" w:rsidRDefault="00E0671B" w:rsidP="00D375AE">
            <w:pPr>
              <w:pStyle w:val="Akapitzlist"/>
              <w:ind w:left="34"/>
              <w:rPr>
                <w:rFonts w:cstheme="minorHAnsi"/>
                <w:sz w:val="20"/>
                <w:szCs w:val="20"/>
              </w:rPr>
            </w:pPr>
            <w:r w:rsidRPr="00F81987">
              <w:rPr>
                <w:rFonts w:cstheme="minorHAnsi"/>
                <w:sz w:val="20"/>
                <w:szCs w:val="20"/>
              </w:rPr>
              <w:t>Krótkoterminowe (do roku 2025)</w:t>
            </w:r>
          </w:p>
        </w:tc>
        <w:tc>
          <w:tcPr>
            <w:tcW w:w="5370" w:type="dxa"/>
          </w:tcPr>
          <w:p w14:paraId="08773C41" w14:textId="385EF700" w:rsidR="00E0671B" w:rsidRPr="00F81987" w:rsidRDefault="00E0671B" w:rsidP="007725FD">
            <w:pPr>
              <w:pStyle w:val="Akapitzlist"/>
              <w:ind w:left="12" w:hanging="12"/>
              <w:jc w:val="both"/>
              <w:rPr>
                <w:rFonts w:cstheme="minorHAnsi"/>
                <w:sz w:val="20"/>
                <w:szCs w:val="20"/>
              </w:rPr>
            </w:pPr>
            <w:r>
              <w:rPr>
                <w:rFonts w:cstheme="minorHAnsi"/>
                <w:b/>
                <w:bCs/>
                <w:sz w:val="20"/>
                <w:szCs w:val="20"/>
              </w:rPr>
              <w:t>r</w:t>
            </w:r>
            <w:r w:rsidRPr="00F81987">
              <w:rPr>
                <w:rFonts w:cstheme="minorHAnsi"/>
                <w:b/>
                <w:bCs/>
                <w:sz w:val="20"/>
                <w:szCs w:val="20"/>
              </w:rPr>
              <w:t>ozbudowa systemu oceny jakości powietrza</w:t>
            </w:r>
            <w:r w:rsidRPr="00F81987">
              <w:rPr>
                <w:rStyle w:val="Odwoanieprzypisudolnego"/>
                <w:rFonts w:cstheme="minorHAnsi"/>
                <w:b/>
                <w:bCs/>
                <w:sz w:val="20"/>
                <w:szCs w:val="20"/>
              </w:rPr>
              <w:footnoteReference w:id="35"/>
            </w:r>
            <w:r w:rsidRPr="00F81987">
              <w:rPr>
                <w:rFonts w:cstheme="minorHAnsi"/>
                <w:sz w:val="20"/>
                <w:szCs w:val="20"/>
              </w:rPr>
              <w:t xml:space="preserve"> poprzez zwiększenie liczby stacji pomiarowych uwzględnionych w pomiarach jakości powietrza w ramach P</w:t>
            </w:r>
            <w:r>
              <w:rPr>
                <w:rFonts w:cstheme="minorHAnsi"/>
                <w:sz w:val="20"/>
                <w:szCs w:val="20"/>
              </w:rPr>
              <w:t>MŚ</w:t>
            </w:r>
            <w:r w:rsidRPr="00F81987">
              <w:rPr>
                <w:rFonts w:cstheme="minorHAnsi"/>
                <w:sz w:val="20"/>
                <w:szCs w:val="20"/>
              </w:rPr>
              <w:t xml:space="preserve"> – kontynuacja realizacji zdania z KPOP </w:t>
            </w:r>
          </w:p>
          <w:p w14:paraId="614F458E" w14:textId="77777777" w:rsidR="00E0671B" w:rsidRPr="00F81987" w:rsidRDefault="00E0671B" w:rsidP="007725FD">
            <w:pPr>
              <w:pStyle w:val="Akapitzlist"/>
              <w:ind w:left="12" w:hanging="12"/>
              <w:jc w:val="both"/>
              <w:rPr>
                <w:rFonts w:cstheme="minorHAnsi"/>
                <w:sz w:val="20"/>
                <w:szCs w:val="20"/>
              </w:rPr>
            </w:pPr>
            <w:r w:rsidRPr="00F81987">
              <w:rPr>
                <w:rFonts w:cstheme="minorHAnsi"/>
                <w:sz w:val="20"/>
                <w:szCs w:val="20"/>
              </w:rPr>
              <w:t xml:space="preserve">Priorytetowymi kierunkami działań GIOŚ będą działania związane z: </w:t>
            </w:r>
          </w:p>
          <w:p w14:paraId="392C3E6A" w14:textId="04E171BC" w:rsidR="00E0671B" w:rsidRPr="00F81987" w:rsidRDefault="00E0671B" w:rsidP="00CA3BB7">
            <w:pPr>
              <w:pStyle w:val="Akapitzlist"/>
              <w:numPr>
                <w:ilvl w:val="0"/>
                <w:numId w:val="4"/>
              </w:numPr>
              <w:ind w:left="153" w:hanging="141"/>
              <w:jc w:val="both"/>
              <w:rPr>
                <w:rFonts w:cstheme="minorHAnsi"/>
                <w:sz w:val="20"/>
                <w:szCs w:val="20"/>
              </w:rPr>
            </w:pPr>
            <w:r w:rsidRPr="00F81987">
              <w:rPr>
                <w:rFonts w:cstheme="minorHAnsi"/>
                <w:sz w:val="20"/>
                <w:szCs w:val="20"/>
              </w:rPr>
              <w:t>zwiększeniem liczby stanowisk stałych lub okresowych do pomiaru pyłu zawieszonego</w:t>
            </w:r>
            <w:r>
              <w:rPr>
                <w:rFonts w:cstheme="minorHAnsi"/>
                <w:sz w:val="20"/>
                <w:szCs w:val="20"/>
              </w:rPr>
              <w:t xml:space="preserve"> o frakcjach</w:t>
            </w:r>
            <w:r w:rsidRPr="00F81987">
              <w:rPr>
                <w:rFonts w:cstheme="minorHAnsi"/>
                <w:sz w:val="20"/>
                <w:szCs w:val="20"/>
              </w:rPr>
              <w:t xml:space="preserve"> PM10 i PM2,5, w miastach oraz poza miastami, na stacjach służących do monitorowania zanieczyszczenia powietrza na poziomie tła regionalnego,</w:t>
            </w:r>
          </w:p>
          <w:p w14:paraId="71633C93" w14:textId="77777777" w:rsidR="00E0671B" w:rsidRPr="00F81987" w:rsidRDefault="00E0671B" w:rsidP="00CA3BB7">
            <w:pPr>
              <w:pStyle w:val="Akapitzlist"/>
              <w:numPr>
                <w:ilvl w:val="0"/>
                <w:numId w:val="4"/>
              </w:numPr>
              <w:ind w:left="153" w:hanging="141"/>
              <w:jc w:val="both"/>
              <w:rPr>
                <w:rFonts w:cstheme="minorHAnsi"/>
                <w:sz w:val="20"/>
                <w:szCs w:val="20"/>
              </w:rPr>
            </w:pPr>
            <w:r w:rsidRPr="00F81987">
              <w:rPr>
                <w:rFonts w:cstheme="minorHAnsi"/>
                <w:sz w:val="20"/>
                <w:szCs w:val="20"/>
              </w:rPr>
              <w:t xml:space="preserve">wzmocnieniem monitorowania wpływu transportu na jakość powietrza w miastach poprzez utworzenie nowych stacji pomiarowych spełniających kryteria określone dla lokalizacji stacji komunikacyjnych. W pierwszej kolejności stacje takie będą lokalizowane w aglomeracjach i miastach powyżej 100 tys. mieszkańców, w których do tej pory nie funkcjonowały tego typu stacje, </w:t>
            </w:r>
          </w:p>
          <w:p w14:paraId="4EC26EBD" w14:textId="2E368BC6" w:rsidR="00E0671B" w:rsidRPr="00F81987" w:rsidRDefault="00E0671B" w:rsidP="00CA3BB7">
            <w:pPr>
              <w:pStyle w:val="Akapitzlist"/>
              <w:numPr>
                <w:ilvl w:val="0"/>
                <w:numId w:val="4"/>
              </w:numPr>
              <w:ind w:left="153" w:hanging="141"/>
              <w:jc w:val="both"/>
              <w:rPr>
                <w:rFonts w:cstheme="minorHAnsi"/>
                <w:sz w:val="20"/>
                <w:szCs w:val="20"/>
              </w:rPr>
            </w:pPr>
            <w:r w:rsidRPr="00F81987">
              <w:rPr>
                <w:rFonts w:cstheme="minorHAnsi"/>
                <w:sz w:val="20"/>
                <w:szCs w:val="20"/>
              </w:rPr>
              <w:t>zapewnieniem prowadzenia stałych lub okresowych (jednorocznych/dwuletnich) pomiarów jakości powietrza w miejscowościach uzdrowiskowych. Do tego celu będą wykorzystywane m.in. stacje mobilne</w:t>
            </w:r>
          </w:p>
        </w:tc>
        <w:tc>
          <w:tcPr>
            <w:tcW w:w="2410" w:type="dxa"/>
            <w:vAlign w:val="center"/>
          </w:tcPr>
          <w:p w14:paraId="141F1EE8" w14:textId="4F8A386A" w:rsidR="00E0671B" w:rsidRPr="00F81987" w:rsidRDefault="00E0671B" w:rsidP="001C1058">
            <w:pPr>
              <w:pStyle w:val="Akapitzlist"/>
              <w:ind w:left="39"/>
              <w:rPr>
                <w:rFonts w:cstheme="minorHAnsi"/>
                <w:sz w:val="20"/>
                <w:szCs w:val="20"/>
              </w:rPr>
            </w:pPr>
            <w:r w:rsidRPr="00F81987">
              <w:rPr>
                <w:rFonts w:cstheme="minorHAnsi"/>
                <w:sz w:val="20"/>
                <w:szCs w:val="20"/>
              </w:rPr>
              <w:t xml:space="preserve">GIOŚ </w:t>
            </w:r>
          </w:p>
        </w:tc>
      </w:tr>
      <w:tr w:rsidR="00E0671B" w:rsidRPr="00F81987" w14:paraId="1AE351CD" w14:textId="77777777" w:rsidTr="00866405">
        <w:trPr>
          <w:gridAfter w:val="1"/>
          <w:wAfter w:w="11" w:type="dxa"/>
          <w:trHeight w:val="1550"/>
          <w:jc w:val="center"/>
        </w:trPr>
        <w:tc>
          <w:tcPr>
            <w:tcW w:w="1429" w:type="dxa"/>
            <w:vMerge/>
          </w:tcPr>
          <w:p w14:paraId="3A69642B" w14:textId="77777777" w:rsidR="00E0671B" w:rsidRPr="00F81987" w:rsidRDefault="00E0671B" w:rsidP="00D375AE">
            <w:pPr>
              <w:pStyle w:val="Akapitzlist"/>
              <w:ind w:left="34"/>
              <w:rPr>
                <w:rFonts w:cstheme="minorHAnsi"/>
                <w:sz w:val="20"/>
                <w:szCs w:val="20"/>
              </w:rPr>
            </w:pPr>
          </w:p>
        </w:tc>
        <w:tc>
          <w:tcPr>
            <w:tcW w:w="5370" w:type="dxa"/>
          </w:tcPr>
          <w:p w14:paraId="02D66AB0" w14:textId="0AB317EA" w:rsidR="00E0671B" w:rsidRPr="00DD0E4C" w:rsidRDefault="00E0671B" w:rsidP="00DD0E4C">
            <w:pPr>
              <w:jc w:val="both"/>
              <w:rPr>
                <w:rFonts w:ascii="Times New Roman" w:hAnsi="Times New Roman" w:cs="Times New Roman"/>
                <w:color w:val="000000"/>
                <w:sz w:val="24"/>
                <w:szCs w:val="24"/>
              </w:rPr>
            </w:pPr>
            <w:r w:rsidRPr="00E0671B">
              <w:rPr>
                <w:rFonts w:cstheme="minorHAnsi"/>
                <w:sz w:val="20"/>
                <w:szCs w:val="20"/>
              </w:rPr>
              <w:t>zmiana ustawy z dnia 21 marca 1985 r. o drogach publicznych (Dz. U. z 2020 r. poz. 470, 471 i 1087) oraz ustawy</w:t>
            </w:r>
            <w:r w:rsidRPr="00E0671B">
              <w:rPr>
                <w:rFonts w:cstheme="minorHAnsi"/>
                <w:color w:val="000000"/>
                <w:sz w:val="20"/>
                <w:szCs w:val="20"/>
              </w:rPr>
              <w:t xml:space="preserve"> z dnia 7 lipca 1994 r. </w:t>
            </w:r>
            <w:r w:rsidRPr="00E0671B">
              <w:rPr>
                <w:rFonts w:cstheme="minorHAnsi"/>
                <w:sz w:val="20"/>
                <w:szCs w:val="20"/>
              </w:rPr>
              <w:t>Prawo budowlane (</w:t>
            </w:r>
            <w:r w:rsidRPr="00E0671B">
              <w:rPr>
                <w:rFonts w:cstheme="minorHAnsi"/>
                <w:color w:val="000000"/>
                <w:sz w:val="20"/>
                <w:szCs w:val="20"/>
              </w:rPr>
              <w:t>Dz. U. z 2020 r. poz. 1333)</w:t>
            </w:r>
            <w:r w:rsidRPr="00E0671B">
              <w:rPr>
                <w:rFonts w:ascii="Times New Roman" w:hAnsi="Times New Roman" w:cs="Times New Roman"/>
                <w:color w:val="000000"/>
                <w:sz w:val="20"/>
                <w:szCs w:val="20"/>
              </w:rPr>
              <w:t xml:space="preserve"> </w:t>
            </w:r>
            <w:r w:rsidRPr="00E0671B">
              <w:rPr>
                <w:rFonts w:cstheme="minorHAnsi"/>
                <w:sz w:val="20"/>
                <w:szCs w:val="20"/>
              </w:rPr>
              <w:t xml:space="preserve">w wyniku której możliwe byłoby </w:t>
            </w:r>
            <w:r w:rsidRPr="00E0671B">
              <w:rPr>
                <w:rFonts w:eastAsia="Times New Roman" w:cstheme="minorHAnsi"/>
                <w:sz w:val="20"/>
                <w:szCs w:val="20"/>
                <w:lang w:eastAsia="pl-PL"/>
              </w:rPr>
              <w:t>posadowienie stacji pomiarowej</w:t>
            </w:r>
            <w:r w:rsidRPr="00DD0E4C">
              <w:rPr>
                <w:rFonts w:eastAsia="Times New Roman" w:cstheme="minorHAnsi"/>
                <w:b/>
                <w:bCs/>
                <w:sz w:val="20"/>
                <w:szCs w:val="20"/>
                <w:lang w:eastAsia="pl-PL"/>
              </w:rPr>
              <w:t xml:space="preserve"> </w:t>
            </w:r>
            <w:r w:rsidRPr="00DD0E4C">
              <w:rPr>
                <w:rFonts w:eastAsia="Times New Roman" w:cstheme="minorHAnsi"/>
                <w:sz w:val="20"/>
                <w:szCs w:val="20"/>
                <w:lang w:eastAsia="pl-PL"/>
              </w:rPr>
              <w:t xml:space="preserve">– </w:t>
            </w:r>
            <w:r>
              <w:rPr>
                <w:rFonts w:eastAsia="Times New Roman" w:cstheme="minorHAnsi"/>
                <w:sz w:val="20"/>
                <w:szCs w:val="20"/>
                <w:lang w:eastAsia="pl-PL"/>
              </w:rPr>
              <w:t>bez konieczności ubiegania się o</w:t>
            </w:r>
            <w:r w:rsidRPr="00DD0E4C">
              <w:rPr>
                <w:rFonts w:eastAsia="Times New Roman" w:cstheme="minorHAnsi"/>
                <w:sz w:val="20"/>
                <w:szCs w:val="20"/>
                <w:lang w:eastAsia="pl-PL"/>
              </w:rPr>
              <w:t xml:space="preserve"> pozwoleni</w:t>
            </w:r>
            <w:r>
              <w:rPr>
                <w:rFonts w:eastAsia="Times New Roman" w:cstheme="minorHAnsi"/>
                <w:sz w:val="20"/>
                <w:szCs w:val="20"/>
                <w:lang w:eastAsia="pl-PL"/>
              </w:rPr>
              <w:t>e</w:t>
            </w:r>
            <w:r w:rsidRPr="00DD0E4C">
              <w:rPr>
                <w:rFonts w:eastAsia="Times New Roman" w:cstheme="minorHAnsi"/>
                <w:sz w:val="20"/>
                <w:szCs w:val="20"/>
                <w:lang w:eastAsia="pl-PL"/>
              </w:rPr>
              <w:t xml:space="preserve"> budowlane na posadowienie stacji</w:t>
            </w:r>
            <w:r>
              <w:rPr>
                <w:rFonts w:eastAsia="Times New Roman" w:cstheme="minorHAnsi"/>
                <w:sz w:val="20"/>
                <w:szCs w:val="20"/>
                <w:lang w:eastAsia="pl-PL"/>
              </w:rPr>
              <w:t>, jak również zwolnienie z opłat za</w:t>
            </w:r>
            <w:r w:rsidRPr="00DD0E4C">
              <w:rPr>
                <w:rFonts w:eastAsia="Times New Roman" w:cstheme="minorHAnsi"/>
                <w:sz w:val="20"/>
                <w:szCs w:val="20"/>
                <w:lang w:eastAsia="pl-PL"/>
              </w:rPr>
              <w:t xml:space="preserve"> zajęcie pasa drogowego przez stację</w:t>
            </w:r>
          </w:p>
          <w:p w14:paraId="34BDCEE8" w14:textId="76C79423" w:rsidR="00E0671B" w:rsidRPr="00DD0E4C" w:rsidRDefault="00E0671B" w:rsidP="00DD0E4C">
            <w:pPr>
              <w:rPr>
                <w:rFonts w:cstheme="minorHAnsi"/>
                <w:b/>
                <w:bCs/>
                <w:sz w:val="20"/>
                <w:szCs w:val="20"/>
              </w:rPr>
            </w:pPr>
          </w:p>
          <w:p w14:paraId="78349EA2" w14:textId="77777777" w:rsidR="00E0671B" w:rsidRPr="00F81987" w:rsidRDefault="00E0671B" w:rsidP="007725FD">
            <w:pPr>
              <w:pStyle w:val="Akapitzlist"/>
              <w:ind w:left="12" w:hanging="12"/>
              <w:jc w:val="both"/>
              <w:rPr>
                <w:rFonts w:cstheme="minorHAnsi"/>
                <w:b/>
                <w:bCs/>
                <w:sz w:val="20"/>
                <w:szCs w:val="20"/>
              </w:rPr>
            </w:pPr>
          </w:p>
        </w:tc>
        <w:tc>
          <w:tcPr>
            <w:tcW w:w="2410" w:type="dxa"/>
            <w:vAlign w:val="center"/>
          </w:tcPr>
          <w:p w14:paraId="15B6A4F7" w14:textId="13A93345" w:rsidR="00E0671B" w:rsidRPr="00F81987" w:rsidRDefault="00E0671B" w:rsidP="001C1058">
            <w:pPr>
              <w:pStyle w:val="Akapitzlist"/>
              <w:ind w:left="39"/>
              <w:rPr>
                <w:rFonts w:cstheme="minorHAnsi"/>
                <w:sz w:val="20"/>
                <w:szCs w:val="20"/>
              </w:rPr>
            </w:pPr>
            <w:r>
              <w:rPr>
                <w:rFonts w:cstheme="minorHAnsi"/>
                <w:sz w:val="20"/>
                <w:szCs w:val="20"/>
              </w:rPr>
              <w:t xml:space="preserve">minister właściwy ds. klimatu (DPM, DIŚ), GIOŚ, minister właściwy ds. infrastruktury, minister właściwy ds. </w:t>
            </w:r>
            <w:r w:rsidRPr="00AE6AB2">
              <w:rPr>
                <w:rFonts w:cstheme="minorHAnsi"/>
                <w:sz w:val="20"/>
                <w:szCs w:val="20"/>
              </w:rPr>
              <w:t>budownictwa, planowania i zagospodarowania przestrzennego oraz mieszkalnictwa</w:t>
            </w:r>
          </w:p>
        </w:tc>
      </w:tr>
      <w:tr w:rsidR="00E0671B" w:rsidRPr="00F81987" w14:paraId="2017D65C" w14:textId="77777777" w:rsidTr="00E0671B">
        <w:trPr>
          <w:gridAfter w:val="1"/>
          <w:wAfter w:w="11" w:type="dxa"/>
          <w:trHeight w:val="1841"/>
          <w:jc w:val="center"/>
        </w:trPr>
        <w:tc>
          <w:tcPr>
            <w:tcW w:w="1429" w:type="dxa"/>
            <w:vMerge/>
          </w:tcPr>
          <w:p w14:paraId="47815F55" w14:textId="77777777" w:rsidR="00E0671B" w:rsidRPr="00F81987" w:rsidRDefault="00E0671B" w:rsidP="001C1058">
            <w:pPr>
              <w:pStyle w:val="Akapitzlist"/>
              <w:rPr>
                <w:rFonts w:cstheme="minorHAnsi"/>
                <w:sz w:val="20"/>
                <w:szCs w:val="20"/>
              </w:rPr>
            </w:pPr>
          </w:p>
        </w:tc>
        <w:tc>
          <w:tcPr>
            <w:tcW w:w="5370" w:type="dxa"/>
          </w:tcPr>
          <w:p w14:paraId="49331599" w14:textId="73C70409" w:rsidR="00E0671B" w:rsidRPr="00F81987" w:rsidRDefault="00E0671B">
            <w:pPr>
              <w:pStyle w:val="Akapitzlist"/>
              <w:ind w:left="12" w:hanging="12"/>
              <w:jc w:val="both"/>
              <w:rPr>
                <w:rFonts w:cstheme="minorHAnsi"/>
                <w:sz w:val="20"/>
                <w:szCs w:val="20"/>
              </w:rPr>
            </w:pPr>
            <w:r>
              <w:rPr>
                <w:rFonts w:cstheme="minorHAnsi"/>
                <w:sz w:val="20"/>
                <w:szCs w:val="20"/>
              </w:rPr>
              <w:t>p</w:t>
            </w:r>
            <w:r w:rsidRPr="00F81987">
              <w:rPr>
                <w:rFonts w:cstheme="minorHAnsi"/>
                <w:sz w:val="20"/>
                <w:szCs w:val="20"/>
              </w:rPr>
              <w:t>rzygotowanie kompleksowej diagnozy</w:t>
            </w:r>
            <w:r>
              <w:rPr>
                <w:rStyle w:val="Odwoanieprzypisudolnego"/>
                <w:rFonts w:cstheme="minorHAnsi"/>
                <w:sz w:val="20"/>
                <w:szCs w:val="20"/>
              </w:rPr>
              <w:footnoteReference w:id="36"/>
            </w:r>
            <w:r w:rsidRPr="00F81987">
              <w:rPr>
                <w:rFonts w:cstheme="minorHAnsi"/>
                <w:sz w:val="20"/>
                <w:szCs w:val="20"/>
              </w:rPr>
              <w:t xml:space="preserve"> przyczyn przekroczeń norm </w:t>
            </w:r>
            <w:r>
              <w:rPr>
                <w:rFonts w:cstheme="minorHAnsi"/>
                <w:sz w:val="20"/>
                <w:szCs w:val="20"/>
              </w:rPr>
              <w:t xml:space="preserve">zanieczyszczeń w </w:t>
            </w:r>
            <w:r w:rsidRPr="00F81987">
              <w:rPr>
                <w:rFonts w:cstheme="minorHAnsi"/>
                <w:sz w:val="20"/>
                <w:szCs w:val="20"/>
              </w:rPr>
              <w:t>powietrz</w:t>
            </w:r>
            <w:r>
              <w:rPr>
                <w:rFonts w:cstheme="minorHAnsi"/>
                <w:sz w:val="20"/>
                <w:szCs w:val="20"/>
              </w:rPr>
              <w:t>u atmosferycznym</w:t>
            </w:r>
            <w:r w:rsidRPr="00F81987">
              <w:rPr>
                <w:rFonts w:cstheme="minorHAnsi"/>
                <w:sz w:val="20"/>
                <w:szCs w:val="20"/>
              </w:rPr>
              <w:t>, stwierdzonych w wyniku ocen jakości powietrza, przeprowadzanych przez GIOŚ, z wykorzystaniem jednego modelu matematycznego</w:t>
            </w:r>
            <w:r>
              <w:rPr>
                <w:rFonts w:cstheme="minorHAnsi"/>
                <w:sz w:val="20"/>
                <w:szCs w:val="20"/>
              </w:rPr>
              <w:t xml:space="preserve">, </w:t>
            </w:r>
            <w:r w:rsidRPr="00F81987">
              <w:rPr>
                <w:rFonts w:cstheme="minorHAnsi"/>
                <w:sz w:val="20"/>
                <w:szCs w:val="20"/>
              </w:rPr>
              <w:t xml:space="preserve">na potrzeby opracowania </w:t>
            </w:r>
            <w:r>
              <w:rPr>
                <w:rFonts w:cstheme="minorHAnsi"/>
                <w:sz w:val="20"/>
                <w:szCs w:val="20"/>
              </w:rPr>
              <w:t>POP</w:t>
            </w:r>
            <w:r w:rsidRPr="00F81987">
              <w:rPr>
                <w:rFonts w:cstheme="minorHAnsi"/>
                <w:sz w:val="20"/>
                <w:szCs w:val="20"/>
              </w:rPr>
              <w:t xml:space="preserve"> oraz </w:t>
            </w:r>
            <w:r>
              <w:rPr>
                <w:rFonts w:cstheme="minorHAnsi"/>
                <w:sz w:val="20"/>
                <w:szCs w:val="20"/>
              </w:rPr>
              <w:t xml:space="preserve">PDK. </w:t>
            </w:r>
            <w:r w:rsidRPr="00F81987">
              <w:rPr>
                <w:rFonts w:cstheme="minorHAnsi"/>
                <w:sz w:val="20"/>
                <w:szCs w:val="20"/>
              </w:rPr>
              <w:t xml:space="preserve"> </w:t>
            </w:r>
          </w:p>
        </w:tc>
        <w:tc>
          <w:tcPr>
            <w:tcW w:w="2410" w:type="dxa"/>
            <w:vAlign w:val="center"/>
          </w:tcPr>
          <w:p w14:paraId="47D060A1" w14:textId="77777777" w:rsidR="00E0671B" w:rsidRPr="00F81987" w:rsidRDefault="00E0671B" w:rsidP="001C1058">
            <w:pPr>
              <w:pStyle w:val="Akapitzlist"/>
              <w:ind w:left="39"/>
              <w:rPr>
                <w:rFonts w:cstheme="minorHAnsi"/>
                <w:sz w:val="20"/>
                <w:szCs w:val="20"/>
              </w:rPr>
            </w:pPr>
            <w:r w:rsidRPr="00F81987">
              <w:rPr>
                <w:rFonts w:cstheme="minorHAnsi"/>
                <w:sz w:val="20"/>
                <w:szCs w:val="20"/>
              </w:rPr>
              <w:t>IOŚ-PIB</w:t>
            </w:r>
          </w:p>
        </w:tc>
      </w:tr>
      <w:tr w:rsidR="00E0671B" w:rsidRPr="00F81987" w14:paraId="03495D80" w14:textId="77777777" w:rsidTr="00866405">
        <w:trPr>
          <w:gridAfter w:val="1"/>
          <w:wAfter w:w="11" w:type="dxa"/>
          <w:trHeight w:val="922"/>
          <w:jc w:val="center"/>
        </w:trPr>
        <w:tc>
          <w:tcPr>
            <w:tcW w:w="1429" w:type="dxa"/>
            <w:vMerge/>
          </w:tcPr>
          <w:p w14:paraId="42660B42" w14:textId="77777777" w:rsidR="00E0671B" w:rsidRPr="00F81987" w:rsidRDefault="00E0671B" w:rsidP="001C1058">
            <w:pPr>
              <w:pStyle w:val="Akapitzlist"/>
              <w:rPr>
                <w:rFonts w:cstheme="minorHAnsi"/>
                <w:sz w:val="20"/>
                <w:szCs w:val="20"/>
              </w:rPr>
            </w:pPr>
          </w:p>
        </w:tc>
        <w:tc>
          <w:tcPr>
            <w:tcW w:w="5370" w:type="dxa"/>
          </w:tcPr>
          <w:p w14:paraId="5FCAB22D" w14:textId="34F2CC93" w:rsidR="00E0671B" w:rsidRPr="00F81987" w:rsidRDefault="00E0671B" w:rsidP="003B2050">
            <w:pPr>
              <w:pStyle w:val="Akapitzlist"/>
              <w:ind w:left="12" w:hanging="12"/>
              <w:jc w:val="both"/>
              <w:rPr>
                <w:rFonts w:cstheme="minorHAnsi"/>
                <w:sz w:val="20"/>
                <w:szCs w:val="20"/>
              </w:rPr>
            </w:pPr>
            <w:r>
              <w:rPr>
                <w:rFonts w:cstheme="minorHAnsi"/>
                <w:sz w:val="20"/>
                <w:szCs w:val="20"/>
              </w:rPr>
              <w:t xml:space="preserve">przygotowanie prognoz redukcji wielkości </w:t>
            </w:r>
            <w:r w:rsidRPr="003B2050">
              <w:rPr>
                <w:rFonts w:cstheme="minorHAnsi"/>
                <w:sz w:val="20"/>
                <w:szCs w:val="20"/>
              </w:rPr>
              <w:t>emisj</w:t>
            </w:r>
            <w:r>
              <w:rPr>
                <w:rFonts w:cstheme="minorHAnsi"/>
                <w:sz w:val="20"/>
                <w:szCs w:val="20"/>
              </w:rPr>
              <w:t>i</w:t>
            </w:r>
            <w:r w:rsidRPr="003B2050">
              <w:rPr>
                <w:rFonts w:cstheme="minorHAnsi"/>
                <w:sz w:val="20"/>
                <w:szCs w:val="20"/>
              </w:rPr>
              <w:t xml:space="preserve"> </w:t>
            </w:r>
            <w:r>
              <w:rPr>
                <w:rFonts w:cstheme="minorHAnsi"/>
                <w:sz w:val="20"/>
                <w:szCs w:val="20"/>
              </w:rPr>
              <w:t xml:space="preserve">zanieczyszczeń powietrza, w wyniku zaplanowanych w aKPOP działań w perspektywie do roku </w:t>
            </w:r>
            <w:r w:rsidRPr="003B2050">
              <w:rPr>
                <w:rFonts w:cstheme="minorHAnsi"/>
                <w:sz w:val="20"/>
                <w:szCs w:val="20"/>
              </w:rPr>
              <w:t>2025, 2030 i 2040</w:t>
            </w:r>
            <w:r>
              <w:rPr>
                <w:rStyle w:val="Odwoanieprzypisudolnego"/>
                <w:rFonts w:cstheme="minorHAnsi"/>
                <w:sz w:val="20"/>
                <w:szCs w:val="20"/>
              </w:rPr>
              <w:footnoteReference w:id="37"/>
            </w:r>
          </w:p>
        </w:tc>
        <w:tc>
          <w:tcPr>
            <w:tcW w:w="2410" w:type="dxa"/>
            <w:vAlign w:val="center"/>
          </w:tcPr>
          <w:p w14:paraId="7E2241F5" w14:textId="4142FC2F" w:rsidR="00E0671B" w:rsidRPr="00F81987" w:rsidRDefault="00E0671B" w:rsidP="001C1058">
            <w:pPr>
              <w:pStyle w:val="Akapitzlist"/>
              <w:ind w:left="39"/>
              <w:rPr>
                <w:rFonts w:cstheme="minorHAnsi"/>
                <w:sz w:val="20"/>
                <w:szCs w:val="20"/>
              </w:rPr>
            </w:pPr>
            <w:r w:rsidRPr="00F81987">
              <w:rPr>
                <w:rFonts w:cstheme="minorHAnsi"/>
                <w:sz w:val="20"/>
                <w:szCs w:val="20"/>
              </w:rPr>
              <w:t>IOŚ-PIB</w:t>
            </w:r>
          </w:p>
        </w:tc>
      </w:tr>
      <w:tr w:rsidR="00E0671B" w:rsidRPr="00F81987" w14:paraId="0F07A044" w14:textId="77777777" w:rsidTr="00866405">
        <w:trPr>
          <w:gridAfter w:val="1"/>
          <w:wAfter w:w="11" w:type="dxa"/>
          <w:trHeight w:val="922"/>
          <w:jc w:val="center"/>
        </w:trPr>
        <w:tc>
          <w:tcPr>
            <w:tcW w:w="1429" w:type="dxa"/>
            <w:vMerge/>
          </w:tcPr>
          <w:p w14:paraId="4870D0B2" w14:textId="77777777" w:rsidR="00E0671B" w:rsidRPr="00F81987" w:rsidRDefault="00E0671B" w:rsidP="001C1058">
            <w:pPr>
              <w:pStyle w:val="Akapitzlist"/>
              <w:rPr>
                <w:rFonts w:cstheme="minorHAnsi"/>
                <w:sz w:val="20"/>
                <w:szCs w:val="20"/>
              </w:rPr>
            </w:pPr>
          </w:p>
        </w:tc>
        <w:tc>
          <w:tcPr>
            <w:tcW w:w="5370" w:type="dxa"/>
          </w:tcPr>
          <w:p w14:paraId="2B03080B" w14:textId="7862D403" w:rsidR="00E0671B" w:rsidRDefault="00E0671B" w:rsidP="003B2050">
            <w:pPr>
              <w:pStyle w:val="Akapitzlist"/>
              <w:ind w:left="12" w:hanging="12"/>
              <w:jc w:val="both"/>
              <w:rPr>
                <w:rFonts w:cstheme="minorHAnsi"/>
                <w:sz w:val="20"/>
                <w:szCs w:val="20"/>
              </w:rPr>
            </w:pPr>
            <w:r>
              <w:rPr>
                <w:rFonts w:cstheme="minorHAnsi"/>
                <w:sz w:val="20"/>
                <w:szCs w:val="20"/>
              </w:rPr>
              <w:t xml:space="preserve">włączenie Rządowego Centrum Bezpieczeństwa w </w:t>
            </w:r>
            <w:r w:rsidRPr="00E0671B">
              <w:rPr>
                <w:rFonts w:cstheme="minorHAnsi"/>
                <w:sz w:val="20"/>
                <w:szCs w:val="20"/>
              </w:rPr>
              <w:t>informowani</w:t>
            </w:r>
            <w:r>
              <w:rPr>
                <w:rFonts w:cstheme="minorHAnsi"/>
                <w:sz w:val="20"/>
                <w:szCs w:val="20"/>
              </w:rPr>
              <w:t>e</w:t>
            </w:r>
            <w:r w:rsidRPr="00E0671B">
              <w:rPr>
                <w:rFonts w:cstheme="minorHAnsi"/>
                <w:sz w:val="20"/>
                <w:szCs w:val="20"/>
              </w:rPr>
              <w:t xml:space="preserve"> społeczeństwa o ryzyku </w:t>
            </w:r>
            <w:r w:rsidR="00D84ED0">
              <w:rPr>
                <w:rFonts w:cstheme="minorHAnsi"/>
                <w:sz w:val="20"/>
                <w:szCs w:val="20"/>
              </w:rPr>
              <w:t>wystąpienia w</w:t>
            </w:r>
            <w:r w:rsidR="00D84ED0" w:rsidRPr="00D84ED0">
              <w:rPr>
                <w:rFonts w:cstheme="minorHAnsi"/>
                <w:sz w:val="20"/>
                <w:szCs w:val="20"/>
              </w:rPr>
              <w:t>ysokich stęże</w:t>
            </w:r>
            <w:r w:rsidR="00D84ED0">
              <w:rPr>
                <w:rFonts w:cstheme="minorHAnsi"/>
                <w:sz w:val="20"/>
                <w:szCs w:val="20"/>
              </w:rPr>
              <w:t>ń</w:t>
            </w:r>
            <w:r w:rsidR="00D84ED0" w:rsidRPr="00D84ED0">
              <w:rPr>
                <w:rFonts w:cstheme="minorHAnsi"/>
                <w:sz w:val="20"/>
                <w:szCs w:val="20"/>
              </w:rPr>
              <w:t xml:space="preserve"> zanieczyszczeń w powietrzu </w:t>
            </w:r>
          </w:p>
        </w:tc>
        <w:tc>
          <w:tcPr>
            <w:tcW w:w="2410" w:type="dxa"/>
            <w:vAlign w:val="center"/>
          </w:tcPr>
          <w:p w14:paraId="2E585D7F" w14:textId="3C459700" w:rsidR="00E0671B" w:rsidRPr="00F81987" w:rsidRDefault="00E0671B" w:rsidP="001C1058">
            <w:pPr>
              <w:pStyle w:val="Akapitzlist"/>
              <w:ind w:left="39"/>
              <w:rPr>
                <w:rFonts w:cstheme="minorHAnsi"/>
                <w:sz w:val="20"/>
                <w:szCs w:val="20"/>
              </w:rPr>
            </w:pPr>
            <w:r>
              <w:rPr>
                <w:rFonts w:cstheme="minorHAnsi"/>
                <w:sz w:val="20"/>
                <w:szCs w:val="20"/>
              </w:rPr>
              <w:t>Rządowe Centrum Bezpieczeństwa, GIOŚ</w:t>
            </w:r>
          </w:p>
        </w:tc>
      </w:tr>
      <w:tr w:rsidR="001C1058" w:rsidRPr="00F81987" w14:paraId="453A5FF8" w14:textId="77777777" w:rsidTr="00745D42">
        <w:trPr>
          <w:gridAfter w:val="1"/>
          <w:wAfter w:w="11" w:type="dxa"/>
          <w:trHeight w:val="1162"/>
          <w:jc w:val="center"/>
        </w:trPr>
        <w:tc>
          <w:tcPr>
            <w:tcW w:w="1429" w:type="dxa"/>
          </w:tcPr>
          <w:p w14:paraId="53B2EABA" w14:textId="77777777" w:rsidR="001C1058" w:rsidRPr="00F81987" w:rsidRDefault="001C1058" w:rsidP="001C1058">
            <w:pPr>
              <w:pStyle w:val="Akapitzlist"/>
              <w:ind w:left="34" w:hanging="34"/>
              <w:rPr>
                <w:rFonts w:cstheme="minorHAnsi"/>
                <w:sz w:val="20"/>
                <w:szCs w:val="20"/>
              </w:rPr>
            </w:pPr>
            <w:r w:rsidRPr="00F81987">
              <w:rPr>
                <w:rFonts w:cstheme="minorHAnsi"/>
                <w:sz w:val="20"/>
                <w:szCs w:val="20"/>
              </w:rPr>
              <w:t>Średnioterminowe (do roku 2030)</w:t>
            </w:r>
          </w:p>
        </w:tc>
        <w:tc>
          <w:tcPr>
            <w:tcW w:w="5370" w:type="dxa"/>
          </w:tcPr>
          <w:p w14:paraId="11E3D244" w14:textId="619EEE41" w:rsidR="001C1058" w:rsidRPr="00F81987" w:rsidRDefault="00911C72" w:rsidP="001C1058">
            <w:pPr>
              <w:pStyle w:val="Akapitzlist"/>
              <w:ind w:left="12" w:hanging="12"/>
              <w:jc w:val="both"/>
              <w:rPr>
                <w:rFonts w:cstheme="minorHAnsi"/>
                <w:sz w:val="20"/>
                <w:szCs w:val="20"/>
              </w:rPr>
            </w:pPr>
            <w:r>
              <w:rPr>
                <w:rFonts w:cstheme="minorHAnsi"/>
                <w:sz w:val="20"/>
                <w:szCs w:val="20"/>
              </w:rPr>
              <w:t>z</w:t>
            </w:r>
            <w:r w:rsidR="0051191F" w:rsidRPr="00F81987">
              <w:rPr>
                <w:rFonts w:cstheme="minorHAnsi"/>
                <w:sz w:val="20"/>
                <w:szCs w:val="20"/>
              </w:rPr>
              <w:t>apewnienie bieżącego funkcjonowania i dalszy rozwój bazy JPOAT w ramach Systemu Informatycznego EKOINFONET</w:t>
            </w:r>
            <w:r w:rsidR="00412A5D" w:rsidRPr="00F81987">
              <w:rPr>
                <w:rStyle w:val="Odwoanieprzypisudolnego"/>
                <w:rFonts w:cstheme="minorHAnsi"/>
                <w:sz w:val="20"/>
                <w:szCs w:val="20"/>
              </w:rPr>
              <w:footnoteReference w:id="38"/>
            </w:r>
            <w:r w:rsidR="0051191F" w:rsidRPr="00F81987">
              <w:rPr>
                <w:rFonts w:cstheme="minorHAnsi"/>
                <w:sz w:val="20"/>
                <w:szCs w:val="20"/>
              </w:rPr>
              <w:t>, za pomocą której są i będą gromadzone, przechowywane, przetwarzane i upowszechniane dane dotyczące jakości powietrza wytwarzane w ramach PMŚ</w:t>
            </w:r>
          </w:p>
        </w:tc>
        <w:tc>
          <w:tcPr>
            <w:tcW w:w="2410" w:type="dxa"/>
            <w:vAlign w:val="center"/>
          </w:tcPr>
          <w:p w14:paraId="6C06355F" w14:textId="6467AF32" w:rsidR="001C1058" w:rsidRPr="00F81987" w:rsidRDefault="0051191F" w:rsidP="001C1058">
            <w:pPr>
              <w:pStyle w:val="Akapitzlist"/>
              <w:ind w:left="39"/>
              <w:jc w:val="both"/>
              <w:rPr>
                <w:rFonts w:cstheme="minorHAnsi"/>
                <w:sz w:val="20"/>
                <w:szCs w:val="20"/>
                <w:lang w:val="en-US"/>
              </w:rPr>
            </w:pPr>
            <w:r w:rsidRPr="00F81987">
              <w:rPr>
                <w:rFonts w:cstheme="minorHAnsi"/>
                <w:sz w:val="20"/>
                <w:szCs w:val="20"/>
                <w:lang w:val="en-US"/>
              </w:rPr>
              <w:t>GIOŚ</w:t>
            </w:r>
          </w:p>
        </w:tc>
      </w:tr>
      <w:tr w:rsidR="001C1058" w:rsidRPr="00F81987" w14:paraId="2739F4C2" w14:textId="77777777" w:rsidTr="00745D42">
        <w:trPr>
          <w:gridAfter w:val="1"/>
          <w:wAfter w:w="11" w:type="dxa"/>
          <w:trHeight w:val="836"/>
          <w:jc w:val="center"/>
        </w:trPr>
        <w:tc>
          <w:tcPr>
            <w:tcW w:w="1429" w:type="dxa"/>
          </w:tcPr>
          <w:p w14:paraId="6B807AA4" w14:textId="77777777" w:rsidR="001C1058" w:rsidRPr="00F81987" w:rsidRDefault="001C1058" w:rsidP="001C1058">
            <w:pPr>
              <w:pStyle w:val="Akapitzlist"/>
              <w:ind w:left="0"/>
              <w:rPr>
                <w:rFonts w:cstheme="minorHAnsi"/>
                <w:sz w:val="20"/>
                <w:szCs w:val="20"/>
              </w:rPr>
            </w:pPr>
            <w:r w:rsidRPr="00F81987">
              <w:rPr>
                <w:rFonts w:cstheme="minorHAnsi"/>
                <w:sz w:val="20"/>
                <w:szCs w:val="20"/>
              </w:rPr>
              <w:t>Długoterminowe (do roku 2040)</w:t>
            </w:r>
          </w:p>
        </w:tc>
        <w:tc>
          <w:tcPr>
            <w:tcW w:w="5370" w:type="dxa"/>
          </w:tcPr>
          <w:p w14:paraId="3AEDE5B5" w14:textId="29271F10" w:rsidR="001C1058" w:rsidRPr="00F81987" w:rsidRDefault="00911C72" w:rsidP="001C1058">
            <w:pPr>
              <w:pStyle w:val="Akapitzlist"/>
              <w:ind w:left="12" w:hanging="12"/>
              <w:jc w:val="both"/>
              <w:rPr>
                <w:rFonts w:cstheme="minorHAnsi"/>
                <w:sz w:val="20"/>
                <w:szCs w:val="20"/>
              </w:rPr>
            </w:pPr>
            <w:r>
              <w:rPr>
                <w:rFonts w:cstheme="minorHAnsi"/>
                <w:sz w:val="20"/>
                <w:szCs w:val="20"/>
              </w:rPr>
              <w:t>k</w:t>
            </w:r>
            <w:r w:rsidR="0092560D" w:rsidRPr="00F81987">
              <w:rPr>
                <w:rFonts w:cstheme="minorHAnsi"/>
                <w:sz w:val="20"/>
                <w:szCs w:val="20"/>
              </w:rPr>
              <w:t>ontynuacja działań krótko- i średnioterminowych</w:t>
            </w:r>
          </w:p>
        </w:tc>
        <w:tc>
          <w:tcPr>
            <w:tcW w:w="2410" w:type="dxa"/>
            <w:vAlign w:val="center"/>
          </w:tcPr>
          <w:p w14:paraId="53921B9B" w14:textId="2A0ABBF2" w:rsidR="001C1058" w:rsidRPr="00F81987" w:rsidRDefault="001C1058" w:rsidP="001C1058">
            <w:pPr>
              <w:pStyle w:val="Akapitzlist"/>
              <w:ind w:left="39"/>
              <w:rPr>
                <w:rFonts w:cstheme="minorHAnsi"/>
                <w:sz w:val="20"/>
                <w:szCs w:val="20"/>
              </w:rPr>
            </w:pPr>
          </w:p>
        </w:tc>
      </w:tr>
      <w:tr w:rsidR="001C1058" w:rsidRPr="00F81987" w14:paraId="50F82804" w14:textId="77777777" w:rsidTr="00745D42">
        <w:trPr>
          <w:trHeight w:val="706"/>
          <w:jc w:val="center"/>
        </w:trPr>
        <w:tc>
          <w:tcPr>
            <w:tcW w:w="9220" w:type="dxa"/>
            <w:gridSpan w:val="4"/>
            <w:shd w:val="clear" w:color="auto" w:fill="D9E2F3" w:themeFill="accent1" w:themeFillTint="33"/>
          </w:tcPr>
          <w:p w14:paraId="756F7C15" w14:textId="77777777" w:rsidR="001C1058" w:rsidRPr="00F81987" w:rsidRDefault="001C1058" w:rsidP="001C1058">
            <w:pPr>
              <w:pStyle w:val="Akapitzlist"/>
              <w:ind w:left="153"/>
              <w:jc w:val="both"/>
              <w:rPr>
                <w:rFonts w:cstheme="minorHAnsi"/>
                <w:b/>
                <w:bCs/>
                <w:sz w:val="20"/>
                <w:szCs w:val="20"/>
              </w:rPr>
            </w:pPr>
            <w:r w:rsidRPr="00F81987">
              <w:rPr>
                <w:rFonts w:cstheme="minorHAnsi"/>
                <w:b/>
                <w:bCs/>
                <w:sz w:val="20"/>
                <w:szCs w:val="20"/>
              </w:rPr>
              <w:t>Kierunek interwencji 1 – Ograniczenie emisji zanieczyszczeń powietrza z sektora bytowo-komunalnego</w:t>
            </w:r>
          </w:p>
        </w:tc>
      </w:tr>
      <w:tr w:rsidR="00745D42" w:rsidRPr="00F81987" w14:paraId="4FD37B41" w14:textId="77777777" w:rsidTr="00745D42">
        <w:trPr>
          <w:gridAfter w:val="1"/>
          <w:wAfter w:w="11" w:type="dxa"/>
          <w:trHeight w:val="817"/>
          <w:jc w:val="center"/>
        </w:trPr>
        <w:tc>
          <w:tcPr>
            <w:tcW w:w="1429" w:type="dxa"/>
            <w:vMerge w:val="restart"/>
          </w:tcPr>
          <w:p w14:paraId="5B23FAFE" w14:textId="77777777" w:rsidR="00745D42" w:rsidRPr="00F81987" w:rsidRDefault="00745D42" w:rsidP="001C1058">
            <w:pPr>
              <w:pStyle w:val="Akapitzlist"/>
              <w:ind w:left="34" w:hanging="34"/>
              <w:rPr>
                <w:rFonts w:cstheme="minorHAnsi"/>
                <w:sz w:val="20"/>
                <w:szCs w:val="20"/>
              </w:rPr>
            </w:pPr>
            <w:r w:rsidRPr="00F81987">
              <w:rPr>
                <w:rFonts w:cstheme="minorHAnsi"/>
                <w:sz w:val="20"/>
                <w:szCs w:val="20"/>
              </w:rPr>
              <w:t>Krótkoterminowe (do 2025 r.)</w:t>
            </w:r>
          </w:p>
        </w:tc>
        <w:tc>
          <w:tcPr>
            <w:tcW w:w="5370" w:type="dxa"/>
          </w:tcPr>
          <w:p w14:paraId="0E60BE70" w14:textId="331C1B6A" w:rsidR="00745D42" w:rsidRPr="00F81987" w:rsidRDefault="00911C72" w:rsidP="003342FA">
            <w:pPr>
              <w:jc w:val="both"/>
              <w:rPr>
                <w:rFonts w:cstheme="minorHAnsi"/>
                <w:sz w:val="20"/>
                <w:szCs w:val="20"/>
              </w:rPr>
            </w:pPr>
            <w:r>
              <w:rPr>
                <w:rFonts w:cstheme="minorHAnsi"/>
                <w:sz w:val="20"/>
                <w:szCs w:val="20"/>
              </w:rPr>
              <w:t>w</w:t>
            </w:r>
            <w:r w:rsidR="00745D42" w:rsidRPr="00F81987">
              <w:rPr>
                <w:rFonts w:cstheme="minorHAnsi"/>
                <w:sz w:val="20"/>
                <w:szCs w:val="20"/>
              </w:rPr>
              <w:t xml:space="preserve">prowadzenie zmian </w:t>
            </w:r>
            <w:r>
              <w:rPr>
                <w:rFonts w:cstheme="minorHAnsi"/>
                <w:sz w:val="20"/>
                <w:szCs w:val="20"/>
              </w:rPr>
              <w:t>do</w:t>
            </w:r>
            <w:r w:rsidR="00745D42" w:rsidRPr="00F81987">
              <w:rPr>
                <w:rFonts w:cstheme="minorHAnsi"/>
                <w:sz w:val="20"/>
                <w:szCs w:val="20"/>
              </w:rPr>
              <w:t xml:space="preserve"> obowiązujących wymagań dla paliw stałych/</w:t>
            </w:r>
            <w:bookmarkStart w:id="95" w:name="_Hlk66307429"/>
            <w:r w:rsidR="00745D42" w:rsidRPr="00F81987">
              <w:rPr>
                <w:rFonts w:cstheme="minorHAnsi"/>
                <w:sz w:val="20"/>
                <w:szCs w:val="20"/>
              </w:rPr>
              <w:t>wprowadzenie wymagań dla nowych paliw, dotychczas nienormowanych</w:t>
            </w:r>
            <w:bookmarkEnd w:id="95"/>
            <w:r w:rsidR="0092560D" w:rsidRPr="00F81987">
              <w:rPr>
                <w:rStyle w:val="Odwoanieprzypisudolnego"/>
                <w:rFonts w:cstheme="minorHAnsi"/>
                <w:sz w:val="20"/>
                <w:szCs w:val="20"/>
              </w:rPr>
              <w:footnoteReference w:id="39"/>
            </w:r>
          </w:p>
        </w:tc>
        <w:tc>
          <w:tcPr>
            <w:tcW w:w="2410" w:type="dxa"/>
          </w:tcPr>
          <w:p w14:paraId="30769233" w14:textId="3B1FCD49" w:rsidR="00745D42" w:rsidRPr="00F81987" w:rsidRDefault="00911C72" w:rsidP="001C1058">
            <w:pPr>
              <w:jc w:val="both"/>
              <w:rPr>
                <w:rFonts w:cstheme="minorHAnsi"/>
                <w:sz w:val="20"/>
                <w:szCs w:val="20"/>
              </w:rPr>
            </w:pPr>
            <w:r>
              <w:rPr>
                <w:rFonts w:cstheme="minorHAnsi"/>
                <w:sz w:val="20"/>
                <w:szCs w:val="20"/>
              </w:rPr>
              <w:t>m</w:t>
            </w:r>
            <w:r w:rsidR="00745D42" w:rsidRPr="00F81987">
              <w:rPr>
                <w:rFonts w:cstheme="minorHAnsi"/>
                <w:sz w:val="20"/>
                <w:szCs w:val="20"/>
              </w:rPr>
              <w:t>inister właściwy ds. klimatu i energii (DPM</w:t>
            </w:r>
            <w:r w:rsidR="00F81987">
              <w:rPr>
                <w:rFonts w:cstheme="minorHAnsi"/>
                <w:sz w:val="20"/>
                <w:szCs w:val="20"/>
              </w:rPr>
              <w:t>, DSP</w:t>
            </w:r>
            <w:r w:rsidR="00745D42" w:rsidRPr="00F81987">
              <w:rPr>
                <w:rFonts w:cstheme="minorHAnsi"/>
                <w:sz w:val="20"/>
                <w:szCs w:val="20"/>
              </w:rPr>
              <w:t>)</w:t>
            </w:r>
          </w:p>
        </w:tc>
      </w:tr>
      <w:tr w:rsidR="00F81987" w:rsidRPr="00F81987" w14:paraId="14884B10" w14:textId="77777777" w:rsidTr="00745D42">
        <w:trPr>
          <w:gridAfter w:val="1"/>
          <w:wAfter w:w="11" w:type="dxa"/>
          <w:trHeight w:val="817"/>
          <w:jc w:val="center"/>
        </w:trPr>
        <w:tc>
          <w:tcPr>
            <w:tcW w:w="1429" w:type="dxa"/>
            <w:vMerge/>
          </w:tcPr>
          <w:p w14:paraId="229D976B" w14:textId="77777777" w:rsidR="00F81987" w:rsidRPr="00F81987" w:rsidRDefault="00F81987" w:rsidP="001C1058">
            <w:pPr>
              <w:pStyle w:val="Akapitzlist"/>
              <w:ind w:left="34" w:hanging="34"/>
              <w:rPr>
                <w:rFonts w:cstheme="minorHAnsi"/>
                <w:sz w:val="20"/>
                <w:szCs w:val="20"/>
              </w:rPr>
            </w:pPr>
          </w:p>
        </w:tc>
        <w:tc>
          <w:tcPr>
            <w:tcW w:w="5370" w:type="dxa"/>
          </w:tcPr>
          <w:p w14:paraId="12C6A8F5" w14:textId="52CFC052" w:rsidR="00F81987" w:rsidRPr="00911C72" w:rsidRDefault="00911C72" w:rsidP="00D33357">
            <w:pPr>
              <w:jc w:val="both"/>
              <w:rPr>
                <w:rFonts w:cstheme="minorHAnsi"/>
                <w:b/>
                <w:bCs/>
                <w:sz w:val="20"/>
                <w:szCs w:val="20"/>
              </w:rPr>
            </w:pPr>
            <w:r>
              <w:rPr>
                <w:rStyle w:val="jlqj4b"/>
                <w:b/>
                <w:bCs/>
                <w:sz w:val="20"/>
                <w:szCs w:val="20"/>
              </w:rPr>
              <w:t>w</w:t>
            </w:r>
            <w:r w:rsidR="00F81987" w:rsidRPr="00DD0E4C">
              <w:rPr>
                <w:rStyle w:val="jlqj4b"/>
                <w:b/>
                <w:bCs/>
                <w:sz w:val="20"/>
                <w:szCs w:val="20"/>
              </w:rPr>
              <w:t xml:space="preserve">prowadzenie do </w:t>
            </w:r>
            <w:r>
              <w:rPr>
                <w:rStyle w:val="jlqj4b"/>
                <w:b/>
                <w:bCs/>
                <w:sz w:val="20"/>
                <w:szCs w:val="20"/>
              </w:rPr>
              <w:t>POŚ</w:t>
            </w:r>
            <w:r w:rsidR="00F81987" w:rsidRPr="00DD0E4C">
              <w:rPr>
                <w:rStyle w:val="jlqj4b"/>
                <w:b/>
                <w:bCs/>
                <w:sz w:val="20"/>
                <w:szCs w:val="20"/>
              </w:rPr>
              <w:t xml:space="preserve"> przepisów zobowiązujących województwa do podejmowania uchwał antysmogowych w miejscowościach, w których nie są przestrzegane określone standardy jakości</w:t>
            </w:r>
            <w:r w:rsidR="00D33357" w:rsidRPr="00911C72">
              <w:rPr>
                <w:rStyle w:val="Odwoanieprzypisudolnego"/>
                <w:rFonts w:cstheme="minorHAnsi"/>
                <w:b/>
                <w:bCs/>
                <w:sz w:val="20"/>
                <w:szCs w:val="20"/>
              </w:rPr>
              <w:footnoteReference w:id="40"/>
            </w:r>
          </w:p>
        </w:tc>
        <w:tc>
          <w:tcPr>
            <w:tcW w:w="2410" w:type="dxa"/>
          </w:tcPr>
          <w:p w14:paraId="6A4C849C" w14:textId="0711DC24" w:rsidR="00F81987" w:rsidRPr="00F81987" w:rsidRDefault="00911C72" w:rsidP="001C1058">
            <w:pPr>
              <w:jc w:val="both"/>
              <w:rPr>
                <w:rFonts w:cstheme="minorHAnsi"/>
                <w:sz w:val="20"/>
                <w:szCs w:val="20"/>
              </w:rPr>
            </w:pPr>
            <w:r>
              <w:rPr>
                <w:rFonts w:cstheme="minorHAnsi"/>
                <w:sz w:val="20"/>
                <w:szCs w:val="20"/>
              </w:rPr>
              <w:t>m</w:t>
            </w:r>
            <w:r w:rsidR="00D33357">
              <w:rPr>
                <w:rFonts w:cstheme="minorHAnsi"/>
                <w:sz w:val="20"/>
                <w:szCs w:val="20"/>
              </w:rPr>
              <w:t>inister właściwy ds. klimatu (DPM)</w:t>
            </w:r>
          </w:p>
        </w:tc>
      </w:tr>
      <w:tr w:rsidR="00F81987" w:rsidRPr="00F81987" w14:paraId="024AC6DC" w14:textId="77777777" w:rsidTr="00745D42">
        <w:trPr>
          <w:gridAfter w:val="1"/>
          <w:wAfter w:w="11" w:type="dxa"/>
          <w:trHeight w:val="817"/>
          <w:jc w:val="center"/>
        </w:trPr>
        <w:tc>
          <w:tcPr>
            <w:tcW w:w="1429" w:type="dxa"/>
            <w:vMerge/>
          </w:tcPr>
          <w:p w14:paraId="6579843C" w14:textId="77777777" w:rsidR="00F81987" w:rsidRPr="00F81987" w:rsidRDefault="00F81987" w:rsidP="001C1058">
            <w:pPr>
              <w:pStyle w:val="Akapitzlist"/>
              <w:ind w:left="34" w:hanging="34"/>
              <w:rPr>
                <w:rFonts w:cstheme="minorHAnsi"/>
                <w:sz w:val="20"/>
                <w:szCs w:val="20"/>
              </w:rPr>
            </w:pPr>
          </w:p>
        </w:tc>
        <w:tc>
          <w:tcPr>
            <w:tcW w:w="5370" w:type="dxa"/>
          </w:tcPr>
          <w:p w14:paraId="01D2CBA4" w14:textId="7E8BC637" w:rsidR="00F81987" w:rsidRPr="00F81987" w:rsidRDefault="00911C72" w:rsidP="00D33357">
            <w:pPr>
              <w:jc w:val="both"/>
              <w:rPr>
                <w:rFonts w:cstheme="minorHAnsi"/>
                <w:b/>
                <w:bCs/>
                <w:sz w:val="20"/>
                <w:szCs w:val="20"/>
              </w:rPr>
            </w:pPr>
            <w:r>
              <w:rPr>
                <w:rStyle w:val="jlqj4b"/>
                <w:b/>
                <w:bCs/>
                <w:sz w:val="20"/>
                <w:szCs w:val="20"/>
              </w:rPr>
              <w:t>w</w:t>
            </w:r>
            <w:r w:rsidR="00F81987" w:rsidRPr="00DD0E4C">
              <w:rPr>
                <w:rStyle w:val="jlqj4b"/>
                <w:b/>
                <w:bCs/>
                <w:sz w:val="20"/>
                <w:szCs w:val="20"/>
              </w:rPr>
              <w:t xml:space="preserve">prowadzenie do </w:t>
            </w:r>
            <w:r>
              <w:rPr>
                <w:rStyle w:val="jlqj4b"/>
                <w:b/>
                <w:bCs/>
                <w:sz w:val="20"/>
                <w:szCs w:val="20"/>
              </w:rPr>
              <w:t>POŚ</w:t>
            </w:r>
            <w:r w:rsidR="00F81987" w:rsidRPr="00DD0E4C">
              <w:rPr>
                <w:rStyle w:val="jlqj4b"/>
                <w:b/>
                <w:bCs/>
                <w:sz w:val="20"/>
                <w:szCs w:val="20"/>
              </w:rPr>
              <w:t xml:space="preserve"> oraz niektórych innych ustaw przepisów wzmacniających dotychczasowy system kontroli egzekwowania realizacji</w:t>
            </w:r>
            <w:r w:rsidR="00F81987" w:rsidRPr="00F81987">
              <w:rPr>
                <w:rStyle w:val="jlqj4b"/>
                <w:b/>
                <w:bCs/>
              </w:rPr>
              <w:t xml:space="preserve"> </w:t>
            </w:r>
            <w:r w:rsidR="00F81987" w:rsidRPr="00DD0E4C">
              <w:rPr>
                <w:rStyle w:val="jlqj4b"/>
                <w:b/>
                <w:bCs/>
                <w:sz w:val="20"/>
                <w:szCs w:val="20"/>
              </w:rPr>
              <w:t>zadań określonych przez sejmiki województw w uchwałach antysmogowych</w:t>
            </w:r>
            <w:r w:rsidR="00F81987">
              <w:rPr>
                <w:rStyle w:val="Odwoanieprzypisudolnego"/>
                <w:rFonts w:cstheme="minorHAnsi"/>
                <w:b/>
                <w:bCs/>
                <w:sz w:val="20"/>
                <w:szCs w:val="20"/>
              </w:rPr>
              <w:footnoteReference w:id="41"/>
            </w:r>
          </w:p>
        </w:tc>
        <w:tc>
          <w:tcPr>
            <w:tcW w:w="2410" w:type="dxa"/>
          </w:tcPr>
          <w:p w14:paraId="0EDAFDE4" w14:textId="53402178" w:rsidR="00F81987" w:rsidRPr="00F81987" w:rsidRDefault="00911C72" w:rsidP="001C1058">
            <w:pPr>
              <w:jc w:val="both"/>
              <w:rPr>
                <w:rFonts w:cstheme="minorHAnsi"/>
                <w:sz w:val="20"/>
                <w:szCs w:val="20"/>
              </w:rPr>
            </w:pPr>
            <w:r>
              <w:rPr>
                <w:rFonts w:cstheme="minorHAnsi"/>
                <w:sz w:val="20"/>
                <w:szCs w:val="20"/>
              </w:rPr>
              <w:t>m</w:t>
            </w:r>
            <w:r w:rsidR="00F81987">
              <w:rPr>
                <w:rFonts w:cstheme="minorHAnsi"/>
                <w:sz w:val="20"/>
                <w:szCs w:val="20"/>
              </w:rPr>
              <w:t>inister właściwy ds. klimatu (DPM)</w:t>
            </w:r>
          </w:p>
        </w:tc>
      </w:tr>
      <w:tr w:rsidR="00745D42" w:rsidRPr="00F81987" w14:paraId="6AB6FB9B" w14:textId="77777777" w:rsidTr="00745D42">
        <w:trPr>
          <w:gridAfter w:val="1"/>
          <w:wAfter w:w="11" w:type="dxa"/>
          <w:trHeight w:val="1162"/>
          <w:jc w:val="center"/>
        </w:trPr>
        <w:tc>
          <w:tcPr>
            <w:tcW w:w="1429" w:type="dxa"/>
            <w:vMerge/>
          </w:tcPr>
          <w:p w14:paraId="7F2C4673" w14:textId="77777777" w:rsidR="00745D42" w:rsidRPr="00F81987" w:rsidRDefault="00745D42" w:rsidP="001C1058">
            <w:pPr>
              <w:pStyle w:val="Akapitzlist"/>
              <w:rPr>
                <w:rFonts w:cstheme="minorHAnsi"/>
                <w:sz w:val="20"/>
                <w:szCs w:val="20"/>
              </w:rPr>
            </w:pPr>
          </w:p>
        </w:tc>
        <w:tc>
          <w:tcPr>
            <w:tcW w:w="5370" w:type="dxa"/>
          </w:tcPr>
          <w:p w14:paraId="6097A1D0" w14:textId="5E50CB3D" w:rsidR="00745D42" w:rsidRPr="00F81987" w:rsidRDefault="00911C72" w:rsidP="001C1058">
            <w:pPr>
              <w:jc w:val="both"/>
              <w:rPr>
                <w:rFonts w:cstheme="minorHAnsi"/>
                <w:sz w:val="20"/>
                <w:szCs w:val="20"/>
              </w:rPr>
            </w:pPr>
            <w:r>
              <w:rPr>
                <w:rFonts w:cstheme="minorHAnsi"/>
                <w:sz w:val="20"/>
                <w:szCs w:val="20"/>
              </w:rPr>
              <w:t>z</w:t>
            </w:r>
            <w:r w:rsidR="00745D42" w:rsidRPr="00F81987">
              <w:rPr>
                <w:rFonts w:cstheme="minorHAnsi"/>
                <w:sz w:val="20"/>
                <w:szCs w:val="20"/>
              </w:rPr>
              <w:t xml:space="preserve">miana ustawy z dnia 29 sierpnia 2014 r. </w:t>
            </w:r>
            <w:r w:rsidR="00745D42" w:rsidRPr="00F81987">
              <w:rPr>
                <w:rFonts w:cstheme="minorHAnsi"/>
                <w:i/>
                <w:sz w:val="20"/>
                <w:szCs w:val="20"/>
              </w:rPr>
              <w:t>w sprawie charakterystyki energetycznej budynków</w:t>
            </w:r>
            <w:r w:rsidR="00745D42" w:rsidRPr="00F81987">
              <w:rPr>
                <w:rFonts w:cstheme="minorHAnsi"/>
                <w:sz w:val="20"/>
                <w:szCs w:val="20"/>
              </w:rPr>
              <w:t xml:space="preserve"> (Dz. U. z 2014 r. poz. 1200) poprzez: wprowadzenie zadania dla służb kominiarskich w zakresie nadzoru i monitorowania jakości instalacji spalania paliw, przewodów kominowych oraz paliwa stosowanego dla celów grzewczych w obiektach budowlanych – zadanie przeniesione z KPOP </w:t>
            </w:r>
          </w:p>
        </w:tc>
        <w:tc>
          <w:tcPr>
            <w:tcW w:w="2410" w:type="dxa"/>
          </w:tcPr>
          <w:p w14:paraId="3427821A" w14:textId="5C91CA69" w:rsidR="00745D42" w:rsidRPr="00F81987" w:rsidRDefault="00911C72" w:rsidP="001C1058">
            <w:pPr>
              <w:pStyle w:val="Akapitzlist"/>
              <w:ind w:left="39" w:hanging="39"/>
              <w:jc w:val="both"/>
              <w:rPr>
                <w:rFonts w:cstheme="minorHAnsi"/>
                <w:sz w:val="20"/>
                <w:szCs w:val="20"/>
              </w:rPr>
            </w:pPr>
            <w:r>
              <w:rPr>
                <w:rFonts w:cstheme="minorHAnsi"/>
                <w:sz w:val="20"/>
                <w:szCs w:val="20"/>
              </w:rPr>
              <w:t>m</w:t>
            </w:r>
            <w:r w:rsidR="00745D42" w:rsidRPr="00F81987">
              <w:rPr>
                <w:rFonts w:cstheme="minorHAnsi"/>
                <w:sz w:val="20"/>
                <w:szCs w:val="20"/>
              </w:rPr>
              <w:t>inister właściwy ds. gospodarki, minister właściwy ds. klimatu (DSP)</w:t>
            </w:r>
          </w:p>
        </w:tc>
      </w:tr>
      <w:tr w:rsidR="00745D42" w:rsidRPr="00F81987" w14:paraId="511C46CF" w14:textId="77777777" w:rsidTr="00745D42">
        <w:trPr>
          <w:gridAfter w:val="1"/>
          <w:wAfter w:w="11" w:type="dxa"/>
          <w:trHeight w:val="699"/>
          <w:jc w:val="center"/>
        </w:trPr>
        <w:tc>
          <w:tcPr>
            <w:tcW w:w="1429" w:type="dxa"/>
            <w:vMerge/>
          </w:tcPr>
          <w:p w14:paraId="08DF5330" w14:textId="77777777" w:rsidR="00745D42" w:rsidRPr="00F81987" w:rsidRDefault="00745D42" w:rsidP="001C1058">
            <w:pPr>
              <w:pStyle w:val="Akapitzlist"/>
              <w:rPr>
                <w:rFonts w:cstheme="minorHAnsi"/>
                <w:sz w:val="20"/>
                <w:szCs w:val="20"/>
              </w:rPr>
            </w:pPr>
          </w:p>
        </w:tc>
        <w:tc>
          <w:tcPr>
            <w:tcW w:w="5370" w:type="dxa"/>
          </w:tcPr>
          <w:p w14:paraId="7A86FECC" w14:textId="10B33F9E" w:rsidR="00745D42" w:rsidRPr="00F81987" w:rsidRDefault="00911C72" w:rsidP="00133B9D">
            <w:pPr>
              <w:jc w:val="both"/>
              <w:rPr>
                <w:rFonts w:cstheme="minorHAnsi"/>
                <w:sz w:val="20"/>
                <w:szCs w:val="20"/>
              </w:rPr>
            </w:pPr>
            <w:r>
              <w:rPr>
                <w:rFonts w:cstheme="minorHAnsi"/>
                <w:sz w:val="20"/>
                <w:szCs w:val="20"/>
              </w:rPr>
              <w:t>o</w:t>
            </w:r>
            <w:r w:rsidR="00745D42" w:rsidRPr="00F81987">
              <w:rPr>
                <w:rFonts w:cstheme="minorHAnsi"/>
                <w:sz w:val="20"/>
                <w:szCs w:val="20"/>
              </w:rPr>
              <w:t xml:space="preserve">cena, przez </w:t>
            </w:r>
            <w:r w:rsidR="005609B6">
              <w:rPr>
                <w:rFonts w:cstheme="minorHAnsi"/>
                <w:sz w:val="20"/>
                <w:szCs w:val="20"/>
              </w:rPr>
              <w:t xml:space="preserve">projektowany </w:t>
            </w:r>
            <w:r w:rsidR="00745D42" w:rsidRPr="00F81987">
              <w:rPr>
                <w:rFonts w:cstheme="minorHAnsi"/>
                <w:sz w:val="20"/>
                <w:szCs w:val="20"/>
              </w:rPr>
              <w:t>Zespół MKiŚ do spraw instrumentów służących redukcji ubóstwa energetycznego w Polsce, instrumentów przyczyniających się do zniwelowania zjawiska ubóstwa energetycznego z uwzględnieniem podziału na instrumenty wpływające na dochód oraz instrumenty potencjalnie zmniejszające wydatki gospodarstw domowych na energię elektryczną, ciepło i gaz w Polsce</w:t>
            </w:r>
          </w:p>
        </w:tc>
        <w:tc>
          <w:tcPr>
            <w:tcW w:w="2410" w:type="dxa"/>
          </w:tcPr>
          <w:p w14:paraId="27E9D850" w14:textId="60242EFE" w:rsidR="00745D42" w:rsidRPr="00F81987" w:rsidRDefault="00911C72" w:rsidP="001C1058">
            <w:pPr>
              <w:jc w:val="both"/>
              <w:rPr>
                <w:rFonts w:cstheme="minorHAnsi"/>
                <w:sz w:val="20"/>
                <w:szCs w:val="20"/>
              </w:rPr>
            </w:pPr>
            <w:r>
              <w:rPr>
                <w:rFonts w:cstheme="minorHAnsi"/>
                <w:sz w:val="20"/>
                <w:szCs w:val="20"/>
              </w:rPr>
              <w:t>m</w:t>
            </w:r>
            <w:r w:rsidR="00745D42" w:rsidRPr="00F81987">
              <w:rPr>
                <w:rFonts w:cstheme="minorHAnsi"/>
                <w:sz w:val="20"/>
                <w:szCs w:val="20"/>
              </w:rPr>
              <w:t>inister właściwy ds. energii (DEL</w:t>
            </w:r>
            <w:r w:rsidR="005609B6">
              <w:rPr>
                <w:rFonts w:cstheme="minorHAnsi"/>
                <w:sz w:val="20"/>
                <w:szCs w:val="20"/>
              </w:rPr>
              <w:t>G</w:t>
            </w:r>
            <w:r w:rsidR="00745D42" w:rsidRPr="00F81987">
              <w:rPr>
                <w:rFonts w:cstheme="minorHAnsi"/>
                <w:sz w:val="20"/>
                <w:szCs w:val="20"/>
              </w:rPr>
              <w:t>)</w:t>
            </w:r>
          </w:p>
        </w:tc>
      </w:tr>
      <w:tr w:rsidR="00745D42" w:rsidRPr="00F81987" w14:paraId="5BA4628C" w14:textId="77777777" w:rsidTr="00745D42">
        <w:trPr>
          <w:gridAfter w:val="1"/>
          <w:wAfter w:w="11" w:type="dxa"/>
          <w:trHeight w:val="1162"/>
          <w:jc w:val="center"/>
        </w:trPr>
        <w:tc>
          <w:tcPr>
            <w:tcW w:w="1429" w:type="dxa"/>
            <w:vMerge/>
          </w:tcPr>
          <w:p w14:paraId="7B606AF6" w14:textId="77777777" w:rsidR="00745D42" w:rsidRPr="00F81987" w:rsidRDefault="00745D42" w:rsidP="001C1058">
            <w:pPr>
              <w:pStyle w:val="Akapitzlist"/>
              <w:rPr>
                <w:rFonts w:cstheme="minorHAnsi"/>
                <w:sz w:val="20"/>
                <w:szCs w:val="20"/>
              </w:rPr>
            </w:pPr>
          </w:p>
        </w:tc>
        <w:tc>
          <w:tcPr>
            <w:tcW w:w="5370" w:type="dxa"/>
          </w:tcPr>
          <w:p w14:paraId="3CF46796" w14:textId="18D132C0" w:rsidR="00745D42" w:rsidRPr="00F81987" w:rsidRDefault="00911C72" w:rsidP="000F7F46">
            <w:pPr>
              <w:jc w:val="both"/>
              <w:rPr>
                <w:rFonts w:cstheme="minorHAnsi"/>
                <w:sz w:val="20"/>
                <w:szCs w:val="20"/>
              </w:rPr>
            </w:pPr>
            <w:r>
              <w:rPr>
                <w:rFonts w:cstheme="minorHAnsi"/>
                <w:sz w:val="20"/>
                <w:szCs w:val="20"/>
              </w:rPr>
              <w:t>n</w:t>
            </w:r>
            <w:r w:rsidR="00745D42" w:rsidRPr="00F81987">
              <w:rPr>
                <w:rFonts w:cstheme="minorHAnsi"/>
                <w:sz w:val="20"/>
                <w:szCs w:val="20"/>
              </w:rPr>
              <w:t xml:space="preserve">owelizacja ustawy o efektywności energetycznej, polegająca m.in. na objęciu systemem w zakresie oszczędności energii większej liczby podmiotów – z sektora sprzedawców paliw ciekłych transportowych, rozwój firm ESCO oraz modyfikację systemu zobowiązań do oszczędności energii przez wprowadzenie możliwości rozliczania się z obowiązku oszczędności energii przez podmioty zobowiązane w ramach tzw. programów dofinansowań  </w:t>
            </w:r>
          </w:p>
        </w:tc>
        <w:tc>
          <w:tcPr>
            <w:tcW w:w="2410" w:type="dxa"/>
          </w:tcPr>
          <w:p w14:paraId="0736C807" w14:textId="2C94B642" w:rsidR="00745D42" w:rsidRPr="00F81987" w:rsidRDefault="00911C72" w:rsidP="001C1058">
            <w:pPr>
              <w:rPr>
                <w:rFonts w:cstheme="minorHAnsi"/>
                <w:sz w:val="20"/>
                <w:szCs w:val="20"/>
              </w:rPr>
            </w:pPr>
            <w:r>
              <w:rPr>
                <w:rFonts w:cstheme="minorHAnsi"/>
                <w:sz w:val="20"/>
                <w:szCs w:val="20"/>
              </w:rPr>
              <w:t>m</w:t>
            </w:r>
            <w:r w:rsidR="00745D42" w:rsidRPr="00F81987">
              <w:rPr>
                <w:rFonts w:cstheme="minorHAnsi"/>
                <w:sz w:val="20"/>
                <w:szCs w:val="20"/>
              </w:rPr>
              <w:t>inister właściwy ds. energii (DC)</w:t>
            </w:r>
          </w:p>
        </w:tc>
      </w:tr>
      <w:tr w:rsidR="00745D42" w:rsidRPr="00F81987" w14:paraId="3FB22166" w14:textId="77777777" w:rsidTr="00745D42">
        <w:trPr>
          <w:gridAfter w:val="1"/>
          <w:wAfter w:w="11" w:type="dxa"/>
          <w:trHeight w:val="1162"/>
          <w:jc w:val="center"/>
        </w:trPr>
        <w:tc>
          <w:tcPr>
            <w:tcW w:w="1429" w:type="dxa"/>
            <w:vMerge/>
          </w:tcPr>
          <w:p w14:paraId="693DF7F7" w14:textId="77777777" w:rsidR="00745D42" w:rsidRPr="00F81987" w:rsidRDefault="00745D42" w:rsidP="001C1058">
            <w:pPr>
              <w:pStyle w:val="Akapitzlist"/>
              <w:rPr>
                <w:rFonts w:cstheme="minorHAnsi"/>
                <w:sz w:val="20"/>
                <w:szCs w:val="20"/>
              </w:rPr>
            </w:pPr>
          </w:p>
        </w:tc>
        <w:tc>
          <w:tcPr>
            <w:tcW w:w="5370" w:type="dxa"/>
          </w:tcPr>
          <w:p w14:paraId="095EB98B" w14:textId="26EF0E56" w:rsidR="00745D42" w:rsidRPr="00F81987" w:rsidRDefault="00911C72" w:rsidP="00785C58">
            <w:pPr>
              <w:jc w:val="both"/>
              <w:rPr>
                <w:rFonts w:cstheme="minorHAnsi"/>
                <w:sz w:val="20"/>
                <w:szCs w:val="20"/>
              </w:rPr>
            </w:pPr>
            <w:r>
              <w:rPr>
                <w:rFonts w:cstheme="minorHAnsi"/>
                <w:sz w:val="20"/>
                <w:szCs w:val="20"/>
              </w:rPr>
              <w:t>p</w:t>
            </w:r>
            <w:r w:rsidR="00745D42" w:rsidRPr="00F81987">
              <w:rPr>
                <w:rFonts w:cstheme="minorHAnsi"/>
                <w:sz w:val="20"/>
                <w:szCs w:val="20"/>
              </w:rPr>
              <w:t>odwyższenie mandatów karnych za spalanie odpadów i niskiej jakości opału, co przyczynia się do złej jakości powietrza i wpływa na pogorszenie stanu zdrowia obywateli (uzupełnienie katalogu grzywien, wyższych niż 500 zł, w Kodeksie postępowania w sprawach o wykroczenie, Dz. U. z 2020 r. poz. 729</w:t>
            </w:r>
            <w:r w:rsidR="00745D42" w:rsidRPr="00785C58">
              <w:rPr>
                <w:rFonts w:cstheme="minorHAnsi"/>
                <w:sz w:val="20"/>
                <w:szCs w:val="20"/>
              </w:rPr>
              <w:t>)</w:t>
            </w:r>
            <w:r w:rsidR="00785C58" w:rsidRPr="00785C58">
              <w:rPr>
                <w:rFonts w:cstheme="minorHAnsi"/>
                <w:sz w:val="20"/>
              </w:rPr>
              <w:t>, wraz z równoległym</w:t>
            </w:r>
            <w:r w:rsidR="00785C58" w:rsidRPr="00785C58">
              <w:rPr>
                <w:rFonts w:cstheme="minorHAnsi"/>
                <w:sz w:val="20"/>
                <w:szCs w:val="20"/>
              </w:rPr>
              <w:t xml:space="preserve"> wprowadzeniem instrumentów służących redukcji ubóstwa energetycznego w Polsce oraz instrumentów przyczyniających się do zniwelowania zjawiska ubóstwa energetycznego</w:t>
            </w:r>
          </w:p>
        </w:tc>
        <w:tc>
          <w:tcPr>
            <w:tcW w:w="2410" w:type="dxa"/>
          </w:tcPr>
          <w:p w14:paraId="1200B1D0" w14:textId="61ABCC28" w:rsidR="00745D42" w:rsidRPr="00F81987" w:rsidRDefault="00911C72" w:rsidP="001C1058">
            <w:pPr>
              <w:rPr>
                <w:rFonts w:cstheme="minorHAnsi"/>
                <w:sz w:val="20"/>
                <w:szCs w:val="20"/>
              </w:rPr>
            </w:pPr>
            <w:r>
              <w:rPr>
                <w:rFonts w:cstheme="minorHAnsi"/>
                <w:sz w:val="20"/>
                <w:szCs w:val="20"/>
              </w:rPr>
              <w:t>m</w:t>
            </w:r>
            <w:r w:rsidR="00745D42" w:rsidRPr="00F81987">
              <w:rPr>
                <w:rFonts w:cstheme="minorHAnsi"/>
                <w:sz w:val="20"/>
                <w:szCs w:val="20"/>
              </w:rPr>
              <w:t>inister właściwy ds. klimatu (</w:t>
            </w:r>
            <w:r w:rsidR="00785C58" w:rsidRPr="00F81987">
              <w:rPr>
                <w:rFonts w:cstheme="minorHAnsi"/>
                <w:sz w:val="20"/>
                <w:szCs w:val="20"/>
              </w:rPr>
              <w:t>DGO</w:t>
            </w:r>
            <w:r w:rsidR="00785C58">
              <w:rPr>
                <w:rFonts w:cstheme="minorHAnsi"/>
                <w:sz w:val="20"/>
                <w:szCs w:val="20"/>
              </w:rPr>
              <w:t>,</w:t>
            </w:r>
            <w:r w:rsidR="00785C58" w:rsidRPr="00F81987">
              <w:rPr>
                <w:rFonts w:cstheme="minorHAnsi"/>
                <w:sz w:val="20"/>
                <w:szCs w:val="20"/>
              </w:rPr>
              <w:t xml:space="preserve"> DPM</w:t>
            </w:r>
            <w:r w:rsidR="00745D42" w:rsidRPr="00F81987">
              <w:rPr>
                <w:rFonts w:cstheme="minorHAnsi"/>
                <w:sz w:val="20"/>
                <w:szCs w:val="20"/>
              </w:rPr>
              <w:t>)</w:t>
            </w:r>
          </w:p>
        </w:tc>
      </w:tr>
      <w:tr w:rsidR="00745D42" w:rsidRPr="00F81987" w14:paraId="1FDB6966" w14:textId="77777777" w:rsidTr="00745D42">
        <w:trPr>
          <w:gridAfter w:val="1"/>
          <w:wAfter w:w="11" w:type="dxa"/>
          <w:trHeight w:val="1162"/>
          <w:jc w:val="center"/>
        </w:trPr>
        <w:tc>
          <w:tcPr>
            <w:tcW w:w="1429" w:type="dxa"/>
            <w:vMerge/>
          </w:tcPr>
          <w:p w14:paraId="43F5B7CB" w14:textId="77777777" w:rsidR="00745D42" w:rsidRPr="00F81987" w:rsidRDefault="00745D42" w:rsidP="00745D42">
            <w:pPr>
              <w:pStyle w:val="Akapitzlist"/>
              <w:rPr>
                <w:rFonts w:cstheme="minorHAnsi"/>
                <w:sz w:val="20"/>
                <w:szCs w:val="20"/>
              </w:rPr>
            </w:pPr>
          </w:p>
        </w:tc>
        <w:tc>
          <w:tcPr>
            <w:tcW w:w="53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98BA97" w14:textId="5B1F4F3C" w:rsidR="00745D42" w:rsidRPr="00F81987" w:rsidRDefault="00911C72" w:rsidP="00745D42">
            <w:pPr>
              <w:jc w:val="both"/>
              <w:rPr>
                <w:rFonts w:cstheme="minorHAnsi"/>
                <w:sz w:val="20"/>
                <w:szCs w:val="20"/>
              </w:rPr>
            </w:pPr>
            <w:r>
              <w:rPr>
                <w:rFonts w:cstheme="minorHAnsi"/>
                <w:iCs/>
                <w:sz w:val="20"/>
                <w:szCs w:val="20"/>
              </w:rPr>
              <w:t>w</w:t>
            </w:r>
            <w:r w:rsidR="00745D42" w:rsidRPr="00F81987">
              <w:rPr>
                <w:rFonts w:cstheme="minorHAnsi"/>
                <w:iCs/>
                <w:sz w:val="20"/>
                <w:szCs w:val="20"/>
              </w:rPr>
              <w:t>eryfikacja wskaźników emisji ze źródeł spalających paliwo stałe (węgiel i biomasa) eksploatowanych w sektorze bytowo-komunalnym</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3B1683" w14:textId="5B2F96C6" w:rsidR="00745D42" w:rsidRPr="00F81987" w:rsidRDefault="00911C72" w:rsidP="00745D42">
            <w:pPr>
              <w:rPr>
                <w:rFonts w:cstheme="minorHAnsi"/>
                <w:sz w:val="20"/>
                <w:szCs w:val="20"/>
              </w:rPr>
            </w:pPr>
            <w:r>
              <w:rPr>
                <w:rFonts w:cstheme="minorHAnsi"/>
                <w:sz w:val="20"/>
                <w:szCs w:val="20"/>
              </w:rPr>
              <w:t>KOBIZE</w:t>
            </w:r>
            <w:r w:rsidR="00745D42" w:rsidRPr="00F81987">
              <w:rPr>
                <w:rFonts w:cstheme="minorHAnsi"/>
                <w:sz w:val="20"/>
                <w:szCs w:val="20"/>
              </w:rPr>
              <w:t xml:space="preserve"> </w:t>
            </w:r>
            <w:r w:rsidR="006171F2">
              <w:rPr>
                <w:rFonts w:cstheme="minorHAnsi"/>
                <w:sz w:val="20"/>
                <w:szCs w:val="20"/>
              </w:rPr>
              <w:t xml:space="preserve"> IOŚ-PIB</w:t>
            </w:r>
          </w:p>
        </w:tc>
      </w:tr>
      <w:tr w:rsidR="00745D42" w:rsidRPr="00F81987" w14:paraId="4DE8285D" w14:textId="77777777" w:rsidTr="00745D42">
        <w:trPr>
          <w:gridAfter w:val="1"/>
          <w:wAfter w:w="11" w:type="dxa"/>
          <w:trHeight w:val="1162"/>
          <w:jc w:val="center"/>
        </w:trPr>
        <w:tc>
          <w:tcPr>
            <w:tcW w:w="1429" w:type="dxa"/>
            <w:vMerge/>
          </w:tcPr>
          <w:p w14:paraId="1AA9AAB1" w14:textId="77777777" w:rsidR="00745D42" w:rsidRPr="00F81987" w:rsidRDefault="00745D42" w:rsidP="00745D42">
            <w:pPr>
              <w:pStyle w:val="Akapitzlist"/>
              <w:rPr>
                <w:rFonts w:cstheme="minorHAnsi"/>
                <w:sz w:val="20"/>
                <w:szCs w:val="20"/>
              </w:rPr>
            </w:pPr>
          </w:p>
        </w:tc>
        <w:tc>
          <w:tcPr>
            <w:tcW w:w="53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05F99A" w14:textId="4BB80BEF" w:rsidR="00745D42" w:rsidRPr="00F81987" w:rsidRDefault="00911C72" w:rsidP="00745D42">
            <w:pPr>
              <w:jc w:val="both"/>
              <w:rPr>
                <w:rFonts w:cstheme="minorHAnsi"/>
                <w:sz w:val="20"/>
                <w:szCs w:val="20"/>
              </w:rPr>
            </w:pPr>
            <w:r>
              <w:rPr>
                <w:rFonts w:cstheme="minorHAnsi"/>
                <w:iCs/>
                <w:sz w:val="20"/>
                <w:szCs w:val="20"/>
              </w:rPr>
              <w:t>u</w:t>
            </w:r>
            <w:r w:rsidR="00745D42" w:rsidRPr="00F81987">
              <w:rPr>
                <w:rFonts w:cstheme="minorHAnsi"/>
                <w:iCs/>
                <w:sz w:val="20"/>
                <w:szCs w:val="20"/>
              </w:rPr>
              <w:t xml:space="preserve">względnienie w metodyce szacowania emisji z sektora bytowo-komunalnego podstawowych danych zamieszczonych w CEEB (deklaracje o źródłach ciepła i źródłach spalania paliw, w tym m.in. zasilania z sieci ciepłowniczej, klasy kotłów, rodzaju paliw) </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4576B7" w14:textId="410E09A2" w:rsidR="00745D42" w:rsidRPr="00F81987" w:rsidRDefault="00911C72" w:rsidP="00745D42">
            <w:pPr>
              <w:rPr>
                <w:rFonts w:cstheme="minorHAnsi"/>
                <w:sz w:val="20"/>
                <w:szCs w:val="20"/>
              </w:rPr>
            </w:pPr>
            <w:r>
              <w:rPr>
                <w:rFonts w:cstheme="minorHAnsi"/>
                <w:sz w:val="20"/>
                <w:szCs w:val="20"/>
              </w:rPr>
              <w:t>KOBIZE</w:t>
            </w:r>
            <w:r w:rsidR="006171F2">
              <w:rPr>
                <w:rFonts w:cstheme="minorHAnsi"/>
                <w:sz w:val="20"/>
                <w:szCs w:val="20"/>
              </w:rPr>
              <w:t xml:space="preserve"> IOŚ-PIB</w:t>
            </w:r>
          </w:p>
        </w:tc>
      </w:tr>
      <w:tr w:rsidR="00745D42" w:rsidRPr="00F81987" w14:paraId="017EEFFC" w14:textId="77777777" w:rsidTr="00745D42">
        <w:trPr>
          <w:gridAfter w:val="1"/>
          <w:wAfter w:w="11" w:type="dxa"/>
          <w:trHeight w:val="1162"/>
          <w:jc w:val="center"/>
        </w:trPr>
        <w:tc>
          <w:tcPr>
            <w:tcW w:w="1429" w:type="dxa"/>
            <w:vMerge/>
          </w:tcPr>
          <w:p w14:paraId="6AA46191" w14:textId="77777777" w:rsidR="00745D42" w:rsidRPr="00F81987" w:rsidRDefault="00745D42" w:rsidP="00745D42">
            <w:pPr>
              <w:pStyle w:val="Akapitzlist"/>
              <w:rPr>
                <w:rFonts w:cstheme="minorHAnsi"/>
                <w:sz w:val="20"/>
                <w:szCs w:val="20"/>
              </w:rPr>
            </w:pPr>
          </w:p>
        </w:tc>
        <w:tc>
          <w:tcPr>
            <w:tcW w:w="53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3FE9DE" w14:textId="52945CB3" w:rsidR="00745D42" w:rsidRPr="00F81987" w:rsidRDefault="00911C72" w:rsidP="00745D42">
            <w:pPr>
              <w:jc w:val="both"/>
              <w:rPr>
                <w:rFonts w:cstheme="minorHAnsi"/>
                <w:sz w:val="20"/>
                <w:szCs w:val="20"/>
              </w:rPr>
            </w:pPr>
            <w:r>
              <w:rPr>
                <w:rFonts w:cstheme="minorHAnsi"/>
                <w:iCs/>
                <w:sz w:val="20"/>
                <w:szCs w:val="20"/>
              </w:rPr>
              <w:t>w</w:t>
            </w:r>
            <w:r w:rsidR="00745D42" w:rsidRPr="00F81987">
              <w:rPr>
                <w:rFonts w:cstheme="minorHAnsi"/>
                <w:iCs/>
                <w:sz w:val="20"/>
                <w:szCs w:val="20"/>
              </w:rPr>
              <w:t xml:space="preserve">prowadzenie zmian do rozporządzenia Ministra Energii z dnia 27 września 2018 r. w sprawie wymagań jakościowych dla paliw stałych(Dz. U. poz. 1890) w wyniku dokonania przeglądu tych wymagań przez Zespół ds. przeglądu paliw stałych </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FBBC99" w14:textId="73A2E7B9" w:rsidR="00745D42" w:rsidRPr="00F81987" w:rsidRDefault="00911C72" w:rsidP="00745D42">
            <w:pPr>
              <w:rPr>
                <w:rFonts w:cstheme="minorHAnsi"/>
                <w:sz w:val="20"/>
                <w:szCs w:val="20"/>
              </w:rPr>
            </w:pPr>
            <w:r>
              <w:rPr>
                <w:rFonts w:cstheme="minorHAnsi"/>
                <w:sz w:val="20"/>
                <w:szCs w:val="20"/>
              </w:rPr>
              <w:t>m</w:t>
            </w:r>
            <w:r w:rsidR="00745D42" w:rsidRPr="00F81987">
              <w:rPr>
                <w:rFonts w:cstheme="minorHAnsi"/>
                <w:sz w:val="20"/>
                <w:szCs w:val="20"/>
              </w:rPr>
              <w:t xml:space="preserve">inister właściwy ds. energii, </w:t>
            </w:r>
            <w:r>
              <w:rPr>
                <w:rFonts w:cstheme="minorHAnsi"/>
                <w:sz w:val="20"/>
                <w:szCs w:val="20"/>
              </w:rPr>
              <w:t>m</w:t>
            </w:r>
            <w:r w:rsidR="00745D42" w:rsidRPr="00F81987">
              <w:rPr>
                <w:rFonts w:cstheme="minorHAnsi"/>
                <w:sz w:val="20"/>
                <w:szCs w:val="20"/>
              </w:rPr>
              <w:t xml:space="preserve">inister właściwy ds. klimatu </w:t>
            </w:r>
            <w:r w:rsidR="00366C75">
              <w:rPr>
                <w:rFonts w:cstheme="minorHAnsi"/>
                <w:sz w:val="20"/>
                <w:szCs w:val="20"/>
              </w:rPr>
              <w:t>(</w:t>
            </w:r>
            <w:r w:rsidR="00745D42" w:rsidRPr="00F81987">
              <w:rPr>
                <w:rFonts w:cstheme="minorHAnsi"/>
                <w:sz w:val="20"/>
                <w:szCs w:val="20"/>
              </w:rPr>
              <w:t>DEG, DSP, DPM</w:t>
            </w:r>
            <w:r w:rsidR="00366C75">
              <w:rPr>
                <w:rFonts w:cstheme="minorHAnsi"/>
                <w:sz w:val="20"/>
                <w:szCs w:val="20"/>
              </w:rPr>
              <w:t>)</w:t>
            </w:r>
          </w:p>
        </w:tc>
      </w:tr>
      <w:tr w:rsidR="00745D42" w:rsidRPr="00F81987" w14:paraId="7F290754" w14:textId="77777777" w:rsidTr="00B91399">
        <w:trPr>
          <w:gridAfter w:val="1"/>
          <w:wAfter w:w="11" w:type="dxa"/>
          <w:trHeight w:val="849"/>
          <w:jc w:val="center"/>
        </w:trPr>
        <w:tc>
          <w:tcPr>
            <w:tcW w:w="1429" w:type="dxa"/>
            <w:vMerge/>
          </w:tcPr>
          <w:p w14:paraId="7FF05C6A" w14:textId="77777777" w:rsidR="00745D42" w:rsidRPr="00F81987" w:rsidRDefault="00745D42" w:rsidP="00745D42">
            <w:pPr>
              <w:pStyle w:val="Akapitzlist"/>
              <w:rPr>
                <w:rFonts w:cstheme="minorHAnsi"/>
                <w:sz w:val="20"/>
                <w:szCs w:val="20"/>
              </w:rPr>
            </w:pPr>
          </w:p>
        </w:tc>
        <w:tc>
          <w:tcPr>
            <w:tcW w:w="53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165468" w14:textId="6ACAB92B" w:rsidR="00745D42" w:rsidRPr="00F81987" w:rsidRDefault="00911C72" w:rsidP="00745D42">
            <w:pPr>
              <w:jc w:val="both"/>
              <w:rPr>
                <w:rFonts w:cstheme="minorHAnsi"/>
                <w:sz w:val="20"/>
                <w:szCs w:val="20"/>
              </w:rPr>
            </w:pPr>
            <w:r>
              <w:rPr>
                <w:rFonts w:cstheme="minorHAnsi"/>
                <w:sz w:val="20"/>
                <w:szCs w:val="20"/>
              </w:rPr>
              <w:t>o</w:t>
            </w:r>
            <w:r w:rsidR="00745D42" w:rsidRPr="00F81987">
              <w:rPr>
                <w:rFonts w:cstheme="minorHAnsi"/>
                <w:sz w:val="20"/>
                <w:szCs w:val="20"/>
              </w:rPr>
              <w:t xml:space="preserve">cena, przez Zespół MKiŚ do spraw instrumentów służących redukcji ubóstwa energetycznego w Polsce, instrumentów przyczyniających się do zniwelowania zjawiska ubóstwa energetycznego z uwzględnieniem podziału na instrumenty </w:t>
            </w:r>
            <w:r w:rsidR="00745D42" w:rsidRPr="00F81987">
              <w:rPr>
                <w:rFonts w:cstheme="minorHAnsi"/>
                <w:sz w:val="20"/>
                <w:szCs w:val="20"/>
              </w:rPr>
              <w:lastRenderedPageBreak/>
              <w:t>wpływające na dochód oraz instrumenty potencjalnie zmniejszające wydatki gospodarstw domowych na energię elektryczną, ciepło i gaz w Polsce</w:t>
            </w:r>
            <w:r w:rsidR="00D62BEE" w:rsidRPr="00F81987">
              <w:rPr>
                <w:rFonts w:cstheme="minorHAnsi"/>
                <w:sz w:val="20"/>
                <w:szCs w:val="20"/>
              </w:rPr>
              <w:t xml:space="preserve"> oraz z</w:t>
            </w:r>
            <w:r w:rsidR="00745D42" w:rsidRPr="00F81987">
              <w:rPr>
                <w:rFonts w:cstheme="minorHAnsi"/>
                <w:sz w:val="20"/>
                <w:szCs w:val="20"/>
              </w:rPr>
              <w:t>aproponowanie na podstawie ww. oceny niezbędnych zmian legislacyjnych</w:t>
            </w:r>
            <w:r w:rsidR="00745D42" w:rsidRPr="00F81987">
              <w:rPr>
                <w:rFonts w:cstheme="minorHAnsi"/>
                <w:sz w:val="20"/>
                <w:szCs w:val="20"/>
              </w:rPr>
              <w:tab/>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B0E409" w14:textId="5BEB7F31" w:rsidR="00745D42" w:rsidRPr="00F81987" w:rsidRDefault="00911C72" w:rsidP="00745D42">
            <w:pPr>
              <w:rPr>
                <w:rFonts w:cstheme="minorHAnsi"/>
                <w:sz w:val="20"/>
                <w:szCs w:val="20"/>
              </w:rPr>
            </w:pPr>
            <w:r>
              <w:rPr>
                <w:rFonts w:cstheme="minorHAnsi"/>
                <w:sz w:val="20"/>
                <w:szCs w:val="20"/>
              </w:rPr>
              <w:lastRenderedPageBreak/>
              <w:t>m</w:t>
            </w:r>
            <w:r w:rsidR="00745D42" w:rsidRPr="00F81987">
              <w:rPr>
                <w:rFonts w:cstheme="minorHAnsi"/>
                <w:sz w:val="20"/>
                <w:szCs w:val="20"/>
              </w:rPr>
              <w:t xml:space="preserve">inister właściwy ds. energii </w:t>
            </w:r>
            <w:r w:rsidR="00366C75">
              <w:rPr>
                <w:rFonts w:cstheme="minorHAnsi"/>
                <w:sz w:val="20"/>
                <w:szCs w:val="20"/>
              </w:rPr>
              <w:t>(</w:t>
            </w:r>
            <w:r w:rsidR="00745D42" w:rsidRPr="00F81987">
              <w:rPr>
                <w:rFonts w:cstheme="minorHAnsi"/>
                <w:sz w:val="20"/>
                <w:szCs w:val="20"/>
              </w:rPr>
              <w:t>DEL</w:t>
            </w:r>
            <w:r w:rsidR="00366C75">
              <w:rPr>
                <w:rFonts w:cstheme="minorHAnsi"/>
                <w:sz w:val="20"/>
                <w:szCs w:val="20"/>
              </w:rPr>
              <w:t>)</w:t>
            </w:r>
          </w:p>
        </w:tc>
      </w:tr>
      <w:tr w:rsidR="00745D42" w:rsidRPr="00F81987" w14:paraId="2514B061" w14:textId="77777777" w:rsidTr="00745D42">
        <w:trPr>
          <w:gridAfter w:val="1"/>
          <w:wAfter w:w="11" w:type="dxa"/>
          <w:trHeight w:val="1162"/>
          <w:jc w:val="center"/>
        </w:trPr>
        <w:tc>
          <w:tcPr>
            <w:tcW w:w="1429" w:type="dxa"/>
            <w:vMerge/>
          </w:tcPr>
          <w:p w14:paraId="0658508F" w14:textId="77777777" w:rsidR="00745D42" w:rsidRPr="00F81987" w:rsidRDefault="00745D42" w:rsidP="00745D42">
            <w:pPr>
              <w:pStyle w:val="Akapitzlist"/>
              <w:rPr>
                <w:rFonts w:cstheme="minorHAnsi"/>
                <w:sz w:val="20"/>
                <w:szCs w:val="20"/>
              </w:rPr>
            </w:pPr>
          </w:p>
        </w:tc>
        <w:tc>
          <w:tcPr>
            <w:tcW w:w="53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1732DA" w14:textId="747B6904" w:rsidR="00745D42" w:rsidRPr="00F81987" w:rsidRDefault="00366C75" w:rsidP="00745D42">
            <w:pPr>
              <w:jc w:val="both"/>
              <w:rPr>
                <w:rFonts w:cstheme="minorHAnsi"/>
                <w:sz w:val="20"/>
                <w:szCs w:val="20"/>
              </w:rPr>
            </w:pPr>
            <w:r>
              <w:rPr>
                <w:rFonts w:cstheme="minorHAnsi"/>
                <w:sz w:val="20"/>
                <w:szCs w:val="20"/>
              </w:rPr>
              <w:t>p</w:t>
            </w:r>
            <w:r w:rsidR="00745D42" w:rsidRPr="00F81987">
              <w:rPr>
                <w:rFonts w:cstheme="minorHAnsi"/>
                <w:sz w:val="20"/>
                <w:szCs w:val="20"/>
              </w:rPr>
              <w:t>odwyższenie mandatów karnych za spalanie odpadów i niskiej jakości opału, co przyczynia się do złej jakości powietrza i wpływa na pogorszenie stanu zdrowia obywateli (uzupełnienie katalogu grzywien, wyższych niż 500 zł, w Kodeksie postępowania w sprawach o wykroczenie, Dz. U. z 2020 r. poz. 729)</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0691CF" w14:textId="5D53980C" w:rsidR="00745D42" w:rsidRPr="00F81987" w:rsidRDefault="00366C75" w:rsidP="00745D42">
            <w:pPr>
              <w:rPr>
                <w:rFonts w:cstheme="minorHAnsi"/>
                <w:sz w:val="20"/>
                <w:szCs w:val="20"/>
              </w:rPr>
            </w:pPr>
            <w:r>
              <w:rPr>
                <w:rFonts w:cstheme="minorHAnsi"/>
                <w:sz w:val="20"/>
                <w:szCs w:val="20"/>
              </w:rPr>
              <w:t>m</w:t>
            </w:r>
            <w:r w:rsidR="00745D42" w:rsidRPr="00F81987">
              <w:rPr>
                <w:rFonts w:cstheme="minorHAnsi"/>
                <w:sz w:val="20"/>
                <w:szCs w:val="20"/>
              </w:rPr>
              <w:t xml:space="preserve">inister właściwy ds. klimatu </w:t>
            </w:r>
            <w:r>
              <w:rPr>
                <w:rFonts w:cstheme="minorHAnsi"/>
                <w:sz w:val="20"/>
                <w:szCs w:val="20"/>
              </w:rPr>
              <w:t>(</w:t>
            </w:r>
            <w:r w:rsidR="00745D42" w:rsidRPr="00F81987">
              <w:rPr>
                <w:rFonts w:cstheme="minorHAnsi"/>
                <w:sz w:val="20"/>
                <w:szCs w:val="20"/>
              </w:rPr>
              <w:t>DGO, DPM</w:t>
            </w:r>
            <w:r>
              <w:rPr>
                <w:rFonts w:cstheme="minorHAnsi"/>
                <w:sz w:val="20"/>
                <w:szCs w:val="20"/>
              </w:rPr>
              <w:t>)</w:t>
            </w:r>
          </w:p>
        </w:tc>
      </w:tr>
      <w:tr w:rsidR="00745D42" w:rsidRPr="00F81987" w14:paraId="0F895BEF" w14:textId="77777777" w:rsidTr="00745D42">
        <w:trPr>
          <w:gridAfter w:val="1"/>
          <w:wAfter w:w="11" w:type="dxa"/>
          <w:trHeight w:val="1162"/>
          <w:jc w:val="center"/>
        </w:trPr>
        <w:tc>
          <w:tcPr>
            <w:tcW w:w="1429" w:type="dxa"/>
            <w:vMerge/>
          </w:tcPr>
          <w:p w14:paraId="2F6AAED3" w14:textId="77777777" w:rsidR="00745D42" w:rsidRPr="00F81987" w:rsidRDefault="00745D42" w:rsidP="00745D42">
            <w:pPr>
              <w:pStyle w:val="Akapitzlist"/>
              <w:rPr>
                <w:rFonts w:cstheme="minorHAnsi"/>
                <w:sz w:val="20"/>
                <w:szCs w:val="20"/>
              </w:rPr>
            </w:pPr>
          </w:p>
        </w:tc>
        <w:tc>
          <w:tcPr>
            <w:tcW w:w="53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C1B3E3" w14:textId="20ED7B48" w:rsidR="00745D42" w:rsidRPr="00F81987" w:rsidRDefault="00366C75" w:rsidP="00AE0524">
            <w:pPr>
              <w:jc w:val="both"/>
              <w:rPr>
                <w:rFonts w:cstheme="minorHAnsi"/>
                <w:sz w:val="20"/>
                <w:szCs w:val="20"/>
              </w:rPr>
            </w:pPr>
            <w:r>
              <w:rPr>
                <w:rFonts w:cstheme="minorHAnsi"/>
                <w:sz w:val="20"/>
                <w:szCs w:val="20"/>
              </w:rPr>
              <w:t>z</w:t>
            </w:r>
            <w:r w:rsidR="00AE0524">
              <w:rPr>
                <w:rFonts w:cstheme="minorHAnsi"/>
                <w:sz w:val="20"/>
                <w:szCs w:val="20"/>
              </w:rPr>
              <w:t>miana prawa mająca na celu poprawę standingu finansowego</w:t>
            </w:r>
            <w:r w:rsidR="00AE0524" w:rsidRPr="00F81987">
              <w:rPr>
                <w:rFonts w:cstheme="minorHAnsi"/>
                <w:sz w:val="20"/>
                <w:szCs w:val="20"/>
              </w:rPr>
              <w:t xml:space="preserve"> </w:t>
            </w:r>
            <w:r w:rsidR="00AE0524">
              <w:rPr>
                <w:rFonts w:cstheme="minorHAnsi"/>
                <w:sz w:val="20"/>
                <w:szCs w:val="20"/>
              </w:rPr>
              <w:t xml:space="preserve">przedsiębiorstw energetycznych </w:t>
            </w:r>
            <w:r w:rsidR="00745D42" w:rsidRPr="00F81987">
              <w:rPr>
                <w:rFonts w:cstheme="minorHAnsi"/>
                <w:sz w:val="20"/>
                <w:szCs w:val="20"/>
              </w:rPr>
              <w:t>sektora ciepłownictwa</w:t>
            </w:r>
            <w:r>
              <w:rPr>
                <w:rFonts w:cstheme="minorHAnsi"/>
                <w:sz w:val="20"/>
                <w:szCs w:val="20"/>
              </w:rPr>
              <w:t>,</w:t>
            </w:r>
            <w:r w:rsidR="00745D42" w:rsidRPr="00F81987">
              <w:rPr>
                <w:rFonts w:cstheme="minorHAnsi"/>
                <w:sz w:val="20"/>
                <w:szCs w:val="20"/>
              </w:rPr>
              <w:t xml:space="preserve"> </w:t>
            </w:r>
            <w:r w:rsidR="00AE0524">
              <w:rPr>
                <w:rFonts w:cstheme="minorHAnsi"/>
                <w:sz w:val="20"/>
                <w:szCs w:val="20"/>
              </w:rPr>
              <w:t>uwzględniająca konieczność pozyskiwania środków na inwestycje związane z transformacją źródeł ciepła w kierunku źródeł niskoemisyjnych i zeroemisyjnych.</w:t>
            </w:r>
            <w:r w:rsidR="00AE0524" w:rsidRPr="00F81987">
              <w:rPr>
                <w:rFonts w:cstheme="minorHAnsi"/>
                <w:sz w:val="20"/>
                <w:szCs w:val="20"/>
              </w:rPr>
              <w:t xml:space="preserve"> </w:t>
            </w:r>
            <w:r w:rsidR="00AE0524">
              <w:rPr>
                <w:rFonts w:cstheme="minorHAnsi"/>
                <w:sz w:val="20"/>
                <w:szCs w:val="20"/>
              </w:rPr>
              <w:t xml:space="preserve">Zmiana paliwa w źródłach, konwersja źródeł na kogeneracyjne oraz budowa na końcach systemów jednostek wytwórczych ciepła, stanowiących odnawialne źródła energii pozwolą nie tylko </w:t>
            </w:r>
            <w:r>
              <w:rPr>
                <w:rFonts w:cstheme="minorHAnsi"/>
                <w:sz w:val="20"/>
                <w:szCs w:val="20"/>
              </w:rPr>
              <w:t xml:space="preserve">na </w:t>
            </w:r>
            <w:r w:rsidR="00AE0524">
              <w:rPr>
                <w:rFonts w:cstheme="minorHAnsi"/>
                <w:sz w:val="20"/>
                <w:szCs w:val="20"/>
              </w:rPr>
              <w:t>spełnienie wytycznych U</w:t>
            </w:r>
            <w:r>
              <w:rPr>
                <w:rFonts w:cstheme="minorHAnsi"/>
                <w:sz w:val="20"/>
                <w:szCs w:val="20"/>
              </w:rPr>
              <w:t xml:space="preserve">nii </w:t>
            </w:r>
            <w:r w:rsidR="00AE0524">
              <w:rPr>
                <w:rFonts w:cstheme="minorHAnsi"/>
                <w:sz w:val="20"/>
                <w:szCs w:val="20"/>
              </w:rPr>
              <w:t>E</w:t>
            </w:r>
            <w:r>
              <w:rPr>
                <w:rFonts w:cstheme="minorHAnsi"/>
                <w:sz w:val="20"/>
                <w:szCs w:val="20"/>
              </w:rPr>
              <w:t>uropejskiej</w:t>
            </w:r>
            <w:r w:rsidR="00AE0524">
              <w:rPr>
                <w:rFonts w:cstheme="minorHAnsi"/>
                <w:sz w:val="20"/>
                <w:szCs w:val="20"/>
              </w:rPr>
              <w:t xml:space="preserve">, ale także na uniknięcie aktualnych </w:t>
            </w:r>
            <w:r w:rsidR="00745D42" w:rsidRPr="00F81987">
              <w:rPr>
                <w:rFonts w:cstheme="minorHAnsi"/>
                <w:sz w:val="20"/>
                <w:szCs w:val="20"/>
              </w:rPr>
              <w:t xml:space="preserve"> problemów finansowych spowodowanych wysokimi cenami uprawnień do emisji CO</w:t>
            </w:r>
            <w:r w:rsidR="00745D42" w:rsidRPr="00F81987">
              <w:rPr>
                <w:rFonts w:cstheme="minorHAnsi"/>
                <w:sz w:val="20"/>
                <w:szCs w:val="20"/>
                <w:vertAlign w:val="subscript"/>
              </w:rPr>
              <w:t>2</w:t>
            </w:r>
            <w:r w:rsidR="00AE0524">
              <w:rPr>
                <w:rFonts w:cstheme="minorHAnsi"/>
                <w:sz w:val="20"/>
                <w:szCs w:val="20"/>
                <w:vertAlign w:val="subscript"/>
              </w:rPr>
              <w:t>.</w:t>
            </w:r>
            <w:r w:rsidR="00745D42" w:rsidRPr="00F81987">
              <w:rPr>
                <w:rFonts w:cstheme="minorHAnsi"/>
                <w:sz w:val="20"/>
                <w:szCs w:val="20"/>
              </w:rPr>
              <w:t xml:space="preserve"> </w:t>
            </w:r>
            <w:r w:rsidR="00AE0524">
              <w:rPr>
                <w:rFonts w:cstheme="minorHAnsi"/>
                <w:sz w:val="20"/>
                <w:szCs w:val="20"/>
              </w:rPr>
              <w:t>Zmiana prawa uwzględniająca potrzeby finansowe przedsiębiorstw na modernizację i rozwój będzie miała także na celu umożliwienie systemom ciepłowniczym uzyskanie</w:t>
            </w:r>
            <w:r w:rsidR="00AE0524" w:rsidRPr="00F81987">
              <w:rPr>
                <w:rFonts w:cstheme="minorHAnsi"/>
                <w:sz w:val="20"/>
                <w:szCs w:val="20"/>
              </w:rPr>
              <w:t xml:space="preserve"> </w:t>
            </w:r>
            <w:r w:rsidR="00745D42" w:rsidRPr="00F81987">
              <w:rPr>
                <w:rFonts w:cstheme="minorHAnsi"/>
                <w:sz w:val="20"/>
                <w:szCs w:val="20"/>
              </w:rPr>
              <w:t>statusu efektywnego</w:t>
            </w:r>
            <w:r w:rsidR="00AE0524">
              <w:rPr>
                <w:rFonts w:cstheme="minorHAnsi"/>
                <w:sz w:val="20"/>
                <w:szCs w:val="20"/>
              </w:rPr>
              <w:t xml:space="preserve"> systemu ciepłowniczego</w:t>
            </w:r>
            <w:r w:rsidR="00AE0524" w:rsidRPr="00F81987">
              <w:rPr>
                <w:rFonts w:cstheme="minorHAnsi"/>
                <w:sz w:val="20"/>
                <w:szCs w:val="20"/>
              </w:rPr>
              <w:t xml:space="preserve">, </w:t>
            </w:r>
            <w:r w:rsidR="00AE0524">
              <w:rPr>
                <w:rFonts w:cstheme="minorHAnsi"/>
                <w:sz w:val="20"/>
                <w:szCs w:val="20"/>
              </w:rPr>
              <w:t xml:space="preserve">co umożliwi większe wykorzystanie finansowych środków wsparcia na dalszy rozwój i modernizację. Zmiana prawa, która będzie promować budowę, nawet niewielkich jednostek stanowiących odnawialne źródła energii na krańcach systemów ciepłowniczych lub nawet poza granicą dostawy przedsiębiorstwa energetycznego, będzie miała na celu </w:t>
            </w:r>
            <w:r w:rsidR="00AE0524" w:rsidRPr="00F81987">
              <w:rPr>
                <w:rFonts w:cstheme="minorHAnsi"/>
                <w:sz w:val="20"/>
                <w:szCs w:val="20"/>
              </w:rPr>
              <w:t xml:space="preserve">dostosowanie </w:t>
            </w:r>
            <w:r w:rsidR="00AE0524">
              <w:rPr>
                <w:rFonts w:cstheme="minorHAnsi"/>
                <w:sz w:val="20"/>
                <w:szCs w:val="20"/>
              </w:rPr>
              <w:t>wytwarzanego</w:t>
            </w:r>
            <w:r w:rsidR="00AE0524" w:rsidRPr="00F81987">
              <w:rPr>
                <w:rFonts w:cstheme="minorHAnsi"/>
                <w:sz w:val="20"/>
                <w:szCs w:val="20"/>
              </w:rPr>
              <w:t xml:space="preserve"> </w:t>
            </w:r>
            <w:r w:rsidR="00AE0524">
              <w:rPr>
                <w:rFonts w:cstheme="minorHAnsi"/>
                <w:sz w:val="20"/>
                <w:szCs w:val="20"/>
              </w:rPr>
              <w:t xml:space="preserve">ciepła do warunków technicznych, jakim będą musiały sprostać </w:t>
            </w:r>
            <w:r w:rsidR="00AE0524" w:rsidRPr="00F81987">
              <w:rPr>
                <w:rFonts w:cstheme="minorHAnsi"/>
                <w:sz w:val="20"/>
                <w:szCs w:val="20"/>
              </w:rPr>
              <w:t>now</w:t>
            </w:r>
            <w:r w:rsidR="00AE0524">
              <w:rPr>
                <w:rFonts w:cstheme="minorHAnsi"/>
                <w:sz w:val="20"/>
                <w:szCs w:val="20"/>
              </w:rPr>
              <w:t>e</w:t>
            </w:r>
            <w:r w:rsidR="00AE0524" w:rsidRPr="00F81987">
              <w:rPr>
                <w:rFonts w:cstheme="minorHAnsi"/>
                <w:sz w:val="20"/>
                <w:szCs w:val="20"/>
              </w:rPr>
              <w:t xml:space="preserve"> budynk</w:t>
            </w:r>
            <w:r w:rsidR="00AE0524">
              <w:rPr>
                <w:rFonts w:cstheme="minorHAnsi"/>
                <w:sz w:val="20"/>
                <w:szCs w:val="20"/>
              </w:rPr>
              <w:t xml:space="preserve">i </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1EE022" w14:textId="678ABA74" w:rsidR="00745D42" w:rsidRPr="00F81987" w:rsidRDefault="00366C75" w:rsidP="00745D42">
            <w:pPr>
              <w:rPr>
                <w:rFonts w:cstheme="minorHAnsi"/>
                <w:sz w:val="20"/>
                <w:szCs w:val="20"/>
              </w:rPr>
            </w:pPr>
            <w:r>
              <w:rPr>
                <w:rFonts w:cstheme="minorHAnsi"/>
                <w:sz w:val="20"/>
                <w:szCs w:val="20"/>
              </w:rPr>
              <w:t>m</w:t>
            </w:r>
            <w:r w:rsidR="00745D42" w:rsidRPr="00F81987">
              <w:rPr>
                <w:rFonts w:cstheme="minorHAnsi"/>
                <w:sz w:val="20"/>
                <w:szCs w:val="20"/>
              </w:rPr>
              <w:t xml:space="preserve">inister właściwy ds. energii </w:t>
            </w:r>
            <w:r>
              <w:rPr>
                <w:rFonts w:cstheme="minorHAnsi"/>
                <w:sz w:val="20"/>
                <w:szCs w:val="20"/>
              </w:rPr>
              <w:t>(</w:t>
            </w:r>
            <w:r w:rsidR="00745D42" w:rsidRPr="00F81987">
              <w:rPr>
                <w:rFonts w:cstheme="minorHAnsi"/>
                <w:sz w:val="20"/>
                <w:szCs w:val="20"/>
              </w:rPr>
              <w:t>DC</w:t>
            </w:r>
            <w:r>
              <w:rPr>
                <w:rFonts w:cstheme="minorHAnsi"/>
                <w:sz w:val="20"/>
                <w:szCs w:val="20"/>
              </w:rPr>
              <w:t>)</w:t>
            </w:r>
          </w:p>
        </w:tc>
      </w:tr>
      <w:tr w:rsidR="00745D42" w:rsidRPr="00F81987" w14:paraId="1006DA6F" w14:textId="77777777" w:rsidTr="00745D42">
        <w:trPr>
          <w:gridAfter w:val="1"/>
          <w:wAfter w:w="11" w:type="dxa"/>
          <w:trHeight w:val="1162"/>
          <w:jc w:val="center"/>
        </w:trPr>
        <w:tc>
          <w:tcPr>
            <w:tcW w:w="1429" w:type="dxa"/>
            <w:vMerge/>
          </w:tcPr>
          <w:p w14:paraId="63CF7DAB" w14:textId="77777777" w:rsidR="00745D42" w:rsidRPr="00F81987" w:rsidRDefault="00745D42" w:rsidP="00745D42">
            <w:pPr>
              <w:pStyle w:val="Akapitzlist"/>
              <w:rPr>
                <w:rFonts w:cstheme="minorHAnsi"/>
                <w:sz w:val="20"/>
                <w:szCs w:val="20"/>
              </w:rPr>
            </w:pPr>
          </w:p>
        </w:tc>
        <w:tc>
          <w:tcPr>
            <w:tcW w:w="53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150235" w14:textId="501FEAFA" w:rsidR="00745D42" w:rsidRPr="00F81987" w:rsidRDefault="00366C75" w:rsidP="00745D42">
            <w:pPr>
              <w:jc w:val="both"/>
              <w:rPr>
                <w:rFonts w:cstheme="minorHAnsi"/>
                <w:sz w:val="20"/>
                <w:szCs w:val="20"/>
              </w:rPr>
            </w:pPr>
            <w:r>
              <w:rPr>
                <w:rFonts w:cstheme="minorHAnsi"/>
                <w:sz w:val="20"/>
                <w:szCs w:val="20"/>
              </w:rPr>
              <w:t>r</w:t>
            </w:r>
            <w:r w:rsidR="00745D42" w:rsidRPr="00F81987">
              <w:rPr>
                <w:rFonts w:cstheme="minorHAnsi"/>
                <w:sz w:val="20"/>
                <w:szCs w:val="20"/>
              </w:rPr>
              <w:t xml:space="preserve">ozbudowa sieci gazowej </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558E7D" w14:textId="77777777" w:rsidR="00E1263E" w:rsidRDefault="00E1263E" w:rsidP="00745D42">
            <w:pPr>
              <w:rPr>
                <w:rFonts w:cstheme="minorHAnsi"/>
                <w:sz w:val="20"/>
                <w:szCs w:val="20"/>
              </w:rPr>
            </w:pPr>
            <w:r>
              <w:rPr>
                <w:rFonts w:cstheme="minorHAnsi"/>
                <w:sz w:val="20"/>
                <w:szCs w:val="20"/>
              </w:rPr>
              <w:t xml:space="preserve">Operator systemu przesyłowego </w:t>
            </w:r>
          </w:p>
          <w:p w14:paraId="0302731D" w14:textId="754045A0" w:rsidR="00745D42" w:rsidRPr="00F81987" w:rsidRDefault="00E1263E" w:rsidP="00745D42">
            <w:pPr>
              <w:rPr>
                <w:rFonts w:cstheme="minorHAnsi"/>
                <w:sz w:val="20"/>
                <w:szCs w:val="20"/>
              </w:rPr>
            </w:pPr>
            <w:r>
              <w:rPr>
                <w:rFonts w:cstheme="minorHAnsi"/>
                <w:sz w:val="20"/>
                <w:szCs w:val="20"/>
              </w:rPr>
              <w:t>Operatorzy systemu dystrybucyjnego</w:t>
            </w:r>
          </w:p>
        </w:tc>
      </w:tr>
      <w:tr w:rsidR="00745D42" w:rsidRPr="00F81987" w14:paraId="22733C8F" w14:textId="77777777" w:rsidTr="00745D42">
        <w:trPr>
          <w:gridAfter w:val="1"/>
          <w:wAfter w:w="11" w:type="dxa"/>
          <w:trHeight w:val="1162"/>
          <w:jc w:val="center"/>
        </w:trPr>
        <w:tc>
          <w:tcPr>
            <w:tcW w:w="1429" w:type="dxa"/>
            <w:vMerge/>
          </w:tcPr>
          <w:p w14:paraId="6D53EEFB" w14:textId="77777777" w:rsidR="00745D42" w:rsidRPr="00F81987" w:rsidRDefault="00745D42" w:rsidP="00745D42">
            <w:pPr>
              <w:pStyle w:val="Akapitzlist"/>
              <w:rPr>
                <w:rFonts w:cstheme="minorHAnsi"/>
                <w:sz w:val="20"/>
                <w:szCs w:val="20"/>
              </w:rPr>
            </w:pPr>
          </w:p>
        </w:tc>
        <w:tc>
          <w:tcPr>
            <w:tcW w:w="53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03FAA9" w14:textId="0396A9A4" w:rsidR="00745D42" w:rsidRPr="00F81987" w:rsidRDefault="00366C75" w:rsidP="00745D42">
            <w:pPr>
              <w:jc w:val="both"/>
              <w:rPr>
                <w:rFonts w:cstheme="minorHAnsi"/>
                <w:sz w:val="20"/>
                <w:szCs w:val="20"/>
              </w:rPr>
            </w:pPr>
            <w:r>
              <w:rPr>
                <w:rFonts w:cstheme="minorHAnsi"/>
                <w:sz w:val="20"/>
                <w:szCs w:val="20"/>
              </w:rPr>
              <w:t>p</w:t>
            </w:r>
            <w:r w:rsidR="00745D42" w:rsidRPr="00F81987">
              <w:rPr>
                <w:rFonts w:cstheme="minorHAnsi"/>
                <w:sz w:val="20"/>
                <w:szCs w:val="20"/>
              </w:rPr>
              <w:t>romowanie zmian w otoczeniu regulacyjnym mających na celu likwidację barier inwestycyjno-budowlanych wpływających na dynamikę rozbudowy krajowej sieci gazowej</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B35A94" w14:textId="6E0F9188" w:rsidR="00745D42" w:rsidRDefault="00366C75" w:rsidP="00745D42">
            <w:pPr>
              <w:rPr>
                <w:rFonts w:cstheme="minorHAnsi"/>
                <w:sz w:val="20"/>
                <w:szCs w:val="20"/>
              </w:rPr>
            </w:pPr>
            <w:r>
              <w:rPr>
                <w:rFonts w:cstheme="minorHAnsi"/>
                <w:sz w:val="20"/>
                <w:szCs w:val="20"/>
              </w:rPr>
              <w:t>m</w:t>
            </w:r>
            <w:r w:rsidR="00745D42" w:rsidRPr="00F81987">
              <w:rPr>
                <w:rFonts w:cstheme="minorHAnsi"/>
                <w:sz w:val="20"/>
                <w:szCs w:val="20"/>
              </w:rPr>
              <w:t xml:space="preserve">inister właściwy ds. budownictwa, </w:t>
            </w:r>
            <w:r>
              <w:rPr>
                <w:rFonts w:cstheme="minorHAnsi"/>
                <w:sz w:val="20"/>
                <w:szCs w:val="20"/>
              </w:rPr>
              <w:t>m</w:t>
            </w:r>
            <w:r w:rsidR="00745D42" w:rsidRPr="00F81987">
              <w:rPr>
                <w:rFonts w:cstheme="minorHAnsi"/>
                <w:sz w:val="20"/>
                <w:szCs w:val="20"/>
              </w:rPr>
              <w:t xml:space="preserve">inister właściwy ds. infrastruktury, </w:t>
            </w:r>
            <w:r>
              <w:rPr>
                <w:rFonts w:cstheme="minorHAnsi"/>
                <w:sz w:val="20"/>
                <w:szCs w:val="20"/>
              </w:rPr>
              <w:t>m</w:t>
            </w:r>
            <w:r w:rsidR="00745D42" w:rsidRPr="00F81987">
              <w:rPr>
                <w:rFonts w:cstheme="minorHAnsi"/>
                <w:sz w:val="20"/>
                <w:szCs w:val="20"/>
              </w:rPr>
              <w:t xml:space="preserve">inister właściwy ds. gospodarki </w:t>
            </w:r>
          </w:p>
          <w:p w14:paraId="5BB3F963" w14:textId="7D897B1C" w:rsidR="0081782B" w:rsidRPr="00F81987" w:rsidRDefault="00366C75" w:rsidP="00745D42">
            <w:pPr>
              <w:rPr>
                <w:rFonts w:cstheme="minorHAnsi"/>
                <w:sz w:val="20"/>
                <w:szCs w:val="20"/>
              </w:rPr>
            </w:pPr>
            <w:r>
              <w:rPr>
                <w:rFonts w:cstheme="minorHAnsi"/>
                <w:sz w:val="20"/>
                <w:szCs w:val="20"/>
              </w:rPr>
              <w:t>m</w:t>
            </w:r>
            <w:r w:rsidR="0081782B" w:rsidRPr="00F81987">
              <w:rPr>
                <w:rFonts w:cstheme="minorHAnsi"/>
                <w:sz w:val="20"/>
                <w:szCs w:val="20"/>
              </w:rPr>
              <w:t xml:space="preserve">inister właściwy ds. energii </w:t>
            </w:r>
            <w:r>
              <w:rPr>
                <w:rFonts w:cstheme="minorHAnsi"/>
                <w:sz w:val="20"/>
                <w:szCs w:val="20"/>
              </w:rPr>
              <w:t>(</w:t>
            </w:r>
            <w:r w:rsidR="0081782B" w:rsidRPr="00F81987">
              <w:rPr>
                <w:rFonts w:cstheme="minorHAnsi"/>
                <w:sz w:val="20"/>
                <w:szCs w:val="20"/>
              </w:rPr>
              <w:t>DELG</w:t>
            </w:r>
            <w:r>
              <w:rPr>
                <w:rFonts w:cstheme="minorHAnsi"/>
                <w:sz w:val="20"/>
                <w:szCs w:val="20"/>
              </w:rPr>
              <w:t>)</w:t>
            </w:r>
          </w:p>
        </w:tc>
      </w:tr>
      <w:tr w:rsidR="00745D42" w:rsidRPr="00F81987" w14:paraId="249C02BA" w14:textId="77777777" w:rsidTr="00745D42">
        <w:trPr>
          <w:gridAfter w:val="1"/>
          <w:wAfter w:w="11" w:type="dxa"/>
          <w:trHeight w:val="1162"/>
          <w:jc w:val="center"/>
        </w:trPr>
        <w:tc>
          <w:tcPr>
            <w:tcW w:w="1429" w:type="dxa"/>
            <w:vMerge/>
          </w:tcPr>
          <w:p w14:paraId="48362D9F" w14:textId="77777777" w:rsidR="00745D42" w:rsidRPr="00F81987" w:rsidRDefault="00745D42" w:rsidP="00745D42">
            <w:pPr>
              <w:pStyle w:val="Akapitzlist"/>
              <w:rPr>
                <w:rFonts w:cstheme="minorHAnsi"/>
                <w:sz w:val="20"/>
                <w:szCs w:val="20"/>
              </w:rPr>
            </w:pPr>
          </w:p>
        </w:tc>
        <w:tc>
          <w:tcPr>
            <w:tcW w:w="53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8108B2" w14:textId="5521FF34" w:rsidR="00745D42" w:rsidRPr="00F81987" w:rsidRDefault="00366C75" w:rsidP="00745D42">
            <w:pPr>
              <w:jc w:val="both"/>
              <w:rPr>
                <w:rFonts w:cstheme="minorHAnsi"/>
                <w:sz w:val="20"/>
                <w:szCs w:val="20"/>
              </w:rPr>
            </w:pPr>
            <w:r>
              <w:rPr>
                <w:rFonts w:cstheme="minorHAnsi"/>
                <w:sz w:val="20"/>
                <w:szCs w:val="20"/>
              </w:rPr>
              <w:t>g</w:t>
            </w:r>
            <w:r w:rsidR="00745D42" w:rsidRPr="00F81987">
              <w:rPr>
                <w:rFonts w:cstheme="minorHAnsi"/>
                <w:sz w:val="20"/>
                <w:szCs w:val="20"/>
              </w:rPr>
              <w:t>azyfikacja za pomocą stacji regazyfikacji LNG tworząc</w:t>
            </w:r>
            <w:r>
              <w:rPr>
                <w:rFonts w:cstheme="minorHAnsi"/>
                <w:sz w:val="20"/>
                <w:szCs w:val="20"/>
              </w:rPr>
              <w:t>a</w:t>
            </w:r>
            <w:r w:rsidR="00745D42" w:rsidRPr="00F81987">
              <w:rPr>
                <w:rFonts w:cstheme="minorHAnsi"/>
                <w:sz w:val="20"/>
                <w:szCs w:val="20"/>
              </w:rPr>
              <w:t xml:space="preserve"> tzw. „wyspowe” strefy dystrybucyjne w przypadku, gdy nie ma </w:t>
            </w:r>
            <w:r w:rsidR="00745D42" w:rsidRPr="00F81987">
              <w:rPr>
                <w:rFonts w:cstheme="minorHAnsi"/>
                <w:sz w:val="20"/>
                <w:szCs w:val="20"/>
              </w:rPr>
              <w:lastRenderedPageBreak/>
              <w:t>uzasadnienia dla budowy gazociągu, lub istniejące połączenie sieciowe jest niewystarczające</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4FC09D" w14:textId="77777777" w:rsidR="00E1263E" w:rsidRDefault="00E1263E" w:rsidP="00E1263E">
            <w:pPr>
              <w:rPr>
                <w:rFonts w:cstheme="minorHAnsi"/>
                <w:sz w:val="20"/>
                <w:szCs w:val="20"/>
              </w:rPr>
            </w:pPr>
            <w:r>
              <w:rPr>
                <w:rFonts w:cstheme="minorHAnsi"/>
                <w:sz w:val="20"/>
                <w:szCs w:val="20"/>
              </w:rPr>
              <w:lastRenderedPageBreak/>
              <w:t>Operatorzy systemu dystrybucyjnego</w:t>
            </w:r>
          </w:p>
          <w:p w14:paraId="2E378FFF" w14:textId="1448475C" w:rsidR="00745D42" w:rsidRPr="00F81987" w:rsidRDefault="00745D42" w:rsidP="00745D42">
            <w:pPr>
              <w:rPr>
                <w:rFonts w:cstheme="minorHAnsi"/>
                <w:sz w:val="20"/>
                <w:szCs w:val="20"/>
              </w:rPr>
            </w:pPr>
          </w:p>
        </w:tc>
      </w:tr>
      <w:tr w:rsidR="00745D42" w:rsidRPr="00F81987" w14:paraId="21CAA712" w14:textId="77777777" w:rsidTr="00745D42">
        <w:trPr>
          <w:gridAfter w:val="1"/>
          <w:wAfter w:w="11" w:type="dxa"/>
          <w:trHeight w:val="1162"/>
          <w:jc w:val="center"/>
        </w:trPr>
        <w:tc>
          <w:tcPr>
            <w:tcW w:w="1429" w:type="dxa"/>
            <w:vMerge w:val="restart"/>
          </w:tcPr>
          <w:p w14:paraId="35AD92B9" w14:textId="77777777" w:rsidR="00745D42" w:rsidRPr="00F81987" w:rsidRDefault="00745D42" w:rsidP="00745D42">
            <w:pPr>
              <w:pStyle w:val="Akapitzlist"/>
              <w:rPr>
                <w:rFonts w:cstheme="minorHAnsi"/>
                <w:sz w:val="20"/>
                <w:szCs w:val="20"/>
              </w:rPr>
            </w:pPr>
          </w:p>
        </w:tc>
        <w:tc>
          <w:tcPr>
            <w:tcW w:w="53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E28A03" w14:textId="33E64341" w:rsidR="00745D42" w:rsidRPr="00F81987" w:rsidRDefault="00366C75" w:rsidP="00745D42">
            <w:pPr>
              <w:jc w:val="both"/>
              <w:rPr>
                <w:rFonts w:cstheme="minorHAnsi"/>
                <w:sz w:val="20"/>
                <w:szCs w:val="20"/>
              </w:rPr>
            </w:pPr>
            <w:r>
              <w:rPr>
                <w:rFonts w:cstheme="minorHAnsi"/>
                <w:sz w:val="20"/>
                <w:szCs w:val="20"/>
              </w:rPr>
              <w:t>z</w:t>
            </w:r>
            <w:r w:rsidR="00745D42" w:rsidRPr="00F81987">
              <w:rPr>
                <w:rFonts w:cstheme="minorHAnsi"/>
                <w:sz w:val="20"/>
                <w:szCs w:val="20"/>
              </w:rPr>
              <w:t>miana brzmienia art. 40 ust. 8 ustawy z dnia 21 marca 1985 r. o drogach publicznych (Dz. U. z 2020 r. poz. 470, 471 i 1087), w wyniku której możliwe będzie obniżenie opłat za umieszczenie nowo wybudowanej sieci gazowej w pasie drogi gminnej, powiatowej, wojewódzkiej i krajowej</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D587E2" w14:textId="0B0E6299" w:rsidR="00745D42" w:rsidRPr="00F81987" w:rsidRDefault="00366C75" w:rsidP="00745D42">
            <w:pPr>
              <w:rPr>
                <w:rFonts w:cstheme="minorHAnsi"/>
                <w:sz w:val="20"/>
                <w:szCs w:val="20"/>
              </w:rPr>
            </w:pPr>
            <w:r>
              <w:rPr>
                <w:rFonts w:cstheme="minorHAnsi"/>
                <w:sz w:val="20"/>
                <w:szCs w:val="20"/>
              </w:rPr>
              <w:t>m</w:t>
            </w:r>
            <w:r w:rsidR="00745D42" w:rsidRPr="00F81987">
              <w:rPr>
                <w:rFonts w:cstheme="minorHAnsi"/>
                <w:sz w:val="20"/>
                <w:szCs w:val="20"/>
              </w:rPr>
              <w:t xml:space="preserve">inister właściwy ds. </w:t>
            </w:r>
            <w:r>
              <w:rPr>
                <w:rFonts w:cstheme="minorHAnsi"/>
                <w:sz w:val="20"/>
                <w:szCs w:val="20"/>
              </w:rPr>
              <w:t>i</w:t>
            </w:r>
            <w:r w:rsidR="00745D42" w:rsidRPr="00F81987">
              <w:rPr>
                <w:rFonts w:cstheme="minorHAnsi"/>
                <w:sz w:val="20"/>
                <w:szCs w:val="20"/>
              </w:rPr>
              <w:t xml:space="preserve">nfrastruktury </w:t>
            </w:r>
          </w:p>
        </w:tc>
      </w:tr>
      <w:tr w:rsidR="00745D42" w:rsidRPr="00F81987" w14:paraId="3A606A6E" w14:textId="77777777" w:rsidTr="00745D42">
        <w:trPr>
          <w:gridAfter w:val="1"/>
          <w:wAfter w:w="11" w:type="dxa"/>
          <w:trHeight w:val="1162"/>
          <w:jc w:val="center"/>
        </w:trPr>
        <w:tc>
          <w:tcPr>
            <w:tcW w:w="1429" w:type="dxa"/>
            <w:vMerge/>
          </w:tcPr>
          <w:p w14:paraId="18365722" w14:textId="77777777" w:rsidR="00745D42" w:rsidRPr="00F81987" w:rsidRDefault="00745D42" w:rsidP="00745D42">
            <w:pPr>
              <w:pStyle w:val="Akapitzlist"/>
              <w:rPr>
                <w:rFonts w:cstheme="minorHAnsi"/>
                <w:sz w:val="20"/>
                <w:szCs w:val="20"/>
              </w:rPr>
            </w:pPr>
          </w:p>
        </w:tc>
        <w:tc>
          <w:tcPr>
            <w:tcW w:w="53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B97AAE" w14:textId="41E938CF" w:rsidR="00745D42" w:rsidRPr="00F81987" w:rsidRDefault="00366C75" w:rsidP="00745D42">
            <w:pPr>
              <w:jc w:val="both"/>
              <w:rPr>
                <w:rFonts w:cstheme="minorHAnsi"/>
                <w:sz w:val="20"/>
                <w:szCs w:val="20"/>
              </w:rPr>
            </w:pPr>
            <w:r>
              <w:rPr>
                <w:rFonts w:eastAsia="Calibri" w:cstheme="minorHAnsi"/>
                <w:sz w:val="20"/>
                <w:szCs w:val="20"/>
              </w:rPr>
              <w:t>w</w:t>
            </w:r>
            <w:r w:rsidR="00745D42" w:rsidRPr="00F81987">
              <w:rPr>
                <w:rFonts w:eastAsia="Calibri" w:cstheme="minorHAnsi"/>
                <w:sz w:val="20"/>
                <w:szCs w:val="20"/>
              </w:rPr>
              <w:t xml:space="preserve">ydanie nowego rozporządzenia Ministra Klimatu i Środowiska </w:t>
            </w:r>
            <w:r w:rsidR="00745D42" w:rsidRPr="00F81987">
              <w:rPr>
                <w:rFonts w:eastAsia="Calibri" w:cstheme="minorHAnsi"/>
                <w:i/>
                <w:iCs/>
                <w:sz w:val="20"/>
                <w:szCs w:val="20"/>
              </w:rPr>
              <w:t>w sprawie warunków technicznych, jakim powinny odpowiadać sieci gazowe i ich usytuowanie</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2A792B" w14:textId="357E95EF" w:rsidR="00745D42" w:rsidRDefault="00366C75" w:rsidP="00745D42">
            <w:pPr>
              <w:rPr>
                <w:rFonts w:cstheme="minorHAnsi"/>
                <w:sz w:val="20"/>
                <w:szCs w:val="20"/>
              </w:rPr>
            </w:pPr>
            <w:r>
              <w:rPr>
                <w:rFonts w:cstheme="minorHAnsi"/>
                <w:sz w:val="20"/>
                <w:szCs w:val="20"/>
              </w:rPr>
              <w:t>m</w:t>
            </w:r>
            <w:r w:rsidR="00745D42" w:rsidRPr="00F81987">
              <w:rPr>
                <w:rFonts w:cstheme="minorHAnsi"/>
                <w:sz w:val="20"/>
                <w:szCs w:val="20"/>
              </w:rPr>
              <w:t xml:space="preserve">inister właściwy ds. energii </w:t>
            </w:r>
            <w:r>
              <w:rPr>
                <w:rFonts w:cstheme="minorHAnsi"/>
                <w:sz w:val="20"/>
                <w:szCs w:val="20"/>
              </w:rPr>
              <w:t>(</w:t>
            </w:r>
            <w:r w:rsidR="00745D42" w:rsidRPr="00F81987">
              <w:rPr>
                <w:rFonts w:cstheme="minorHAnsi"/>
                <w:sz w:val="20"/>
                <w:szCs w:val="20"/>
              </w:rPr>
              <w:t>DELG</w:t>
            </w:r>
            <w:r>
              <w:rPr>
                <w:rFonts w:cstheme="minorHAnsi"/>
                <w:sz w:val="20"/>
                <w:szCs w:val="20"/>
              </w:rPr>
              <w:t>)</w:t>
            </w:r>
          </w:p>
          <w:p w14:paraId="21A4626B" w14:textId="300C191A" w:rsidR="00E1263E" w:rsidRPr="00F81987" w:rsidRDefault="00E1263E" w:rsidP="00745D42">
            <w:pPr>
              <w:rPr>
                <w:rFonts w:cstheme="minorHAnsi"/>
                <w:sz w:val="20"/>
                <w:szCs w:val="20"/>
              </w:rPr>
            </w:pPr>
            <w:r>
              <w:rPr>
                <w:rFonts w:cstheme="minorHAnsi"/>
                <w:sz w:val="20"/>
                <w:szCs w:val="20"/>
              </w:rPr>
              <w:t xml:space="preserve">Minister właściwy ds. budownictwa, planowania i zagospodarowania </w:t>
            </w:r>
            <w:r w:rsidR="0081782B">
              <w:rPr>
                <w:rFonts w:cstheme="minorHAnsi"/>
                <w:sz w:val="20"/>
                <w:szCs w:val="20"/>
              </w:rPr>
              <w:t xml:space="preserve">przestrzennego oraz mieszkalnictwa </w:t>
            </w:r>
          </w:p>
        </w:tc>
      </w:tr>
      <w:tr w:rsidR="00745D42" w:rsidRPr="00F81987" w14:paraId="6065C119" w14:textId="77777777" w:rsidTr="00745D42">
        <w:trPr>
          <w:gridAfter w:val="1"/>
          <w:wAfter w:w="11" w:type="dxa"/>
          <w:trHeight w:val="1162"/>
          <w:jc w:val="center"/>
        </w:trPr>
        <w:tc>
          <w:tcPr>
            <w:tcW w:w="1429" w:type="dxa"/>
            <w:vMerge/>
          </w:tcPr>
          <w:p w14:paraId="4BBA1340" w14:textId="77777777" w:rsidR="00745D42" w:rsidRPr="00F81987" w:rsidRDefault="00745D42" w:rsidP="00745D42">
            <w:pPr>
              <w:pStyle w:val="Akapitzlist"/>
              <w:rPr>
                <w:rFonts w:cstheme="minorHAnsi"/>
                <w:sz w:val="20"/>
                <w:szCs w:val="20"/>
              </w:rPr>
            </w:pPr>
          </w:p>
        </w:tc>
        <w:tc>
          <w:tcPr>
            <w:tcW w:w="53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14C53" w14:textId="544AB4CF" w:rsidR="00745D42" w:rsidRPr="00F81987" w:rsidRDefault="00366C75" w:rsidP="00745D42">
            <w:pPr>
              <w:jc w:val="both"/>
              <w:rPr>
                <w:rFonts w:cstheme="minorHAnsi"/>
                <w:sz w:val="20"/>
                <w:szCs w:val="20"/>
              </w:rPr>
            </w:pPr>
            <w:r>
              <w:rPr>
                <w:rFonts w:cstheme="minorHAnsi"/>
                <w:sz w:val="20"/>
                <w:szCs w:val="20"/>
              </w:rPr>
              <w:t>z</w:t>
            </w:r>
            <w:r w:rsidR="00745D42" w:rsidRPr="00F81987">
              <w:rPr>
                <w:rFonts w:cstheme="minorHAnsi"/>
                <w:sz w:val="20"/>
                <w:szCs w:val="20"/>
              </w:rPr>
              <w:t xml:space="preserve">miana rozporządzenia Ministra Infrastruktury z dnia 12 kwietnia 2002 r. </w:t>
            </w:r>
            <w:r w:rsidR="00745D42" w:rsidRPr="00F81987">
              <w:rPr>
                <w:rFonts w:cstheme="minorHAnsi"/>
                <w:i/>
                <w:iCs/>
                <w:sz w:val="20"/>
                <w:szCs w:val="20"/>
              </w:rPr>
              <w:t>w sprawie warunków technicznych, jakim powinny odpowiadać budynki i ich usytuowanie</w:t>
            </w:r>
            <w:r w:rsidR="00745D42" w:rsidRPr="00F81987">
              <w:rPr>
                <w:rFonts w:cstheme="minorHAnsi"/>
                <w:sz w:val="20"/>
                <w:szCs w:val="20"/>
              </w:rPr>
              <w:t xml:space="preserve"> (Dz.U. Nr 75 poz. 690)</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942521" w14:textId="510751E0" w:rsidR="0081782B" w:rsidRDefault="0081782B" w:rsidP="00745D42">
            <w:pPr>
              <w:rPr>
                <w:rFonts w:cstheme="minorHAnsi"/>
                <w:sz w:val="20"/>
                <w:szCs w:val="20"/>
              </w:rPr>
            </w:pPr>
            <w:r w:rsidRPr="0081782B">
              <w:rPr>
                <w:rFonts w:cstheme="minorHAnsi"/>
                <w:sz w:val="20"/>
                <w:szCs w:val="20"/>
              </w:rPr>
              <w:t xml:space="preserve"> </w:t>
            </w:r>
          </w:p>
          <w:p w14:paraId="4759F055" w14:textId="20DCCEB3" w:rsidR="00745D42" w:rsidRPr="00F81987" w:rsidRDefault="00366C75" w:rsidP="00745D42">
            <w:pPr>
              <w:rPr>
                <w:rFonts w:cstheme="minorHAnsi"/>
                <w:sz w:val="20"/>
                <w:szCs w:val="20"/>
              </w:rPr>
            </w:pPr>
            <w:r>
              <w:rPr>
                <w:rFonts w:cstheme="minorHAnsi"/>
                <w:sz w:val="20"/>
                <w:szCs w:val="20"/>
              </w:rPr>
              <w:t>m</w:t>
            </w:r>
            <w:r w:rsidR="0081782B" w:rsidRPr="0081782B">
              <w:rPr>
                <w:rFonts w:cstheme="minorHAnsi"/>
                <w:sz w:val="20"/>
                <w:szCs w:val="20"/>
              </w:rPr>
              <w:t>inister właściwy ds. budownictwa, planowania i zagospodarowania przestrzennego oraz mieszkalnictwa</w:t>
            </w:r>
          </w:p>
        </w:tc>
      </w:tr>
      <w:tr w:rsidR="00745D42" w:rsidRPr="00F81987" w14:paraId="0104996C" w14:textId="77777777" w:rsidTr="00745D42">
        <w:trPr>
          <w:gridAfter w:val="1"/>
          <w:wAfter w:w="11" w:type="dxa"/>
          <w:trHeight w:val="1162"/>
          <w:jc w:val="center"/>
        </w:trPr>
        <w:tc>
          <w:tcPr>
            <w:tcW w:w="1429" w:type="dxa"/>
            <w:vMerge/>
          </w:tcPr>
          <w:p w14:paraId="48407A3E" w14:textId="77777777" w:rsidR="00745D42" w:rsidRPr="00F81987" w:rsidRDefault="00745D42" w:rsidP="00745D42">
            <w:pPr>
              <w:pStyle w:val="Akapitzlist"/>
              <w:rPr>
                <w:rFonts w:cstheme="minorHAnsi"/>
                <w:sz w:val="20"/>
                <w:szCs w:val="20"/>
              </w:rPr>
            </w:pPr>
          </w:p>
        </w:tc>
        <w:tc>
          <w:tcPr>
            <w:tcW w:w="53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E735D" w14:textId="51F27813" w:rsidR="00745D42" w:rsidRPr="00F81987" w:rsidRDefault="00366C75" w:rsidP="00745D42">
            <w:pPr>
              <w:jc w:val="both"/>
              <w:rPr>
                <w:rFonts w:cstheme="minorHAnsi"/>
                <w:sz w:val="20"/>
                <w:szCs w:val="20"/>
              </w:rPr>
            </w:pPr>
            <w:r>
              <w:rPr>
                <w:rFonts w:cstheme="minorHAnsi"/>
                <w:sz w:val="20"/>
                <w:szCs w:val="20"/>
              </w:rPr>
              <w:t>n</w:t>
            </w:r>
            <w:r w:rsidR="00745D42" w:rsidRPr="00F81987">
              <w:rPr>
                <w:rFonts w:cstheme="minorHAnsi"/>
                <w:sz w:val="20"/>
                <w:szCs w:val="20"/>
              </w:rPr>
              <w:t xml:space="preserve">owelizacja rozporządzenia Ministra Gospodarki z dnia 2 lipca 2010 r. </w:t>
            </w:r>
            <w:r w:rsidR="00745D42" w:rsidRPr="00F81987">
              <w:rPr>
                <w:rFonts w:cstheme="minorHAnsi"/>
                <w:i/>
                <w:iCs/>
                <w:sz w:val="20"/>
                <w:szCs w:val="20"/>
              </w:rPr>
              <w:t>w sprawie szczegółowych warunków funkcjonowania systemu gazowego</w:t>
            </w:r>
            <w:r w:rsidR="00745D42" w:rsidRPr="00F81987">
              <w:rPr>
                <w:rFonts w:cstheme="minorHAnsi"/>
                <w:sz w:val="20"/>
                <w:szCs w:val="20"/>
              </w:rPr>
              <w:t xml:space="preserve"> (Dz. U. z 2018 r. poz. 1158) – opracowanie warunków technicznych dla zatłaczania biometanu do sieci gazowej przyczyni się do bezpiecznego zwiększania udziału biometanu w sieci gazowej (aktualnie projekt zmiany rozporządzenia systemowego jest po uzgodnieniach międzyresortowych i konsultacjach społecznych)</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BCA4A2" w14:textId="29E1A2ED" w:rsidR="00745D42" w:rsidRPr="00F81987" w:rsidRDefault="00366C75" w:rsidP="00745D42">
            <w:pPr>
              <w:rPr>
                <w:rFonts w:cstheme="minorHAnsi"/>
                <w:sz w:val="20"/>
                <w:szCs w:val="20"/>
              </w:rPr>
            </w:pPr>
            <w:r>
              <w:rPr>
                <w:rFonts w:cstheme="minorHAnsi"/>
                <w:sz w:val="20"/>
                <w:szCs w:val="20"/>
              </w:rPr>
              <w:t>m</w:t>
            </w:r>
            <w:r w:rsidR="00745D42" w:rsidRPr="00F81987">
              <w:rPr>
                <w:rFonts w:cstheme="minorHAnsi"/>
                <w:sz w:val="20"/>
                <w:szCs w:val="20"/>
              </w:rPr>
              <w:t xml:space="preserve">inister właściwy ds. energii </w:t>
            </w:r>
            <w:r>
              <w:rPr>
                <w:rFonts w:cstheme="minorHAnsi"/>
                <w:sz w:val="20"/>
                <w:szCs w:val="20"/>
              </w:rPr>
              <w:t>(</w:t>
            </w:r>
            <w:r w:rsidR="00745D42" w:rsidRPr="00F81987">
              <w:rPr>
                <w:rFonts w:cstheme="minorHAnsi"/>
                <w:sz w:val="20"/>
                <w:szCs w:val="20"/>
              </w:rPr>
              <w:t>DELG</w:t>
            </w:r>
            <w:r>
              <w:rPr>
                <w:rFonts w:cstheme="minorHAnsi"/>
                <w:sz w:val="20"/>
                <w:szCs w:val="20"/>
              </w:rPr>
              <w:t>)</w:t>
            </w:r>
          </w:p>
        </w:tc>
      </w:tr>
      <w:tr w:rsidR="00745D42" w:rsidRPr="00F81987" w14:paraId="53BE51FE" w14:textId="77777777" w:rsidTr="00745D42">
        <w:trPr>
          <w:gridAfter w:val="1"/>
          <w:wAfter w:w="11" w:type="dxa"/>
          <w:trHeight w:val="1162"/>
          <w:jc w:val="center"/>
        </w:trPr>
        <w:tc>
          <w:tcPr>
            <w:tcW w:w="1429" w:type="dxa"/>
            <w:vMerge/>
          </w:tcPr>
          <w:p w14:paraId="75860C08" w14:textId="77777777" w:rsidR="00745D42" w:rsidRPr="00F81987" w:rsidRDefault="00745D42" w:rsidP="00745D42">
            <w:pPr>
              <w:pStyle w:val="Akapitzlist"/>
              <w:rPr>
                <w:rFonts w:cstheme="minorHAnsi"/>
                <w:sz w:val="20"/>
                <w:szCs w:val="20"/>
              </w:rPr>
            </w:pPr>
          </w:p>
        </w:tc>
        <w:tc>
          <w:tcPr>
            <w:tcW w:w="53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889524" w14:textId="7A3F52CD" w:rsidR="00745D42" w:rsidRPr="00F81987" w:rsidRDefault="00366C75" w:rsidP="00745D42">
            <w:pPr>
              <w:jc w:val="both"/>
              <w:rPr>
                <w:rFonts w:cstheme="minorHAnsi"/>
                <w:sz w:val="20"/>
                <w:szCs w:val="20"/>
              </w:rPr>
            </w:pPr>
            <w:r>
              <w:rPr>
                <w:rFonts w:cstheme="minorHAnsi"/>
                <w:sz w:val="20"/>
                <w:szCs w:val="20"/>
              </w:rPr>
              <w:t>w</w:t>
            </w:r>
            <w:r w:rsidR="00745D42" w:rsidRPr="00F81987">
              <w:rPr>
                <w:rFonts w:cstheme="minorHAnsi"/>
                <w:sz w:val="20"/>
                <w:szCs w:val="20"/>
              </w:rPr>
              <w:t xml:space="preserve">spółpraca ze stroną samorządową w celu zapewniania lokalnego bezpieczeństwa energetycznego, w tym w ramach </w:t>
            </w:r>
            <w:r w:rsidR="00745D42" w:rsidRPr="00F81987">
              <w:rPr>
                <w:rFonts w:cstheme="minorHAnsi"/>
                <w:i/>
                <w:iCs/>
                <w:sz w:val="20"/>
                <w:szCs w:val="20"/>
              </w:rPr>
              <w:t>Zespołu do spraw lokalnego bezpieczeństwa energetycznego,</w:t>
            </w:r>
            <w:r w:rsidR="00745D42" w:rsidRPr="00F81987">
              <w:rPr>
                <w:rFonts w:cstheme="minorHAnsi"/>
                <w:sz w:val="20"/>
                <w:szCs w:val="20"/>
              </w:rPr>
              <w:t xml:space="preserve"> powołanego przez Ministra Klimatu i Środowiska zarządzeniem z dnia 17 maja 2021 r. Do Zadań zespołu należ</w:t>
            </w:r>
            <w:r>
              <w:rPr>
                <w:rFonts w:cstheme="minorHAnsi"/>
                <w:sz w:val="20"/>
                <w:szCs w:val="20"/>
              </w:rPr>
              <w:t>y</w:t>
            </w:r>
            <w:r w:rsidR="00745D42" w:rsidRPr="00F81987">
              <w:rPr>
                <w:rFonts w:cstheme="minorHAnsi"/>
                <w:sz w:val="20"/>
                <w:szCs w:val="20"/>
              </w:rPr>
              <w:t xml:space="preserve"> m.in. analiza lokalnego systemu planowania energetycznego oraz wykonywania przez gminy ustawowych obowiązków związanych z przygotowaniem planu zaopatrzenia w ciepło, energię elektryczną i paliwa gazowe oraz analiza możliwości usprawnienia inwestycji liniowych z zakresu energetyki na poziomie lokalnym</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BD3930" w14:textId="2D6BE66F" w:rsidR="00745D42" w:rsidRPr="00F81987" w:rsidRDefault="00366C75" w:rsidP="00745D42">
            <w:pPr>
              <w:rPr>
                <w:rFonts w:cstheme="minorHAnsi"/>
                <w:sz w:val="20"/>
                <w:szCs w:val="20"/>
              </w:rPr>
            </w:pPr>
            <w:r>
              <w:rPr>
                <w:rFonts w:cstheme="minorHAnsi"/>
                <w:sz w:val="20"/>
                <w:szCs w:val="20"/>
              </w:rPr>
              <w:t>m</w:t>
            </w:r>
            <w:r w:rsidR="00745D42" w:rsidRPr="00F81987">
              <w:rPr>
                <w:rFonts w:cstheme="minorHAnsi"/>
                <w:sz w:val="20"/>
                <w:szCs w:val="20"/>
              </w:rPr>
              <w:t xml:space="preserve">inister właściwy ds. </w:t>
            </w:r>
            <w:r>
              <w:rPr>
                <w:rFonts w:cstheme="minorHAnsi"/>
                <w:sz w:val="20"/>
                <w:szCs w:val="20"/>
              </w:rPr>
              <w:t xml:space="preserve">klimatu i </w:t>
            </w:r>
            <w:r w:rsidR="00745D42" w:rsidRPr="00F81987">
              <w:rPr>
                <w:rFonts w:cstheme="minorHAnsi"/>
                <w:sz w:val="20"/>
                <w:szCs w:val="20"/>
              </w:rPr>
              <w:t xml:space="preserve">energii </w:t>
            </w:r>
            <w:r>
              <w:rPr>
                <w:rFonts w:cstheme="minorHAnsi"/>
                <w:sz w:val="20"/>
                <w:szCs w:val="20"/>
              </w:rPr>
              <w:t>(</w:t>
            </w:r>
            <w:r w:rsidR="00745D42" w:rsidRPr="00F81987">
              <w:rPr>
                <w:rFonts w:cstheme="minorHAnsi"/>
                <w:sz w:val="20"/>
                <w:szCs w:val="20"/>
              </w:rPr>
              <w:t>DELG, DSP</w:t>
            </w:r>
            <w:r>
              <w:rPr>
                <w:rFonts w:cstheme="minorHAnsi"/>
                <w:sz w:val="20"/>
                <w:szCs w:val="20"/>
              </w:rPr>
              <w:t>, DPM),</w:t>
            </w:r>
            <w:r w:rsidR="00745D42" w:rsidRPr="00F81987">
              <w:rPr>
                <w:rFonts w:cstheme="minorHAnsi"/>
                <w:sz w:val="20"/>
                <w:szCs w:val="20"/>
              </w:rPr>
              <w:t xml:space="preserve"> </w:t>
            </w:r>
          </w:p>
          <w:p w14:paraId="3CCE5C79" w14:textId="75971F8F" w:rsidR="00745D42" w:rsidRPr="00F81987" w:rsidRDefault="00745D42" w:rsidP="00745D42">
            <w:pPr>
              <w:rPr>
                <w:rFonts w:cstheme="minorHAnsi"/>
                <w:sz w:val="20"/>
                <w:szCs w:val="20"/>
              </w:rPr>
            </w:pPr>
          </w:p>
        </w:tc>
      </w:tr>
      <w:tr w:rsidR="00745D42" w:rsidRPr="00F81987" w14:paraId="2EA9D3EB" w14:textId="77777777" w:rsidTr="00745D42">
        <w:trPr>
          <w:gridAfter w:val="1"/>
          <w:wAfter w:w="11" w:type="dxa"/>
          <w:trHeight w:val="1162"/>
          <w:jc w:val="center"/>
        </w:trPr>
        <w:tc>
          <w:tcPr>
            <w:tcW w:w="1429" w:type="dxa"/>
            <w:vMerge w:val="restart"/>
          </w:tcPr>
          <w:p w14:paraId="4C6582EE" w14:textId="77777777" w:rsidR="00745D42" w:rsidRPr="00F81987" w:rsidRDefault="00745D42" w:rsidP="00745D42">
            <w:pPr>
              <w:pStyle w:val="Akapitzlist"/>
              <w:ind w:left="0" w:right="-86"/>
              <w:rPr>
                <w:rFonts w:cstheme="minorHAnsi"/>
                <w:sz w:val="20"/>
                <w:szCs w:val="20"/>
              </w:rPr>
            </w:pPr>
            <w:r w:rsidRPr="00F81987">
              <w:rPr>
                <w:rFonts w:cstheme="minorHAnsi"/>
                <w:sz w:val="20"/>
                <w:szCs w:val="20"/>
              </w:rPr>
              <w:t>Średnioterminowe (do 2030 r.)</w:t>
            </w:r>
          </w:p>
        </w:tc>
        <w:tc>
          <w:tcPr>
            <w:tcW w:w="5370" w:type="dxa"/>
          </w:tcPr>
          <w:p w14:paraId="6D5CB7C7" w14:textId="41A2B499" w:rsidR="00745D42" w:rsidRPr="00F81987" w:rsidRDefault="00366C75" w:rsidP="00745D42">
            <w:pPr>
              <w:jc w:val="both"/>
              <w:rPr>
                <w:rFonts w:cstheme="minorHAnsi"/>
                <w:sz w:val="20"/>
                <w:szCs w:val="20"/>
              </w:rPr>
            </w:pPr>
            <w:r>
              <w:rPr>
                <w:rFonts w:cstheme="minorHAnsi"/>
                <w:sz w:val="20"/>
                <w:szCs w:val="20"/>
              </w:rPr>
              <w:t>w</w:t>
            </w:r>
            <w:r w:rsidR="00745D42" w:rsidRPr="00F81987">
              <w:rPr>
                <w:rFonts w:cstheme="minorHAnsi"/>
                <w:sz w:val="20"/>
                <w:szCs w:val="20"/>
              </w:rPr>
              <w:t xml:space="preserve">prowadzenie zakazu stosowania węgla w gospodarstwach domowych w miastach - pokrycie przez ciepło systemowe oraz przez zeroemisyjne lub niskoemisyjne źródła indywidualne potrzeb cieplnych wszystkich gospodarstw domowych </w:t>
            </w:r>
          </w:p>
        </w:tc>
        <w:tc>
          <w:tcPr>
            <w:tcW w:w="2410" w:type="dxa"/>
          </w:tcPr>
          <w:p w14:paraId="19034CE6" w14:textId="3B1E5656" w:rsidR="00745D42" w:rsidRPr="00F81987" w:rsidRDefault="00366C75" w:rsidP="00745D42">
            <w:pPr>
              <w:pStyle w:val="Akapitzlist"/>
              <w:ind w:left="39"/>
              <w:jc w:val="both"/>
              <w:rPr>
                <w:rFonts w:cstheme="minorHAnsi"/>
                <w:sz w:val="20"/>
                <w:szCs w:val="20"/>
              </w:rPr>
            </w:pPr>
            <w:r>
              <w:rPr>
                <w:rFonts w:cstheme="minorHAnsi"/>
                <w:sz w:val="20"/>
                <w:szCs w:val="20"/>
              </w:rPr>
              <w:t>m</w:t>
            </w:r>
            <w:r w:rsidR="00745D42" w:rsidRPr="00F81987">
              <w:rPr>
                <w:rFonts w:cstheme="minorHAnsi"/>
                <w:sz w:val="20"/>
                <w:szCs w:val="20"/>
              </w:rPr>
              <w:t xml:space="preserve">inister właściwy ds. </w:t>
            </w:r>
            <w:r>
              <w:rPr>
                <w:rFonts w:cstheme="minorHAnsi"/>
                <w:sz w:val="20"/>
                <w:szCs w:val="20"/>
              </w:rPr>
              <w:t xml:space="preserve">klimatu i </w:t>
            </w:r>
            <w:r w:rsidR="00745D42" w:rsidRPr="00F81987">
              <w:rPr>
                <w:rFonts w:cstheme="minorHAnsi"/>
                <w:sz w:val="20"/>
                <w:szCs w:val="20"/>
              </w:rPr>
              <w:t xml:space="preserve">energii, </w:t>
            </w:r>
          </w:p>
        </w:tc>
      </w:tr>
      <w:tr w:rsidR="00745D42" w:rsidRPr="00F81987" w14:paraId="6372522C" w14:textId="77777777" w:rsidTr="00745D42">
        <w:trPr>
          <w:gridAfter w:val="1"/>
          <w:wAfter w:w="11" w:type="dxa"/>
          <w:trHeight w:val="694"/>
          <w:jc w:val="center"/>
        </w:trPr>
        <w:tc>
          <w:tcPr>
            <w:tcW w:w="1429" w:type="dxa"/>
            <w:vMerge/>
          </w:tcPr>
          <w:p w14:paraId="32D80B52" w14:textId="77777777" w:rsidR="00745D42" w:rsidRPr="00F81987" w:rsidRDefault="00745D42" w:rsidP="00745D42">
            <w:pPr>
              <w:pStyle w:val="Akapitzlist"/>
              <w:rPr>
                <w:rFonts w:cstheme="minorHAnsi"/>
                <w:sz w:val="20"/>
                <w:szCs w:val="20"/>
              </w:rPr>
            </w:pPr>
          </w:p>
        </w:tc>
        <w:tc>
          <w:tcPr>
            <w:tcW w:w="5370" w:type="dxa"/>
          </w:tcPr>
          <w:p w14:paraId="25371298" w14:textId="31A36BC6" w:rsidR="00745D42" w:rsidRPr="00F81987" w:rsidRDefault="00366C75" w:rsidP="00745D42">
            <w:pPr>
              <w:jc w:val="both"/>
              <w:rPr>
                <w:rFonts w:cstheme="minorHAnsi"/>
                <w:sz w:val="20"/>
                <w:szCs w:val="20"/>
              </w:rPr>
            </w:pPr>
            <w:r>
              <w:rPr>
                <w:rFonts w:cstheme="minorHAnsi"/>
                <w:sz w:val="20"/>
                <w:szCs w:val="20"/>
              </w:rPr>
              <w:t>z</w:t>
            </w:r>
            <w:r w:rsidR="00745D42" w:rsidRPr="00F81987">
              <w:rPr>
                <w:rFonts w:cstheme="minorHAnsi"/>
                <w:sz w:val="20"/>
                <w:szCs w:val="20"/>
              </w:rPr>
              <w:t xml:space="preserve">miana ustawy z dnia 8 marca 1990 r. </w:t>
            </w:r>
            <w:r w:rsidR="00745D42" w:rsidRPr="00F81987">
              <w:rPr>
                <w:rFonts w:cstheme="minorHAnsi"/>
                <w:i/>
                <w:sz w:val="20"/>
                <w:szCs w:val="20"/>
              </w:rPr>
              <w:t>o samorządzie gminnym</w:t>
            </w:r>
            <w:r w:rsidR="00745D42" w:rsidRPr="00F81987">
              <w:rPr>
                <w:rFonts w:cstheme="minorHAnsi"/>
                <w:sz w:val="20"/>
                <w:szCs w:val="20"/>
              </w:rPr>
              <w:t xml:space="preserve"> (</w:t>
            </w:r>
            <w:r w:rsidR="00173C6D" w:rsidRPr="00173C6D">
              <w:rPr>
                <w:rFonts w:cstheme="minorHAnsi"/>
                <w:sz w:val="20"/>
                <w:szCs w:val="20"/>
              </w:rPr>
              <w:t>z 2021 r. poz. 1372)</w:t>
            </w:r>
            <w:r w:rsidR="00173C6D">
              <w:rPr>
                <w:rFonts w:cstheme="minorHAnsi"/>
                <w:sz w:val="20"/>
                <w:szCs w:val="20"/>
              </w:rPr>
              <w:t xml:space="preserve"> </w:t>
            </w:r>
            <w:r w:rsidR="00745D42" w:rsidRPr="00F81987">
              <w:rPr>
                <w:rFonts w:cstheme="minorHAnsi"/>
                <w:sz w:val="20"/>
                <w:szCs w:val="20"/>
              </w:rPr>
              <w:t>poprzez:</w:t>
            </w:r>
          </w:p>
          <w:p w14:paraId="4CD127D6" w14:textId="77777777" w:rsidR="00745D42" w:rsidRPr="00F81987" w:rsidRDefault="00745D42" w:rsidP="00CA3BB7">
            <w:pPr>
              <w:pStyle w:val="Akapitzlist"/>
              <w:numPr>
                <w:ilvl w:val="0"/>
                <w:numId w:val="3"/>
              </w:numPr>
              <w:ind w:left="153" w:hanging="141"/>
              <w:jc w:val="both"/>
              <w:rPr>
                <w:rFonts w:cstheme="minorHAnsi"/>
                <w:sz w:val="20"/>
                <w:szCs w:val="20"/>
              </w:rPr>
            </w:pPr>
            <w:r w:rsidRPr="00F81987">
              <w:rPr>
                <w:rFonts w:cstheme="minorHAnsi"/>
                <w:sz w:val="20"/>
                <w:szCs w:val="20"/>
              </w:rPr>
              <w:t xml:space="preserve">wprowadzenie nadzoru ze strony wojewody nad terminowym przygotowaniem przez gminy założeń do planów zaopatrzenia w ciepło, energię elektryczną i paliwa gazowe oraz ich aktualizacji; </w:t>
            </w:r>
          </w:p>
          <w:p w14:paraId="0EF215AF" w14:textId="77777777" w:rsidR="00745D42" w:rsidRPr="00F81987" w:rsidRDefault="00745D42" w:rsidP="00CA3BB7">
            <w:pPr>
              <w:pStyle w:val="Akapitzlist"/>
              <w:numPr>
                <w:ilvl w:val="0"/>
                <w:numId w:val="3"/>
              </w:numPr>
              <w:ind w:left="153" w:hanging="141"/>
              <w:jc w:val="both"/>
              <w:rPr>
                <w:rFonts w:cstheme="minorHAnsi"/>
                <w:sz w:val="20"/>
                <w:szCs w:val="20"/>
              </w:rPr>
            </w:pPr>
            <w:r w:rsidRPr="00F81987">
              <w:rPr>
                <w:rFonts w:cstheme="minorHAnsi"/>
                <w:sz w:val="20"/>
                <w:szCs w:val="20"/>
              </w:rPr>
              <w:t>wprowadzenie sankcji dla gmin za brak opracowania założeń do planów zaopatrzenia w ciepło, energię elektryczną i paliwa gazowe</w:t>
            </w:r>
          </w:p>
        </w:tc>
        <w:tc>
          <w:tcPr>
            <w:tcW w:w="2410" w:type="dxa"/>
          </w:tcPr>
          <w:p w14:paraId="7836A559" w14:textId="656A5EC6" w:rsidR="00745D42" w:rsidRPr="00F81987" w:rsidRDefault="00366C75" w:rsidP="00200C38">
            <w:pPr>
              <w:pStyle w:val="Akapitzlist"/>
              <w:ind w:left="39" w:hanging="5"/>
              <w:rPr>
                <w:rFonts w:cstheme="minorHAnsi"/>
                <w:sz w:val="20"/>
                <w:szCs w:val="20"/>
              </w:rPr>
            </w:pPr>
            <w:r>
              <w:rPr>
                <w:rFonts w:cstheme="minorHAnsi"/>
                <w:sz w:val="20"/>
                <w:szCs w:val="20"/>
              </w:rPr>
              <w:t>m</w:t>
            </w:r>
            <w:r w:rsidR="00745D42" w:rsidRPr="00F81987">
              <w:rPr>
                <w:rFonts w:cstheme="minorHAnsi"/>
                <w:sz w:val="20"/>
                <w:szCs w:val="20"/>
              </w:rPr>
              <w:t>inister właściwy ds. klimatu, minister właściwy ds. administracji</w:t>
            </w:r>
          </w:p>
        </w:tc>
      </w:tr>
      <w:tr w:rsidR="00745D42" w:rsidRPr="00F81987" w14:paraId="7BBA2B48" w14:textId="77777777" w:rsidTr="00745D42">
        <w:trPr>
          <w:gridAfter w:val="1"/>
          <w:wAfter w:w="11" w:type="dxa"/>
          <w:trHeight w:val="701"/>
          <w:jc w:val="center"/>
        </w:trPr>
        <w:tc>
          <w:tcPr>
            <w:tcW w:w="1429" w:type="dxa"/>
            <w:vMerge/>
          </w:tcPr>
          <w:p w14:paraId="7EE443F6" w14:textId="77777777" w:rsidR="00745D42" w:rsidRPr="00F81987" w:rsidRDefault="00745D42" w:rsidP="00745D42">
            <w:pPr>
              <w:pStyle w:val="Akapitzlist"/>
              <w:rPr>
                <w:rFonts w:cstheme="minorHAnsi"/>
                <w:sz w:val="20"/>
                <w:szCs w:val="20"/>
              </w:rPr>
            </w:pPr>
          </w:p>
        </w:tc>
        <w:tc>
          <w:tcPr>
            <w:tcW w:w="53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101E9E" w14:textId="7395772C" w:rsidR="00745D42" w:rsidRPr="00F81987" w:rsidRDefault="00366C75" w:rsidP="00745D42">
            <w:pPr>
              <w:rPr>
                <w:rFonts w:cstheme="minorHAnsi"/>
                <w:sz w:val="20"/>
                <w:szCs w:val="20"/>
              </w:rPr>
            </w:pPr>
            <w:r>
              <w:rPr>
                <w:rFonts w:cstheme="minorHAnsi"/>
                <w:sz w:val="20"/>
                <w:szCs w:val="20"/>
              </w:rPr>
              <w:t>u</w:t>
            </w:r>
            <w:r w:rsidR="00745D42" w:rsidRPr="00F81987">
              <w:rPr>
                <w:rFonts w:cstheme="minorHAnsi"/>
                <w:sz w:val="20"/>
                <w:szCs w:val="20"/>
              </w:rPr>
              <w:t>względnienie w metodyce szacowania emisji z sektora bytowo-komunalnego bardziej szczegółowych danych zamieszczonych w CEEB (m.in. wiek budynku, termomodernizacja, powierzchnia ogrzewana)</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735CC2" w14:textId="4809CF11" w:rsidR="00745D42" w:rsidRPr="00F81987" w:rsidRDefault="00366C75" w:rsidP="00200C38">
            <w:pPr>
              <w:pStyle w:val="Akapitzlist"/>
              <w:ind w:left="39" w:hanging="5"/>
              <w:rPr>
                <w:rFonts w:cstheme="minorHAnsi"/>
                <w:sz w:val="20"/>
                <w:szCs w:val="20"/>
              </w:rPr>
            </w:pPr>
            <w:r>
              <w:rPr>
                <w:rFonts w:cstheme="minorHAnsi"/>
                <w:sz w:val="20"/>
                <w:szCs w:val="20"/>
              </w:rPr>
              <w:t>KOBIZE</w:t>
            </w:r>
            <w:r w:rsidR="006171F2">
              <w:rPr>
                <w:rFonts w:cstheme="minorHAnsi"/>
                <w:sz w:val="20"/>
                <w:szCs w:val="20"/>
              </w:rPr>
              <w:t xml:space="preserve">  IOŚ-PIB</w:t>
            </w:r>
          </w:p>
        </w:tc>
      </w:tr>
      <w:tr w:rsidR="00745D42" w:rsidRPr="00F81987" w14:paraId="72FAD55F" w14:textId="77777777" w:rsidTr="00745D42">
        <w:trPr>
          <w:gridAfter w:val="1"/>
          <w:wAfter w:w="11" w:type="dxa"/>
          <w:trHeight w:val="701"/>
          <w:jc w:val="center"/>
        </w:trPr>
        <w:tc>
          <w:tcPr>
            <w:tcW w:w="1429" w:type="dxa"/>
            <w:vMerge/>
          </w:tcPr>
          <w:p w14:paraId="1B58ECAF" w14:textId="77777777" w:rsidR="00745D42" w:rsidRPr="00F81987" w:rsidRDefault="00745D42" w:rsidP="00745D42">
            <w:pPr>
              <w:pStyle w:val="Akapitzlist"/>
              <w:rPr>
                <w:rFonts w:cstheme="minorHAnsi"/>
                <w:sz w:val="20"/>
                <w:szCs w:val="20"/>
              </w:rPr>
            </w:pPr>
          </w:p>
        </w:tc>
        <w:tc>
          <w:tcPr>
            <w:tcW w:w="53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658FA3" w14:textId="5C00AE4F" w:rsidR="00745D42" w:rsidRPr="00F81987" w:rsidRDefault="00366C75" w:rsidP="00745D42">
            <w:pPr>
              <w:jc w:val="both"/>
              <w:rPr>
                <w:rFonts w:cstheme="minorHAnsi"/>
                <w:b/>
                <w:bCs/>
                <w:sz w:val="20"/>
                <w:szCs w:val="20"/>
              </w:rPr>
            </w:pPr>
            <w:r>
              <w:rPr>
                <w:rFonts w:cstheme="minorHAnsi"/>
                <w:sz w:val="20"/>
                <w:szCs w:val="20"/>
              </w:rPr>
              <w:t>z</w:t>
            </w:r>
            <w:r w:rsidR="00745D42" w:rsidRPr="00F81987">
              <w:rPr>
                <w:rFonts w:cstheme="minorHAnsi"/>
                <w:sz w:val="20"/>
                <w:szCs w:val="20"/>
              </w:rPr>
              <w:t>miana ustawy z dnia 8 marca 1990 r. o samorządzie gminnym (</w:t>
            </w:r>
            <w:r w:rsidR="00173C6D" w:rsidRPr="00173C6D">
              <w:rPr>
                <w:rFonts w:cstheme="minorHAnsi"/>
                <w:sz w:val="20"/>
                <w:szCs w:val="20"/>
              </w:rPr>
              <w:t>z 2021 r. poz. 1372)</w:t>
            </w:r>
            <w:r w:rsidR="00745D42" w:rsidRPr="00F81987">
              <w:rPr>
                <w:rFonts w:cstheme="minorHAnsi"/>
                <w:sz w:val="20"/>
                <w:szCs w:val="20"/>
              </w:rPr>
              <w:t xml:space="preserve"> poprzez:</w:t>
            </w:r>
          </w:p>
          <w:p w14:paraId="1D444CF0" w14:textId="77777777" w:rsidR="00745D42" w:rsidRPr="00F81987" w:rsidRDefault="00745D42" w:rsidP="00745D42">
            <w:pPr>
              <w:jc w:val="both"/>
              <w:rPr>
                <w:rFonts w:cstheme="minorHAnsi"/>
                <w:b/>
                <w:bCs/>
                <w:sz w:val="20"/>
                <w:szCs w:val="20"/>
              </w:rPr>
            </w:pPr>
            <w:r w:rsidRPr="00F81987">
              <w:rPr>
                <w:rFonts w:cstheme="minorHAnsi"/>
                <w:sz w:val="20"/>
                <w:szCs w:val="20"/>
              </w:rPr>
              <w:t xml:space="preserve">- wprowadzenie nadzoru ze strony wojewody nad terminowym przygotowaniem przez gminy założeń do planów zaopatrzenia w ciepło, energię elektryczną i paliwa gazowe oraz ich aktualizacji; </w:t>
            </w:r>
          </w:p>
          <w:p w14:paraId="3D7CBEC8" w14:textId="60485C2A" w:rsidR="00745D42" w:rsidRPr="00F81987" w:rsidRDefault="00745D42" w:rsidP="00745D42">
            <w:pPr>
              <w:rPr>
                <w:rFonts w:cstheme="minorHAnsi"/>
                <w:sz w:val="20"/>
                <w:szCs w:val="20"/>
              </w:rPr>
            </w:pPr>
            <w:r w:rsidRPr="00F81987">
              <w:rPr>
                <w:rFonts w:cstheme="minorHAnsi"/>
                <w:sz w:val="20"/>
                <w:szCs w:val="20"/>
              </w:rPr>
              <w:t>- wprowadzenie sankcji dla gmin za brak opracowania założeń do planów zaopatrzenia w ciepło, energię elektryczną i paliwa gazowe</w:t>
            </w:r>
            <w:r w:rsidRPr="00F81987">
              <w:rPr>
                <w:rFonts w:cstheme="minorHAnsi"/>
                <w:sz w:val="20"/>
                <w:szCs w:val="20"/>
              </w:rPr>
              <w:tab/>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AFC3E3" w14:textId="3CC2B596" w:rsidR="00745D42" w:rsidRPr="00F81987" w:rsidRDefault="00366C75" w:rsidP="00200C38">
            <w:pPr>
              <w:pStyle w:val="Akapitzlist"/>
              <w:ind w:left="39" w:right="31" w:hanging="5"/>
              <w:rPr>
                <w:rFonts w:cstheme="minorHAnsi"/>
                <w:sz w:val="20"/>
                <w:szCs w:val="20"/>
              </w:rPr>
            </w:pPr>
            <w:r>
              <w:rPr>
                <w:rFonts w:cstheme="minorHAnsi"/>
                <w:sz w:val="20"/>
                <w:szCs w:val="20"/>
              </w:rPr>
              <w:t>m</w:t>
            </w:r>
            <w:r w:rsidR="00745D42" w:rsidRPr="00F81987">
              <w:rPr>
                <w:rFonts w:cstheme="minorHAnsi"/>
                <w:sz w:val="20"/>
                <w:szCs w:val="20"/>
              </w:rPr>
              <w:t>inister właściwy ds. klimatu (DSP, DELG), Minister właściwy ds. administracji</w:t>
            </w:r>
          </w:p>
        </w:tc>
      </w:tr>
      <w:tr w:rsidR="00745D42" w:rsidRPr="00F81987" w14:paraId="7B6AA6D7" w14:textId="77777777" w:rsidTr="00745D42">
        <w:trPr>
          <w:gridAfter w:val="1"/>
          <w:wAfter w:w="11" w:type="dxa"/>
          <w:trHeight w:val="701"/>
          <w:jc w:val="center"/>
        </w:trPr>
        <w:tc>
          <w:tcPr>
            <w:tcW w:w="1429" w:type="dxa"/>
            <w:vMerge/>
          </w:tcPr>
          <w:p w14:paraId="052F8168" w14:textId="77777777" w:rsidR="00745D42" w:rsidRPr="00F81987" w:rsidRDefault="00745D42" w:rsidP="00745D42">
            <w:pPr>
              <w:pStyle w:val="Akapitzlist"/>
              <w:rPr>
                <w:rFonts w:cstheme="minorHAnsi"/>
                <w:sz w:val="20"/>
                <w:szCs w:val="20"/>
              </w:rPr>
            </w:pPr>
          </w:p>
        </w:tc>
        <w:tc>
          <w:tcPr>
            <w:tcW w:w="53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8419D3" w14:textId="72363875" w:rsidR="00745D42" w:rsidRPr="00F81987" w:rsidRDefault="00366C75" w:rsidP="00745D42">
            <w:pPr>
              <w:rPr>
                <w:rFonts w:cstheme="minorHAnsi"/>
                <w:sz w:val="20"/>
                <w:szCs w:val="20"/>
              </w:rPr>
            </w:pPr>
            <w:r>
              <w:rPr>
                <w:rFonts w:cstheme="minorHAnsi"/>
                <w:sz w:val="20"/>
                <w:szCs w:val="20"/>
              </w:rPr>
              <w:t>d</w:t>
            </w:r>
            <w:r w:rsidR="00745D42" w:rsidRPr="00F81987">
              <w:rPr>
                <w:rFonts w:cstheme="minorHAnsi"/>
                <w:sz w:val="20"/>
                <w:szCs w:val="20"/>
              </w:rPr>
              <w:t>alszy rozwój sieci ciepłowniczych poprzez zwiększanie dostępności ciepła sieciowego nowym odbiorcom oraz modernizacj</w:t>
            </w:r>
            <w:r>
              <w:rPr>
                <w:rFonts w:cstheme="minorHAnsi"/>
                <w:sz w:val="20"/>
                <w:szCs w:val="20"/>
              </w:rPr>
              <w:t>ę</w:t>
            </w:r>
            <w:r w:rsidR="00745D42" w:rsidRPr="00F81987">
              <w:rPr>
                <w:rFonts w:cstheme="minorHAnsi"/>
                <w:sz w:val="20"/>
                <w:szCs w:val="20"/>
              </w:rPr>
              <w:t xml:space="preserve"> istniejących rurociągów - zwiększona zostanie sprawność dystrybucji ciepła, co pozwoli obniżyć ilość wsadu energetycznego, zaś nowi odbiorcy będą mogli wymienić emisyjne źródła indywidualne na czyste ciepło sieciowe</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DF591F" w14:textId="75D879D9" w:rsidR="00745D42" w:rsidRPr="00F81987" w:rsidRDefault="00366C75" w:rsidP="00200C38">
            <w:pPr>
              <w:pStyle w:val="Akapitzlist"/>
              <w:ind w:left="39" w:hanging="5"/>
              <w:rPr>
                <w:rFonts w:cstheme="minorHAnsi"/>
                <w:sz w:val="20"/>
                <w:szCs w:val="20"/>
              </w:rPr>
            </w:pPr>
            <w:r>
              <w:rPr>
                <w:rFonts w:cstheme="minorHAnsi"/>
                <w:sz w:val="20"/>
                <w:szCs w:val="20"/>
              </w:rPr>
              <w:t>m</w:t>
            </w:r>
            <w:r w:rsidR="00745D42" w:rsidRPr="00F81987">
              <w:rPr>
                <w:rFonts w:cstheme="minorHAnsi"/>
                <w:sz w:val="20"/>
                <w:szCs w:val="20"/>
              </w:rPr>
              <w:t xml:space="preserve">inister właściwy ds. energii </w:t>
            </w:r>
            <w:r>
              <w:rPr>
                <w:rFonts w:cstheme="minorHAnsi"/>
                <w:sz w:val="20"/>
                <w:szCs w:val="20"/>
              </w:rPr>
              <w:t>(</w:t>
            </w:r>
            <w:r w:rsidR="00745D42" w:rsidRPr="00F81987">
              <w:rPr>
                <w:rFonts w:cstheme="minorHAnsi"/>
                <w:sz w:val="20"/>
                <w:szCs w:val="20"/>
              </w:rPr>
              <w:t>DC</w:t>
            </w:r>
            <w:r>
              <w:rPr>
                <w:rFonts w:cstheme="minorHAnsi"/>
                <w:sz w:val="20"/>
                <w:szCs w:val="20"/>
              </w:rPr>
              <w:t>)</w:t>
            </w:r>
          </w:p>
        </w:tc>
      </w:tr>
      <w:tr w:rsidR="00745D42" w:rsidRPr="00F81987" w14:paraId="464BCCF3" w14:textId="77777777" w:rsidTr="00745D42">
        <w:trPr>
          <w:gridAfter w:val="1"/>
          <w:wAfter w:w="11" w:type="dxa"/>
          <w:trHeight w:val="1162"/>
          <w:jc w:val="center"/>
        </w:trPr>
        <w:tc>
          <w:tcPr>
            <w:tcW w:w="1429" w:type="dxa"/>
            <w:vMerge w:val="restart"/>
          </w:tcPr>
          <w:p w14:paraId="301B5AD3" w14:textId="77777777" w:rsidR="00745D42" w:rsidRPr="00F81987" w:rsidRDefault="00745D42" w:rsidP="00745D42">
            <w:pPr>
              <w:rPr>
                <w:rFonts w:cstheme="minorHAnsi"/>
                <w:sz w:val="20"/>
                <w:szCs w:val="20"/>
              </w:rPr>
            </w:pPr>
            <w:r w:rsidRPr="00F81987">
              <w:rPr>
                <w:rFonts w:cstheme="minorHAnsi"/>
                <w:sz w:val="20"/>
                <w:szCs w:val="20"/>
              </w:rPr>
              <w:t>Długoterminowe (do 2040 r.)</w:t>
            </w:r>
          </w:p>
        </w:tc>
        <w:tc>
          <w:tcPr>
            <w:tcW w:w="5370" w:type="dxa"/>
          </w:tcPr>
          <w:p w14:paraId="24781943" w14:textId="59D2B1E9" w:rsidR="00745D42" w:rsidRPr="00F81987" w:rsidRDefault="00366C75" w:rsidP="00745D42">
            <w:pPr>
              <w:jc w:val="both"/>
              <w:rPr>
                <w:rFonts w:cstheme="minorHAnsi"/>
                <w:sz w:val="20"/>
                <w:szCs w:val="20"/>
              </w:rPr>
            </w:pPr>
            <w:r>
              <w:rPr>
                <w:rFonts w:cstheme="minorHAnsi"/>
                <w:sz w:val="20"/>
                <w:szCs w:val="20"/>
              </w:rPr>
              <w:t>w</w:t>
            </w:r>
            <w:r w:rsidR="00745D42" w:rsidRPr="00F81987">
              <w:rPr>
                <w:rFonts w:cstheme="minorHAnsi"/>
                <w:sz w:val="20"/>
                <w:szCs w:val="20"/>
              </w:rPr>
              <w:t>prowadzenie zakazu stosowania węgla w gospodarstwach domowych na obszarach wiejskich - pokrycie przez ciepło systemowe oraz przez zeroemisyjne lub niskoemisyjne źródła indywidualne potrzeb cieplnych wszystkich gospodarstw domowych</w:t>
            </w:r>
          </w:p>
        </w:tc>
        <w:tc>
          <w:tcPr>
            <w:tcW w:w="2410" w:type="dxa"/>
          </w:tcPr>
          <w:p w14:paraId="2E6DD331" w14:textId="386308EA" w:rsidR="00745D42" w:rsidRPr="00F81987" w:rsidRDefault="00366C75" w:rsidP="00745D42">
            <w:pPr>
              <w:pStyle w:val="Akapitzlist"/>
              <w:ind w:left="39" w:hanging="5"/>
              <w:jc w:val="both"/>
              <w:rPr>
                <w:rFonts w:cstheme="minorHAnsi"/>
                <w:sz w:val="20"/>
                <w:szCs w:val="20"/>
              </w:rPr>
            </w:pPr>
            <w:r>
              <w:rPr>
                <w:rFonts w:cstheme="minorHAnsi"/>
                <w:sz w:val="20"/>
                <w:szCs w:val="20"/>
              </w:rPr>
              <w:t>m</w:t>
            </w:r>
            <w:r w:rsidR="00745D42" w:rsidRPr="00F81987">
              <w:rPr>
                <w:rFonts w:cstheme="minorHAnsi"/>
                <w:sz w:val="20"/>
                <w:szCs w:val="20"/>
              </w:rPr>
              <w:t>inister właściwy ds. energii</w:t>
            </w:r>
            <w:r>
              <w:rPr>
                <w:rFonts w:cstheme="minorHAnsi"/>
                <w:sz w:val="20"/>
                <w:szCs w:val="20"/>
              </w:rPr>
              <w:t xml:space="preserve"> i </w:t>
            </w:r>
            <w:r w:rsidR="00745D42" w:rsidRPr="00F81987">
              <w:rPr>
                <w:rFonts w:cstheme="minorHAnsi"/>
                <w:sz w:val="20"/>
                <w:szCs w:val="20"/>
              </w:rPr>
              <w:t>klimatu</w:t>
            </w:r>
          </w:p>
        </w:tc>
      </w:tr>
      <w:tr w:rsidR="00745D42" w:rsidRPr="00F81987" w14:paraId="44E6EB06" w14:textId="77777777" w:rsidTr="00745D42">
        <w:trPr>
          <w:gridAfter w:val="1"/>
          <w:wAfter w:w="11" w:type="dxa"/>
          <w:trHeight w:val="757"/>
          <w:jc w:val="center"/>
        </w:trPr>
        <w:tc>
          <w:tcPr>
            <w:tcW w:w="1429" w:type="dxa"/>
            <w:vMerge/>
          </w:tcPr>
          <w:p w14:paraId="6502716C" w14:textId="77777777" w:rsidR="00745D42" w:rsidRPr="00F81987" w:rsidRDefault="00745D42" w:rsidP="00745D42">
            <w:pPr>
              <w:pStyle w:val="Akapitzlist"/>
              <w:rPr>
                <w:rFonts w:cstheme="minorHAnsi"/>
                <w:sz w:val="20"/>
                <w:szCs w:val="20"/>
              </w:rPr>
            </w:pPr>
          </w:p>
        </w:tc>
        <w:tc>
          <w:tcPr>
            <w:tcW w:w="53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C632B3" w14:textId="4A59BD0B" w:rsidR="00745D42" w:rsidRPr="00F81987" w:rsidRDefault="00366C75" w:rsidP="00745D42">
            <w:pPr>
              <w:rPr>
                <w:rFonts w:cstheme="minorHAnsi"/>
                <w:sz w:val="20"/>
                <w:szCs w:val="20"/>
              </w:rPr>
            </w:pPr>
            <w:r>
              <w:rPr>
                <w:rFonts w:cstheme="minorHAnsi"/>
                <w:sz w:val="20"/>
                <w:szCs w:val="20"/>
              </w:rPr>
              <w:t>r</w:t>
            </w:r>
            <w:r w:rsidR="00745D42" w:rsidRPr="00F81987">
              <w:rPr>
                <w:rFonts w:cstheme="minorHAnsi"/>
                <w:sz w:val="20"/>
                <w:szCs w:val="20"/>
              </w:rPr>
              <w:t>ozwój rozporoszonych źródeł ciepła niskoemisyjnego, co przyśpieszy proces wychodzenia z jednostek węglowych, a kogeneracja gazowa zacznie przechodzić w kierunku mocy szczytowych lub wykorzystania gazów zdekarbonizowanych</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93B72C" w14:textId="3D54685E" w:rsidR="00745D42" w:rsidRPr="00F81987" w:rsidRDefault="00366C75" w:rsidP="00745D42">
            <w:pPr>
              <w:pStyle w:val="Akapitzlist"/>
              <w:ind w:left="34" w:hanging="34"/>
              <w:rPr>
                <w:rFonts w:cstheme="minorHAnsi"/>
                <w:sz w:val="20"/>
                <w:szCs w:val="20"/>
              </w:rPr>
            </w:pPr>
            <w:r>
              <w:rPr>
                <w:rFonts w:cstheme="minorHAnsi"/>
                <w:sz w:val="20"/>
                <w:szCs w:val="20"/>
              </w:rPr>
              <w:t>m</w:t>
            </w:r>
            <w:r w:rsidR="00745D42" w:rsidRPr="00F81987">
              <w:rPr>
                <w:rFonts w:cstheme="minorHAnsi"/>
                <w:sz w:val="20"/>
                <w:szCs w:val="20"/>
              </w:rPr>
              <w:t xml:space="preserve">inister właściwy ds. energii </w:t>
            </w:r>
            <w:r>
              <w:rPr>
                <w:rFonts w:cstheme="minorHAnsi"/>
                <w:sz w:val="20"/>
                <w:szCs w:val="20"/>
              </w:rPr>
              <w:t>(</w:t>
            </w:r>
            <w:r w:rsidR="00745D42" w:rsidRPr="00F81987">
              <w:rPr>
                <w:rFonts w:cstheme="minorHAnsi"/>
                <w:sz w:val="20"/>
                <w:szCs w:val="20"/>
              </w:rPr>
              <w:t>DC</w:t>
            </w:r>
            <w:r>
              <w:rPr>
                <w:rFonts w:cstheme="minorHAnsi"/>
                <w:sz w:val="20"/>
                <w:szCs w:val="20"/>
              </w:rPr>
              <w:t>)</w:t>
            </w:r>
          </w:p>
        </w:tc>
      </w:tr>
      <w:tr w:rsidR="00745D42" w:rsidRPr="00F81987" w14:paraId="65CF582A" w14:textId="77777777" w:rsidTr="002C4A11">
        <w:trPr>
          <w:trHeight w:val="730"/>
          <w:jc w:val="center"/>
        </w:trPr>
        <w:tc>
          <w:tcPr>
            <w:tcW w:w="9220" w:type="dxa"/>
            <w:gridSpan w:val="4"/>
            <w:shd w:val="clear" w:color="auto" w:fill="D9E2F3" w:themeFill="accent1" w:themeFillTint="33"/>
          </w:tcPr>
          <w:p w14:paraId="69D32F6D" w14:textId="77777777" w:rsidR="00745D42" w:rsidRPr="00F81987" w:rsidRDefault="00745D42" w:rsidP="00745D42">
            <w:pPr>
              <w:pStyle w:val="Akapitzlist"/>
              <w:ind w:left="153"/>
              <w:jc w:val="both"/>
              <w:rPr>
                <w:rFonts w:cstheme="minorHAnsi"/>
                <w:b/>
                <w:bCs/>
                <w:sz w:val="20"/>
                <w:szCs w:val="20"/>
              </w:rPr>
            </w:pPr>
            <w:r w:rsidRPr="00F81987">
              <w:rPr>
                <w:rFonts w:cstheme="minorHAnsi"/>
                <w:b/>
                <w:bCs/>
                <w:sz w:val="20"/>
                <w:szCs w:val="20"/>
              </w:rPr>
              <w:t>Kierunek interwencji 2 – Ograniczenie emisji zanieczyszczeń powietrza z sektora transportu drogowego</w:t>
            </w:r>
          </w:p>
        </w:tc>
      </w:tr>
      <w:tr w:rsidR="0006553F" w:rsidRPr="00F81987" w14:paraId="2A78954C" w14:textId="77777777" w:rsidTr="00745D42">
        <w:trPr>
          <w:gridAfter w:val="1"/>
          <w:wAfter w:w="11" w:type="dxa"/>
          <w:trHeight w:val="932"/>
          <w:jc w:val="center"/>
        </w:trPr>
        <w:tc>
          <w:tcPr>
            <w:tcW w:w="1429" w:type="dxa"/>
            <w:vMerge w:val="restart"/>
          </w:tcPr>
          <w:p w14:paraId="5E762EDA" w14:textId="77777777" w:rsidR="0006553F" w:rsidRPr="00F81987" w:rsidRDefault="0006553F" w:rsidP="00745D42">
            <w:pPr>
              <w:pStyle w:val="Akapitzlist"/>
              <w:ind w:left="34"/>
              <w:rPr>
                <w:rFonts w:cstheme="minorHAnsi"/>
                <w:sz w:val="20"/>
                <w:szCs w:val="20"/>
              </w:rPr>
            </w:pPr>
            <w:r w:rsidRPr="00F81987">
              <w:rPr>
                <w:rFonts w:cstheme="minorHAnsi"/>
                <w:sz w:val="20"/>
                <w:szCs w:val="20"/>
              </w:rPr>
              <w:t>Krótkoterminowe (do 2025 r.)</w:t>
            </w:r>
          </w:p>
        </w:tc>
        <w:tc>
          <w:tcPr>
            <w:tcW w:w="5370" w:type="dxa"/>
          </w:tcPr>
          <w:p w14:paraId="76F05B1A" w14:textId="6A34B357" w:rsidR="0006553F" w:rsidRPr="00F81987" w:rsidRDefault="00366C75" w:rsidP="00745D42">
            <w:pPr>
              <w:jc w:val="both"/>
              <w:rPr>
                <w:rFonts w:cstheme="minorHAnsi"/>
                <w:b/>
                <w:bCs/>
                <w:sz w:val="20"/>
                <w:szCs w:val="20"/>
              </w:rPr>
            </w:pPr>
            <w:r>
              <w:rPr>
                <w:rStyle w:val="jlqj4b"/>
                <w:rFonts w:cstheme="minorHAnsi"/>
                <w:b/>
                <w:bCs/>
                <w:sz w:val="20"/>
                <w:szCs w:val="20"/>
              </w:rPr>
              <w:t>w</w:t>
            </w:r>
            <w:r w:rsidR="00A77FE9" w:rsidRPr="00F81987">
              <w:rPr>
                <w:rStyle w:val="jlqj4b"/>
                <w:rFonts w:cstheme="minorHAnsi"/>
                <w:b/>
                <w:bCs/>
                <w:sz w:val="20"/>
                <w:szCs w:val="20"/>
              </w:rPr>
              <w:t>prowadzenie wymagań dla stref czystego transportu, których obowiązek będzie dotyczył miast powyżej 100 tys. mieszkańców, w których w wyniku oceny jakości powietrza przeprowadzanej przez GIOŚ stwierdzone zostały poziomy dopuszczalne dla NO</w:t>
            </w:r>
            <w:r w:rsidR="00A77FE9" w:rsidRPr="00DD0E4C">
              <w:rPr>
                <w:rStyle w:val="jlqj4b"/>
                <w:rFonts w:cstheme="minorHAnsi"/>
                <w:b/>
                <w:bCs/>
                <w:sz w:val="20"/>
                <w:szCs w:val="20"/>
                <w:vertAlign w:val="subscript"/>
              </w:rPr>
              <w:t>2</w:t>
            </w:r>
            <w:r w:rsidR="00A77FE9" w:rsidRPr="00F81987">
              <w:rPr>
                <w:rStyle w:val="jlqj4b"/>
                <w:rFonts w:cstheme="minorHAnsi"/>
                <w:b/>
                <w:bCs/>
                <w:sz w:val="20"/>
                <w:szCs w:val="20"/>
              </w:rPr>
              <w:t xml:space="preserve"> oraz wprowadzenie możliwości utworzenia takich stref w pozostałych gminach, które </w:t>
            </w:r>
            <w:r w:rsidR="00A77FE9" w:rsidRPr="00F81987">
              <w:rPr>
                <w:rStyle w:val="jlqj4b"/>
                <w:rFonts w:cstheme="minorHAnsi"/>
                <w:b/>
                <w:bCs/>
                <w:sz w:val="20"/>
                <w:szCs w:val="20"/>
              </w:rPr>
              <w:lastRenderedPageBreak/>
              <w:t>zadecydują o realizacji takiego działania, gdzie decyzję podejmie rada gminy</w:t>
            </w:r>
            <w:r w:rsidR="00C71031" w:rsidRPr="00F81987">
              <w:rPr>
                <w:rStyle w:val="Odwoanieprzypisudolnego"/>
                <w:rFonts w:cstheme="minorHAnsi"/>
                <w:b/>
                <w:bCs/>
                <w:sz w:val="20"/>
                <w:szCs w:val="20"/>
              </w:rPr>
              <w:footnoteReference w:id="42"/>
            </w:r>
          </w:p>
        </w:tc>
        <w:tc>
          <w:tcPr>
            <w:tcW w:w="2410" w:type="dxa"/>
          </w:tcPr>
          <w:p w14:paraId="7DE3E296" w14:textId="02D0FE9B" w:rsidR="0006553F" w:rsidRPr="00F81987" w:rsidRDefault="00532EF9" w:rsidP="00745D42">
            <w:pPr>
              <w:jc w:val="both"/>
              <w:rPr>
                <w:rFonts w:cstheme="minorHAnsi"/>
                <w:sz w:val="20"/>
                <w:szCs w:val="20"/>
              </w:rPr>
            </w:pPr>
            <w:r>
              <w:rPr>
                <w:rFonts w:cstheme="minorHAnsi"/>
                <w:sz w:val="20"/>
                <w:szCs w:val="20"/>
              </w:rPr>
              <w:lastRenderedPageBreak/>
              <w:t>m</w:t>
            </w:r>
            <w:r w:rsidR="00C71031" w:rsidRPr="00F81987">
              <w:rPr>
                <w:rFonts w:cstheme="minorHAnsi"/>
                <w:sz w:val="20"/>
                <w:szCs w:val="20"/>
              </w:rPr>
              <w:t>inister właściwy ds. klimatu (DEG i DPM)</w:t>
            </w:r>
          </w:p>
        </w:tc>
      </w:tr>
      <w:tr w:rsidR="00A77FE9" w:rsidRPr="00F81987" w14:paraId="53C7E690" w14:textId="77777777" w:rsidTr="00745D42">
        <w:trPr>
          <w:gridAfter w:val="1"/>
          <w:wAfter w:w="11" w:type="dxa"/>
          <w:trHeight w:val="932"/>
          <w:jc w:val="center"/>
        </w:trPr>
        <w:tc>
          <w:tcPr>
            <w:tcW w:w="1429" w:type="dxa"/>
            <w:vMerge/>
          </w:tcPr>
          <w:p w14:paraId="4375FB21" w14:textId="77777777" w:rsidR="00A77FE9" w:rsidRPr="00F81987" w:rsidRDefault="00A77FE9" w:rsidP="00A77FE9">
            <w:pPr>
              <w:pStyle w:val="Akapitzlist"/>
              <w:ind w:left="34"/>
              <w:rPr>
                <w:rFonts w:cstheme="minorHAnsi"/>
                <w:sz w:val="20"/>
                <w:szCs w:val="20"/>
              </w:rPr>
            </w:pPr>
          </w:p>
        </w:tc>
        <w:tc>
          <w:tcPr>
            <w:tcW w:w="5370" w:type="dxa"/>
          </w:tcPr>
          <w:p w14:paraId="202FFB5B" w14:textId="26C4264D" w:rsidR="00A77FE9" w:rsidRPr="00F81987" w:rsidRDefault="00532EF9" w:rsidP="00A77FE9">
            <w:pPr>
              <w:jc w:val="both"/>
              <w:rPr>
                <w:rFonts w:cstheme="minorHAnsi"/>
                <w:sz w:val="20"/>
                <w:szCs w:val="20"/>
              </w:rPr>
            </w:pPr>
            <w:r>
              <w:rPr>
                <w:rFonts w:cstheme="minorHAnsi"/>
                <w:sz w:val="20"/>
                <w:szCs w:val="20"/>
              </w:rPr>
              <w:t>p</w:t>
            </w:r>
            <w:r w:rsidR="00A77FE9" w:rsidRPr="00F81987">
              <w:rPr>
                <w:rFonts w:cstheme="minorHAnsi"/>
                <w:sz w:val="20"/>
                <w:szCs w:val="20"/>
              </w:rPr>
              <w:t>odwyższenie mandatów karnych za używanie pojazdu na obszarze zabudowanym w sposób powodujący uciążliwości związane z nadmierną emisją spalin do środowiska, co przyczynia się do złej jakości powietrza i wpływa na pogorszenie stanu zdrowia obywateli (uzupełnienie katalogu grzywien, wyższych niż 500 zł, w Kodeksie postępowania w sprawach o wykroczenie, Dz. U. z 2020 r. poz. 729)</w:t>
            </w:r>
          </w:p>
        </w:tc>
        <w:tc>
          <w:tcPr>
            <w:tcW w:w="2410" w:type="dxa"/>
          </w:tcPr>
          <w:p w14:paraId="6BCA87C8" w14:textId="4DFE0EF9" w:rsidR="00A77FE9" w:rsidRPr="00F81987" w:rsidRDefault="00532EF9" w:rsidP="00A77FE9">
            <w:pPr>
              <w:jc w:val="both"/>
              <w:rPr>
                <w:rFonts w:cstheme="minorHAnsi"/>
                <w:sz w:val="20"/>
                <w:szCs w:val="20"/>
              </w:rPr>
            </w:pPr>
            <w:r>
              <w:rPr>
                <w:rFonts w:cstheme="minorHAnsi"/>
                <w:sz w:val="20"/>
                <w:szCs w:val="20"/>
              </w:rPr>
              <w:t>m</w:t>
            </w:r>
            <w:r w:rsidR="00A77FE9" w:rsidRPr="00F81987">
              <w:rPr>
                <w:rFonts w:cstheme="minorHAnsi"/>
                <w:sz w:val="20"/>
                <w:szCs w:val="20"/>
              </w:rPr>
              <w:t>inister właściwy ds. klimatu (DPM)</w:t>
            </w:r>
          </w:p>
        </w:tc>
      </w:tr>
      <w:tr w:rsidR="00A77FE9" w:rsidRPr="00F81987" w14:paraId="6CAB3544" w14:textId="77777777" w:rsidTr="00745D42">
        <w:trPr>
          <w:gridAfter w:val="1"/>
          <w:wAfter w:w="11" w:type="dxa"/>
          <w:trHeight w:val="932"/>
          <w:jc w:val="center"/>
        </w:trPr>
        <w:tc>
          <w:tcPr>
            <w:tcW w:w="1429" w:type="dxa"/>
            <w:vMerge/>
          </w:tcPr>
          <w:p w14:paraId="6DE7F08E" w14:textId="77777777" w:rsidR="00A77FE9" w:rsidRPr="00F81987" w:rsidRDefault="00A77FE9" w:rsidP="00A77FE9">
            <w:pPr>
              <w:pStyle w:val="Akapitzlist"/>
              <w:ind w:left="34"/>
              <w:rPr>
                <w:rFonts w:cstheme="minorHAnsi"/>
                <w:sz w:val="20"/>
                <w:szCs w:val="20"/>
              </w:rPr>
            </w:pPr>
          </w:p>
        </w:tc>
        <w:tc>
          <w:tcPr>
            <w:tcW w:w="5370" w:type="dxa"/>
          </w:tcPr>
          <w:p w14:paraId="7604677D" w14:textId="26913D60" w:rsidR="00A77FE9" w:rsidRPr="00F81987" w:rsidRDefault="00532EF9" w:rsidP="00A77FE9">
            <w:pPr>
              <w:jc w:val="both"/>
              <w:rPr>
                <w:rFonts w:cstheme="minorHAnsi"/>
                <w:sz w:val="20"/>
                <w:szCs w:val="20"/>
              </w:rPr>
            </w:pPr>
            <w:r>
              <w:rPr>
                <w:rFonts w:cstheme="minorHAnsi"/>
                <w:sz w:val="20"/>
                <w:szCs w:val="20"/>
              </w:rPr>
              <w:t>r</w:t>
            </w:r>
            <w:r w:rsidR="00A77FE9" w:rsidRPr="00F81987">
              <w:rPr>
                <w:rFonts w:cstheme="minorHAnsi"/>
                <w:sz w:val="20"/>
                <w:szCs w:val="20"/>
              </w:rPr>
              <w:t xml:space="preserve">ozwój i wzrost konkurencyjności rozwiązań niskoemisyjnych i efektywnych energetycznie, jak transport zelektryfikowany czy zbiorowy, w tym publiczny </w:t>
            </w:r>
          </w:p>
        </w:tc>
        <w:tc>
          <w:tcPr>
            <w:tcW w:w="2410" w:type="dxa"/>
          </w:tcPr>
          <w:p w14:paraId="22031E39" w14:textId="2CEC5A54" w:rsidR="00A77FE9" w:rsidRPr="00F81987" w:rsidRDefault="00532EF9" w:rsidP="00A77FE9">
            <w:pPr>
              <w:jc w:val="both"/>
              <w:rPr>
                <w:rFonts w:cstheme="minorHAnsi"/>
                <w:sz w:val="20"/>
                <w:szCs w:val="20"/>
              </w:rPr>
            </w:pPr>
            <w:r>
              <w:rPr>
                <w:rFonts w:cstheme="minorHAnsi"/>
                <w:sz w:val="20"/>
                <w:szCs w:val="20"/>
              </w:rPr>
              <w:t>m</w:t>
            </w:r>
            <w:r w:rsidR="00A77FE9" w:rsidRPr="00F81987">
              <w:rPr>
                <w:rFonts w:cstheme="minorHAnsi"/>
                <w:sz w:val="20"/>
                <w:szCs w:val="20"/>
              </w:rPr>
              <w:t>inister właściwy ds. transportu</w:t>
            </w:r>
          </w:p>
        </w:tc>
      </w:tr>
      <w:tr w:rsidR="00A77FE9" w:rsidRPr="00F81987" w14:paraId="28321CEA" w14:textId="77777777" w:rsidTr="00DD0E4C">
        <w:trPr>
          <w:gridAfter w:val="1"/>
          <w:wAfter w:w="11" w:type="dxa"/>
          <w:trHeight w:val="798"/>
          <w:jc w:val="center"/>
        </w:trPr>
        <w:tc>
          <w:tcPr>
            <w:tcW w:w="1429" w:type="dxa"/>
            <w:vMerge/>
          </w:tcPr>
          <w:p w14:paraId="6F044160" w14:textId="77777777" w:rsidR="00A77FE9" w:rsidRPr="00F81987" w:rsidRDefault="00A77FE9" w:rsidP="00A77FE9">
            <w:pPr>
              <w:pStyle w:val="Akapitzlist"/>
              <w:rPr>
                <w:rFonts w:cstheme="minorHAnsi"/>
                <w:sz w:val="20"/>
                <w:szCs w:val="20"/>
              </w:rPr>
            </w:pPr>
          </w:p>
        </w:tc>
        <w:tc>
          <w:tcPr>
            <w:tcW w:w="5370" w:type="dxa"/>
          </w:tcPr>
          <w:p w14:paraId="114CE5A1" w14:textId="025202D0" w:rsidR="00A77FE9" w:rsidRPr="00F81987" w:rsidRDefault="00532EF9" w:rsidP="00A77FE9">
            <w:pPr>
              <w:jc w:val="both"/>
              <w:rPr>
                <w:rFonts w:cstheme="minorHAnsi"/>
                <w:sz w:val="20"/>
                <w:szCs w:val="20"/>
              </w:rPr>
            </w:pPr>
            <w:r>
              <w:rPr>
                <w:rFonts w:cstheme="minorHAnsi"/>
                <w:sz w:val="20"/>
                <w:szCs w:val="20"/>
              </w:rPr>
              <w:t>e</w:t>
            </w:r>
            <w:r w:rsidR="00A77FE9" w:rsidRPr="00F81987">
              <w:rPr>
                <w:rFonts w:cstheme="minorHAnsi"/>
                <w:sz w:val="20"/>
                <w:szCs w:val="20"/>
              </w:rPr>
              <w:t>liminacja pojazdów wysokoemisyjnych z użytkowania oraz kontrola dostępności i ruchu pojazdów spalinowych w strefach szczególnie wrażliwych jak np. miasta</w:t>
            </w:r>
          </w:p>
        </w:tc>
        <w:tc>
          <w:tcPr>
            <w:tcW w:w="2410" w:type="dxa"/>
          </w:tcPr>
          <w:p w14:paraId="4E121EBD" w14:textId="1F42A52E" w:rsidR="00A77FE9" w:rsidRPr="00F81987" w:rsidRDefault="00532EF9" w:rsidP="00A77FE9">
            <w:pPr>
              <w:jc w:val="both"/>
              <w:rPr>
                <w:rFonts w:cstheme="minorHAnsi"/>
                <w:sz w:val="20"/>
                <w:szCs w:val="20"/>
              </w:rPr>
            </w:pPr>
            <w:r>
              <w:rPr>
                <w:rFonts w:cstheme="minorHAnsi"/>
                <w:sz w:val="20"/>
                <w:szCs w:val="20"/>
              </w:rPr>
              <w:t>m</w:t>
            </w:r>
            <w:r w:rsidR="00A77FE9" w:rsidRPr="00F81987">
              <w:rPr>
                <w:rFonts w:cstheme="minorHAnsi"/>
                <w:sz w:val="20"/>
                <w:szCs w:val="20"/>
              </w:rPr>
              <w:t>inister właściwy ds. transportu</w:t>
            </w:r>
          </w:p>
        </w:tc>
      </w:tr>
      <w:tr w:rsidR="00A77FE9" w:rsidRPr="00F81987" w14:paraId="65885CED" w14:textId="77777777" w:rsidTr="00745D42">
        <w:trPr>
          <w:gridAfter w:val="1"/>
          <w:wAfter w:w="11" w:type="dxa"/>
          <w:trHeight w:val="1034"/>
          <w:jc w:val="center"/>
        </w:trPr>
        <w:tc>
          <w:tcPr>
            <w:tcW w:w="1429" w:type="dxa"/>
            <w:vMerge/>
          </w:tcPr>
          <w:p w14:paraId="4C0803ED" w14:textId="77777777" w:rsidR="00A77FE9" w:rsidRPr="00F81987" w:rsidRDefault="00A77FE9" w:rsidP="00A77FE9">
            <w:pPr>
              <w:pStyle w:val="Akapitzlist"/>
              <w:rPr>
                <w:rFonts w:cstheme="minorHAnsi"/>
                <w:sz w:val="20"/>
                <w:szCs w:val="20"/>
              </w:rPr>
            </w:pPr>
          </w:p>
        </w:tc>
        <w:tc>
          <w:tcPr>
            <w:tcW w:w="5370" w:type="dxa"/>
          </w:tcPr>
          <w:p w14:paraId="6A8B6653" w14:textId="5AC7915B" w:rsidR="00A77FE9" w:rsidRPr="00F81987" w:rsidRDefault="00532EF9" w:rsidP="00A77FE9">
            <w:pPr>
              <w:jc w:val="both"/>
              <w:rPr>
                <w:rFonts w:cstheme="minorHAnsi"/>
                <w:sz w:val="20"/>
                <w:szCs w:val="20"/>
              </w:rPr>
            </w:pPr>
            <w:r>
              <w:rPr>
                <w:rFonts w:cstheme="minorHAnsi"/>
                <w:sz w:val="20"/>
                <w:szCs w:val="20"/>
              </w:rPr>
              <w:t>k</w:t>
            </w:r>
            <w:r w:rsidR="00A77FE9" w:rsidRPr="00F81987">
              <w:rPr>
                <w:rFonts w:cstheme="minorHAnsi"/>
                <w:sz w:val="20"/>
                <w:szCs w:val="20"/>
              </w:rPr>
              <w:t>ontynuacja działań zmierzających do wyposażenia policyjnych służb drogowych w specjalistyczny sprzęt do kontroli emisji zanieczyszczeń powietrza ze źródeł transportowych (analizatory spalin i dymomierze wraz z przystawką NOx)</w:t>
            </w:r>
          </w:p>
        </w:tc>
        <w:tc>
          <w:tcPr>
            <w:tcW w:w="2410" w:type="dxa"/>
          </w:tcPr>
          <w:p w14:paraId="00E17D16" w14:textId="35203104" w:rsidR="00A77FE9" w:rsidRPr="00F81987" w:rsidRDefault="00532EF9" w:rsidP="00A77FE9">
            <w:pPr>
              <w:jc w:val="both"/>
              <w:rPr>
                <w:rFonts w:cstheme="minorHAnsi"/>
                <w:sz w:val="20"/>
                <w:szCs w:val="20"/>
              </w:rPr>
            </w:pPr>
            <w:r>
              <w:rPr>
                <w:rFonts w:cstheme="minorHAnsi"/>
                <w:sz w:val="20"/>
                <w:szCs w:val="20"/>
              </w:rPr>
              <w:t>m</w:t>
            </w:r>
            <w:r w:rsidR="00A77FE9" w:rsidRPr="00F81987">
              <w:rPr>
                <w:rFonts w:cstheme="minorHAnsi"/>
                <w:sz w:val="20"/>
                <w:szCs w:val="20"/>
              </w:rPr>
              <w:t>inister właściwy ds. wewnętrznych</w:t>
            </w:r>
          </w:p>
        </w:tc>
      </w:tr>
      <w:tr w:rsidR="00A77FE9" w:rsidRPr="00F81987" w14:paraId="259DB531" w14:textId="77777777" w:rsidTr="00745D42">
        <w:trPr>
          <w:gridAfter w:val="1"/>
          <w:wAfter w:w="11" w:type="dxa"/>
          <w:trHeight w:val="411"/>
          <w:jc w:val="center"/>
        </w:trPr>
        <w:tc>
          <w:tcPr>
            <w:tcW w:w="1429" w:type="dxa"/>
            <w:vMerge/>
          </w:tcPr>
          <w:p w14:paraId="258C1833" w14:textId="77777777" w:rsidR="00A77FE9" w:rsidRPr="00F81987" w:rsidRDefault="00A77FE9" w:rsidP="00A77FE9">
            <w:pPr>
              <w:pStyle w:val="Akapitzlist"/>
              <w:rPr>
                <w:rFonts w:cstheme="minorHAnsi"/>
                <w:sz w:val="20"/>
                <w:szCs w:val="20"/>
              </w:rPr>
            </w:pPr>
          </w:p>
        </w:tc>
        <w:tc>
          <w:tcPr>
            <w:tcW w:w="5370" w:type="dxa"/>
          </w:tcPr>
          <w:p w14:paraId="0A89122E" w14:textId="2F0541F1" w:rsidR="00A77FE9" w:rsidRPr="00F81987" w:rsidRDefault="00532EF9" w:rsidP="00A77FE9">
            <w:pPr>
              <w:jc w:val="both"/>
              <w:rPr>
                <w:rFonts w:cstheme="minorHAnsi"/>
                <w:sz w:val="20"/>
                <w:szCs w:val="20"/>
              </w:rPr>
            </w:pPr>
            <w:r>
              <w:rPr>
                <w:rFonts w:cstheme="minorHAnsi"/>
                <w:sz w:val="20"/>
                <w:szCs w:val="20"/>
              </w:rPr>
              <w:t>r</w:t>
            </w:r>
            <w:r w:rsidR="00A77FE9" w:rsidRPr="00F81987">
              <w:rPr>
                <w:rFonts w:cstheme="minorHAnsi"/>
                <w:sz w:val="20"/>
                <w:szCs w:val="20"/>
              </w:rPr>
              <w:t>ozwój transportu szynowego poprzez:</w:t>
            </w:r>
          </w:p>
          <w:p w14:paraId="478B2449" w14:textId="77BF8C12" w:rsidR="00A77FE9" w:rsidRPr="00F81987" w:rsidRDefault="00A77FE9" w:rsidP="00A77FE9">
            <w:pPr>
              <w:spacing w:after="0"/>
              <w:ind w:left="153" w:hanging="153"/>
              <w:jc w:val="both"/>
              <w:rPr>
                <w:rFonts w:cstheme="minorHAnsi"/>
                <w:sz w:val="20"/>
                <w:szCs w:val="20"/>
              </w:rPr>
            </w:pPr>
            <w:r w:rsidRPr="00F81987">
              <w:rPr>
                <w:rFonts w:cstheme="minorHAnsi"/>
                <w:sz w:val="20"/>
                <w:szCs w:val="20"/>
              </w:rPr>
              <w:t>-</w:t>
            </w:r>
            <w:r w:rsidRPr="00F81987">
              <w:rPr>
                <w:rFonts w:eastAsia="Times New Roman" w:cstheme="minorHAnsi"/>
                <w:sz w:val="20"/>
                <w:szCs w:val="20"/>
                <w:lang w:eastAsia="pl-PL"/>
              </w:rPr>
              <w:t xml:space="preserve"> </w:t>
            </w:r>
            <w:r w:rsidRPr="00F81987">
              <w:rPr>
                <w:rFonts w:cstheme="minorHAnsi"/>
                <w:sz w:val="20"/>
                <w:szCs w:val="20"/>
              </w:rPr>
              <w:t>zwiększenie liczby połączeń kolejowych w aglomeracjach oraz regionalnych i międzyregionalnych</w:t>
            </w:r>
            <w:r w:rsidR="00532EF9">
              <w:rPr>
                <w:rFonts w:cstheme="minorHAnsi"/>
                <w:sz w:val="20"/>
                <w:szCs w:val="20"/>
              </w:rPr>
              <w:t>, a także</w:t>
            </w:r>
            <w:r w:rsidRPr="00F81987">
              <w:rPr>
                <w:rFonts w:cstheme="minorHAnsi"/>
                <w:sz w:val="20"/>
                <w:szCs w:val="20"/>
              </w:rPr>
              <w:t xml:space="preserve"> częstotliwości kursowania niskoemisyjnych pojazdów szynowych</w:t>
            </w:r>
          </w:p>
          <w:p w14:paraId="3FFBD97D" w14:textId="77777777" w:rsidR="00A77FE9" w:rsidRPr="00F81987" w:rsidRDefault="00A77FE9" w:rsidP="00A77FE9">
            <w:pPr>
              <w:spacing w:after="0"/>
              <w:ind w:left="153" w:hanging="153"/>
              <w:jc w:val="both"/>
              <w:rPr>
                <w:rFonts w:cstheme="minorHAnsi"/>
                <w:sz w:val="20"/>
                <w:szCs w:val="20"/>
              </w:rPr>
            </w:pPr>
            <w:r w:rsidRPr="00F81987">
              <w:rPr>
                <w:rFonts w:cstheme="minorHAnsi"/>
                <w:sz w:val="20"/>
                <w:szCs w:val="20"/>
              </w:rPr>
              <w:t>- elektryfikacja połączeń regionalnych</w:t>
            </w:r>
          </w:p>
          <w:p w14:paraId="3BD36980" w14:textId="77777777" w:rsidR="00A77FE9" w:rsidRPr="00F81987" w:rsidRDefault="00A77FE9" w:rsidP="00A77FE9">
            <w:pPr>
              <w:spacing w:after="0"/>
              <w:ind w:left="153" w:hanging="153"/>
              <w:jc w:val="both"/>
              <w:rPr>
                <w:rFonts w:cstheme="minorHAnsi"/>
                <w:sz w:val="20"/>
                <w:szCs w:val="20"/>
              </w:rPr>
            </w:pPr>
            <w:r w:rsidRPr="00F81987">
              <w:rPr>
                <w:rFonts w:cstheme="minorHAnsi"/>
                <w:sz w:val="20"/>
                <w:szCs w:val="20"/>
              </w:rPr>
              <w:t>- szersze włączenie transportu kolejowego do obsługi transportu miejskiego (budowa nowych przystanków w aglomeracjach w ramach powstającego Programu Przystankowego, rewitalizacja linii regionalnych w ramach Programu Kolej+)</w:t>
            </w:r>
          </w:p>
          <w:p w14:paraId="38832C37" w14:textId="77777777" w:rsidR="00A77FE9" w:rsidRPr="00F81987" w:rsidRDefault="00A77FE9" w:rsidP="00A77FE9">
            <w:pPr>
              <w:spacing w:after="0"/>
              <w:ind w:left="153" w:hanging="153"/>
              <w:jc w:val="both"/>
              <w:rPr>
                <w:rFonts w:cstheme="minorHAnsi"/>
                <w:sz w:val="20"/>
                <w:szCs w:val="20"/>
              </w:rPr>
            </w:pPr>
            <w:r w:rsidRPr="00F81987">
              <w:rPr>
                <w:rFonts w:cstheme="minorHAnsi"/>
                <w:sz w:val="20"/>
                <w:szCs w:val="20"/>
              </w:rPr>
              <w:t xml:space="preserve">- poprawa komfortu i funkcjonowania węzłów przesiadkowych komunikacji publicznej </w:t>
            </w:r>
          </w:p>
          <w:p w14:paraId="1B441638" w14:textId="77777777" w:rsidR="00A77FE9" w:rsidRPr="00F81987" w:rsidRDefault="00A77FE9" w:rsidP="00A77FE9">
            <w:pPr>
              <w:spacing w:after="0"/>
              <w:ind w:left="153" w:hanging="153"/>
              <w:jc w:val="both"/>
              <w:rPr>
                <w:rFonts w:cstheme="minorHAnsi"/>
                <w:sz w:val="20"/>
                <w:szCs w:val="20"/>
              </w:rPr>
            </w:pPr>
            <w:r w:rsidRPr="00F81987">
              <w:rPr>
                <w:rFonts w:cstheme="minorHAnsi"/>
                <w:sz w:val="20"/>
                <w:szCs w:val="20"/>
              </w:rPr>
              <w:t xml:space="preserve">- zwiększenie roli przejazdów realizowanych z wykorzystaniem łańcuchów ekomobilności, zwłaszcza systemów rower&amp;kolej (budowa parkingów typu Park&amp;Ride oraz Park&amp;Bike) </w:t>
            </w:r>
          </w:p>
          <w:p w14:paraId="1E152CD3" w14:textId="77777777" w:rsidR="00A77FE9" w:rsidRPr="00F81987" w:rsidRDefault="00A77FE9" w:rsidP="00A77FE9">
            <w:pPr>
              <w:spacing w:after="0"/>
              <w:ind w:left="153" w:hanging="153"/>
              <w:jc w:val="both"/>
              <w:rPr>
                <w:rFonts w:cstheme="minorHAnsi"/>
                <w:sz w:val="20"/>
                <w:szCs w:val="20"/>
              </w:rPr>
            </w:pPr>
            <w:r w:rsidRPr="00F81987">
              <w:rPr>
                <w:rFonts w:cstheme="minorHAnsi"/>
                <w:sz w:val="20"/>
                <w:szCs w:val="20"/>
              </w:rPr>
              <w:t>- modernizacja infrastruktury i taboru kolejowego</w:t>
            </w:r>
          </w:p>
        </w:tc>
        <w:tc>
          <w:tcPr>
            <w:tcW w:w="2410" w:type="dxa"/>
          </w:tcPr>
          <w:p w14:paraId="2D656342" w14:textId="0A6D805C" w:rsidR="00A77FE9" w:rsidRPr="00F81987" w:rsidRDefault="00532EF9" w:rsidP="00A77FE9">
            <w:pPr>
              <w:jc w:val="both"/>
              <w:rPr>
                <w:rFonts w:cstheme="minorHAnsi"/>
                <w:sz w:val="20"/>
                <w:szCs w:val="20"/>
              </w:rPr>
            </w:pPr>
            <w:r>
              <w:rPr>
                <w:rFonts w:cstheme="minorHAnsi"/>
                <w:sz w:val="20"/>
                <w:szCs w:val="20"/>
              </w:rPr>
              <w:t>m</w:t>
            </w:r>
            <w:r w:rsidR="00A77FE9" w:rsidRPr="00F81987">
              <w:rPr>
                <w:rFonts w:cstheme="minorHAnsi"/>
                <w:sz w:val="20"/>
                <w:szCs w:val="20"/>
              </w:rPr>
              <w:t>inister właściwy ds. transportu</w:t>
            </w:r>
          </w:p>
        </w:tc>
      </w:tr>
      <w:tr w:rsidR="00A77FE9" w:rsidRPr="00F81987" w14:paraId="46CC038C" w14:textId="77777777" w:rsidTr="00745D42">
        <w:trPr>
          <w:gridAfter w:val="1"/>
          <w:wAfter w:w="11" w:type="dxa"/>
          <w:trHeight w:val="411"/>
          <w:jc w:val="center"/>
        </w:trPr>
        <w:tc>
          <w:tcPr>
            <w:tcW w:w="1429" w:type="dxa"/>
            <w:vMerge/>
          </w:tcPr>
          <w:p w14:paraId="2E1FEE80" w14:textId="77777777" w:rsidR="00A77FE9" w:rsidRPr="00F81987" w:rsidRDefault="00A77FE9" w:rsidP="00A77FE9">
            <w:pPr>
              <w:pStyle w:val="Akapitzlist"/>
              <w:rPr>
                <w:rFonts w:cstheme="minorHAnsi"/>
                <w:sz w:val="20"/>
                <w:szCs w:val="20"/>
              </w:rPr>
            </w:pPr>
          </w:p>
        </w:tc>
        <w:tc>
          <w:tcPr>
            <w:tcW w:w="5370" w:type="dxa"/>
          </w:tcPr>
          <w:p w14:paraId="1A0D6CF5" w14:textId="25E1F99A" w:rsidR="00A77FE9" w:rsidRPr="00F81987" w:rsidRDefault="00532EF9" w:rsidP="00A77FE9">
            <w:pPr>
              <w:jc w:val="both"/>
              <w:rPr>
                <w:rFonts w:cstheme="minorHAnsi"/>
                <w:sz w:val="20"/>
                <w:szCs w:val="20"/>
              </w:rPr>
            </w:pPr>
            <w:r>
              <w:rPr>
                <w:rFonts w:cstheme="minorHAnsi"/>
                <w:sz w:val="20"/>
                <w:szCs w:val="20"/>
              </w:rPr>
              <w:t>a</w:t>
            </w:r>
            <w:r w:rsidR="00A77FE9" w:rsidRPr="00F81987">
              <w:rPr>
                <w:rFonts w:cstheme="minorHAnsi"/>
                <w:sz w:val="20"/>
                <w:szCs w:val="20"/>
              </w:rPr>
              <w:t>naliza możliwości wprowadzenia w miastach transportu pneumatycznego odpadów (eliminacja transportu drogowego), począwszy od nowych osiedli mieszkaniowych)</w:t>
            </w:r>
          </w:p>
        </w:tc>
        <w:tc>
          <w:tcPr>
            <w:tcW w:w="2410" w:type="dxa"/>
          </w:tcPr>
          <w:p w14:paraId="1019BF49" w14:textId="7AA97A57" w:rsidR="00A77FE9" w:rsidRPr="00F81987" w:rsidRDefault="00532EF9" w:rsidP="00A77FE9">
            <w:pPr>
              <w:jc w:val="both"/>
              <w:rPr>
                <w:rFonts w:cstheme="minorHAnsi"/>
                <w:sz w:val="20"/>
                <w:szCs w:val="20"/>
              </w:rPr>
            </w:pPr>
            <w:r>
              <w:rPr>
                <w:rFonts w:cstheme="minorHAnsi"/>
                <w:sz w:val="20"/>
                <w:szCs w:val="20"/>
              </w:rPr>
              <w:t>m</w:t>
            </w:r>
            <w:r w:rsidR="00A77FE9" w:rsidRPr="00F81987">
              <w:rPr>
                <w:rFonts w:cstheme="minorHAnsi"/>
                <w:sz w:val="20"/>
                <w:szCs w:val="20"/>
              </w:rPr>
              <w:t>inister właściwy ds. klimatu (</w:t>
            </w:r>
            <w:r w:rsidR="00173C6D">
              <w:rPr>
                <w:rFonts w:cstheme="minorHAnsi"/>
                <w:sz w:val="20"/>
                <w:szCs w:val="20"/>
              </w:rPr>
              <w:t xml:space="preserve">DPM, wpierająco </w:t>
            </w:r>
            <w:r w:rsidR="00A77FE9" w:rsidRPr="00F81987">
              <w:rPr>
                <w:rFonts w:cstheme="minorHAnsi"/>
                <w:sz w:val="20"/>
                <w:szCs w:val="20"/>
              </w:rPr>
              <w:t>DGO), JST.</w:t>
            </w:r>
          </w:p>
        </w:tc>
      </w:tr>
      <w:tr w:rsidR="00A77FE9" w:rsidRPr="00F81987" w14:paraId="1027E9BA" w14:textId="77777777" w:rsidTr="00745D42">
        <w:trPr>
          <w:gridAfter w:val="1"/>
          <w:wAfter w:w="11" w:type="dxa"/>
          <w:trHeight w:val="411"/>
          <w:jc w:val="center"/>
        </w:trPr>
        <w:tc>
          <w:tcPr>
            <w:tcW w:w="1429" w:type="dxa"/>
            <w:vMerge/>
          </w:tcPr>
          <w:p w14:paraId="2784D4A0" w14:textId="77777777" w:rsidR="00A77FE9" w:rsidRPr="00F81987" w:rsidRDefault="00A77FE9" w:rsidP="00A77FE9">
            <w:pPr>
              <w:pStyle w:val="Akapitzlist"/>
              <w:rPr>
                <w:rFonts w:cstheme="minorHAnsi"/>
                <w:sz w:val="20"/>
                <w:szCs w:val="20"/>
              </w:rPr>
            </w:pPr>
          </w:p>
        </w:tc>
        <w:tc>
          <w:tcPr>
            <w:tcW w:w="5370" w:type="dxa"/>
          </w:tcPr>
          <w:p w14:paraId="2DDDCB01" w14:textId="2579B846" w:rsidR="00A77FE9" w:rsidRPr="00F81987" w:rsidRDefault="00532EF9" w:rsidP="00A77FE9">
            <w:pPr>
              <w:jc w:val="both"/>
              <w:rPr>
                <w:rFonts w:cstheme="minorHAnsi"/>
                <w:sz w:val="20"/>
                <w:szCs w:val="20"/>
              </w:rPr>
            </w:pPr>
            <w:r>
              <w:rPr>
                <w:rFonts w:cstheme="minorHAnsi"/>
                <w:sz w:val="20"/>
                <w:szCs w:val="20"/>
              </w:rPr>
              <w:t>w</w:t>
            </w:r>
            <w:r w:rsidR="00A77FE9" w:rsidRPr="00F81987">
              <w:rPr>
                <w:rFonts w:cstheme="minorHAnsi"/>
                <w:sz w:val="20"/>
                <w:szCs w:val="20"/>
              </w:rPr>
              <w:t>ymiana taboru drogowego do transportu odpadów (m.in. śmieciarek) na niskoemisyjny (rodzaj paliwa, odpowiednie zabezpieczenie odpadów)</w:t>
            </w:r>
          </w:p>
        </w:tc>
        <w:tc>
          <w:tcPr>
            <w:tcW w:w="2410" w:type="dxa"/>
          </w:tcPr>
          <w:p w14:paraId="30C1A6C7" w14:textId="5E26B99D" w:rsidR="00A77FE9" w:rsidRPr="00F81987" w:rsidRDefault="00532EF9" w:rsidP="00A77FE9">
            <w:pPr>
              <w:jc w:val="both"/>
              <w:rPr>
                <w:rFonts w:cstheme="minorHAnsi"/>
                <w:sz w:val="20"/>
                <w:szCs w:val="20"/>
              </w:rPr>
            </w:pPr>
            <w:r>
              <w:rPr>
                <w:rFonts w:cstheme="minorHAnsi"/>
                <w:sz w:val="20"/>
                <w:szCs w:val="20"/>
              </w:rPr>
              <w:t>m</w:t>
            </w:r>
            <w:r w:rsidR="00A77FE9" w:rsidRPr="00F81987">
              <w:rPr>
                <w:rFonts w:cstheme="minorHAnsi"/>
                <w:sz w:val="20"/>
                <w:szCs w:val="20"/>
              </w:rPr>
              <w:t xml:space="preserve">inister właściwy ds. </w:t>
            </w:r>
            <w:r w:rsidR="00173C6D">
              <w:rPr>
                <w:rFonts w:cstheme="minorHAnsi"/>
                <w:sz w:val="20"/>
                <w:szCs w:val="20"/>
              </w:rPr>
              <w:t>transportu, minister właściwy ds. energii i klimatu</w:t>
            </w:r>
            <w:r w:rsidR="00A77FE9" w:rsidRPr="00F81987">
              <w:rPr>
                <w:rFonts w:cstheme="minorHAnsi"/>
                <w:sz w:val="20"/>
                <w:szCs w:val="20"/>
              </w:rPr>
              <w:t xml:space="preserve"> (</w:t>
            </w:r>
            <w:r w:rsidR="00173C6D">
              <w:rPr>
                <w:rFonts w:cstheme="minorHAnsi"/>
                <w:sz w:val="20"/>
                <w:szCs w:val="20"/>
              </w:rPr>
              <w:t>DEG, wspierająco DGO)</w:t>
            </w:r>
            <w:r w:rsidR="00A77FE9" w:rsidRPr="00F81987">
              <w:rPr>
                <w:rFonts w:cstheme="minorHAnsi"/>
                <w:sz w:val="20"/>
                <w:szCs w:val="20"/>
              </w:rPr>
              <w:t>, JST.</w:t>
            </w:r>
          </w:p>
        </w:tc>
      </w:tr>
      <w:tr w:rsidR="00A77FE9" w:rsidRPr="00F81987" w14:paraId="22CA8349" w14:textId="77777777" w:rsidTr="00745D42">
        <w:trPr>
          <w:gridAfter w:val="1"/>
          <w:wAfter w:w="11" w:type="dxa"/>
          <w:trHeight w:val="557"/>
          <w:jc w:val="center"/>
        </w:trPr>
        <w:tc>
          <w:tcPr>
            <w:tcW w:w="1429" w:type="dxa"/>
            <w:vMerge/>
          </w:tcPr>
          <w:p w14:paraId="4E1A527F" w14:textId="77777777" w:rsidR="00A77FE9" w:rsidRPr="00F81987" w:rsidRDefault="00A77FE9" w:rsidP="00A77FE9">
            <w:pPr>
              <w:pStyle w:val="Akapitzlist"/>
              <w:rPr>
                <w:rFonts w:cstheme="minorHAnsi"/>
                <w:sz w:val="20"/>
                <w:szCs w:val="20"/>
              </w:rPr>
            </w:pPr>
          </w:p>
        </w:tc>
        <w:tc>
          <w:tcPr>
            <w:tcW w:w="5370" w:type="dxa"/>
          </w:tcPr>
          <w:p w14:paraId="62DBA2FC" w14:textId="3E0C7E0D" w:rsidR="00A77FE9" w:rsidRPr="00F81987" w:rsidRDefault="00532EF9" w:rsidP="00A77FE9">
            <w:pPr>
              <w:jc w:val="both"/>
              <w:rPr>
                <w:rFonts w:cstheme="minorHAnsi"/>
                <w:sz w:val="20"/>
                <w:szCs w:val="20"/>
              </w:rPr>
            </w:pPr>
            <w:r>
              <w:rPr>
                <w:rFonts w:cstheme="minorHAnsi"/>
                <w:sz w:val="20"/>
                <w:szCs w:val="20"/>
              </w:rPr>
              <w:t>o</w:t>
            </w:r>
            <w:r w:rsidR="00A77FE9" w:rsidRPr="00F81987">
              <w:rPr>
                <w:rFonts w:cstheme="minorHAnsi"/>
                <w:sz w:val="20"/>
                <w:szCs w:val="20"/>
              </w:rPr>
              <w:t>graniczenie emisji z sektora transportu poprzez racjonalizację organizacji spotkań, posiedzeń i konferencji na rzecz połączeń on-line (ograniczenia dotyczące fizycznego przemieszczenia się wpływają znacząco na ograniczenie natężenia transportu, w tym ruchu samochodowego zarówno lokalnie, jak i w skali kraju)</w:t>
            </w:r>
          </w:p>
        </w:tc>
        <w:tc>
          <w:tcPr>
            <w:tcW w:w="2410" w:type="dxa"/>
          </w:tcPr>
          <w:p w14:paraId="1F087703" w14:textId="004C9411" w:rsidR="00A77FE9" w:rsidRPr="00F81987" w:rsidRDefault="00532EF9" w:rsidP="00A77FE9">
            <w:pPr>
              <w:jc w:val="both"/>
              <w:rPr>
                <w:rFonts w:cstheme="minorHAnsi"/>
                <w:sz w:val="20"/>
                <w:szCs w:val="20"/>
              </w:rPr>
            </w:pPr>
            <w:r>
              <w:rPr>
                <w:rFonts w:cstheme="minorHAnsi"/>
                <w:sz w:val="20"/>
                <w:szCs w:val="20"/>
              </w:rPr>
              <w:t>a</w:t>
            </w:r>
            <w:r w:rsidR="00A77FE9" w:rsidRPr="00F81987">
              <w:rPr>
                <w:rFonts w:cstheme="minorHAnsi"/>
                <w:sz w:val="20"/>
                <w:szCs w:val="20"/>
              </w:rPr>
              <w:t>dministracja rządową oraz samorządowa, na wszystkich szczeblach zarządzania</w:t>
            </w:r>
          </w:p>
        </w:tc>
      </w:tr>
      <w:tr w:rsidR="00A77FE9" w:rsidRPr="00F81987" w14:paraId="3441347B" w14:textId="77777777" w:rsidTr="00745D42">
        <w:trPr>
          <w:gridAfter w:val="1"/>
          <w:wAfter w:w="11" w:type="dxa"/>
          <w:trHeight w:val="763"/>
          <w:jc w:val="center"/>
        </w:trPr>
        <w:tc>
          <w:tcPr>
            <w:tcW w:w="1429" w:type="dxa"/>
            <w:vMerge/>
          </w:tcPr>
          <w:p w14:paraId="587ACB44" w14:textId="77777777" w:rsidR="00A77FE9" w:rsidRPr="00F81987" w:rsidRDefault="00A77FE9" w:rsidP="00A77FE9">
            <w:pPr>
              <w:pStyle w:val="Akapitzlist"/>
              <w:rPr>
                <w:rFonts w:cstheme="minorHAnsi"/>
                <w:sz w:val="20"/>
                <w:szCs w:val="20"/>
              </w:rPr>
            </w:pPr>
          </w:p>
        </w:tc>
        <w:tc>
          <w:tcPr>
            <w:tcW w:w="5370" w:type="dxa"/>
          </w:tcPr>
          <w:p w14:paraId="79D4CA97" w14:textId="02151ECC" w:rsidR="00A77FE9" w:rsidRPr="00F81987" w:rsidRDefault="00532EF9" w:rsidP="00A77FE9">
            <w:pPr>
              <w:jc w:val="both"/>
              <w:rPr>
                <w:rFonts w:cstheme="minorHAnsi"/>
                <w:sz w:val="20"/>
                <w:szCs w:val="20"/>
              </w:rPr>
            </w:pPr>
            <w:r>
              <w:rPr>
                <w:rFonts w:cstheme="minorHAnsi"/>
                <w:sz w:val="20"/>
                <w:szCs w:val="20"/>
              </w:rPr>
              <w:t>e</w:t>
            </w:r>
            <w:r w:rsidR="002C4A11">
              <w:rPr>
                <w:rFonts w:cstheme="minorHAnsi"/>
                <w:sz w:val="20"/>
                <w:szCs w:val="20"/>
              </w:rPr>
              <w:t>r</w:t>
            </w:r>
            <w:r w:rsidR="00A77FE9" w:rsidRPr="00F81987">
              <w:rPr>
                <w:rFonts w:cstheme="minorHAnsi"/>
                <w:sz w:val="20"/>
                <w:szCs w:val="20"/>
              </w:rPr>
              <w:t>ozwój transportu morskiego</w:t>
            </w:r>
          </w:p>
        </w:tc>
        <w:tc>
          <w:tcPr>
            <w:tcW w:w="2410" w:type="dxa"/>
          </w:tcPr>
          <w:p w14:paraId="736CE95B" w14:textId="611835C0" w:rsidR="00A77FE9" w:rsidRPr="00F81987" w:rsidRDefault="00532EF9" w:rsidP="00A77FE9">
            <w:pPr>
              <w:jc w:val="both"/>
              <w:rPr>
                <w:rFonts w:cstheme="minorHAnsi"/>
                <w:sz w:val="20"/>
                <w:szCs w:val="20"/>
              </w:rPr>
            </w:pPr>
            <w:r>
              <w:rPr>
                <w:rFonts w:cstheme="minorHAnsi"/>
                <w:sz w:val="20"/>
                <w:szCs w:val="20"/>
              </w:rPr>
              <w:t>m</w:t>
            </w:r>
            <w:r w:rsidR="00A77FE9" w:rsidRPr="00F81987">
              <w:rPr>
                <w:rFonts w:cstheme="minorHAnsi"/>
                <w:sz w:val="20"/>
                <w:szCs w:val="20"/>
              </w:rPr>
              <w:t xml:space="preserve">inister właściwy ds. transportu  </w:t>
            </w:r>
          </w:p>
        </w:tc>
      </w:tr>
      <w:tr w:rsidR="00A77FE9" w:rsidRPr="00F81987" w14:paraId="29DDA6F1" w14:textId="77777777" w:rsidTr="00745D42">
        <w:trPr>
          <w:gridAfter w:val="1"/>
          <w:wAfter w:w="11" w:type="dxa"/>
          <w:trHeight w:val="763"/>
          <w:jc w:val="center"/>
        </w:trPr>
        <w:tc>
          <w:tcPr>
            <w:tcW w:w="1429" w:type="dxa"/>
            <w:vMerge/>
          </w:tcPr>
          <w:p w14:paraId="1D49669E" w14:textId="77777777" w:rsidR="00A77FE9" w:rsidRPr="00F81987" w:rsidRDefault="00A77FE9" w:rsidP="00A77FE9">
            <w:pPr>
              <w:pStyle w:val="Akapitzlist"/>
              <w:rPr>
                <w:rFonts w:cstheme="minorHAnsi"/>
                <w:sz w:val="20"/>
                <w:szCs w:val="20"/>
              </w:rPr>
            </w:pPr>
          </w:p>
        </w:tc>
        <w:tc>
          <w:tcPr>
            <w:tcW w:w="5370" w:type="dxa"/>
          </w:tcPr>
          <w:p w14:paraId="23F276F8" w14:textId="28952A90" w:rsidR="00A77FE9" w:rsidRPr="00F81987" w:rsidRDefault="00A77FE9" w:rsidP="00A77FE9">
            <w:pPr>
              <w:jc w:val="both"/>
              <w:rPr>
                <w:rFonts w:cstheme="minorHAnsi"/>
                <w:sz w:val="20"/>
                <w:szCs w:val="20"/>
              </w:rPr>
            </w:pPr>
            <w:r w:rsidRPr="00F81987">
              <w:rPr>
                <w:rFonts w:cstheme="minorHAnsi"/>
                <w:sz w:val="20"/>
                <w:szCs w:val="20"/>
              </w:rPr>
              <w:t>kontynuacja rozwoju i wdrażania Inteligentnych Systemów Transportowych</w:t>
            </w:r>
          </w:p>
        </w:tc>
        <w:tc>
          <w:tcPr>
            <w:tcW w:w="2410" w:type="dxa"/>
          </w:tcPr>
          <w:p w14:paraId="27CACB15" w14:textId="6A8BC2C8" w:rsidR="00A77FE9" w:rsidRPr="00F81987" w:rsidRDefault="00A77FE9" w:rsidP="00A77FE9">
            <w:pPr>
              <w:jc w:val="both"/>
              <w:rPr>
                <w:rFonts w:cstheme="minorHAnsi"/>
                <w:sz w:val="20"/>
                <w:szCs w:val="20"/>
              </w:rPr>
            </w:pPr>
            <w:r w:rsidRPr="00F81987">
              <w:rPr>
                <w:rFonts w:cstheme="minorHAnsi"/>
                <w:sz w:val="20"/>
                <w:szCs w:val="20"/>
              </w:rPr>
              <w:t>JST</w:t>
            </w:r>
          </w:p>
        </w:tc>
      </w:tr>
      <w:tr w:rsidR="00A77FE9" w:rsidRPr="00F81987" w14:paraId="354A9ABE" w14:textId="77777777" w:rsidTr="00745D42">
        <w:trPr>
          <w:gridAfter w:val="1"/>
          <w:wAfter w:w="11" w:type="dxa"/>
          <w:trHeight w:val="763"/>
          <w:jc w:val="center"/>
        </w:trPr>
        <w:tc>
          <w:tcPr>
            <w:tcW w:w="1429" w:type="dxa"/>
            <w:vMerge/>
          </w:tcPr>
          <w:p w14:paraId="02D80C7E" w14:textId="77777777" w:rsidR="00A77FE9" w:rsidRPr="00F81987" w:rsidRDefault="00A77FE9" w:rsidP="00A77FE9">
            <w:pPr>
              <w:pStyle w:val="Akapitzlist"/>
              <w:rPr>
                <w:rFonts w:cstheme="minorHAnsi"/>
                <w:sz w:val="20"/>
                <w:szCs w:val="20"/>
              </w:rPr>
            </w:pPr>
          </w:p>
        </w:tc>
        <w:tc>
          <w:tcPr>
            <w:tcW w:w="5370" w:type="dxa"/>
          </w:tcPr>
          <w:p w14:paraId="563437CF" w14:textId="4EFD26F3" w:rsidR="00A77FE9" w:rsidRPr="00F81987" w:rsidRDefault="00532EF9" w:rsidP="00A77FE9">
            <w:pPr>
              <w:suppressAutoHyphens/>
              <w:spacing w:after="0" w:line="276" w:lineRule="auto"/>
              <w:jc w:val="both"/>
              <w:rPr>
                <w:rFonts w:eastAsia="+mj-ea" w:cstheme="minorHAnsi"/>
                <w:kern w:val="24"/>
                <w:sz w:val="20"/>
                <w:szCs w:val="20"/>
              </w:rPr>
            </w:pPr>
            <w:r>
              <w:rPr>
                <w:rFonts w:cstheme="minorHAnsi"/>
                <w:sz w:val="20"/>
                <w:szCs w:val="20"/>
              </w:rPr>
              <w:t>w</w:t>
            </w:r>
            <w:r w:rsidR="00A77FE9" w:rsidRPr="00F81987">
              <w:rPr>
                <w:rFonts w:cstheme="minorHAnsi"/>
                <w:sz w:val="20"/>
                <w:szCs w:val="20"/>
              </w:rPr>
              <w:t>prowadzenie systemu monitorowania emisji z transportu, pozwalając</w:t>
            </w:r>
            <w:r>
              <w:rPr>
                <w:rFonts w:cstheme="minorHAnsi"/>
                <w:sz w:val="20"/>
                <w:szCs w:val="20"/>
              </w:rPr>
              <w:t>ego</w:t>
            </w:r>
            <w:r w:rsidR="00A77FE9" w:rsidRPr="00F81987">
              <w:rPr>
                <w:rFonts w:cstheme="minorHAnsi"/>
                <w:sz w:val="20"/>
                <w:szCs w:val="20"/>
              </w:rPr>
              <w:t xml:space="preserve"> na bieżący monitoring wpływu ruchu drogowego na jakość powietrza, obejmując</w:t>
            </w:r>
            <w:r>
              <w:rPr>
                <w:rFonts w:cstheme="minorHAnsi"/>
                <w:sz w:val="20"/>
                <w:szCs w:val="20"/>
              </w:rPr>
              <w:t>ego</w:t>
            </w:r>
            <w:r w:rsidR="00A77FE9" w:rsidRPr="00F81987">
              <w:rPr>
                <w:rFonts w:cstheme="minorHAnsi"/>
                <w:sz w:val="20"/>
                <w:szCs w:val="20"/>
              </w:rPr>
              <w:t xml:space="preserve">: </w:t>
            </w:r>
          </w:p>
          <w:p w14:paraId="2C4DD2C6" w14:textId="77777777" w:rsidR="00A77FE9" w:rsidRPr="00F81987" w:rsidRDefault="00A77FE9" w:rsidP="00A77FE9">
            <w:pPr>
              <w:suppressAutoHyphens/>
              <w:spacing w:after="0" w:line="276" w:lineRule="auto"/>
              <w:jc w:val="both"/>
              <w:rPr>
                <w:rFonts w:cstheme="minorHAnsi"/>
                <w:sz w:val="20"/>
                <w:szCs w:val="20"/>
              </w:rPr>
            </w:pPr>
            <w:r w:rsidRPr="00F81987">
              <w:rPr>
                <w:rFonts w:cstheme="minorHAnsi"/>
                <w:sz w:val="20"/>
                <w:szCs w:val="20"/>
              </w:rPr>
              <w:t xml:space="preserve">- system automatycznego pomiaru natężenia i struktury ruchu pojazdów oraz prędkości odcinkowych pojazdów (wykorzystanie systemu kamer rozpoznających numery rejestracyjne pojazdów), </w:t>
            </w:r>
          </w:p>
          <w:p w14:paraId="3563F85E" w14:textId="60CC08C0" w:rsidR="00A77FE9" w:rsidRPr="00F81987" w:rsidRDefault="00A77FE9" w:rsidP="00A77FE9">
            <w:pPr>
              <w:jc w:val="both"/>
              <w:rPr>
                <w:rFonts w:cstheme="minorHAnsi"/>
                <w:sz w:val="20"/>
                <w:szCs w:val="20"/>
              </w:rPr>
            </w:pPr>
            <w:r w:rsidRPr="00F81987">
              <w:rPr>
                <w:rFonts w:cstheme="minorHAnsi"/>
                <w:sz w:val="20"/>
                <w:szCs w:val="20"/>
              </w:rPr>
              <w:t>- wykorzystanie modelowania natężenia i struktury ruchu dla wszystkich odcinków dróg w mieście oraz prowadzenie obliczeń prognostycznych</w:t>
            </w:r>
          </w:p>
        </w:tc>
        <w:tc>
          <w:tcPr>
            <w:tcW w:w="2410" w:type="dxa"/>
          </w:tcPr>
          <w:p w14:paraId="573C09A3" w14:textId="416F3819" w:rsidR="00A77FE9" w:rsidRPr="00F81987" w:rsidRDefault="00532EF9" w:rsidP="00A77FE9">
            <w:pPr>
              <w:jc w:val="both"/>
              <w:rPr>
                <w:rFonts w:cstheme="minorHAnsi"/>
                <w:sz w:val="20"/>
                <w:szCs w:val="20"/>
              </w:rPr>
            </w:pPr>
            <w:r>
              <w:rPr>
                <w:rFonts w:cstheme="minorHAnsi"/>
                <w:sz w:val="20"/>
                <w:szCs w:val="20"/>
              </w:rPr>
              <w:t>m</w:t>
            </w:r>
            <w:r w:rsidR="00A77FE9" w:rsidRPr="00F81987">
              <w:rPr>
                <w:rFonts w:cstheme="minorHAnsi"/>
                <w:sz w:val="20"/>
                <w:szCs w:val="20"/>
              </w:rPr>
              <w:t xml:space="preserve">inister właściwy ds. klimatu, </w:t>
            </w:r>
            <w:r>
              <w:rPr>
                <w:rFonts w:cstheme="minorHAnsi"/>
                <w:sz w:val="20"/>
                <w:szCs w:val="20"/>
              </w:rPr>
              <w:t>m</w:t>
            </w:r>
            <w:r w:rsidR="00A77FE9" w:rsidRPr="00F81987">
              <w:rPr>
                <w:rFonts w:cstheme="minorHAnsi"/>
                <w:sz w:val="20"/>
                <w:szCs w:val="20"/>
              </w:rPr>
              <w:t>inister właściwy ds. transportu, JST.</w:t>
            </w:r>
          </w:p>
        </w:tc>
      </w:tr>
      <w:tr w:rsidR="00A77FE9" w:rsidRPr="00F81987" w14:paraId="05993940" w14:textId="77777777" w:rsidTr="002C4A11">
        <w:trPr>
          <w:gridAfter w:val="1"/>
          <w:wAfter w:w="11" w:type="dxa"/>
          <w:trHeight w:val="972"/>
          <w:jc w:val="center"/>
        </w:trPr>
        <w:tc>
          <w:tcPr>
            <w:tcW w:w="1429" w:type="dxa"/>
            <w:vMerge w:val="restart"/>
          </w:tcPr>
          <w:p w14:paraId="2E3CE6F4" w14:textId="77777777" w:rsidR="00A77FE9" w:rsidRPr="00F81987" w:rsidRDefault="00A77FE9" w:rsidP="00A77FE9">
            <w:pPr>
              <w:rPr>
                <w:rFonts w:cstheme="minorHAnsi"/>
                <w:sz w:val="20"/>
                <w:szCs w:val="20"/>
              </w:rPr>
            </w:pPr>
            <w:r w:rsidRPr="00F81987">
              <w:rPr>
                <w:rFonts w:cstheme="minorHAnsi"/>
                <w:sz w:val="20"/>
                <w:szCs w:val="20"/>
              </w:rPr>
              <w:t>Średnioterminowe (do 2030 r.)</w:t>
            </w:r>
          </w:p>
        </w:tc>
        <w:tc>
          <w:tcPr>
            <w:tcW w:w="5370" w:type="dxa"/>
          </w:tcPr>
          <w:p w14:paraId="7174E36C" w14:textId="62C7DCD7" w:rsidR="00A77FE9" w:rsidRPr="00F81987" w:rsidRDefault="00532EF9" w:rsidP="00A77FE9">
            <w:pPr>
              <w:jc w:val="both"/>
              <w:rPr>
                <w:rFonts w:cstheme="minorHAnsi"/>
                <w:sz w:val="20"/>
                <w:szCs w:val="20"/>
              </w:rPr>
            </w:pPr>
            <w:r>
              <w:rPr>
                <w:rFonts w:cstheme="minorHAnsi"/>
                <w:sz w:val="20"/>
                <w:szCs w:val="20"/>
              </w:rPr>
              <w:t>r</w:t>
            </w:r>
            <w:r w:rsidR="00A77FE9" w:rsidRPr="00F81987">
              <w:rPr>
                <w:rFonts w:cstheme="minorHAnsi"/>
                <w:sz w:val="20"/>
                <w:szCs w:val="20"/>
              </w:rPr>
              <w:t>ozwój transportu niskoemisyjnego, w szczególności dążenie do zeroemisyjnej komunikacji publicznej w miastach powyżej 100 tys. mieszkańców</w:t>
            </w:r>
          </w:p>
        </w:tc>
        <w:tc>
          <w:tcPr>
            <w:tcW w:w="2410" w:type="dxa"/>
          </w:tcPr>
          <w:p w14:paraId="2C459CB3" w14:textId="26ED59DF" w:rsidR="00A77FE9" w:rsidRPr="00F81987" w:rsidRDefault="00A77FE9" w:rsidP="00A77FE9">
            <w:pPr>
              <w:rPr>
                <w:rFonts w:cstheme="minorHAnsi"/>
                <w:sz w:val="20"/>
                <w:szCs w:val="20"/>
              </w:rPr>
            </w:pPr>
            <w:r w:rsidRPr="00F81987">
              <w:rPr>
                <w:rFonts w:cstheme="minorHAnsi"/>
                <w:sz w:val="20"/>
                <w:szCs w:val="20"/>
              </w:rPr>
              <w:t>Minister właściwy ds. klimatu</w:t>
            </w:r>
            <w:r w:rsidR="00532EF9">
              <w:rPr>
                <w:rFonts w:cstheme="minorHAnsi"/>
                <w:sz w:val="20"/>
                <w:szCs w:val="20"/>
              </w:rPr>
              <w:t xml:space="preserve"> i energii</w:t>
            </w:r>
          </w:p>
        </w:tc>
      </w:tr>
      <w:tr w:rsidR="00A77FE9" w:rsidRPr="00F81987" w14:paraId="52E42839" w14:textId="77777777" w:rsidTr="002C4A11">
        <w:trPr>
          <w:gridAfter w:val="1"/>
          <w:wAfter w:w="11" w:type="dxa"/>
          <w:trHeight w:val="649"/>
          <w:jc w:val="center"/>
        </w:trPr>
        <w:tc>
          <w:tcPr>
            <w:tcW w:w="1429" w:type="dxa"/>
            <w:vMerge/>
          </w:tcPr>
          <w:p w14:paraId="623604E5" w14:textId="77777777" w:rsidR="00A77FE9" w:rsidRPr="00F81987" w:rsidRDefault="00A77FE9" w:rsidP="00A77FE9">
            <w:pPr>
              <w:pStyle w:val="Akapitzlist"/>
              <w:rPr>
                <w:rFonts w:cstheme="minorHAnsi"/>
                <w:sz w:val="20"/>
                <w:szCs w:val="20"/>
              </w:rPr>
            </w:pPr>
          </w:p>
        </w:tc>
        <w:tc>
          <w:tcPr>
            <w:tcW w:w="5370" w:type="dxa"/>
          </w:tcPr>
          <w:p w14:paraId="4D66AB51" w14:textId="7A9D7C7A" w:rsidR="00A77FE9" w:rsidRPr="00F81987" w:rsidRDefault="00532EF9" w:rsidP="00A77FE9">
            <w:pPr>
              <w:rPr>
                <w:rFonts w:cstheme="minorHAnsi"/>
                <w:sz w:val="20"/>
                <w:szCs w:val="20"/>
              </w:rPr>
            </w:pPr>
            <w:r>
              <w:rPr>
                <w:rFonts w:cstheme="minorHAnsi"/>
                <w:sz w:val="20"/>
                <w:szCs w:val="20"/>
              </w:rPr>
              <w:t>e</w:t>
            </w:r>
            <w:r w:rsidR="00A77FE9" w:rsidRPr="00F81987">
              <w:rPr>
                <w:rFonts w:cstheme="minorHAnsi"/>
                <w:sz w:val="20"/>
                <w:szCs w:val="20"/>
              </w:rPr>
              <w:t xml:space="preserve">lektryfikacja transportu </w:t>
            </w:r>
          </w:p>
        </w:tc>
        <w:tc>
          <w:tcPr>
            <w:tcW w:w="2410" w:type="dxa"/>
          </w:tcPr>
          <w:p w14:paraId="76C7325E" w14:textId="554C7D1D" w:rsidR="00A77FE9" w:rsidRPr="00F81987" w:rsidRDefault="00A77FE9" w:rsidP="00A77FE9">
            <w:pPr>
              <w:rPr>
                <w:rFonts w:cstheme="minorHAnsi"/>
                <w:sz w:val="20"/>
                <w:szCs w:val="20"/>
              </w:rPr>
            </w:pPr>
            <w:r w:rsidRPr="00F81987">
              <w:rPr>
                <w:rFonts w:cstheme="minorHAnsi"/>
                <w:sz w:val="20"/>
                <w:szCs w:val="20"/>
              </w:rPr>
              <w:t>Minister właściwy ds. klimatu</w:t>
            </w:r>
            <w:r w:rsidR="00532EF9">
              <w:rPr>
                <w:rFonts w:cstheme="minorHAnsi"/>
                <w:sz w:val="20"/>
                <w:szCs w:val="20"/>
              </w:rPr>
              <w:t xml:space="preserve"> i energii</w:t>
            </w:r>
          </w:p>
        </w:tc>
      </w:tr>
      <w:tr w:rsidR="00A77FE9" w:rsidRPr="00F81987" w14:paraId="77CE79A2" w14:textId="77777777" w:rsidTr="00745D42">
        <w:trPr>
          <w:gridAfter w:val="1"/>
          <w:wAfter w:w="11" w:type="dxa"/>
          <w:trHeight w:val="1162"/>
          <w:jc w:val="center"/>
        </w:trPr>
        <w:tc>
          <w:tcPr>
            <w:tcW w:w="1429" w:type="dxa"/>
            <w:vMerge/>
          </w:tcPr>
          <w:p w14:paraId="15E7F817" w14:textId="77777777" w:rsidR="00A77FE9" w:rsidRPr="00F81987" w:rsidRDefault="00A77FE9" w:rsidP="00A77FE9">
            <w:pPr>
              <w:pStyle w:val="Akapitzlist"/>
              <w:rPr>
                <w:rFonts w:cstheme="minorHAnsi"/>
                <w:sz w:val="20"/>
                <w:szCs w:val="20"/>
              </w:rPr>
            </w:pPr>
          </w:p>
        </w:tc>
        <w:tc>
          <w:tcPr>
            <w:tcW w:w="5370" w:type="dxa"/>
          </w:tcPr>
          <w:p w14:paraId="7F25349D" w14:textId="7268AACF" w:rsidR="00A77FE9" w:rsidRPr="00F81987" w:rsidRDefault="00532EF9" w:rsidP="00A77FE9">
            <w:pPr>
              <w:jc w:val="both"/>
              <w:rPr>
                <w:rFonts w:cstheme="minorHAnsi"/>
                <w:sz w:val="20"/>
                <w:szCs w:val="20"/>
              </w:rPr>
            </w:pPr>
            <w:r>
              <w:rPr>
                <w:rFonts w:cstheme="minorHAnsi"/>
                <w:sz w:val="20"/>
                <w:szCs w:val="20"/>
              </w:rPr>
              <w:t>z</w:t>
            </w:r>
            <w:r w:rsidR="00A77FE9" w:rsidRPr="00F81987">
              <w:rPr>
                <w:rFonts w:cstheme="minorHAnsi"/>
                <w:sz w:val="20"/>
                <w:szCs w:val="20"/>
              </w:rPr>
              <w:t xml:space="preserve">intensyfikowanie prac nad przygotowaniem i wdrożeniem dokumentu </w:t>
            </w:r>
            <w:r w:rsidR="00A77FE9" w:rsidRPr="00F81987">
              <w:rPr>
                <w:rFonts w:cstheme="minorHAnsi"/>
                <w:i/>
                <w:sz w:val="20"/>
                <w:szCs w:val="20"/>
              </w:rPr>
              <w:t>Strategia Wodorowa Polski do 2030 r.</w:t>
            </w:r>
            <w:r w:rsidR="00A77FE9" w:rsidRPr="00F81987">
              <w:rPr>
                <w:rFonts w:cstheme="minorHAnsi"/>
                <w:sz w:val="20"/>
                <w:szCs w:val="20"/>
              </w:rPr>
              <w:t>, która stałaby się znaczącym krokiem w rozwoju zielonego transportu miejskiego</w:t>
            </w:r>
          </w:p>
        </w:tc>
        <w:tc>
          <w:tcPr>
            <w:tcW w:w="2410" w:type="dxa"/>
          </w:tcPr>
          <w:p w14:paraId="516055F5" w14:textId="57DDE359" w:rsidR="00A77FE9" w:rsidRPr="00F81987" w:rsidRDefault="00532EF9" w:rsidP="00532EF9">
            <w:pPr>
              <w:rPr>
                <w:rFonts w:cstheme="minorHAnsi"/>
                <w:sz w:val="20"/>
                <w:szCs w:val="20"/>
              </w:rPr>
            </w:pPr>
            <w:r>
              <w:rPr>
                <w:rFonts w:cstheme="minorHAnsi"/>
                <w:sz w:val="20"/>
                <w:szCs w:val="20"/>
              </w:rPr>
              <w:t>m</w:t>
            </w:r>
            <w:r w:rsidR="00A77FE9" w:rsidRPr="00F81987">
              <w:rPr>
                <w:rFonts w:cstheme="minorHAnsi"/>
                <w:sz w:val="20"/>
                <w:szCs w:val="20"/>
              </w:rPr>
              <w:t>inister właściwy ds. klimatu</w:t>
            </w:r>
            <w:r>
              <w:rPr>
                <w:rFonts w:cstheme="minorHAnsi"/>
                <w:sz w:val="20"/>
                <w:szCs w:val="20"/>
              </w:rPr>
              <w:t xml:space="preserve"> i </w:t>
            </w:r>
            <w:r w:rsidR="00A77FE9" w:rsidRPr="00F81987">
              <w:rPr>
                <w:rFonts w:cstheme="minorHAnsi"/>
                <w:sz w:val="20"/>
                <w:szCs w:val="20"/>
              </w:rPr>
              <w:t>energii</w:t>
            </w:r>
          </w:p>
        </w:tc>
      </w:tr>
      <w:tr w:rsidR="00A77FE9" w:rsidRPr="00F81987" w14:paraId="74917A32" w14:textId="77777777" w:rsidTr="002C4A11">
        <w:trPr>
          <w:gridAfter w:val="1"/>
          <w:wAfter w:w="11" w:type="dxa"/>
          <w:trHeight w:val="860"/>
          <w:jc w:val="center"/>
        </w:trPr>
        <w:tc>
          <w:tcPr>
            <w:tcW w:w="1429" w:type="dxa"/>
          </w:tcPr>
          <w:p w14:paraId="471D2FB1" w14:textId="77777777" w:rsidR="00A77FE9" w:rsidRPr="00F81987" w:rsidRDefault="00A77FE9" w:rsidP="00A77FE9">
            <w:pPr>
              <w:rPr>
                <w:rFonts w:cstheme="minorHAnsi"/>
                <w:sz w:val="20"/>
                <w:szCs w:val="20"/>
              </w:rPr>
            </w:pPr>
            <w:r w:rsidRPr="00F81987">
              <w:rPr>
                <w:rFonts w:cstheme="minorHAnsi"/>
                <w:sz w:val="20"/>
                <w:szCs w:val="20"/>
              </w:rPr>
              <w:t>Długoterminowe (do 2040 r.)</w:t>
            </w:r>
          </w:p>
        </w:tc>
        <w:tc>
          <w:tcPr>
            <w:tcW w:w="5370" w:type="dxa"/>
          </w:tcPr>
          <w:p w14:paraId="45BB6C3F" w14:textId="7667BF38" w:rsidR="00A77FE9" w:rsidRPr="00F81987" w:rsidRDefault="00532EF9" w:rsidP="00A77FE9">
            <w:pPr>
              <w:rPr>
                <w:rFonts w:cstheme="minorHAnsi"/>
                <w:sz w:val="20"/>
                <w:szCs w:val="20"/>
              </w:rPr>
            </w:pPr>
            <w:r>
              <w:rPr>
                <w:rFonts w:cstheme="minorHAnsi"/>
                <w:sz w:val="20"/>
                <w:szCs w:val="20"/>
              </w:rPr>
              <w:t>k</w:t>
            </w:r>
            <w:r w:rsidR="00A77FE9" w:rsidRPr="00F81987">
              <w:rPr>
                <w:rFonts w:cstheme="minorHAnsi"/>
                <w:sz w:val="20"/>
                <w:szCs w:val="20"/>
              </w:rPr>
              <w:t xml:space="preserve">ontynuacja działań </w:t>
            </w:r>
          </w:p>
        </w:tc>
        <w:tc>
          <w:tcPr>
            <w:tcW w:w="2410" w:type="dxa"/>
          </w:tcPr>
          <w:p w14:paraId="423489A6" w14:textId="77777777" w:rsidR="00A77FE9" w:rsidRPr="00F81987" w:rsidRDefault="00A77FE9" w:rsidP="00A77FE9">
            <w:pPr>
              <w:pStyle w:val="Akapitzlist"/>
              <w:rPr>
                <w:rFonts w:cstheme="minorHAnsi"/>
                <w:sz w:val="20"/>
                <w:szCs w:val="20"/>
              </w:rPr>
            </w:pPr>
          </w:p>
        </w:tc>
      </w:tr>
      <w:tr w:rsidR="00A77FE9" w:rsidRPr="00F81987" w14:paraId="26467294" w14:textId="77777777" w:rsidTr="00745D42">
        <w:trPr>
          <w:trHeight w:val="431"/>
          <w:jc w:val="center"/>
        </w:trPr>
        <w:tc>
          <w:tcPr>
            <w:tcW w:w="9220" w:type="dxa"/>
            <w:gridSpan w:val="4"/>
            <w:shd w:val="clear" w:color="auto" w:fill="D9E2F3" w:themeFill="accent1" w:themeFillTint="33"/>
          </w:tcPr>
          <w:p w14:paraId="46F0FDD3" w14:textId="051FCB26" w:rsidR="00A77FE9" w:rsidRPr="00F81987" w:rsidRDefault="00A77FE9" w:rsidP="00A77FE9">
            <w:pPr>
              <w:jc w:val="both"/>
              <w:rPr>
                <w:rFonts w:cstheme="minorHAnsi"/>
                <w:sz w:val="20"/>
                <w:szCs w:val="20"/>
              </w:rPr>
            </w:pPr>
            <w:r w:rsidRPr="00F81987">
              <w:rPr>
                <w:rFonts w:cstheme="minorHAnsi"/>
                <w:b/>
                <w:bCs/>
                <w:sz w:val="20"/>
                <w:szCs w:val="20"/>
              </w:rPr>
              <w:t>Kierunek interwencji 3 –</w:t>
            </w:r>
            <w:r w:rsidR="00DB0802">
              <w:rPr>
                <w:rFonts w:cstheme="minorHAnsi"/>
                <w:b/>
                <w:bCs/>
                <w:sz w:val="20"/>
                <w:szCs w:val="20"/>
              </w:rPr>
              <w:t>O</w:t>
            </w:r>
            <w:r w:rsidR="00267AA5" w:rsidRPr="00267AA5">
              <w:rPr>
                <w:rFonts w:cstheme="minorHAnsi"/>
                <w:b/>
                <w:bCs/>
                <w:sz w:val="20"/>
                <w:szCs w:val="20"/>
              </w:rPr>
              <w:t>graniczenie poziomu zanieczyszczeń powietrza w miastach, polityka miejska</w:t>
            </w:r>
          </w:p>
        </w:tc>
      </w:tr>
      <w:tr w:rsidR="009B2052" w:rsidRPr="00F81987" w14:paraId="57064891" w14:textId="77777777" w:rsidTr="00983255">
        <w:trPr>
          <w:gridAfter w:val="1"/>
          <w:wAfter w:w="11" w:type="dxa"/>
          <w:trHeight w:val="806"/>
          <w:jc w:val="center"/>
        </w:trPr>
        <w:tc>
          <w:tcPr>
            <w:tcW w:w="1429" w:type="dxa"/>
            <w:vMerge w:val="restart"/>
          </w:tcPr>
          <w:p w14:paraId="77A652F5" w14:textId="77777777" w:rsidR="009B2052" w:rsidRPr="00F81987" w:rsidRDefault="009B2052" w:rsidP="00A77FE9">
            <w:pPr>
              <w:rPr>
                <w:rFonts w:cstheme="minorHAnsi"/>
                <w:sz w:val="20"/>
                <w:szCs w:val="20"/>
              </w:rPr>
            </w:pPr>
            <w:r w:rsidRPr="00F81987">
              <w:rPr>
                <w:rFonts w:cstheme="minorHAnsi"/>
                <w:sz w:val="20"/>
                <w:szCs w:val="20"/>
              </w:rPr>
              <w:t>Krótkoterminowe (do 2025 r.)</w:t>
            </w:r>
          </w:p>
        </w:tc>
        <w:tc>
          <w:tcPr>
            <w:tcW w:w="5370" w:type="dxa"/>
          </w:tcPr>
          <w:p w14:paraId="42C96DE0" w14:textId="2FC11166" w:rsidR="009B2052" w:rsidRPr="00983255" w:rsidRDefault="00532EF9" w:rsidP="009B2052">
            <w:pPr>
              <w:jc w:val="both"/>
              <w:rPr>
                <w:rFonts w:cstheme="minorHAnsi"/>
                <w:iCs/>
                <w:sz w:val="20"/>
                <w:szCs w:val="20"/>
              </w:rPr>
            </w:pPr>
            <w:r>
              <w:rPr>
                <w:rFonts w:cstheme="minorHAnsi"/>
                <w:iCs/>
                <w:sz w:val="20"/>
                <w:szCs w:val="20"/>
              </w:rPr>
              <w:t>o</w:t>
            </w:r>
            <w:r w:rsidR="009B2052" w:rsidRPr="005D4806">
              <w:rPr>
                <w:rFonts w:cstheme="minorHAnsi"/>
                <w:iCs/>
                <w:sz w:val="20"/>
                <w:szCs w:val="20"/>
              </w:rPr>
              <w:t>d początku 2022 r. budowa budynków publicznych w miastach jedynie w trybie domów  inteligentnych w miastach powyżej 50 tysięcy</w:t>
            </w:r>
          </w:p>
        </w:tc>
        <w:tc>
          <w:tcPr>
            <w:tcW w:w="2410" w:type="dxa"/>
          </w:tcPr>
          <w:p w14:paraId="4489015E" w14:textId="4886FE0B" w:rsidR="009B2052" w:rsidRPr="00F81987" w:rsidRDefault="00532EF9" w:rsidP="00A77FE9">
            <w:pPr>
              <w:rPr>
                <w:rFonts w:cstheme="minorHAnsi"/>
                <w:sz w:val="20"/>
                <w:szCs w:val="20"/>
              </w:rPr>
            </w:pPr>
            <w:r>
              <w:rPr>
                <w:rFonts w:cstheme="minorHAnsi"/>
                <w:sz w:val="20"/>
                <w:szCs w:val="20"/>
              </w:rPr>
              <w:t>m</w:t>
            </w:r>
            <w:r w:rsidR="009B2052" w:rsidRPr="00F81987">
              <w:rPr>
                <w:rFonts w:cstheme="minorHAnsi"/>
                <w:sz w:val="20"/>
                <w:szCs w:val="20"/>
              </w:rPr>
              <w:t>inister właściwy ds.</w:t>
            </w:r>
            <w:r w:rsidR="009B2052">
              <w:rPr>
                <w:rFonts w:cstheme="minorHAnsi"/>
                <w:sz w:val="20"/>
                <w:szCs w:val="20"/>
              </w:rPr>
              <w:t xml:space="preserve"> </w:t>
            </w:r>
            <w:r w:rsidR="00173C6D">
              <w:rPr>
                <w:rFonts w:cstheme="minorHAnsi"/>
                <w:sz w:val="20"/>
                <w:szCs w:val="20"/>
              </w:rPr>
              <w:t>transportu</w:t>
            </w:r>
            <w:r w:rsidR="00586109">
              <w:rPr>
                <w:rFonts w:cstheme="minorHAnsi"/>
                <w:sz w:val="20"/>
                <w:szCs w:val="20"/>
              </w:rPr>
              <w:t xml:space="preserve"> </w:t>
            </w:r>
            <w:r w:rsidR="00983255">
              <w:rPr>
                <w:rFonts w:cstheme="minorHAnsi"/>
                <w:sz w:val="20"/>
                <w:szCs w:val="20"/>
              </w:rPr>
              <w:t>we współpracy z miejskimi władzami samorządowymi</w:t>
            </w:r>
          </w:p>
        </w:tc>
      </w:tr>
      <w:tr w:rsidR="009B2052" w:rsidRPr="00F81987" w14:paraId="0481517B" w14:textId="77777777" w:rsidTr="009B2052">
        <w:trPr>
          <w:gridAfter w:val="1"/>
          <w:wAfter w:w="11" w:type="dxa"/>
          <w:trHeight w:val="440"/>
          <w:jc w:val="center"/>
        </w:trPr>
        <w:tc>
          <w:tcPr>
            <w:tcW w:w="1429" w:type="dxa"/>
            <w:vMerge/>
          </w:tcPr>
          <w:p w14:paraId="271ABF37" w14:textId="77777777" w:rsidR="009B2052" w:rsidRPr="00F81987" w:rsidRDefault="009B2052" w:rsidP="00A77FE9">
            <w:pPr>
              <w:pStyle w:val="Akapitzlist"/>
              <w:rPr>
                <w:rFonts w:cstheme="minorHAnsi"/>
                <w:sz w:val="20"/>
                <w:szCs w:val="20"/>
              </w:rPr>
            </w:pPr>
          </w:p>
        </w:tc>
        <w:tc>
          <w:tcPr>
            <w:tcW w:w="5370" w:type="dxa"/>
          </w:tcPr>
          <w:p w14:paraId="482660F8" w14:textId="58AAF4F5" w:rsidR="009B2052" w:rsidRPr="00983255" w:rsidRDefault="00532EF9" w:rsidP="009B2052">
            <w:pPr>
              <w:jc w:val="both"/>
              <w:rPr>
                <w:rFonts w:cstheme="minorHAnsi"/>
                <w:sz w:val="20"/>
                <w:szCs w:val="20"/>
              </w:rPr>
            </w:pPr>
            <w:r>
              <w:rPr>
                <w:rFonts w:cstheme="minorHAnsi"/>
                <w:sz w:val="20"/>
                <w:szCs w:val="20"/>
              </w:rPr>
              <w:t>b</w:t>
            </w:r>
            <w:r w:rsidR="009B2052" w:rsidRPr="00210D88">
              <w:rPr>
                <w:rFonts w:cstheme="minorHAnsi"/>
                <w:sz w:val="20"/>
                <w:szCs w:val="20"/>
              </w:rPr>
              <w:t>udowa/rozbudowa inteligentnego zarzadzania komunikacyjną infrastrukturą miejską we wszystkich miastach powyżej 100 tysięcy</w:t>
            </w:r>
          </w:p>
        </w:tc>
        <w:tc>
          <w:tcPr>
            <w:tcW w:w="2410" w:type="dxa"/>
          </w:tcPr>
          <w:p w14:paraId="0362E895" w14:textId="31843DE9" w:rsidR="009B2052" w:rsidRPr="00F81987" w:rsidRDefault="00532EF9" w:rsidP="003F2A2E">
            <w:pPr>
              <w:rPr>
                <w:rFonts w:cstheme="minorHAnsi"/>
                <w:sz w:val="20"/>
                <w:szCs w:val="20"/>
              </w:rPr>
            </w:pPr>
            <w:r>
              <w:rPr>
                <w:rFonts w:cstheme="minorHAnsi"/>
                <w:sz w:val="20"/>
                <w:szCs w:val="20"/>
              </w:rPr>
              <w:t>s</w:t>
            </w:r>
            <w:r w:rsidR="003F2A2E">
              <w:rPr>
                <w:rFonts w:cstheme="minorHAnsi"/>
                <w:sz w:val="20"/>
                <w:szCs w:val="20"/>
              </w:rPr>
              <w:t>amorządowe władze  miejskie</w:t>
            </w:r>
            <w:r w:rsidR="00F82390">
              <w:rPr>
                <w:rFonts w:cstheme="minorHAnsi"/>
                <w:sz w:val="20"/>
                <w:szCs w:val="20"/>
              </w:rPr>
              <w:t xml:space="preserve">/ przedsiębiorstwa budowlane </w:t>
            </w:r>
          </w:p>
        </w:tc>
      </w:tr>
      <w:tr w:rsidR="009B2052" w:rsidRPr="00F81987" w14:paraId="6AD8639F" w14:textId="77777777" w:rsidTr="00382611">
        <w:trPr>
          <w:gridAfter w:val="1"/>
          <w:wAfter w:w="11" w:type="dxa"/>
          <w:trHeight w:val="440"/>
          <w:jc w:val="center"/>
        </w:trPr>
        <w:tc>
          <w:tcPr>
            <w:tcW w:w="1429" w:type="dxa"/>
            <w:vMerge/>
          </w:tcPr>
          <w:p w14:paraId="08108D21" w14:textId="77777777" w:rsidR="009B2052" w:rsidRPr="00F81987" w:rsidRDefault="009B2052" w:rsidP="00A77FE9">
            <w:pPr>
              <w:pStyle w:val="Akapitzlist"/>
              <w:rPr>
                <w:rFonts w:cstheme="minorHAnsi"/>
                <w:sz w:val="20"/>
                <w:szCs w:val="20"/>
              </w:rPr>
            </w:pPr>
          </w:p>
        </w:tc>
        <w:tc>
          <w:tcPr>
            <w:tcW w:w="5370" w:type="dxa"/>
          </w:tcPr>
          <w:p w14:paraId="7E02ED5F" w14:textId="3947E47E" w:rsidR="009B2052" w:rsidRPr="00983255" w:rsidRDefault="00532EF9" w:rsidP="00A77FE9">
            <w:pPr>
              <w:jc w:val="both"/>
              <w:rPr>
                <w:rFonts w:cstheme="minorHAnsi"/>
                <w:sz w:val="20"/>
                <w:szCs w:val="20"/>
              </w:rPr>
            </w:pPr>
            <w:r>
              <w:rPr>
                <w:rFonts w:cstheme="minorHAnsi"/>
                <w:sz w:val="20"/>
                <w:szCs w:val="20"/>
              </w:rPr>
              <w:t>w</w:t>
            </w:r>
            <w:r w:rsidR="003F2A2E" w:rsidRPr="00210D88">
              <w:rPr>
                <w:rFonts w:cstheme="minorHAnsi"/>
                <w:sz w:val="20"/>
                <w:szCs w:val="20"/>
              </w:rPr>
              <w:t>ymiana co najmniej 30% floty autobusów i pojazdów miejskich na niskoemisyjne</w:t>
            </w:r>
          </w:p>
        </w:tc>
        <w:tc>
          <w:tcPr>
            <w:tcW w:w="2410" w:type="dxa"/>
          </w:tcPr>
          <w:p w14:paraId="5159532A" w14:textId="16158F3E" w:rsidR="009B2052" w:rsidRPr="00F81987" w:rsidRDefault="00532EF9" w:rsidP="00A77FE9">
            <w:pPr>
              <w:rPr>
                <w:rFonts w:cstheme="minorHAnsi"/>
                <w:sz w:val="20"/>
                <w:szCs w:val="20"/>
              </w:rPr>
            </w:pPr>
            <w:r>
              <w:rPr>
                <w:rFonts w:cstheme="minorHAnsi"/>
                <w:sz w:val="20"/>
                <w:szCs w:val="20"/>
              </w:rPr>
              <w:t>s</w:t>
            </w:r>
            <w:r w:rsidR="003F2A2E" w:rsidRPr="003F2A2E">
              <w:rPr>
                <w:rFonts w:cstheme="minorHAnsi"/>
                <w:sz w:val="20"/>
                <w:szCs w:val="20"/>
              </w:rPr>
              <w:t>amorządowe władze  miejskie</w:t>
            </w:r>
            <w:r w:rsidR="00F82390">
              <w:rPr>
                <w:rFonts w:cstheme="minorHAnsi"/>
                <w:sz w:val="20"/>
                <w:szCs w:val="20"/>
              </w:rPr>
              <w:t>/ przedsiębiorstwa komunikacji miejskiej</w:t>
            </w:r>
          </w:p>
        </w:tc>
      </w:tr>
      <w:tr w:rsidR="009B2052" w:rsidRPr="00F81987" w14:paraId="027CDCCC" w14:textId="77777777" w:rsidTr="00382611">
        <w:trPr>
          <w:gridAfter w:val="1"/>
          <w:wAfter w:w="11" w:type="dxa"/>
          <w:trHeight w:val="440"/>
          <w:jc w:val="center"/>
        </w:trPr>
        <w:tc>
          <w:tcPr>
            <w:tcW w:w="1429" w:type="dxa"/>
            <w:vMerge/>
          </w:tcPr>
          <w:p w14:paraId="6A70A81F" w14:textId="77777777" w:rsidR="009B2052" w:rsidRPr="00F81987" w:rsidRDefault="009B2052" w:rsidP="00A77FE9">
            <w:pPr>
              <w:pStyle w:val="Akapitzlist"/>
              <w:rPr>
                <w:rFonts w:cstheme="minorHAnsi"/>
                <w:sz w:val="20"/>
                <w:szCs w:val="20"/>
              </w:rPr>
            </w:pPr>
          </w:p>
        </w:tc>
        <w:tc>
          <w:tcPr>
            <w:tcW w:w="5370" w:type="dxa"/>
          </w:tcPr>
          <w:p w14:paraId="7EEE9482" w14:textId="5424EC5A" w:rsidR="009B2052" w:rsidRPr="00983255" w:rsidRDefault="00532EF9" w:rsidP="00A77FE9">
            <w:pPr>
              <w:jc w:val="both"/>
              <w:rPr>
                <w:rFonts w:cstheme="minorHAnsi"/>
                <w:sz w:val="20"/>
                <w:szCs w:val="20"/>
              </w:rPr>
            </w:pPr>
            <w:r>
              <w:rPr>
                <w:rFonts w:cstheme="minorHAnsi"/>
                <w:sz w:val="20"/>
                <w:szCs w:val="20"/>
              </w:rPr>
              <w:t>r</w:t>
            </w:r>
            <w:r w:rsidR="003F2A2E" w:rsidRPr="00210D88">
              <w:rPr>
                <w:rFonts w:cstheme="minorHAnsi"/>
                <w:sz w:val="20"/>
                <w:szCs w:val="20"/>
              </w:rPr>
              <w:t>ozbudowa istniejących miejskich linii tramwajowych i budowa linii trolejbusowych - 3 w   miastach ponad 100 tysięcy</w:t>
            </w:r>
          </w:p>
        </w:tc>
        <w:tc>
          <w:tcPr>
            <w:tcW w:w="2410" w:type="dxa"/>
          </w:tcPr>
          <w:p w14:paraId="21C44AF8" w14:textId="278C26B1" w:rsidR="009B2052" w:rsidRPr="00F81987" w:rsidRDefault="00532EF9" w:rsidP="00210D88">
            <w:pPr>
              <w:rPr>
                <w:rFonts w:cstheme="minorHAnsi"/>
                <w:sz w:val="20"/>
                <w:szCs w:val="20"/>
              </w:rPr>
            </w:pPr>
            <w:r>
              <w:rPr>
                <w:rFonts w:cstheme="minorHAnsi"/>
                <w:sz w:val="20"/>
                <w:szCs w:val="20"/>
              </w:rPr>
              <w:t>s</w:t>
            </w:r>
            <w:r w:rsidR="003F2A2E" w:rsidRPr="003F2A2E">
              <w:rPr>
                <w:rFonts w:cstheme="minorHAnsi"/>
                <w:sz w:val="20"/>
                <w:szCs w:val="20"/>
              </w:rPr>
              <w:t>amorządowe władze  miejskie</w:t>
            </w:r>
            <w:r w:rsidR="00210D88">
              <w:rPr>
                <w:rFonts w:cstheme="minorHAnsi"/>
                <w:sz w:val="20"/>
                <w:szCs w:val="20"/>
              </w:rPr>
              <w:t>/</w:t>
            </w:r>
            <w:r w:rsidR="00F82390">
              <w:rPr>
                <w:rFonts w:cstheme="minorHAnsi"/>
                <w:sz w:val="20"/>
                <w:szCs w:val="20"/>
              </w:rPr>
              <w:t xml:space="preserve"> </w:t>
            </w:r>
            <w:r w:rsidR="00210D88">
              <w:rPr>
                <w:rFonts w:cstheme="minorHAnsi"/>
                <w:sz w:val="20"/>
                <w:szCs w:val="20"/>
              </w:rPr>
              <w:t>przedsiębiorstwa komunikacji miejskiej</w:t>
            </w:r>
          </w:p>
        </w:tc>
      </w:tr>
      <w:tr w:rsidR="009B2052" w:rsidRPr="00F81987" w14:paraId="74A1A7D7" w14:textId="77777777" w:rsidTr="00382611">
        <w:trPr>
          <w:gridAfter w:val="1"/>
          <w:wAfter w:w="11" w:type="dxa"/>
          <w:trHeight w:val="440"/>
          <w:jc w:val="center"/>
        </w:trPr>
        <w:tc>
          <w:tcPr>
            <w:tcW w:w="1429" w:type="dxa"/>
            <w:vMerge/>
          </w:tcPr>
          <w:p w14:paraId="60FAA91F" w14:textId="77777777" w:rsidR="009B2052" w:rsidRPr="00F81987" w:rsidRDefault="009B2052" w:rsidP="00A77FE9">
            <w:pPr>
              <w:pStyle w:val="Akapitzlist"/>
              <w:rPr>
                <w:rFonts w:cstheme="minorHAnsi"/>
                <w:sz w:val="20"/>
                <w:szCs w:val="20"/>
              </w:rPr>
            </w:pPr>
          </w:p>
        </w:tc>
        <w:tc>
          <w:tcPr>
            <w:tcW w:w="5370" w:type="dxa"/>
          </w:tcPr>
          <w:p w14:paraId="1973ED6D" w14:textId="46B520A7" w:rsidR="009B2052" w:rsidRPr="00983255" w:rsidRDefault="00532EF9" w:rsidP="00983255">
            <w:pPr>
              <w:spacing w:after="60" w:line="240" w:lineRule="auto"/>
              <w:contextualSpacing/>
              <w:jc w:val="both"/>
              <w:rPr>
                <w:rFonts w:eastAsia="Calibri" w:cs="Times New Roman"/>
                <w:bCs/>
                <w:color w:val="000000"/>
                <w:kern w:val="24"/>
                <w:sz w:val="20"/>
                <w:szCs w:val="20"/>
                <w:lang w:eastAsia="pl-PL"/>
              </w:rPr>
            </w:pPr>
            <w:r>
              <w:rPr>
                <w:rFonts w:eastAsia="Calibri" w:cs="Times New Roman"/>
                <w:bCs/>
                <w:color w:val="000000"/>
                <w:kern w:val="24"/>
                <w:sz w:val="20"/>
                <w:szCs w:val="20"/>
                <w:lang w:eastAsia="pl-PL"/>
              </w:rPr>
              <w:t>r</w:t>
            </w:r>
            <w:r w:rsidR="003F2A2E" w:rsidRPr="00983255">
              <w:rPr>
                <w:rFonts w:eastAsia="Calibri" w:cs="Times New Roman"/>
                <w:bCs/>
                <w:color w:val="000000"/>
                <w:kern w:val="24"/>
                <w:sz w:val="20"/>
                <w:szCs w:val="20"/>
                <w:lang w:eastAsia="pl-PL"/>
              </w:rPr>
              <w:t xml:space="preserve">ozbudowa/budowa ścieżek rowerowych, zwiększenie o 20% i pieszych zielonych ciągów komunikacyjnych o 10% </w:t>
            </w:r>
          </w:p>
          <w:p w14:paraId="0B36FFDD" w14:textId="3883201E" w:rsidR="003F2A2E" w:rsidRPr="00210D88" w:rsidRDefault="003F2A2E" w:rsidP="00983255">
            <w:pPr>
              <w:spacing w:after="60" w:line="240" w:lineRule="auto"/>
              <w:contextualSpacing/>
              <w:jc w:val="both"/>
              <w:rPr>
                <w:rFonts w:cstheme="minorHAnsi"/>
                <w:sz w:val="20"/>
                <w:szCs w:val="20"/>
              </w:rPr>
            </w:pPr>
          </w:p>
        </w:tc>
        <w:tc>
          <w:tcPr>
            <w:tcW w:w="2410" w:type="dxa"/>
          </w:tcPr>
          <w:p w14:paraId="58028B2A" w14:textId="2DB28408" w:rsidR="009B2052" w:rsidRPr="00F81987" w:rsidRDefault="00532EF9" w:rsidP="00A77FE9">
            <w:pPr>
              <w:rPr>
                <w:rFonts w:cstheme="minorHAnsi"/>
                <w:sz w:val="20"/>
                <w:szCs w:val="20"/>
              </w:rPr>
            </w:pPr>
            <w:r>
              <w:rPr>
                <w:rFonts w:cstheme="minorHAnsi"/>
                <w:sz w:val="20"/>
                <w:szCs w:val="20"/>
              </w:rPr>
              <w:t>s</w:t>
            </w:r>
            <w:r w:rsidR="003F2A2E" w:rsidRPr="003F2A2E">
              <w:rPr>
                <w:rFonts w:cstheme="minorHAnsi"/>
                <w:sz w:val="20"/>
                <w:szCs w:val="20"/>
              </w:rPr>
              <w:t>amorządowe władze  miejskie</w:t>
            </w:r>
          </w:p>
        </w:tc>
      </w:tr>
      <w:tr w:rsidR="009B2052" w:rsidRPr="00F81987" w14:paraId="145E466E" w14:textId="77777777" w:rsidTr="00382611">
        <w:trPr>
          <w:gridAfter w:val="1"/>
          <w:wAfter w:w="11" w:type="dxa"/>
          <w:trHeight w:val="440"/>
          <w:jc w:val="center"/>
        </w:trPr>
        <w:tc>
          <w:tcPr>
            <w:tcW w:w="1429" w:type="dxa"/>
            <w:vMerge/>
          </w:tcPr>
          <w:p w14:paraId="78B0DE49" w14:textId="77777777" w:rsidR="009B2052" w:rsidRPr="00F81987" w:rsidRDefault="009B2052" w:rsidP="00A77FE9">
            <w:pPr>
              <w:pStyle w:val="Akapitzlist"/>
              <w:rPr>
                <w:rFonts w:cstheme="minorHAnsi"/>
                <w:sz w:val="20"/>
                <w:szCs w:val="20"/>
              </w:rPr>
            </w:pPr>
          </w:p>
        </w:tc>
        <w:tc>
          <w:tcPr>
            <w:tcW w:w="5370" w:type="dxa"/>
          </w:tcPr>
          <w:p w14:paraId="344C8809" w14:textId="347FE6D2" w:rsidR="009B2052" w:rsidRPr="00983255" w:rsidRDefault="00532EF9" w:rsidP="00A77FE9">
            <w:pPr>
              <w:jc w:val="both"/>
              <w:rPr>
                <w:rFonts w:cstheme="minorHAnsi"/>
                <w:sz w:val="20"/>
                <w:szCs w:val="20"/>
              </w:rPr>
            </w:pPr>
            <w:r>
              <w:rPr>
                <w:rFonts w:cstheme="minorHAnsi"/>
                <w:sz w:val="20"/>
                <w:szCs w:val="20"/>
              </w:rPr>
              <w:t>z</w:t>
            </w:r>
            <w:r w:rsidR="00855DA7" w:rsidRPr="00210D88">
              <w:rPr>
                <w:rFonts w:cstheme="minorHAnsi"/>
                <w:sz w:val="20"/>
                <w:szCs w:val="20"/>
              </w:rPr>
              <w:t>większenie powierzchni miejskich terenów zielonych,  zadrzewionych o 10%</w:t>
            </w:r>
          </w:p>
        </w:tc>
        <w:tc>
          <w:tcPr>
            <w:tcW w:w="2410" w:type="dxa"/>
          </w:tcPr>
          <w:p w14:paraId="770BA24C" w14:textId="29C6DDCF" w:rsidR="009B2052" w:rsidRPr="00F81987" w:rsidRDefault="00532EF9" w:rsidP="00A77FE9">
            <w:pPr>
              <w:rPr>
                <w:rFonts w:cstheme="minorHAnsi"/>
                <w:sz w:val="20"/>
                <w:szCs w:val="20"/>
              </w:rPr>
            </w:pPr>
            <w:r>
              <w:rPr>
                <w:rFonts w:cstheme="minorHAnsi"/>
                <w:sz w:val="20"/>
                <w:szCs w:val="20"/>
              </w:rPr>
              <w:t>s</w:t>
            </w:r>
            <w:r w:rsidR="003F2A2E" w:rsidRPr="003F2A2E">
              <w:rPr>
                <w:rFonts w:cstheme="minorHAnsi"/>
                <w:sz w:val="20"/>
                <w:szCs w:val="20"/>
              </w:rPr>
              <w:t>amorządowe władze  miejskie</w:t>
            </w:r>
            <w:r w:rsidR="005D4806">
              <w:rPr>
                <w:rFonts w:cstheme="minorHAnsi"/>
                <w:sz w:val="20"/>
                <w:szCs w:val="20"/>
              </w:rPr>
              <w:t xml:space="preserve">, przedsiębiorstwa zarządzające zielenią miejską </w:t>
            </w:r>
          </w:p>
        </w:tc>
      </w:tr>
      <w:tr w:rsidR="004A3126" w:rsidRPr="00F81987" w14:paraId="66B6E56C" w14:textId="77777777" w:rsidTr="00382611">
        <w:trPr>
          <w:gridAfter w:val="1"/>
          <w:wAfter w:w="11" w:type="dxa"/>
          <w:trHeight w:val="440"/>
          <w:jc w:val="center"/>
        </w:trPr>
        <w:tc>
          <w:tcPr>
            <w:tcW w:w="1429" w:type="dxa"/>
            <w:vMerge w:val="restart"/>
          </w:tcPr>
          <w:p w14:paraId="0A16461B" w14:textId="4AAB3EEE" w:rsidR="004A3126" w:rsidRPr="00F81987" w:rsidRDefault="004A3126" w:rsidP="00A77FE9">
            <w:pPr>
              <w:rPr>
                <w:rFonts w:cstheme="minorHAnsi"/>
                <w:sz w:val="20"/>
                <w:szCs w:val="20"/>
              </w:rPr>
            </w:pPr>
            <w:r w:rsidRPr="00F81987">
              <w:rPr>
                <w:rFonts w:cstheme="minorHAnsi"/>
                <w:sz w:val="20"/>
                <w:szCs w:val="20"/>
              </w:rPr>
              <w:t>Średnioterminowe (do 2030 r.)</w:t>
            </w:r>
          </w:p>
        </w:tc>
        <w:tc>
          <w:tcPr>
            <w:tcW w:w="5370" w:type="dxa"/>
          </w:tcPr>
          <w:p w14:paraId="138C2DD0" w14:textId="4D3807AB" w:rsidR="004A3126" w:rsidRPr="00F81987" w:rsidRDefault="00532EF9" w:rsidP="004A3126">
            <w:pPr>
              <w:jc w:val="both"/>
              <w:rPr>
                <w:rFonts w:cstheme="minorHAnsi"/>
                <w:sz w:val="20"/>
                <w:szCs w:val="20"/>
              </w:rPr>
            </w:pPr>
            <w:r>
              <w:rPr>
                <w:rFonts w:cstheme="minorHAnsi"/>
                <w:sz w:val="20"/>
                <w:szCs w:val="20"/>
              </w:rPr>
              <w:t>w</w:t>
            </w:r>
            <w:r w:rsidR="004A3126" w:rsidRPr="004A3126">
              <w:rPr>
                <w:rFonts w:cstheme="minorHAnsi"/>
                <w:sz w:val="20"/>
                <w:szCs w:val="20"/>
              </w:rPr>
              <w:t xml:space="preserve"> ramach przeprowadzanych planowo remontów budynków miejskich przekształcenie ich w energooszczędne, inteligentne i budowa nowych tylko inteligentnych budynków w miastach</w:t>
            </w:r>
            <w:r w:rsidR="004A3126">
              <w:rPr>
                <w:rFonts w:cstheme="minorHAnsi"/>
                <w:sz w:val="20"/>
                <w:szCs w:val="20"/>
              </w:rPr>
              <w:t xml:space="preserve"> </w:t>
            </w:r>
          </w:p>
        </w:tc>
        <w:tc>
          <w:tcPr>
            <w:tcW w:w="2410" w:type="dxa"/>
          </w:tcPr>
          <w:p w14:paraId="03C63A4A" w14:textId="798B112C" w:rsidR="004A3126" w:rsidRPr="00F81987" w:rsidRDefault="00532EF9" w:rsidP="00A77FE9">
            <w:pPr>
              <w:rPr>
                <w:rFonts w:cstheme="minorHAnsi"/>
                <w:sz w:val="20"/>
                <w:szCs w:val="20"/>
              </w:rPr>
            </w:pPr>
            <w:r>
              <w:rPr>
                <w:rFonts w:cstheme="minorHAnsi"/>
                <w:sz w:val="20"/>
                <w:szCs w:val="20"/>
              </w:rPr>
              <w:t>s</w:t>
            </w:r>
            <w:r w:rsidR="004A3126">
              <w:rPr>
                <w:rFonts w:cstheme="minorHAnsi"/>
                <w:sz w:val="20"/>
                <w:szCs w:val="20"/>
              </w:rPr>
              <w:t>amorządowe władze miejskie</w:t>
            </w:r>
            <w:r w:rsidR="00F82390">
              <w:rPr>
                <w:rFonts w:cstheme="minorHAnsi"/>
                <w:sz w:val="20"/>
                <w:szCs w:val="20"/>
              </w:rPr>
              <w:t>/ przedsiębiorstwa  budowlane</w:t>
            </w:r>
          </w:p>
        </w:tc>
      </w:tr>
      <w:tr w:rsidR="004A3126" w:rsidRPr="00532EF9" w14:paraId="09CD0576" w14:textId="77777777" w:rsidTr="00382611">
        <w:trPr>
          <w:gridAfter w:val="1"/>
          <w:wAfter w:w="11" w:type="dxa"/>
          <w:trHeight w:val="440"/>
          <w:jc w:val="center"/>
        </w:trPr>
        <w:tc>
          <w:tcPr>
            <w:tcW w:w="1429" w:type="dxa"/>
            <w:vMerge/>
          </w:tcPr>
          <w:p w14:paraId="118C5773" w14:textId="7D874D3E" w:rsidR="004A3126" w:rsidRPr="00F81987" w:rsidRDefault="004A3126" w:rsidP="004A3126">
            <w:pPr>
              <w:rPr>
                <w:rFonts w:cstheme="minorHAnsi"/>
                <w:sz w:val="20"/>
                <w:szCs w:val="20"/>
              </w:rPr>
            </w:pPr>
          </w:p>
        </w:tc>
        <w:tc>
          <w:tcPr>
            <w:tcW w:w="5370" w:type="dxa"/>
          </w:tcPr>
          <w:p w14:paraId="500389E1" w14:textId="671EADF5" w:rsidR="004A3126" w:rsidRPr="00F81987" w:rsidRDefault="00532EF9" w:rsidP="004A3126">
            <w:pPr>
              <w:jc w:val="both"/>
              <w:rPr>
                <w:rFonts w:cstheme="minorHAnsi"/>
                <w:sz w:val="20"/>
                <w:szCs w:val="20"/>
              </w:rPr>
            </w:pPr>
            <w:r>
              <w:rPr>
                <w:rFonts w:cstheme="minorHAnsi"/>
                <w:sz w:val="20"/>
                <w:szCs w:val="20"/>
              </w:rPr>
              <w:t>b</w:t>
            </w:r>
            <w:r w:rsidR="004A3126" w:rsidRPr="004A3126">
              <w:rPr>
                <w:rFonts w:cstheme="minorHAnsi"/>
                <w:sz w:val="20"/>
                <w:szCs w:val="20"/>
              </w:rPr>
              <w:t>udowa/rozbudowa inteligentnego zarzadzania całą infrastrukturą miejską, przynajmniej w miastach powyżej 100 tysięcy</w:t>
            </w:r>
          </w:p>
        </w:tc>
        <w:tc>
          <w:tcPr>
            <w:tcW w:w="2410" w:type="dxa"/>
          </w:tcPr>
          <w:p w14:paraId="32CD51EF" w14:textId="1F047C47" w:rsidR="004A3126" w:rsidRPr="00532EF9" w:rsidRDefault="00532EF9" w:rsidP="00F82390">
            <w:pPr>
              <w:rPr>
                <w:rFonts w:cstheme="minorHAnsi"/>
                <w:sz w:val="20"/>
                <w:szCs w:val="20"/>
              </w:rPr>
            </w:pPr>
            <w:r w:rsidRPr="00DD0E4C">
              <w:rPr>
                <w:sz w:val="20"/>
                <w:szCs w:val="20"/>
              </w:rPr>
              <w:t>s</w:t>
            </w:r>
            <w:r w:rsidR="004A3126" w:rsidRPr="00DD0E4C">
              <w:rPr>
                <w:sz w:val="20"/>
                <w:szCs w:val="20"/>
              </w:rPr>
              <w:t>amorządowe władze miejskie</w:t>
            </w:r>
            <w:r w:rsidR="00F82390" w:rsidRPr="00DD0E4C">
              <w:rPr>
                <w:sz w:val="20"/>
                <w:szCs w:val="20"/>
              </w:rPr>
              <w:t>/ przedsiębiorstwa  komunikacji miejskiej</w:t>
            </w:r>
          </w:p>
        </w:tc>
      </w:tr>
      <w:tr w:rsidR="004A3126" w:rsidRPr="00532EF9" w14:paraId="14DD97D3" w14:textId="77777777" w:rsidTr="00382611">
        <w:trPr>
          <w:gridAfter w:val="1"/>
          <w:wAfter w:w="11" w:type="dxa"/>
          <w:trHeight w:val="440"/>
          <w:jc w:val="center"/>
        </w:trPr>
        <w:tc>
          <w:tcPr>
            <w:tcW w:w="1429" w:type="dxa"/>
            <w:vMerge/>
          </w:tcPr>
          <w:p w14:paraId="195725DC" w14:textId="49AE4D7C" w:rsidR="004A3126" w:rsidRPr="00F81987" w:rsidRDefault="004A3126" w:rsidP="004A3126">
            <w:pPr>
              <w:rPr>
                <w:rFonts w:cstheme="minorHAnsi"/>
                <w:sz w:val="20"/>
                <w:szCs w:val="20"/>
              </w:rPr>
            </w:pPr>
          </w:p>
        </w:tc>
        <w:tc>
          <w:tcPr>
            <w:tcW w:w="5370" w:type="dxa"/>
          </w:tcPr>
          <w:p w14:paraId="3F541FEB" w14:textId="0A207554" w:rsidR="004A3126" w:rsidRPr="00F81987" w:rsidRDefault="00532EF9" w:rsidP="004A3126">
            <w:pPr>
              <w:jc w:val="both"/>
              <w:rPr>
                <w:rFonts w:cstheme="minorHAnsi"/>
                <w:sz w:val="20"/>
                <w:szCs w:val="20"/>
              </w:rPr>
            </w:pPr>
            <w:r>
              <w:rPr>
                <w:rFonts w:cstheme="minorHAnsi"/>
                <w:sz w:val="20"/>
                <w:szCs w:val="20"/>
              </w:rPr>
              <w:t>w</w:t>
            </w:r>
            <w:r w:rsidR="004A3126" w:rsidRPr="004A3126">
              <w:rPr>
                <w:rFonts w:cstheme="minorHAnsi"/>
                <w:sz w:val="20"/>
                <w:szCs w:val="20"/>
              </w:rPr>
              <w:t>ymiana co najmniej 70 % floty  komunikacji miejskiej na niskoemisyjne</w:t>
            </w:r>
          </w:p>
        </w:tc>
        <w:tc>
          <w:tcPr>
            <w:tcW w:w="2410" w:type="dxa"/>
          </w:tcPr>
          <w:p w14:paraId="195960A7" w14:textId="1A41E093" w:rsidR="004A3126" w:rsidRPr="00532EF9" w:rsidRDefault="00532EF9" w:rsidP="004A3126">
            <w:pPr>
              <w:rPr>
                <w:rFonts w:cstheme="minorHAnsi"/>
                <w:sz w:val="20"/>
                <w:szCs w:val="20"/>
              </w:rPr>
            </w:pPr>
            <w:r>
              <w:rPr>
                <w:sz w:val="20"/>
                <w:szCs w:val="20"/>
              </w:rPr>
              <w:t>s</w:t>
            </w:r>
            <w:r w:rsidR="004A3126" w:rsidRPr="00DD0E4C">
              <w:rPr>
                <w:sz w:val="20"/>
                <w:szCs w:val="20"/>
              </w:rPr>
              <w:t>amorządowe władze miejskie</w:t>
            </w:r>
            <w:r w:rsidR="00F82390" w:rsidRPr="00DD0E4C">
              <w:rPr>
                <w:sz w:val="20"/>
                <w:szCs w:val="20"/>
              </w:rPr>
              <w:t>/ przedsiębiorstwa komunikacji miejskiej</w:t>
            </w:r>
          </w:p>
        </w:tc>
      </w:tr>
      <w:tr w:rsidR="004A3126" w:rsidRPr="00532EF9" w14:paraId="53E9F577" w14:textId="77777777" w:rsidTr="00382611">
        <w:trPr>
          <w:gridAfter w:val="1"/>
          <w:wAfter w:w="11" w:type="dxa"/>
          <w:trHeight w:val="440"/>
          <w:jc w:val="center"/>
        </w:trPr>
        <w:tc>
          <w:tcPr>
            <w:tcW w:w="1429" w:type="dxa"/>
            <w:vMerge/>
          </w:tcPr>
          <w:p w14:paraId="14163320" w14:textId="3FED9F87" w:rsidR="004A3126" w:rsidRPr="00F81987" w:rsidRDefault="004A3126" w:rsidP="004A3126">
            <w:pPr>
              <w:rPr>
                <w:rFonts w:cstheme="minorHAnsi"/>
                <w:sz w:val="20"/>
                <w:szCs w:val="20"/>
              </w:rPr>
            </w:pPr>
          </w:p>
        </w:tc>
        <w:tc>
          <w:tcPr>
            <w:tcW w:w="5370" w:type="dxa"/>
          </w:tcPr>
          <w:p w14:paraId="32B41251" w14:textId="6C511EB2" w:rsidR="004A3126" w:rsidRPr="00F81987" w:rsidRDefault="00532EF9" w:rsidP="004A3126">
            <w:pPr>
              <w:jc w:val="both"/>
              <w:rPr>
                <w:rFonts w:cstheme="minorHAnsi"/>
                <w:sz w:val="20"/>
                <w:szCs w:val="20"/>
              </w:rPr>
            </w:pPr>
            <w:r>
              <w:rPr>
                <w:rFonts w:cstheme="minorHAnsi"/>
                <w:sz w:val="20"/>
                <w:szCs w:val="20"/>
              </w:rPr>
              <w:t>k</w:t>
            </w:r>
            <w:r w:rsidR="004A3126" w:rsidRPr="004A3126">
              <w:rPr>
                <w:rFonts w:cstheme="minorHAnsi"/>
                <w:sz w:val="20"/>
                <w:szCs w:val="20"/>
              </w:rPr>
              <w:t>ontynuacja rozbudowy linii tramwajowych i trolejbusowych przynajmniej 1 w miastach ponad 50 tysięcy</w:t>
            </w:r>
          </w:p>
        </w:tc>
        <w:tc>
          <w:tcPr>
            <w:tcW w:w="2410" w:type="dxa"/>
          </w:tcPr>
          <w:p w14:paraId="412F700A" w14:textId="7F1394D0" w:rsidR="004A3126" w:rsidRPr="00532EF9" w:rsidRDefault="00532EF9" w:rsidP="004A3126">
            <w:pPr>
              <w:rPr>
                <w:rFonts w:cstheme="minorHAnsi"/>
                <w:sz w:val="20"/>
                <w:szCs w:val="20"/>
              </w:rPr>
            </w:pPr>
            <w:r>
              <w:rPr>
                <w:sz w:val="20"/>
                <w:szCs w:val="20"/>
              </w:rPr>
              <w:t>s</w:t>
            </w:r>
            <w:r w:rsidR="004A3126" w:rsidRPr="00DD0E4C">
              <w:rPr>
                <w:sz w:val="20"/>
                <w:szCs w:val="20"/>
              </w:rPr>
              <w:t>amorządowe władze miejskie</w:t>
            </w:r>
            <w:r w:rsidR="00F82390" w:rsidRPr="00DD0E4C">
              <w:rPr>
                <w:sz w:val="20"/>
                <w:szCs w:val="20"/>
              </w:rPr>
              <w:t>/ przedsiębiorstwa komunikacji miejskiej</w:t>
            </w:r>
          </w:p>
        </w:tc>
      </w:tr>
      <w:tr w:rsidR="004A3126" w:rsidRPr="00F81987" w14:paraId="4BE16B34" w14:textId="1C29628D" w:rsidTr="009B2052">
        <w:trPr>
          <w:trHeight w:val="418"/>
          <w:jc w:val="center"/>
        </w:trPr>
        <w:tc>
          <w:tcPr>
            <w:tcW w:w="1429" w:type="dxa"/>
            <w:vMerge/>
          </w:tcPr>
          <w:p w14:paraId="0AE75B4C" w14:textId="59BF898C" w:rsidR="004A3126" w:rsidRPr="00F81987" w:rsidRDefault="004A3126" w:rsidP="004A3126">
            <w:pPr>
              <w:rPr>
                <w:rFonts w:cstheme="minorHAnsi"/>
                <w:sz w:val="20"/>
                <w:szCs w:val="20"/>
              </w:rPr>
            </w:pPr>
          </w:p>
        </w:tc>
        <w:tc>
          <w:tcPr>
            <w:tcW w:w="5370" w:type="dxa"/>
          </w:tcPr>
          <w:p w14:paraId="68A638E4" w14:textId="2D40DD09" w:rsidR="004A3126" w:rsidRPr="00F81987" w:rsidRDefault="00532EF9" w:rsidP="004A3126">
            <w:pPr>
              <w:rPr>
                <w:rFonts w:cstheme="minorHAnsi"/>
                <w:iCs/>
                <w:sz w:val="20"/>
                <w:szCs w:val="20"/>
              </w:rPr>
            </w:pPr>
            <w:r>
              <w:rPr>
                <w:rFonts w:cstheme="minorHAnsi"/>
                <w:iCs/>
                <w:sz w:val="20"/>
                <w:szCs w:val="20"/>
              </w:rPr>
              <w:t>b</w:t>
            </w:r>
            <w:r w:rsidR="004A3126" w:rsidRPr="004A3126">
              <w:rPr>
                <w:rFonts w:cstheme="minorHAnsi"/>
                <w:iCs/>
                <w:sz w:val="20"/>
                <w:szCs w:val="20"/>
              </w:rPr>
              <w:t>udowa rozbudowa inteligentnego zarządzania infrastruktura komunikacyjną w miastach ponad 50 tysięcy</w:t>
            </w:r>
          </w:p>
        </w:tc>
        <w:tc>
          <w:tcPr>
            <w:tcW w:w="2421" w:type="dxa"/>
            <w:gridSpan w:val="2"/>
          </w:tcPr>
          <w:p w14:paraId="7AB67ECE" w14:textId="2C6C6448" w:rsidR="004A3126" w:rsidRPr="00532EF9" w:rsidRDefault="00532EF9" w:rsidP="004A3126">
            <w:pPr>
              <w:rPr>
                <w:rFonts w:cstheme="minorHAnsi"/>
                <w:iCs/>
                <w:sz w:val="20"/>
                <w:szCs w:val="20"/>
              </w:rPr>
            </w:pPr>
            <w:r>
              <w:rPr>
                <w:sz w:val="20"/>
                <w:szCs w:val="20"/>
              </w:rPr>
              <w:t>s</w:t>
            </w:r>
            <w:r w:rsidR="004A3126" w:rsidRPr="00DD0E4C">
              <w:rPr>
                <w:sz w:val="20"/>
                <w:szCs w:val="20"/>
              </w:rPr>
              <w:t>amorządowe władze miejskie</w:t>
            </w:r>
          </w:p>
        </w:tc>
      </w:tr>
      <w:tr w:rsidR="004A3126" w:rsidRPr="00F81987" w14:paraId="37BFD0D1" w14:textId="736465CE" w:rsidTr="009B2052">
        <w:trPr>
          <w:trHeight w:val="269"/>
          <w:jc w:val="center"/>
        </w:trPr>
        <w:tc>
          <w:tcPr>
            <w:tcW w:w="1429" w:type="dxa"/>
            <w:vMerge/>
          </w:tcPr>
          <w:p w14:paraId="24B30D1F" w14:textId="77777777" w:rsidR="004A3126" w:rsidRPr="00F81987" w:rsidRDefault="004A3126" w:rsidP="004A3126">
            <w:pPr>
              <w:rPr>
                <w:rFonts w:cstheme="minorHAnsi"/>
                <w:sz w:val="20"/>
                <w:szCs w:val="20"/>
              </w:rPr>
            </w:pPr>
          </w:p>
        </w:tc>
        <w:tc>
          <w:tcPr>
            <w:tcW w:w="5370" w:type="dxa"/>
          </w:tcPr>
          <w:p w14:paraId="040B120B" w14:textId="554FF8F8" w:rsidR="004A3126" w:rsidRPr="00F81987" w:rsidRDefault="00532EF9" w:rsidP="004A3126">
            <w:pPr>
              <w:rPr>
                <w:rFonts w:cstheme="minorHAnsi"/>
                <w:iCs/>
                <w:sz w:val="20"/>
                <w:szCs w:val="20"/>
              </w:rPr>
            </w:pPr>
            <w:r>
              <w:rPr>
                <w:rFonts w:cstheme="minorHAnsi"/>
                <w:iCs/>
                <w:sz w:val="20"/>
                <w:szCs w:val="20"/>
              </w:rPr>
              <w:t>r</w:t>
            </w:r>
            <w:r w:rsidR="004A3126" w:rsidRPr="004A3126">
              <w:rPr>
                <w:rFonts w:cstheme="minorHAnsi"/>
                <w:iCs/>
                <w:sz w:val="20"/>
                <w:szCs w:val="20"/>
              </w:rPr>
              <w:t>ozbudowa ścieżek rowerowych o kolejne 20% i pieszych, zielonych ciągów komunikacyjnych o 10%</w:t>
            </w:r>
          </w:p>
        </w:tc>
        <w:tc>
          <w:tcPr>
            <w:tcW w:w="2421" w:type="dxa"/>
            <w:gridSpan w:val="2"/>
          </w:tcPr>
          <w:p w14:paraId="6DA2804D" w14:textId="780F21A0" w:rsidR="004A3126" w:rsidRPr="00532EF9" w:rsidRDefault="00532EF9" w:rsidP="004A3126">
            <w:pPr>
              <w:rPr>
                <w:rFonts w:cstheme="minorHAnsi"/>
                <w:iCs/>
                <w:sz w:val="20"/>
                <w:szCs w:val="20"/>
              </w:rPr>
            </w:pPr>
            <w:r>
              <w:rPr>
                <w:sz w:val="20"/>
                <w:szCs w:val="20"/>
              </w:rPr>
              <w:t>s</w:t>
            </w:r>
            <w:r w:rsidR="004A3126" w:rsidRPr="00DD0E4C">
              <w:rPr>
                <w:sz w:val="20"/>
                <w:szCs w:val="20"/>
              </w:rPr>
              <w:t>amorządowe władze miejskie</w:t>
            </w:r>
          </w:p>
        </w:tc>
      </w:tr>
      <w:tr w:rsidR="004A3126" w:rsidRPr="00F81987" w14:paraId="43C7F8F0" w14:textId="77777777" w:rsidTr="009B2052">
        <w:trPr>
          <w:trHeight w:val="269"/>
          <w:jc w:val="center"/>
        </w:trPr>
        <w:tc>
          <w:tcPr>
            <w:tcW w:w="1429" w:type="dxa"/>
            <w:vMerge/>
          </w:tcPr>
          <w:p w14:paraId="2456C7E1" w14:textId="77777777" w:rsidR="004A3126" w:rsidRPr="00F81987" w:rsidRDefault="004A3126" w:rsidP="004A3126">
            <w:pPr>
              <w:rPr>
                <w:rFonts w:cstheme="minorHAnsi"/>
                <w:sz w:val="20"/>
                <w:szCs w:val="20"/>
              </w:rPr>
            </w:pPr>
          </w:p>
        </w:tc>
        <w:tc>
          <w:tcPr>
            <w:tcW w:w="5370" w:type="dxa"/>
          </w:tcPr>
          <w:p w14:paraId="303EDB4E" w14:textId="7789E7AA" w:rsidR="004A3126" w:rsidRPr="00F81987" w:rsidRDefault="00532EF9" w:rsidP="004A3126">
            <w:pPr>
              <w:rPr>
                <w:rFonts w:cstheme="minorHAnsi"/>
                <w:iCs/>
                <w:sz w:val="20"/>
                <w:szCs w:val="20"/>
              </w:rPr>
            </w:pPr>
            <w:r>
              <w:rPr>
                <w:rFonts w:cstheme="minorHAnsi"/>
                <w:iCs/>
                <w:sz w:val="20"/>
                <w:szCs w:val="20"/>
              </w:rPr>
              <w:t>z</w:t>
            </w:r>
            <w:r w:rsidR="004A3126" w:rsidRPr="004A3126">
              <w:rPr>
                <w:rFonts w:cstheme="minorHAnsi"/>
                <w:iCs/>
                <w:sz w:val="20"/>
                <w:szCs w:val="20"/>
              </w:rPr>
              <w:t>większenie powierzchni terenów zadrzewionych o 10%, rozbudowa miejskich terenów sportowo rekreacyjnych o 10%</w:t>
            </w:r>
          </w:p>
        </w:tc>
        <w:tc>
          <w:tcPr>
            <w:tcW w:w="2421" w:type="dxa"/>
            <w:gridSpan w:val="2"/>
          </w:tcPr>
          <w:p w14:paraId="76700DA2" w14:textId="00895E5F" w:rsidR="004A3126" w:rsidRPr="00532EF9" w:rsidRDefault="00532EF9" w:rsidP="00983255">
            <w:pPr>
              <w:rPr>
                <w:rFonts w:cstheme="minorHAnsi"/>
                <w:iCs/>
                <w:sz w:val="20"/>
                <w:szCs w:val="20"/>
              </w:rPr>
            </w:pPr>
            <w:r>
              <w:rPr>
                <w:sz w:val="20"/>
                <w:szCs w:val="20"/>
              </w:rPr>
              <w:t>s</w:t>
            </w:r>
            <w:r w:rsidR="004A3126" w:rsidRPr="00DD0E4C">
              <w:rPr>
                <w:sz w:val="20"/>
                <w:szCs w:val="20"/>
              </w:rPr>
              <w:t>amorządowe władze miejskie</w:t>
            </w:r>
            <w:r w:rsidR="00F82390" w:rsidRPr="00DD0E4C">
              <w:rPr>
                <w:sz w:val="20"/>
                <w:szCs w:val="20"/>
              </w:rPr>
              <w:t>, przedsiębiorstwa zarządzające miejskimi terenami zielonymi</w:t>
            </w:r>
          </w:p>
        </w:tc>
      </w:tr>
      <w:tr w:rsidR="00586109" w:rsidRPr="00F81987" w14:paraId="46BF6A47" w14:textId="5578EB7B" w:rsidTr="00745D42">
        <w:trPr>
          <w:trHeight w:val="439"/>
          <w:jc w:val="center"/>
        </w:trPr>
        <w:tc>
          <w:tcPr>
            <w:tcW w:w="1429" w:type="dxa"/>
            <w:vMerge w:val="restart"/>
          </w:tcPr>
          <w:p w14:paraId="21DA84B5" w14:textId="77777777" w:rsidR="00586109" w:rsidRPr="00F81987" w:rsidRDefault="00586109" w:rsidP="00586109">
            <w:pPr>
              <w:rPr>
                <w:rFonts w:cstheme="minorHAnsi"/>
                <w:sz w:val="20"/>
                <w:szCs w:val="20"/>
              </w:rPr>
            </w:pPr>
            <w:r w:rsidRPr="00F81987">
              <w:rPr>
                <w:rFonts w:cstheme="minorHAnsi"/>
                <w:sz w:val="20"/>
                <w:szCs w:val="20"/>
              </w:rPr>
              <w:t>Długoterminowe (do 2040 r.)</w:t>
            </w:r>
          </w:p>
        </w:tc>
        <w:tc>
          <w:tcPr>
            <w:tcW w:w="5370" w:type="dxa"/>
          </w:tcPr>
          <w:p w14:paraId="5721CCEC" w14:textId="30F60E7F" w:rsidR="00586109" w:rsidRPr="00F81987" w:rsidRDefault="00532EF9" w:rsidP="00586109">
            <w:pPr>
              <w:rPr>
                <w:rFonts w:cstheme="minorHAnsi"/>
                <w:iCs/>
                <w:sz w:val="20"/>
                <w:szCs w:val="20"/>
              </w:rPr>
            </w:pPr>
            <w:r>
              <w:rPr>
                <w:rFonts w:cstheme="minorHAnsi"/>
                <w:iCs/>
                <w:sz w:val="20"/>
                <w:szCs w:val="20"/>
              </w:rPr>
              <w:t>b</w:t>
            </w:r>
            <w:r w:rsidR="00586109" w:rsidRPr="00586109">
              <w:rPr>
                <w:rFonts w:cstheme="minorHAnsi"/>
                <w:iCs/>
                <w:sz w:val="20"/>
                <w:szCs w:val="20"/>
              </w:rPr>
              <w:t xml:space="preserve">udowa i remonty budynków publicznych tylko w standardzie inteligentnych </w:t>
            </w:r>
          </w:p>
        </w:tc>
        <w:tc>
          <w:tcPr>
            <w:tcW w:w="2421" w:type="dxa"/>
            <w:gridSpan w:val="2"/>
          </w:tcPr>
          <w:p w14:paraId="1AEEB311" w14:textId="6A96E983" w:rsidR="00586109" w:rsidRPr="00532EF9" w:rsidRDefault="00532EF9" w:rsidP="00586109">
            <w:pPr>
              <w:rPr>
                <w:rFonts w:cstheme="minorHAnsi"/>
                <w:iCs/>
                <w:sz w:val="20"/>
                <w:szCs w:val="20"/>
              </w:rPr>
            </w:pPr>
            <w:r w:rsidRPr="00DD0E4C">
              <w:rPr>
                <w:sz w:val="20"/>
                <w:szCs w:val="20"/>
              </w:rPr>
              <w:t>s</w:t>
            </w:r>
            <w:r w:rsidR="00586109" w:rsidRPr="00DD0E4C">
              <w:rPr>
                <w:sz w:val="20"/>
                <w:szCs w:val="20"/>
              </w:rPr>
              <w:t>amorządowe władze miejskie</w:t>
            </w:r>
            <w:r w:rsidR="00F82390" w:rsidRPr="00DD0E4C">
              <w:rPr>
                <w:sz w:val="20"/>
                <w:szCs w:val="20"/>
              </w:rPr>
              <w:t>, przedsiębiorstwa budowlane</w:t>
            </w:r>
          </w:p>
        </w:tc>
      </w:tr>
      <w:tr w:rsidR="00586109" w:rsidRPr="00F81987" w14:paraId="4ED55452" w14:textId="72CDF9EE" w:rsidTr="00745D42">
        <w:trPr>
          <w:trHeight w:val="439"/>
          <w:jc w:val="center"/>
        </w:trPr>
        <w:tc>
          <w:tcPr>
            <w:tcW w:w="1429" w:type="dxa"/>
            <w:vMerge/>
          </w:tcPr>
          <w:p w14:paraId="4A243279" w14:textId="77777777" w:rsidR="00586109" w:rsidRPr="00F81987" w:rsidRDefault="00586109" w:rsidP="00586109">
            <w:pPr>
              <w:rPr>
                <w:rFonts w:cstheme="minorHAnsi"/>
                <w:sz w:val="20"/>
                <w:szCs w:val="20"/>
              </w:rPr>
            </w:pPr>
          </w:p>
        </w:tc>
        <w:tc>
          <w:tcPr>
            <w:tcW w:w="5370" w:type="dxa"/>
          </w:tcPr>
          <w:p w14:paraId="69B1389A" w14:textId="3A8947F4" w:rsidR="00586109" w:rsidRPr="00F81987" w:rsidRDefault="00532EF9" w:rsidP="00586109">
            <w:pPr>
              <w:rPr>
                <w:rFonts w:cstheme="minorHAnsi"/>
                <w:iCs/>
                <w:sz w:val="20"/>
                <w:szCs w:val="20"/>
              </w:rPr>
            </w:pPr>
            <w:r>
              <w:rPr>
                <w:rFonts w:cstheme="minorHAnsi"/>
                <w:iCs/>
                <w:sz w:val="20"/>
                <w:szCs w:val="20"/>
              </w:rPr>
              <w:t>w</w:t>
            </w:r>
            <w:r w:rsidR="00586109" w:rsidRPr="00586109">
              <w:rPr>
                <w:rFonts w:cstheme="minorHAnsi"/>
                <w:iCs/>
                <w:sz w:val="20"/>
                <w:szCs w:val="20"/>
              </w:rPr>
              <w:t>ymiana 100% floty komunikacji miejskiej na niskoemisyjne</w:t>
            </w:r>
          </w:p>
        </w:tc>
        <w:tc>
          <w:tcPr>
            <w:tcW w:w="2421" w:type="dxa"/>
            <w:gridSpan w:val="2"/>
          </w:tcPr>
          <w:p w14:paraId="62FA1865" w14:textId="3F9A3974" w:rsidR="00586109" w:rsidRPr="00532EF9" w:rsidRDefault="00532EF9" w:rsidP="00586109">
            <w:pPr>
              <w:rPr>
                <w:rFonts w:cstheme="minorHAnsi"/>
                <w:iCs/>
                <w:sz w:val="20"/>
                <w:szCs w:val="20"/>
              </w:rPr>
            </w:pPr>
            <w:r w:rsidRPr="00DD0E4C">
              <w:rPr>
                <w:sz w:val="20"/>
                <w:szCs w:val="20"/>
              </w:rPr>
              <w:t>s</w:t>
            </w:r>
            <w:r w:rsidR="00586109" w:rsidRPr="00DD0E4C">
              <w:rPr>
                <w:sz w:val="20"/>
                <w:szCs w:val="20"/>
              </w:rPr>
              <w:t>amorządowe władze miejskie</w:t>
            </w:r>
            <w:r w:rsidR="00F82390" w:rsidRPr="00DD0E4C">
              <w:rPr>
                <w:sz w:val="20"/>
                <w:szCs w:val="20"/>
              </w:rPr>
              <w:t>/ przedsiębiorstwa komunikacji miejskiej</w:t>
            </w:r>
          </w:p>
        </w:tc>
      </w:tr>
      <w:tr w:rsidR="00586109" w:rsidRPr="00F81987" w14:paraId="0D5092B8" w14:textId="77777777" w:rsidTr="00745D42">
        <w:trPr>
          <w:trHeight w:val="439"/>
          <w:jc w:val="center"/>
        </w:trPr>
        <w:tc>
          <w:tcPr>
            <w:tcW w:w="1429" w:type="dxa"/>
            <w:vMerge/>
          </w:tcPr>
          <w:p w14:paraId="31FDBB2C" w14:textId="77777777" w:rsidR="00586109" w:rsidRPr="00F81987" w:rsidRDefault="00586109" w:rsidP="00586109">
            <w:pPr>
              <w:rPr>
                <w:rFonts w:cstheme="minorHAnsi"/>
                <w:sz w:val="20"/>
                <w:szCs w:val="20"/>
              </w:rPr>
            </w:pPr>
          </w:p>
        </w:tc>
        <w:tc>
          <w:tcPr>
            <w:tcW w:w="5370" w:type="dxa"/>
          </w:tcPr>
          <w:p w14:paraId="6E0248C5" w14:textId="1A9ADA81" w:rsidR="00586109" w:rsidRPr="00F81987" w:rsidRDefault="00532EF9" w:rsidP="00586109">
            <w:pPr>
              <w:rPr>
                <w:rFonts w:cstheme="minorHAnsi"/>
                <w:iCs/>
                <w:sz w:val="20"/>
                <w:szCs w:val="20"/>
              </w:rPr>
            </w:pPr>
            <w:r>
              <w:rPr>
                <w:rFonts w:cstheme="minorHAnsi"/>
                <w:iCs/>
                <w:sz w:val="20"/>
                <w:szCs w:val="20"/>
              </w:rPr>
              <w:t>k</w:t>
            </w:r>
            <w:r w:rsidR="00586109" w:rsidRPr="00586109">
              <w:rPr>
                <w:rFonts w:cstheme="minorHAnsi"/>
                <w:iCs/>
                <w:sz w:val="20"/>
                <w:szCs w:val="20"/>
              </w:rPr>
              <w:t>ontynuacja rozbudowy linii tramwajowych/trolejbusowych – 1 w miastach ponad 10 tysięcy</w:t>
            </w:r>
          </w:p>
        </w:tc>
        <w:tc>
          <w:tcPr>
            <w:tcW w:w="2421" w:type="dxa"/>
            <w:gridSpan w:val="2"/>
          </w:tcPr>
          <w:p w14:paraId="68AE99D6" w14:textId="41BD45A7" w:rsidR="00586109" w:rsidRPr="00532EF9" w:rsidRDefault="00532EF9" w:rsidP="00586109">
            <w:pPr>
              <w:rPr>
                <w:rFonts w:cstheme="minorHAnsi"/>
                <w:iCs/>
                <w:sz w:val="20"/>
                <w:szCs w:val="20"/>
              </w:rPr>
            </w:pPr>
            <w:r w:rsidRPr="00DD0E4C">
              <w:rPr>
                <w:sz w:val="20"/>
                <w:szCs w:val="20"/>
              </w:rPr>
              <w:t>s</w:t>
            </w:r>
            <w:r w:rsidR="00586109" w:rsidRPr="00DD0E4C">
              <w:rPr>
                <w:sz w:val="20"/>
                <w:szCs w:val="20"/>
              </w:rPr>
              <w:t>amorządowe władze miejskie</w:t>
            </w:r>
            <w:r w:rsidR="00F82390" w:rsidRPr="00DD0E4C">
              <w:rPr>
                <w:sz w:val="20"/>
                <w:szCs w:val="20"/>
              </w:rPr>
              <w:t>/ przedsiębiorstwa komunikacji miejskiej</w:t>
            </w:r>
          </w:p>
        </w:tc>
      </w:tr>
      <w:tr w:rsidR="00586109" w:rsidRPr="00F81987" w14:paraId="47AFD54A" w14:textId="77777777" w:rsidTr="00745D42">
        <w:trPr>
          <w:trHeight w:val="439"/>
          <w:jc w:val="center"/>
        </w:trPr>
        <w:tc>
          <w:tcPr>
            <w:tcW w:w="1429" w:type="dxa"/>
            <w:vMerge/>
          </w:tcPr>
          <w:p w14:paraId="2DD54A9C" w14:textId="77777777" w:rsidR="00586109" w:rsidRPr="00F81987" w:rsidRDefault="00586109" w:rsidP="00586109">
            <w:pPr>
              <w:rPr>
                <w:rFonts w:cstheme="minorHAnsi"/>
                <w:sz w:val="20"/>
                <w:szCs w:val="20"/>
              </w:rPr>
            </w:pPr>
          </w:p>
        </w:tc>
        <w:tc>
          <w:tcPr>
            <w:tcW w:w="5370" w:type="dxa"/>
          </w:tcPr>
          <w:p w14:paraId="6A9C1803" w14:textId="1525F9C1" w:rsidR="00586109" w:rsidRPr="00F81987" w:rsidRDefault="00532EF9" w:rsidP="00586109">
            <w:pPr>
              <w:rPr>
                <w:rFonts w:cstheme="minorHAnsi"/>
                <w:iCs/>
                <w:sz w:val="20"/>
                <w:szCs w:val="20"/>
              </w:rPr>
            </w:pPr>
            <w:r>
              <w:rPr>
                <w:rFonts w:cstheme="minorHAnsi"/>
                <w:iCs/>
                <w:sz w:val="20"/>
                <w:szCs w:val="20"/>
              </w:rPr>
              <w:t>b</w:t>
            </w:r>
            <w:r w:rsidR="00586109" w:rsidRPr="00586109">
              <w:rPr>
                <w:rFonts w:cstheme="minorHAnsi"/>
                <w:iCs/>
                <w:sz w:val="20"/>
                <w:szCs w:val="20"/>
              </w:rPr>
              <w:t>udowa/rozbudowa inteligentnego zarządzania całą  infrastrukturą miejską</w:t>
            </w:r>
          </w:p>
        </w:tc>
        <w:tc>
          <w:tcPr>
            <w:tcW w:w="2421" w:type="dxa"/>
            <w:gridSpan w:val="2"/>
          </w:tcPr>
          <w:p w14:paraId="01522706" w14:textId="6CEB0BAC" w:rsidR="00586109" w:rsidRPr="00532EF9" w:rsidRDefault="00532EF9" w:rsidP="00586109">
            <w:pPr>
              <w:rPr>
                <w:rFonts w:cstheme="minorHAnsi"/>
                <w:iCs/>
                <w:sz w:val="20"/>
                <w:szCs w:val="20"/>
              </w:rPr>
            </w:pPr>
            <w:r w:rsidRPr="00DD0E4C">
              <w:rPr>
                <w:sz w:val="20"/>
                <w:szCs w:val="20"/>
              </w:rPr>
              <w:t>s</w:t>
            </w:r>
            <w:r w:rsidR="00586109" w:rsidRPr="00DD0E4C">
              <w:rPr>
                <w:sz w:val="20"/>
                <w:szCs w:val="20"/>
              </w:rPr>
              <w:t>amorządowe władze miejskie</w:t>
            </w:r>
          </w:p>
        </w:tc>
      </w:tr>
      <w:tr w:rsidR="00586109" w:rsidRPr="00F81987" w14:paraId="11C118CE" w14:textId="77777777" w:rsidTr="00745D42">
        <w:trPr>
          <w:trHeight w:val="439"/>
          <w:jc w:val="center"/>
        </w:trPr>
        <w:tc>
          <w:tcPr>
            <w:tcW w:w="1429" w:type="dxa"/>
            <w:vMerge/>
          </w:tcPr>
          <w:p w14:paraId="2F83810B" w14:textId="77777777" w:rsidR="00586109" w:rsidRPr="00F81987" w:rsidRDefault="00586109" w:rsidP="00586109">
            <w:pPr>
              <w:rPr>
                <w:rFonts w:cstheme="minorHAnsi"/>
                <w:sz w:val="20"/>
                <w:szCs w:val="20"/>
              </w:rPr>
            </w:pPr>
          </w:p>
        </w:tc>
        <w:tc>
          <w:tcPr>
            <w:tcW w:w="5370" w:type="dxa"/>
          </w:tcPr>
          <w:p w14:paraId="62FA58CA" w14:textId="102BA5EC" w:rsidR="00586109" w:rsidRPr="00F81987" w:rsidRDefault="00532EF9" w:rsidP="00586109">
            <w:pPr>
              <w:rPr>
                <w:rFonts w:cstheme="minorHAnsi"/>
                <w:iCs/>
                <w:sz w:val="20"/>
                <w:szCs w:val="20"/>
              </w:rPr>
            </w:pPr>
            <w:r>
              <w:rPr>
                <w:rFonts w:cstheme="minorHAnsi"/>
                <w:iCs/>
                <w:sz w:val="20"/>
                <w:szCs w:val="20"/>
              </w:rPr>
              <w:t>r</w:t>
            </w:r>
            <w:r w:rsidR="00586109" w:rsidRPr="00586109">
              <w:rPr>
                <w:rFonts w:cstheme="minorHAnsi"/>
                <w:iCs/>
                <w:sz w:val="20"/>
                <w:szCs w:val="20"/>
              </w:rPr>
              <w:t>ozbudowa ścieżek rowerowych o 10% i pieszych, zielonych ciągów komunikacyjnych o 10%</w:t>
            </w:r>
          </w:p>
        </w:tc>
        <w:tc>
          <w:tcPr>
            <w:tcW w:w="2421" w:type="dxa"/>
            <w:gridSpan w:val="2"/>
          </w:tcPr>
          <w:p w14:paraId="392D1666" w14:textId="7588F984" w:rsidR="00586109" w:rsidRPr="00532EF9" w:rsidRDefault="00532EF9" w:rsidP="00586109">
            <w:pPr>
              <w:rPr>
                <w:rFonts w:cstheme="minorHAnsi"/>
                <w:iCs/>
                <w:sz w:val="20"/>
                <w:szCs w:val="20"/>
              </w:rPr>
            </w:pPr>
            <w:r w:rsidRPr="00DD0E4C">
              <w:rPr>
                <w:sz w:val="20"/>
                <w:szCs w:val="20"/>
              </w:rPr>
              <w:t>s</w:t>
            </w:r>
            <w:r w:rsidR="00586109" w:rsidRPr="00DD0E4C">
              <w:rPr>
                <w:sz w:val="20"/>
                <w:szCs w:val="20"/>
              </w:rPr>
              <w:t>amorządowe władze miejskie</w:t>
            </w:r>
          </w:p>
        </w:tc>
      </w:tr>
      <w:tr w:rsidR="00586109" w:rsidRPr="00F81987" w14:paraId="0E8170CF" w14:textId="77777777" w:rsidTr="00745D42">
        <w:trPr>
          <w:trHeight w:val="439"/>
          <w:jc w:val="center"/>
        </w:trPr>
        <w:tc>
          <w:tcPr>
            <w:tcW w:w="1429" w:type="dxa"/>
            <w:vMerge/>
          </w:tcPr>
          <w:p w14:paraId="37E150D5" w14:textId="77777777" w:rsidR="00586109" w:rsidRPr="00F81987" w:rsidRDefault="00586109" w:rsidP="00586109">
            <w:pPr>
              <w:rPr>
                <w:rFonts w:cstheme="minorHAnsi"/>
                <w:sz w:val="20"/>
                <w:szCs w:val="20"/>
              </w:rPr>
            </w:pPr>
          </w:p>
        </w:tc>
        <w:tc>
          <w:tcPr>
            <w:tcW w:w="5370" w:type="dxa"/>
          </w:tcPr>
          <w:p w14:paraId="59E6C57B" w14:textId="22D9324B" w:rsidR="00586109" w:rsidRPr="00F81987" w:rsidRDefault="00532EF9" w:rsidP="00586109">
            <w:pPr>
              <w:rPr>
                <w:rFonts w:cstheme="minorHAnsi"/>
                <w:iCs/>
                <w:sz w:val="20"/>
                <w:szCs w:val="20"/>
              </w:rPr>
            </w:pPr>
            <w:r>
              <w:rPr>
                <w:rFonts w:cstheme="minorHAnsi"/>
                <w:iCs/>
                <w:sz w:val="20"/>
                <w:szCs w:val="20"/>
              </w:rPr>
              <w:t>z</w:t>
            </w:r>
            <w:r w:rsidR="00586109" w:rsidRPr="00586109">
              <w:rPr>
                <w:rFonts w:cstheme="minorHAnsi"/>
                <w:iCs/>
                <w:sz w:val="20"/>
                <w:szCs w:val="20"/>
              </w:rPr>
              <w:t>większenie powierzchni terenów zielonych, zadrzewionych o 10%</w:t>
            </w:r>
          </w:p>
        </w:tc>
        <w:tc>
          <w:tcPr>
            <w:tcW w:w="2421" w:type="dxa"/>
            <w:gridSpan w:val="2"/>
          </w:tcPr>
          <w:p w14:paraId="0532F22E" w14:textId="016B2C1C" w:rsidR="00586109" w:rsidRPr="00532EF9" w:rsidRDefault="00532EF9" w:rsidP="00586109">
            <w:pPr>
              <w:rPr>
                <w:rFonts w:cstheme="minorHAnsi"/>
                <w:iCs/>
                <w:sz w:val="20"/>
                <w:szCs w:val="20"/>
              </w:rPr>
            </w:pPr>
            <w:r w:rsidRPr="00DD0E4C">
              <w:rPr>
                <w:sz w:val="20"/>
                <w:szCs w:val="20"/>
              </w:rPr>
              <w:t>s</w:t>
            </w:r>
            <w:r w:rsidR="00586109" w:rsidRPr="00DD0E4C">
              <w:rPr>
                <w:sz w:val="20"/>
                <w:szCs w:val="20"/>
              </w:rPr>
              <w:t>amorządowe władze miejskie</w:t>
            </w:r>
            <w:r w:rsidR="00F82390" w:rsidRPr="00DD0E4C">
              <w:rPr>
                <w:sz w:val="20"/>
                <w:szCs w:val="20"/>
              </w:rPr>
              <w:t>/ przedsiębiorstwa zarządzające miejskimi terenami zielonymi</w:t>
            </w:r>
          </w:p>
        </w:tc>
      </w:tr>
      <w:tr w:rsidR="00586109" w:rsidRPr="00F81987" w14:paraId="438DB500" w14:textId="77777777" w:rsidTr="00745D42">
        <w:trPr>
          <w:trHeight w:val="439"/>
          <w:jc w:val="center"/>
        </w:trPr>
        <w:tc>
          <w:tcPr>
            <w:tcW w:w="1429" w:type="dxa"/>
            <w:vMerge/>
          </w:tcPr>
          <w:p w14:paraId="6FADBA47" w14:textId="77777777" w:rsidR="00586109" w:rsidRPr="00F81987" w:rsidRDefault="00586109" w:rsidP="00586109">
            <w:pPr>
              <w:rPr>
                <w:rFonts w:cstheme="minorHAnsi"/>
                <w:sz w:val="20"/>
                <w:szCs w:val="20"/>
              </w:rPr>
            </w:pPr>
          </w:p>
        </w:tc>
        <w:tc>
          <w:tcPr>
            <w:tcW w:w="5370" w:type="dxa"/>
          </w:tcPr>
          <w:p w14:paraId="76D01925" w14:textId="0787DEE1" w:rsidR="00586109" w:rsidRPr="00F81987" w:rsidRDefault="00532EF9" w:rsidP="00586109">
            <w:pPr>
              <w:rPr>
                <w:rFonts w:cstheme="minorHAnsi"/>
                <w:iCs/>
                <w:sz w:val="20"/>
                <w:szCs w:val="20"/>
              </w:rPr>
            </w:pPr>
            <w:r>
              <w:rPr>
                <w:rFonts w:cstheme="minorHAnsi"/>
                <w:iCs/>
                <w:sz w:val="20"/>
                <w:szCs w:val="20"/>
              </w:rPr>
              <w:t>b</w:t>
            </w:r>
            <w:r w:rsidR="00586109" w:rsidRPr="00586109">
              <w:rPr>
                <w:rFonts w:cstheme="minorHAnsi"/>
                <w:iCs/>
                <w:sz w:val="20"/>
                <w:szCs w:val="20"/>
              </w:rPr>
              <w:t>udowa i rozbudowa miejskich placów sportowo-rekreacyjnych na terenach zielonych o 10%</w:t>
            </w:r>
          </w:p>
        </w:tc>
        <w:tc>
          <w:tcPr>
            <w:tcW w:w="2421" w:type="dxa"/>
            <w:gridSpan w:val="2"/>
          </w:tcPr>
          <w:p w14:paraId="28619B40" w14:textId="027E13C4" w:rsidR="00586109" w:rsidRPr="00532EF9" w:rsidRDefault="00532EF9" w:rsidP="00586109">
            <w:pPr>
              <w:rPr>
                <w:rFonts w:cstheme="minorHAnsi"/>
                <w:iCs/>
                <w:sz w:val="20"/>
                <w:szCs w:val="20"/>
              </w:rPr>
            </w:pPr>
            <w:r w:rsidRPr="00DD0E4C">
              <w:rPr>
                <w:sz w:val="20"/>
                <w:szCs w:val="20"/>
              </w:rPr>
              <w:t>s</w:t>
            </w:r>
            <w:r w:rsidR="00586109" w:rsidRPr="00DD0E4C">
              <w:rPr>
                <w:sz w:val="20"/>
                <w:szCs w:val="20"/>
              </w:rPr>
              <w:t>amorządowe władze miejskie</w:t>
            </w:r>
            <w:r w:rsidR="00F82390" w:rsidRPr="00DD0E4C">
              <w:rPr>
                <w:sz w:val="20"/>
                <w:szCs w:val="20"/>
              </w:rPr>
              <w:t>/ jednostki ds. sportu i rekreacji</w:t>
            </w:r>
          </w:p>
        </w:tc>
      </w:tr>
      <w:tr w:rsidR="00586109" w:rsidRPr="00F81987" w14:paraId="6FCB24AC" w14:textId="77777777" w:rsidTr="00745D42">
        <w:trPr>
          <w:trHeight w:val="439"/>
          <w:jc w:val="center"/>
        </w:trPr>
        <w:tc>
          <w:tcPr>
            <w:tcW w:w="1429" w:type="dxa"/>
            <w:vMerge w:val="restart"/>
          </w:tcPr>
          <w:p w14:paraId="0551600C" w14:textId="5F4ADE48" w:rsidR="00586109" w:rsidRPr="00F81987" w:rsidRDefault="00586109" w:rsidP="00586109">
            <w:pPr>
              <w:rPr>
                <w:rFonts w:cstheme="minorHAnsi"/>
                <w:sz w:val="20"/>
                <w:szCs w:val="20"/>
              </w:rPr>
            </w:pPr>
            <w:r>
              <w:rPr>
                <w:rFonts w:cstheme="minorHAnsi"/>
                <w:sz w:val="20"/>
                <w:szCs w:val="20"/>
              </w:rPr>
              <w:t>Stale realizowane działania</w:t>
            </w:r>
          </w:p>
        </w:tc>
        <w:tc>
          <w:tcPr>
            <w:tcW w:w="5370" w:type="dxa"/>
          </w:tcPr>
          <w:p w14:paraId="1DDE5B31" w14:textId="39C903C2" w:rsidR="00586109" w:rsidRPr="00F81987" w:rsidRDefault="00532EF9" w:rsidP="00F82390">
            <w:pPr>
              <w:rPr>
                <w:rFonts w:cstheme="minorHAnsi"/>
                <w:iCs/>
                <w:sz w:val="20"/>
                <w:szCs w:val="20"/>
              </w:rPr>
            </w:pPr>
            <w:r>
              <w:rPr>
                <w:rFonts w:cstheme="minorHAnsi"/>
                <w:iCs/>
                <w:sz w:val="20"/>
                <w:szCs w:val="20"/>
              </w:rPr>
              <w:t>p</w:t>
            </w:r>
            <w:r w:rsidR="00586109" w:rsidRPr="00D81CF8">
              <w:rPr>
                <w:rFonts w:cstheme="minorHAnsi"/>
                <w:iCs/>
                <w:sz w:val="20"/>
                <w:szCs w:val="20"/>
              </w:rPr>
              <w:t xml:space="preserve">rowadzenie informacyjno-edukacyjno-promocyjnych kampanii medialnych </w:t>
            </w:r>
            <w:r w:rsidR="00F82390">
              <w:rPr>
                <w:rFonts w:cstheme="minorHAnsi"/>
                <w:iCs/>
                <w:sz w:val="20"/>
                <w:szCs w:val="20"/>
              </w:rPr>
              <w:t>dotyczących promocji spopularyzowania inicjatywy „miast inteligentnych”</w:t>
            </w:r>
            <w:r w:rsidR="00586109" w:rsidRPr="00D81CF8">
              <w:rPr>
                <w:rFonts w:cstheme="minorHAnsi"/>
                <w:iCs/>
                <w:sz w:val="20"/>
                <w:szCs w:val="20"/>
              </w:rPr>
              <w:t xml:space="preserve"> </w:t>
            </w:r>
          </w:p>
        </w:tc>
        <w:tc>
          <w:tcPr>
            <w:tcW w:w="2421" w:type="dxa"/>
            <w:gridSpan w:val="2"/>
          </w:tcPr>
          <w:p w14:paraId="765D2E6E" w14:textId="6FA1F87D" w:rsidR="00586109" w:rsidRPr="00532EF9" w:rsidRDefault="00532EF9" w:rsidP="00586109">
            <w:pPr>
              <w:rPr>
                <w:rFonts w:cstheme="minorHAnsi"/>
                <w:iCs/>
                <w:sz w:val="20"/>
                <w:szCs w:val="20"/>
              </w:rPr>
            </w:pPr>
            <w:r w:rsidRPr="00DD0E4C">
              <w:rPr>
                <w:sz w:val="20"/>
                <w:szCs w:val="20"/>
              </w:rPr>
              <w:t>s</w:t>
            </w:r>
            <w:r w:rsidR="00586109" w:rsidRPr="00DD0E4C">
              <w:rPr>
                <w:sz w:val="20"/>
                <w:szCs w:val="20"/>
              </w:rPr>
              <w:t>amorządowe władze miejskie</w:t>
            </w:r>
            <w:r w:rsidR="00F82390" w:rsidRPr="00DD0E4C">
              <w:rPr>
                <w:sz w:val="20"/>
                <w:szCs w:val="20"/>
              </w:rPr>
              <w:t>/ jednostki szkoleniowe/</w:t>
            </w:r>
            <w:r w:rsidR="00983255" w:rsidRPr="00DD0E4C">
              <w:rPr>
                <w:sz w:val="20"/>
                <w:szCs w:val="20"/>
              </w:rPr>
              <w:t xml:space="preserve"> instytuty naukowe/ fundacje …</w:t>
            </w:r>
          </w:p>
        </w:tc>
      </w:tr>
      <w:tr w:rsidR="00983255" w:rsidRPr="00F81987" w14:paraId="5A987A40" w14:textId="77777777" w:rsidTr="00745D42">
        <w:trPr>
          <w:trHeight w:val="439"/>
          <w:jc w:val="center"/>
        </w:trPr>
        <w:tc>
          <w:tcPr>
            <w:tcW w:w="1429" w:type="dxa"/>
            <w:vMerge/>
          </w:tcPr>
          <w:p w14:paraId="79E25A4C" w14:textId="77777777" w:rsidR="00983255" w:rsidRDefault="00983255" w:rsidP="00983255">
            <w:pPr>
              <w:rPr>
                <w:rFonts w:cstheme="minorHAnsi"/>
                <w:sz w:val="20"/>
                <w:szCs w:val="20"/>
              </w:rPr>
            </w:pPr>
          </w:p>
        </w:tc>
        <w:tc>
          <w:tcPr>
            <w:tcW w:w="5370" w:type="dxa"/>
          </w:tcPr>
          <w:p w14:paraId="7BAF0CD1" w14:textId="33C6C5C0" w:rsidR="00983255" w:rsidRPr="00F81987" w:rsidRDefault="00532EF9" w:rsidP="00983255">
            <w:pPr>
              <w:rPr>
                <w:rFonts w:cstheme="minorHAnsi"/>
                <w:iCs/>
                <w:sz w:val="20"/>
                <w:szCs w:val="20"/>
              </w:rPr>
            </w:pPr>
            <w:r>
              <w:rPr>
                <w:rFonts w:cstheme="minorHAnsi"/>
                <w:iCs/>
                <w:sz w:val="20"/>
                <w:szCs w:val="20"/>
              </w:rPr>
              <w:t>p</w:t>
            </w:r>
            <w:r w:rsidR="00983255" w:rsidRPr="00D81CF8">
              <w:rPr>
                <w:rFonts w:cstheme="minorHAnsi"/>
                <w:iCs/>
                <w:sz w:val="20"/>
                <w:szCs w:val="20"/>
              </w:rPr>
              <w:t>rowadzenie akcji/szkoleń/warsztatów informacyjno-edukacyjnych w szkołach, świetlicach, domach kultury, centrach naukowych i handlowych oraz innych instytucjach nt.  ekologicznego  zagospodarowania przestrzeni miejskiej</w:t>
            </w:r>
          </w:p>
        </w:tc>
        <w:tc>
          <w:tcPr>
            <w:tcW w:w="2421" w:type="dxa"/>
            <w:gridSpan w:val="2"/>
          </w:tcPr>
          <w:p w14:paraId="058BADD5" w14:textId="6B9D37C8" w:rsidR="00983255" w:rsidRPr="00532EF9" w:rsidRDefault="00532EF9" w:rsidP="00983255">
            <w:pPr>
              <w:rPr>
                <w:rFonts w:cstheme="minorHAnsi"/>
                <w:iCs/>
                <w:sz w:val="20"/>
                <w:szCs w:val="20"/>
              </w:rPr>
            </w:pPr>
            <w:r w:rsidRPr="00DD0E4C">
              <w:rPr>
                <w:sz w:val="20"/>
                <w:szCs w:val="20"/>
              </w:rPr>
              <w:t>s</w:t>
            </w:r>
            <w:r w:rsidR="00983255" w:rsidRPr="00DD0E4C">
              <w:rPr>
                <w:sz w:val="20"/>
                <w:szCs w:val="20"/>
              </w:rPr>
              <w:t>amorządowe władze miejskie/ jednostki szkoleniowe/ instytuty naukowe/ fundacje …</w:t>
            </w:r>
          </w:p>
        </w:tc>
      </w:tr>
      <w:tr w:rsidR="00983255" w:rsidRPr="00F81987" w14:paraId="37E434E9" w14:textId="77777777" w:rsidTr="00745D42">
        <w:trPr>
          <w:trHeight w:val="439"/>
          <w:jc w:val="center"/>
        </w:trPr>
        <w:tc>
          <w:tcPr>
            <w:tcW w:w="1429" w:type="dxa"/>
            <w:vMerge/>
          </w:tcPr>
          <w:p w14:paraId="3402314D" w14:textId="77777777" w:rsidR="00983255" w:rsidRDefault="00983255" w:rsidP="00983255">
            <w:pPr>
              <w:rPr>
                <w:rFonts w:cstheme="minorHAnsi"/>
                <w:sz w:val="20"/>
                <w:szCs w:val="20"/>
              </w:rPr>
            </w:pPr>
          </w:p>
        </w:tc>
        <w:tc>
          <w:tcPr>
            <w:tcW w:w="5370" w:type="dxa"/>
          </w:tcPr>
          <w:p w14:paraId="532A1BC2" w14:textId="65E0AC6F" w:rsidR="00983255" w:rsidRPr="00F81987" w:rsidRDefault="00532EF9" w:rsidP="00983255">
            <w:pPr>
              <w:rPr>
                <w:rFonts w:cstheme="minorHAnsi"/>
                <w:iCs/>
                <w:sz w:val="20"/>
                <w:szCs w:val="20"/>
              </w:rPr>
            </w:pPr>
            <w:r>
              <w:rPr>
                <w:rFonts w:cstheme="minorHAnsi"/>
                <w:iCs/>
                <w:sz w:val="20"/>
                <w:szCs w:val="20"/>
              </w:rPr>
              <w:t>b</w:t>
            </w:r>
            <w:r w:rsidR="00983255" w:rsidRPr="00D81CF8">
              <w:rPr>
                <w:rFonts w:cstheme="minorHAnsi"/>
                <w:iCs/>
                <w:sz w:val="20"/>
                <w:szCs w:val="20"/>
              </w:rPr>
              <w:t>udowa/rozbudowa ekologicznych, miejskich ścieżek edukacyjnych</w:t>
            </w:r>
          </w:p>
        </w:tc>
        <w:tc>
          <w:tcPr>
            <w:tcW w:w="2421" w:type="dxa"/>
            <w:gridSpan w:val="2"/>
          </w:tcPr>
          <w:p w14:paraId="1177B194" w14:textId="6F2FE415" w:rsidR="00983255" w:rsidRPr="00532EF9" w:rsidRDefault="00532EF9" w:rsidP="00983255">
            <w:pPr>
              <w:rPr>
                <w:rFonts w:cstheme="minorHAnsi"/>
                <w:iCs/>
                <w:sz w:val="20"/>
                <w:szCs w:val="20"/>
              </w:rPr>
            </w:pPr>
            <w:r w:rsidRPr="00DD0E4C">
              <w:rPr>
                <w:sz w:val="20"/>
                <w:szCs w:val="20"/>
              </w:rPr>
              <w:t>s</w:t>
            </w:r>
            <w:r w:rsidR="00983255" w:rsidRPr="00DD0E4C">
              <w:rPr>
                <w:sz w:val="20"/>
                <w:szCs w:val="20"/>
              </w:rPr>
              <w:t>amorządowe władze miejskie/ jednostki szkoleniowe/ instytuty naukowe/ fundacje …</w:t>
            </w:r>
          </w:p>
        </w:tc>
      </w:tr>
      <w:tr w:rsidR="00A77FE9" w:rsidRPr="00F81987" w14:paraId="713938DE" w14:textId="77777777" w:rsidTr="00EC23DE">
        <w:trPr>
          <w:trHeight w:val="439"/>
          <w:jc w:val="center"/>
        </w:trPr>
        <w:tc>
          <w:tcPr>
            <w:tcW w:w="9220" w:type="dxa"/>
            <w:gridSpan w:val="4"/>
            <w:shd w:val="clear" w:color="auto" w:fill="D9E2F3" w:themeFill="accent1" w:themeFillTint="33"/>
          </w:tcPr>
          <w:p w14:paraId="698D6A70" w14:textId="5FFC8823" w:rsidR="00A77FE9" w:rsidRPr="00F81987" w:rsidRDefault="00A77FE9" w:rsidP="00A77FE9">
            <w:pPr>
              <w:rPr>
                <w:rFonts w:cstheme="minorHAnsi"/>
                <w:iCs/>
                <w:sz w:val="20"/>
                <w:szCs w:val="20"/>
              </w:rPr>
            </w:pPr>
            <w:r w:rsidRPr="00F81987">
              <w:rPr>
                <w:rFonts w:cstheme="minorHAnsi"/>
                <w:b/>
                <w:bCs/>
                <w:color w:val="2F5496" w:themeColor="accent1" w:themeShade="BF"/>
                <w:sz w:val="20"/>
                <w:szCs w:val="20"/>
              </w:rPr>
              <w:t>Kierunek interwencji nr 4</w:t>
            </w:r>
            <w:r w:rsidR="00267AA5">
              <w:rPr>
                <w:rFonts w:cstheme="minorHAnsi"/>
                <w:b/>
                <w:bCs/>
                <w:color w:val="2F5496" w:themeColor="accent1" w:themeShade="BF"/>
                <w:sz w:val="20"/>
                <w:szCs w:val="20"/>
              </w:rPr>
              <w:t xml:space="preserve"> </w:t>
            </w:r>
            <w:r w:rsidR="00267AA5" w:rsidRPr="00267AA5">
              <w:rPr>
                <w:rFonts w:cstheme="minorHAnsi"/>
                <w:b/>
                <w:bCs/>
                <w:color w:val="2F5496" w:themeColor="accent1" w:themeShade="BF"/>
                <w:sz w:val="20"/>
                <w:szCs w:val="20"/>
              </w:rPr>
              <w:t xml:space="preserve">– </w:t>
            </w:r>
            <w:r w:rsidR="00DB0802">
              <w:rPr>
                <w:rFonts w:cstheme="minorHAnsi"/>
                <w:b/>
                <w:bCs/>
                <w:color w:val="2F5496" w:themeColor="accent1" w:themeShade="BF"/>
                <w:sz w:val="20"/>
                <w:szCs w:val="20"/>
              </w:rPr>
              <w:t>Z</w:t>
            </w:r>
            <w:r w:rsidR="00267AA5" w:rsidRPr="00267AA5">
              <w:rPr>
                <w:rFonts w:cstheme="minorHAnsi"/>
                <w:b/>
                <w:bCs/>
                <w:color w:val="2F5496" w:themeColor="accent1" w:themeShade="BF"/>
                <w:sz w:val="20"/>
                <w:szCs w:val="20"/>
              </w:rPr>
              <w:t>większenie udziału czystej energii, ciepła, rozwój odnawialnych źródeł energii</w:t>
            </w:r>
          </w:p>
        </w:tc>
      </w:tr>
      <w:tr w:rsidR="00C71031" w:rsidRPr="00F81987" w14:paraId="41101A2E" w14:textId="77777777" w:rsidTr="00745D42">
        <w:trPr>
          <w:trHeight w:val="439"/>
          <w:jc w:val="center"/>
        </w:trPr>
        <w:tc>
          <w:tcPr>
            <w:tcW w:w="1429" w:type="dxa"/>
            <w:vMerge w:val="restart"/>
          </w:tcPr>
          <w:p w14:paraId="534802B2" w14:textId="78C713C0" w:rsidR="00C71031" w:rsidRPr="00F81987" w:rsidRDefault="00C71031" w:rsidP="00A77FE9">
            <w:pPr>
              <w:rPr>
                <w:rFonts w:cstheme="minorHAnsi"/>
                <w:sz w:val="20"/>
                <w:szCs w:val="20"/>
              </w:rPr>
            </w:pPr>
            <w:r w:rsidRPr="00F81987">
              <w:rPr>
                <w:rFonts w:cstheme="minorHAnsi"/>
                <w:sz w:val="20"/>
                <w:szCs w:val="20"/>
              </w:rPr>
              <w:t>Krótkoterminowe (do 2025 r.)</w:t>
            </w:r>
          </w:p>
        </w:tc>
        <w:tc>
          <w:tcPr>
            <w:tcW w:w="5370" w:type="dxa"/>
          </w:tcPr>
          <w:p w14:paraId="0C9C4AC6" w14:textId="1B4DF9C2" w:rsidR="00C71031" w:rsidRPr="00F81987" w:rsidRDefault="00532EF9" w:rsidP="00A77FE9">
            <w:pPr>
              <w:rPr>
                <w:rFonts w:cstheme="minorHAnsi"/>
                <w:iCs/>
                <w:sz w:val="20"/>
                <w:szCs w:val="20"/>
              </w:rPr>
            </w:pPr>
            <w:r>
              <w:rPr>
                <w:rFonts w:cstheme="minorHAnsi"/>
                <w:iCs/>
                <w:sz w:val="20"/>
                <w:szCs w:val="20"/>
              </w:rPr>
              <w:t>z</w:t>
            </w:r>
            <w:r w:rsidR="00C71031" w:rsidRPr="00F81987">
              <w:rPr>
                <w:rFonts w:cstheme="minorHAnsi"/>
                <w:iCs/>
                <w:sz w:val="20"/>
                <w:szCs w:val="20"/>
              </w:rPr>
              <w:t>większenie udziału odnawialnych źródeł energii w gospodarstwach domowych poprzez realizację działań promujących ich wykorzystanie, w tym regulacji: ułatwiających przyłączanie mikroinstalacji do sieci dystrybucyjnej, przedłużających wsparcie systemowe i inwestycyjne</w:t>
            </w:r>
          </w:p>
        </w:tc>
        <w:tc>
          <w:tcPr>
            <w:tcW w:w="2421" w:type="dxa"/>
            <w:gridSpan w:val="2"/>
          </w:tcPr>
          <w:p w14:paraId="62ED34D1" w14:textId="09B10858" w:rsidR="00C71031" w:rsidRPr="00F81987" w:rsidRDefault="00532EF9" w:rsidP="00A77FE9">
            <w:pPr>
              <w:rPr>
                <w:rFonts w:cstheme="minorHAnsi"/>
                <w:iCs/>
                <w:sz w:val="20"/>
                <w:szCs w:val="20"/>
              </w:rPr>
            </w:pPr>
            <w:r>
              <w:rPr>
                <w:rFonts w:cstheme="minorHAnsi"/>
                <w:sz w:val="20"/>
                <w:szCs w:val="20"/>
              </w:rPr>
              <w:t>m</w:t>
            </w:r>
            <w:r w:rsidR="00D037B5" w:rsidRPr="00F81987">
              <w:rPr>
                <w:rFonts w:cstheme="minorHAnsi"/>
                <w:sz w:val="20"/>
                <w:szCs w:val="20"/>
              </w:rPr>
              <w:t xml:space="preserve">inister właściwy ds. </w:t>
            </w:r>
            <w:r>
              <w:rPr>
                <w:rFonts w:cstheme="minorHAnsi"/>
                <w:sz w:val="20"/>
                <w:szCs w:val="20"/>
              </w:rPr>
              <w:t xml:space="preserve">klimatu i </w:t>
            </w:r>
            <w:r w:rsidR="00D037B5" w:rsidRPr="00F81987">
              <w:rPr>
                <w:rFonts w:cstheme="minorHAnsi"/>
                <w:sz w:val="20"/>
                <w:szCs w:val="20"/>
              </w:rPr>
              <w:t>energii (DOZE)</w:t>
            </w:r>
          </w:p>
        </w:tc>
      </w:tr>
      <w:tr w:rsidR="00C71031" w:rsidRPr="00F81987" w14:paraId="5F55DB50" w14:textId="77777777" w:rsidTr="00745D42">
        <w:trPr>
          <w:trHeight w:val="439"/>
          <w:jc w:val="center"/>
        </w:trPr>
        <w:tc>
          <w:tcPr>
            <w:tcW w:w="1429" w:type="dxa"/>
            <w:vMerge/>
          </w:tcPr>
          <w:p w14:paraId="11924DC8" w14:textId="77777777" w:rsidR="00C71031" w:rsidRPr="00F81987" w:rsidRDefault="00C71031" w:rsidP="00A77FE9">
            <w:pPr>
              <w:rPr>
                <w:rFonts w:cstheme="minorHAnsi"/>
                <w:sz w:val="20"/>
                <w:szCs w:val="20"/>
              </w:rPr>
            </w:pPr>
          </w:p>
        </w:tc>
        <w:tc>
          <w:tcPr>
            <w:tcW w:w="5370" w:type="dxa"/>
          </w:tcPr>
          <w:p w14:paraId="34BEB671" w14:textId="6799C1B4" w:rsidR="00C71031" w:rsidRPr="00F81987" w:rsidRDefault="00532EF9" w:rsidP="00A77FE9">
            <w:pPr>
              <w:rPr>
                <w:rFonts w:cstheme="minorHAnsi"/>
                <w:iCs/>
                <w:sz w:val="20"/>
                <w:szCs w:val="20"/>
              </w:rPr>
            </w:pPr>
            <w:r>
              <w:rPr>
                <w:rFonts w:cstheme="minorHAnsi"/>
                <w:iCs/>
                <w:sz w:val="20"/>
                <w:szCs w:val="20"/>
              </w:rPr>
              <w:t>p</w:t>
            </w:r>
            <w:r w:rsidR="00C71031" w:rsidRPr="00F81987">
              <w:rPr>
                <w:rFonts w:cstheme="minorHAnsi"/>
                <w:iCs/>
                <w:sz w:val="20"/>
                <w:szCs w:val="20"/>
              </w:rPr>
              <w:t>romocja prosumpcji energii oraz zrzeszania się w strukturach spółdzielni energetycznych, klastrów energetycznych czy innych form społeczności energetycznych, których celem będzie wspólne wytwarzanie i wykorzystywanie wyprodukowanej energii lokalnie poprzez opracowanie regulacji prawnych w tym zakresie</w:t>
            </w:r>
          </w:p>
        </w:tc>
        <w:tc>
          <w:tcPr>
            <w:tcW w:w="2421" w:type="dxa"/>
            <w:gridSpan w:val="2"/>
          </w:tcPr>
          <w:p w14:paraId="1369DD27" w14:textId="3D14AD99" w:rsidR="00C71031" w:rsidRPr="00F81987" w:rsidRDefault="00532EF9" w:rsidP="00A77FE9">
            <w:pPr>
              <w:rPr>
                <w:rFonts w:cstheme="minorHAnsi"/>
                <w:iCs/>
                <w:sz w:val="20"/>
                <w:szCs w:val="20"/>
              </w:rPr>
            </w:pPr>
            <w:r>
              <w:rPr>
                <w:rFonts w:cstheme="minorHAnsi"/>
                <w:sz w:val="20"/>
                <w:szCs w:val="20"/>
              </w:rPr>
              <w:t>m</w:t>
            </w:r>
            <w:r w:rsidR="00D037B5" w:rsidRPr="00F81987">
              <w:rPr>
                <w:rFonts w:cstheme="minorHAnsi"/>
                <w:sz w:val="20"/>
                <w:szCs w:val="20"/>
              </w:rPr>
              <w:t xml:space="preserve">inister właściwy ds. </w:t>
            </w:r>
            <w:r>
              <w:rPr>
                <w:rFonts w:cstheme="minorHAnsi"/>
                <w:sz w:val="20"/>
                <w:szCs w:val="20"/>
              </w:rPr>
              <w:t xml:space="preserve">klimatu i </w:t>
            </w:r>
            <w:r w:rsidR="00D037B5" w:rsidRPr="00F81987">
              <w:rPr>
                <w:rFonts w:cstheme="minorHAnsi"/>
                <w:sz w:val="20"/>
                <w:szCs w:val="20"/>
              </w:rPr>
              <w:t>energii (DOZE)</w:t>
            </w:r>
          </w:p>
        </w:tc>
      </w:tr>
      <w:tr w:rsidR="00C71031" w:rsidRPr="00F81987" w14:paraId="35A1C57D" w14:textId="77777777" w:rsidTr="00745D42">
        <w:trPr>
          <w:trHeight w:val="439"/>
          <w:jc w:val="center"/>
        </w:trPr>
        <w:tc>
          <w:tcPr>
            <w:tcW w:w="1429" w:type="dxa"/>
            <w:vMerge/>
          </w:tcPr>
          <w:p w14:paraId="3CB781B7" w14:textId="77777777" w:rsidR="00C71031" w:rsidRPr="00F81987" w:rsidRDefault="00C71031" w:rsidP="00A77FE9">
            <w:pPr>
              <w:rPr>
                <w:rFonts w:cstheme="minorHAnsi"/>
                <w:sz w:val="20"/>
                <w:szCs w:val="20"/>
              </w:rPr>
            </w:pPr>
          </w:p>
        </w:tc>
        <w:tc>
          <w:tcPr>
            <w:tcW w:w="5370" w:type="dxa"/>
          </w:tcPr>
          <w:p w14:paraId="66F81A40" w14:textId="0F50E6CD" w:rsidR="00C71031" w:rsidRPr="00F81987" w:rsidRDefault="00532EF9" w:rsidP="00A77FE9">
            <w:pPr>
              <w:rPr>
                <w:rFonts w:cstheme="minorHAnsi"/>
                <w:iCs/>
                <w:sz w:val="20"/>
                <w:szCs w:val="20"/>
              </w:rPr>
            </w:pPr>
            <w:r>
              <w:rPr>
                <w:rFonts w:cstheme="minorHAnsi"/>
                <w:iCs/>
                <w:sz w:val="20"/>
                <w:szCs w:val="20"/>
              </w:rPr>
              <w:t>r</w:t>
            </w:r>
            <w:r w:rsidR="00C71031" w:rsidRPr="00F81987">
              <w:rPr>
                <w:rFonts w:cstheme="minorHAnsi"/>
                <w:iCs/>
                <w:sz w:val="20"/>
                <w:szCs w:val="20"/>
              </w:rPr>
              <w:t>ozwój magazynów energii elektrycznej i cieplnej</w:t>
            </w:r>
          </w:p>
        </w:tc>
        <w:tc>
          <w:tcPr>
            <w:tcW w:w="2421" w:type="dxa"/>
            <w:gridSpan w:val="2"/>
          </w:tcPr>
          <w:p w14:paraId="5714021C" w14:textId="2DB30BB5" w:rsidR="00C71031" w:rsidRPr="00F81987" w:rsidRDefault="00532EF9" w:rsidP="00A77FE9">
            <w:pPr>
              <w:rPr>
                <w:rFonts w:cstheme="minorHAnsi"/>
                <w:iCs/>
                <w:sz w:val="20"/>
                <w:szCs w:val="20"/>
              </w:rPr>
            </w:pPr>
            <w:r>
              <w:rPr>
                <w:rFonts w:cstheme="minorHAnsi"/>
                <w:sz w:val="20"/>
                <w:szCs w:val="20"/>
              </w:rPr>
              <w:t>m</w:t>
            </w:r>
            <w:r w:rsidR="00D037B5" w:rsidRPr="00F81987">
              <w:rPr>
                <w:rFonts w:cstheme="minorHAnsi"/>
                <w:sz w:val="20"/>
                <w:szCs w:val="20"/>
              </w:rPr>
              <w:t>inister właściwy ds. energii (DOZE, DC, DELG)</w:t>
            </w:r>
          </w:p>
        </w:tc>
      </w:tr>
      <w:tr w:rsidR="00C71031" w:rsidRPr="00F81987" w14:paraId="78FBC390" w14:textId="77777777" w:rsidTr="00745D42">
        <w:trPr>
          <w:trHeight w:val="439"/>
          <w:jc w:val="center"/>
        </w:trPr>
        <w:tc>
          <w:tcPr>
            <w:tcW w:w="1429" w:type="dxa"/>
            <w:vMerge/>
          </w:tcPr>
          <w:p w14:paraId="203B3FC1" w14:textId="77777777" w:rsidR="00C71031" w:rsidRPr="00F81987" w:rsidRDefault="00C71031" w:rsidP="00A77FE9">
            <w:pPr>
              <w:rPr>
                <w:rFonts w:cstheme="minorHAnsi"/>
                <w:sz w:val="20"/>
                <w:szCs w:val="20"/>
              </w:rPr>
            </w:pPr>
          </w:p>
        </w:tc>
        <w:tc>
          <w:tcPr>
            <w:tcW w:w="5370" w:type="dxa"/>
          </w:tcPr>
          <w:p w14:paraId="1C09965F" w14:textId="2C603BC1" w:rsidR="00C71031" w:rsidRPr="00F81987" w:rsidRDefault="00532EF9" w:rsidP="00A77FE9">
            <w:pPr>
              <w:rPr>
                <w:rFonts w:cstheme="minorHAnsi"/>
                <w:iCs/>
                <w:sz w:val="20"/>
                <w:szCs w:val="20"/>
              </w:rPr>
            </w:pPr>
            <w:r>
              <w:rPr>
                <w:rFonts w:cstheme="minorHAnsi"/>
                <w:iCs/>
                <w:sz w:val="20"/>
                <w:szCs w:val="20"/>
              </w:rPr>
              <w:t>p</w:t>
            </w:r>
            <w:r w:rsidR="00C71031" w:rsidRPr="00F81987">
              <w:rPr>
                <w:rFonts w:cstheme="minorHAnsi"/>
                <w:iCs/>
                <w:sz w:val="20"/>
                <w:szCs w:val="20"/>
              </w:rPr>
              <w:t>romocja wykorzystania pomp ciepła oraz instalacji fotowoltaicznych, w tym jako rozwiązania pakietowego, które minimalizuje poziom zanieczyszczeń</w:t>
            </w:r>
          </w:p>
        </w:tc>
        <w:tc>
          <w:tcPr>
            <w:tcW w:w="2421" w:type="dxa"/>
            <w:gridSpan w:val="2"/>
          </w:tcPr>
          <w:p w14:paraId="36DA8A63" w14:textId="14CA858A" w:rsidR="00C71031" w:rsidRPr="00F81987" w:rsidRDefault="00532EF9" w:rsidP="00A77FE9">
            <w:pPr>
              <w:rPr>
                <w:rFonts w:cstheme="minorHAnsi"/>
                <w:iCs/>
                <w:sz w:val="20"/>
                <w:szCs w:val="20"/>
              </w:rPr>
            </w:pPr>
            <w:r>
              <w:rPr>
                <w:rFonts w:cstheme="minorHAnsi"/>
                <w:sz w:val="20"/>
                <w:szCs w:val="20"/>
              </w:rPr>
              <w:t>m</w:t>
            </w:r>
            <w:r w:rsidR="00D037B5" w:rsidRPr="00F81987">
              <w:rPr>
                <w:rFonts w:cstheme="minorHAnsi"/>
                <w:sz w:val="20"/>
                <w:szCs w:val="20"/>
              </w:rPr>
              <w:t xml:space="preserve">inister właściwy ds. </w:t>
            </w:r>
            <w:r>
              <w:rPr>
                <w:rFonts w:cstheme="minorHAnsi"/>
                <w:sz w:val="20"/>
                <w:szCs w:val="20"/>
              </w:rPr>
              <w:t xml:space="preserve">klimatu i </w:t>
            </w:r>
            <w:r w:rsidR="00D037B5" w:rsidRPr="00F81987">
              <w:rPr>
                <w:rFonts w:cstheme="minorHAnsi"/>
                <w:sz w:val="20"/>
                <w:szCs w:val="20"/>
              </w:rPr>
              <w:t>energii (DOZE</w:t>
            </w:r>
            <w:r>
              <w:rPr>
                <w:rFonts w:cstheme="minorHAnsi"/>
                <w:sz w:val="20"/>
                <w:szCs w:val="20"/>
              </w:rPr>
              <w:t>, DSP, DPM</w:t>
            </w:r>
            <w:r w:rsidR="00D037B5" w:rsidRPr="00F81987">
              <w:rPr>
                <w:rFonts w:cstheme="minorHAnsi"/>
                <w:sz w:val="20"/>
                <w:szCs w:val="20"/>
              </w:rPr>
              <w:t>)</w:t>
            </w:r>
          </w:p>
        </w:tc>
      </w:tr>
      <w:tr w:rsidR="00C71031" w:rsidRPr="00F81987" w14:paraId="1A225AB6" w14:textId="77777777" w:rsidTr="00745D42">
        <w:trPr>
          <w:trHeight w:val="439"/>
          <w:jc w:val="center"/>
        </w:trPr>
        <w:tc>
          <w:tcPr>
            <w:tcW w:w="1429" w:type="dxa"/>
            <w:vMerge/>
          </w:tcPr>
          <w:p w14:paraId="0851E0C1" w14:textId="3C383375" w:rsidR="00C71031" w:rsidRPr="00F81987" w:rsidRDefault="00C71031" w:rsidP="00A77FE9">
            <w:pPr>
              <w:rPr>
                <w:rFonts w:cstheme="minorHAnsi"/>
                <w:sz w:val="20"/>
                <w:szCs w:val="20"/>
              </w:rPr>
            </w:pPr>
          </w:p>
        </w:tc>
        <w:tc>
          <w:tcPr>
            <w:tcW w:w="5370" w:type="dxa"/>
          </w:tcPr>
          <w:p w14:paraId="4827F3C0" w14:textId="7ED7DC95" w:rsidR="00C71031" w:rsidRPr="00F81987" w:rsidRDefault="00532EF9" w:rsidP="00A77FE9">
            <w:pPr>
              <w:rPr>
                <w:rFonts w:cstheme="minorHAnsi"/>
                <w:iCs/>
                <w:sz w:val="20"/>
                <w:szCs w:val="20"/>
              </w:rPr>
            </w:pPr>
            <w:r>
              <w:rPr>
                <w:rFonts w:cstheme="minorHAnsi"/>
                <w:iCs/>
                <w:sz w:val="20"/>
                <w:szCs w:val="20"/>
              </w:rPr>
              <w:t>u</w:t>
            </w:r>
            <w:r w:rsidR="00C71031" w:rsidRPr="00F81987">
              <w:rPr>
                <w:rFonts w:cstheme="minorHAnsi"/>
                <w:iCs/>
                <w:sz w:val="20"/>
                <w:szCs w:val="20"/>
              </w:rPr>
              <w:t>ruchomienie instalacji P2G klasy co najmniej 1 MW celem wsparcia stabilizacji pracy sieci dystrybucyjnych</w:t>
            </w:r>
          </w:p>
        </w:tc>
        <w:tc>
          <w:tcPr>
            <w:tcW w:w="2421" w:type="dxa"/>
            <w:gridSpan w:val="2"/>
          </w:tcPr>
          <w:p w14:paraId="3FBEE9F6" w14:textId="3A363A6A" w:rsidR="00C71031" w:rsidRPr="00F81987" w:rsidRDefault="00532EF9" w:rsidP="00A77FE9">
            <w:pPr>
              <w:rPr>
                <w:rFonts w:cstheme="minorHAnsi"/>
                <w:sz w:val="20"/>
                <w:szCs w:val="20"/>
              </w:rPr>
            </w:pPr>
            <w:r>
              <w:rPr>
                <w:rFonts w:cstheme="minorHAnsi"/>
                <w:sz w:val="20"/>
                <w:szCs w:val="20"/>
              </w:rPr>
              <w:t>m</w:t>
            </w:r>
            <w:r w:rsidR="00D037B5" w:rsidRPr="00F81987">
              <w:rPr>
                <w:rFonts w:cstheme="minorHAnsi"/>
                <w:sz w:val="20"/>
                <w:szCs w:val="20"/>
              </w:rPr>
              <w:t>inister właściwy ds. energii</w:t>
            </w:r>
            <w:r w:rsidR="00C71031" w:rsidRPr="00F81987">
              <w:rPr>
                <w:rFonts w:cstheme="minorHAnsi"/>
                <w:sz w:val="20"/>
                <w:szCs w:val="20"/>
              </w:rPr>
              <w:t xml:space="preserve"> (DE</w:t>
            </w:r>
            <w:r w:rsidR="00D037B5" w:rsidRPr="00F81987">
              <w:rPr>
                <w:rFonts w:cstheme="minorHAnsi"/>
                <w:sz w:val="20"/>
                <w:szCs w:val="20"/>
              </w:rPr>
              <w:t>G</w:t>
            </w:r>
            <w:r w:rsidR="00C71031" w:rsidRPr="00F81987">
              <w:rPr>
                <w:rFonts w:cstheme="minorHAnsi"/>
                <w:sz w:val="20"/>
                <w:szCs w:val="20"/>
              </w:rPr>
              <w:t>)</w:t>
            </w:r>
          </w:p>
        </w:tc>
      </w:tr>
      <w:tr w:rsidR="00C71031" w:rsidRPr="00F81987" w14:paraId="537C964A" w14:textId="77777777" w:rsidTr="00745D42">
        <w:trPr>
          <w:trHeight w:val="439"/>
          <w:jc w:val="center"/>
        </w:trPr>
        <w:tc>
          <w:tcPr>
            <w:tcW w:w="1429" w:type="dxa"/>
            <w:vMerge/>
          </w:tcPr>
          <w:p w14:paraId="5E0A1596" w14:textId="77777777" w:rsidR="00C71031" w:rsidRPr="00F81987" w:rsidRDefault="00C71031" w:rsidP="00A77FE9">
            <w:pPr>
              <w:rPr>
                <w:rFonts w:cstheme="minorHAnsi"/>
                <w:sz w:val="20"/>
                <w:szCs w:val="20"/>
              </w:rPr>
            </w:pPr>
          </w:p>
        </w:tc>
        <w:tc>
          <w:tcPr>
            <w:tcW w:w="5370" w:type="dxa"/>
          </w:tcPr>
          <w:p w14:paraId="43EB03F1" w14:textId="389C2340" w:rsidR="00C71031" w:rsidRPr="00F81987" w:rsidRDefault="00DC2C5E" w:rsidP="00A77FE9">
            <w:pPr>
              <w:rPr>
                <w:rFonts w:cstheme="minorHAnsi"/>
                <w:iCs/>
                <w:sz w:val="20"/>
                <w:szCs w:val="20"/>
              </w:rPr>
            </w:pPr>
            <w:r>
              <w:rPr>
                <w:rFonts w:cstheme="minorHAnsi"/>
                <w:iCs/>
                <w:sz w:val="20"/>
                <w:szCs w:val="20"/>
              </w:rPr>
              <w:t>w</w:t>
            </w:r>
            <w:r w:rsidR="00C71031" w:rsidRPr="00F81987">
              <w:rPr>
                <w:rFonts w:cstheme="minorHAnsi"/>
                <w:iCs/>
                <w:sz w:val="20"/>
                <w:szCs w:val="20"/>
              </w:rPr>
              <w:t>spółspalanie wodoru w turbinach gazowych i konwersja istniejących instalacji</w:t>
            </w:r>
          </w:p>
        </w:tc>
        <w:tc>
          <w:tcPr>
            <w:tcW w:w="2421" w:type="dxa"/>
            <w:gridSpan w:val="2"/>
          </w:tcPr>
          <w:p w14:paraId="2A031655" w14:textId="5901253E" w:rsidR="00C71031" w:rsidRPr="00F81987" w:rsidRDefault="00532EF9" w:rsidP="00A77FE9">
            <w:pPr>
              <w:rPr>
                <w:rFonts w:cstheme="minorHAnsi"/>
                <w:sz w:val="20"/>
                <w:szCs w:val="20"/>
              </w:rPr>
            </w:pPr>
            <w:r>
              <w:rPr>
                <w:rFonts w:cstheme="minorHAnsi"/>
                <w:sz w:val="20"/>
                <w:szCs w:val="20"/>
              </w:rPr>
              <w:t>m</w:t>
            </w:r>
            <w:r w:rsidR="00D037B5" w:rsidRPr="00F81987">
              <w:rPr>
                <w:rFonts w:cstheme="minorHAnsi"/>
                <w:sz w:val="20"/>
                <w:szCs w:val="20"/>
              </w:rPr>
              <w:t>inister właściwy ds. energii (DEG)</w:t>
            </w:r>
          </w:p>
        </w:tc>
      </w:tr>
      <w:tr w:rsidR="00C71031" w:rsidRPr="00F81987" w14:paraId="31E456D4" w14:textId="77777777" w:rsidTr="00745D42">
        <w:trPr>
          <w:trHeight w:val="439"/>
          <w:jc w:val="center"/>
        </w:trPr>
        <w:tc>
          <w:tcPr>
            <w:tcW w:w="1429" w:type="dxa"/>
            <w:vMerge/>
          </w:tcPr>
          <w:p w14:paraId="27172B7C" w14:textId="77777777" w:rsidR="00C71031" w:rsidRPr="00F81987" w:rsidRDefault="00C71031" w:rsidP="00A77FE9">
            <w:pPr>
              <w:rPr>
                <w:rFonts w:cstheme="minorHAnsi"/>
                <w:sz w:val="20"/>
                <w:szCs w:val="20"/>
              </w:rPr>
            </w:pPr>
          </w:p>
        </w:tc>
        <w:tc>
          <w:tcPr>
            <w:tcW w:w="5370" w:type="dxa"/>
          </w:tcPr>
          <w:p w14:paraId="3EEBF409" w14:textId="1BFE90F2" w:rsidR="00C71031" w:rsidRPr="00F81987" w:rsidRDefault="00DC2C5E" w:rsidP="00A77FE9">
            <w:pPr>
              <w:rPr>
                <w:rFonts w:cstheme="minorHAnsi"/>
                <w:iCs/>
                <w:sz w:val="20"/>
                <w:szCs w:val="20"/>
              </w:rPr>
            </w:pPr>
            <w:r>
              <w:rPr>
                <w:rFonts w:cstheme="minorHAnsi"/>
                <w:iCs/>
                <w:sz w:val="20"/>
                <w:szCs w:val="20"/>
              </w:rPr>
              <w:t>u</w:t>
            </w:r>
            <w:r w:rsidR="00C71031" w:rsidRPr="00F81987">
              <w:rPr>
                <w:rFonts w:cstheme="minorHAnsi"/>
                <w:iCs/>
                <w:sz w:val="20"/>
                <w:szCs w:val="20"/>
              </w:rPr>
              <w:t xml:space="preserve">ruchomienie instalacji do produkcji wodoru ze niskoemisyjnych źródeł, procesów i technologii o łącznej mocy min. 50 MW: wody w procesie elektrolizy, biomasy w technologii zgazowania, fermentacji lub pirolizy, biogazu w </w:t>
            </w:r>
            <w:r w:rsidR="00C71031" w:rsidRPr="00F81987">
              <w:rPr>
                <w:rFonts w:cstheme="minorHAnsi"/>
                <w:iCs/>
                <w:sz w:val="20"/>
                <w:szCs w:val="20"/>
              </w:rPr>
              <w:lastRenderedPageBreak/>
              <w:t>procesie reformingu, biometanu w procesie reformingu, odpadów w technologii zgazowania lub procesie pirolizy, gazów odpadowych, węglowodorów w procesie reformingu parowego z wykorzystaniem CCS/CCU, węgla w procesie zgazowania z wykorzystaniem CCS/CCU, technologii IGCC oraz IFGC oraz innych niskoemisyjnych procesów i technologii pozyskiwania wodoru</w:t>
            </w:r>
          </w:p>
        </w:tc>
        <w:tc>
          <w:tcPr>
            <w:tcW w:w="2421" w:type="dxa"/>
            <w:gridSpan w:val="2"/>
          </w:tcPr>
          <w:p w14:paraId="7CFDDBC0" w14:textId="100B4A17" w:rsidR="00C71031" w:rsidRPr="00F81987" w:rsidRDefault="00532EF9" w:rsidP="00A77FE9">
            <w:pPr>
              <w:rPr>
                <w:rFonts w:cstheme="minorHAnsi"/>
                <w:sz w:val="20"/>
                <w:szCs w:val="20"/>
              </w:rPr>
            </w:pPr>
            <w:r>
              <w:rPr>
                <w:rFonts w:cstheme="minorHAnsi"/>
                <w:sz w:val="20"/>
                <w:szCs w:val="20"/>
              </w:rPr>
              <w:lastRenderedPageBreak/>
              <w:t>m</w:t>
            </w:r>
            <w:r w:rsidR="00D037B5" w:rsidRPr="00F81987">
              <w:rPr>
                <w:rFonts w:cstheme="minorHAnsi"/>
                <w:sz w:val="20"/>
                <w:szCs w:val="20"/>
              </w:rPr>
              <w:t>inister właściwy ds. energii (DEG)</w:t>
            </w:r>
          </w:p>
        </w:tc>
      </w:tr>
      <w:tr w:rsidR="00C71031" w:rsidRPr="00F81987" w14:paraId="23B02F98" w14:textId="77777777" w:rsidTr="00745D42">
        <w:trPr>
          <w:trHeight w:val="439"/>
          <w:jc w:val="center"/>
        </w:trPr>
        <w:tc>
          <w:tcPr>
            <w:tcW w:w="1429" w:type="dxa"/>
            <w:vMerge/>
          </w:tcPr>
          <w:p w14:paraId="7F33103B" w14:textId="77777777" w:rsidR="00C71031" w:rsidRPr="00F81987" w:rsidRDefault="00C71031" w:rsidP="00A77FE9">
            <w:pPr>
              <w:rPr>
                <w:rFonts w:cstheme="minorHAnsi"/>
                <w:sz w:val="20"/>
                <w:szCs w:val="20"/>
              </w:rPr>
            </w:pPr>
          </w:p>
        </w:tc>
        <w:tc>
          <w:tcPr>
            <w:tcW w:w="5370" w:type="dxa"/>
          </w:tcPr>
          <w:p w14:paraId="650293DA" w14:textId="1C261459" w:rsidR="00C71031" w:rsidRPr="00F81987" w:rsidRDefault="00DC2C5E" w:rsidP="00A77FE9">
            <w:pPr>
              <w:rPr>
                <w:rFonts w:cstheme="minorHAnsi"/>
                <w:iCs/>
                <w:sz w:val="20"/>
                <w:szCs w:val="20"/>
              </w:rPr>
            </w:pPr>
            <w:r>
              <w:rPr>
                <w:rFonts w:cstheme="minorHAnsi"/>
                <w:iCs/>
                <w:sz w:val="20"/>
                <w:szCs w:val="20"/>
              </w:rPr>
              <w:t>u</w:t>
            </w:r>
            <w:r w:rsidR="00C71031" w:rsidRPr="00F81987">
              <w:rPr>
                <w:rFonts w:cstheme="minorHAnsi"/>
                <w:iCs/>
                <w:sz w:val="20"/>
                <w:szCs w:val="20"/>
              </w:rPr>
              <w:t>ruchomienie wytwarzania gazów syntetycznych w procesie metanizacji wodoru oraz wykorzystanie niskoemisyjnego wodoru w produkcji amoniaku</w:t>
            </w:r>
          </w:p>
        </w:tc>
        <w:tc>
          <w:tcPr>
            <w:tcW w:w="2421" w:type="dxa"/>
            <w:gridSpan w:val="2"/>
          </w:tcPr>
          <w:p w14:paraId="2EEF0C1B" w14:textId="7BE75273" w:rsidR="00C71031" w:rsidRPr="00F81987" w:rsidRDefault="00532EF9" w:rsidP="00A77FE9">
            <w:pPr>
              <w:rPr>
                <w:rFonts w:cstheme="minorHAnsi"/>
                <w:sz w:val="20"/>
                <w:szCs w:val="20"/>
              </w:rPr>
            </w:pPr>
            <w:r>
              <w:rPr>
                <w:rFonts w:cstheme="minorHAnsi"/>
                <w:sz w:val="20"/>
                <w:szCs w:val="20"/>
              </w:rPr>
              <w:t>m</w:t>
            </w:r>
            <w:r w:rsidR="00D037B5" w:rsidRPr="00F81987">
              <w:rPr>
                <w:rFonts w:cstheme="minorHAnsi"/>
                <w:sz w:val="20"/>
                <w:szCs w:val="20"/>
              </w:rPr>
              <w:t>inister właściwy ds. energii (DEG)</w:t>
            </w:r>
          </w:p>
        </w:tc>
      </w:tr>
      <w:tr w:rsidR="00C71031" w:rsidRPr="00F81987" w14:paraId="4349E870" w14:textId="77777777" w:rsidTr="00745D42">
        <w:trPr>
          <w:trHeight w:val="439"/>
          <w:jc w:val="center"/>
        </w:trPr>
        <w:tc>
          <w:tcPr>
            <w:tcW w:w="1429" w:type="dxa"/>
            <w:vMerge w:val="restart"/>
          </w:tcPr>
          <w:p w14:paraId="0AAF42A8" w14:textId="2C8DE5C4" w:rsidR="00C71031" w:rsidRPr="00F81987" w:rsidRDefault="00C71031" w:rsidP="00A77FE9">
            <w:pPr>
              <w:rPr>
                <w:rFonts w:cstheme="minorHAnsi"/>
                <w:sz w:val="20"/>
                <w:szCs w:val="20"/>
              </w:rPr>
            </w:pPr>
            <w:r w:rsidRPr="00F81987">
              <w:rPr>
                <w:rFonts w:cstheme="minorHAnsi"/>
                <w:sz w:val="20"/>
                <w:szCs w:val="20"/>
              </w:rPr>
              <w:t>Średnioterminowe (do 2030 r.)</w:t>
            </w:r>
          </w:p>
        </w:tc>
        <w:tc>
          <w:tcPr>
            <w:tcW w:w="5370" w:type="dxa"/>
          </w:tcPr>
          <w:p w14:paraId="009CCE86" w14:textId="745307DA" w:rsidR="00C71031" w:rsidRPr="00F81987" w:rsidRDefault="00DC2C5E" w:rsidP="00A77FE9">
            <w:pPr>
              <w:rPr>
                <w:rFonts w:cstheme="minorHAnsi"/>
                <w:iCs/>
                <w:sz w:val="20"/>
                <w:szCs w:val="20"/>
              </w:rPr>
            </w:pPr>
            <w:r>
              <w:rPr>
                <w:rFonts w:cstheme="minorHAnsi"/>
                <w:sz w:val="20"/>
                <w:szCs w:val="20"/>
              </w:rPr>
              <w:t>z</w:t>
            </w:r>
            <w:r w:rsidR="00C71031" w:rsidRPr="00F81987">
              <w:rPr>
                <w:rFonts w:cstheme="minorHAnsi"/>
                <w:sz w:val="20"/>
                <w:szCs w:val="20"/>
              </w:rPr>
              <w:t>większenie wykorzystania biogazu i biometanu poprzez w ramach przygotowywanego projektu nowelizacji ustawy o zmianie ustawy o odnawialnych źródłach energii</w:t>
            </w:r>
          </w:p>
        </w:tc>
        <w:tc>
          <w:tcPr>
            <w:tcW w:w="2421" w:type="dxa"/>
            <w:gridSpan w:val="2"/>
          </w:tcPr>
          <w:p w14:paraId="1AAB9398" w14:textId="30611CA0" w:rsidR="00C71031" w:rsidRPr="00F81987" w:rsidRDefault="00DC2C5E" w:rsidP="00A77FE9">
            <w:pPr>
              <w:rPr>
                <w:rFonts w:cstheme="minorHAnsi"/>
                <w:iCs/>
                <w:sz w:val="20"/>
                <w:szCs w:val="20"/>
              </w:rPr>
            </w:pPr>
            <w:r>
              <w:rPr>
                <w:rFonts w:cstheme="minorHAnsi"/>
                <w:sz w:val="20"/>
                <w:szCs w:val="20"/>
              </w:rPr>
              <w:t>m</w:t>
            </w:r>
            <w:r w:rsidR="00D037B5" w:rsidRPr="00F81987">
              <w:rPr>
                <w:rFonts w:cstheme="minorHAnsi"/>
                <w:sz w:val="20"/>
                <w:szCs w:val="20"/>
              </w:rPr>
              <w:t>inister właściwy ds. energii</w:t>
            </w:r>
            <w:r w:rsidR="00C71031" w:rsidRPr="00F81987">
              <w:rPr>
                <w:rFonts w:cstheme="minorHAnsi"/>
                <w:sz w:val="20"/>
                <w:szCs w:val="20"/>
              </w:rPr>
              <w:t xml:space="preserve"> (DOZE)</w:t>
            </w:r>
          </w:p>
        </w:tc>
      </w:tr>
      <w:tr w:rsidR="00C71031" w:rsidRPr="00F81987" w14:paraId="6A0F2C5B" w14:textId="77777777" w:rsidTr="00745D42">
        <w:trPr>
          <w:trHeight w:val="439"/>
          <w:jc w:val="center"/>
        </w:trPr>
        <w:tc>
          <w:tcPr>
            <w:tcW w:w="1429" w:type="dxa"/>
            <w:vMerge/>
          </w:tcPr>
          <w:p w14:paraId="7E4C5424" w14:textId="0244C4C9" w:rsidR="00C71031" w:rsidRPr="00F81987" w:rsidRDefault="00C71031" w:rsidP="00A77FE9">
            <w:pPr>
              <w:rPr>
                <w:rFonts w:cstheme="minorHAnsi"/>
                <w:sz w:val="20"/>
                <w:szCs w:val="20"/>
              </w:rPr>
            </w:pPr>
          </w:p>
        </w:tc>
        <w:tc>
          <w:tcPr>
            <w:tcW w:w="5370" w:type="dxa"/>
          </w:tcPr>
          <w:p w14:paraId="5144EC0D" w14:textId="1893E54B" w:rsidR="00C71031" w:rsidRPr="00F81987" w:rsidRDefault="00DC2C5E" w:rsidP="00A77FE9">
            <w:pPr>
              <w:rPr>
                <w:rFonts w:cstheme="minorHAnsi"/>
                <w:iCs/>
                <w:sz w:val="20"/>
                <w:szCs w:val="20"/>
              </w:rPr>
            </w:pPr>
            <w:r>
              <w:rPr>
                <w:rFonts w:cstheme="minorHAnsi"/>
                <w:sz w:val="20"/>
                <w:szCs w:val="20"/>
              </w:rPr>
              <w:t>r</w:t>
            </w:r>
            <w:r w:rsidR="00C71031" w:rsidRPr="00F81987">
              <w:rPr>
                <w:rFonts w:cstheme="minorHAnsi"/>
                <w:sz w:val="20"/>
                <w:szCs w:val="20"/>
              </w:rPr>
              <w:t>ozwój i wsparcie ciepła systemowego przy jednoczesnym jego „zazielenianiu”</w:t>
            </w:r>
          </w:p>
        </w:tc>
        <w:tc>
          <w:tcPr>
            <w:tcW w:w="2421" w:type="dxa"/>
            <w:gridSpan w:val="2"/>
          </w:tcPr>
          <w:p w14:paraId="5C209C0B" w14:textId="585F9FBB" w:rsidR="00C71031" w:rsidRPr="00F81987" w:rsidRDefault="00DC2C5E" w:rsidP="00A77FE9">
            <w:pPr>
              <w:rPr>
                <w:rFonts w:cstheme="minorHAnsi"/>
                <w:iCs/>
                <w:sz w:val="20"/>
                <w:szCs w:val="20"/>
              </w:rPr>
            </w:pPr>
            <w:r>
              <w:rPr>
                <w:rFonts w:cstheme="minorHAnsi"/>
                <w:sz w:val="20"/>
                <w:szCs w:val="20"/>
              </w:rPr>
              <w:t>m</w:t>
            </w:r>
            <w:r w:rsidR="00D037B5" w:rsidRPr="00F81987">
              <w:rPr>
                <w:rFonts w:cstheme="minorHAnsi"/>
                <w:sz w:val="20"/>
                <w:szCs w:val="20"/>
              </w:rPr>
              <w:t xml:space="preserve">inister właściwy ds. energii </w:t>
            </w:r>
            <w:r w:rsidR="00C71031" w:rsidRPr="00F81987">
              <w:rPr>
                <w:rFonts w:cstheme="minorHAnsi"/>
                <w:sz w:val="20"/>
                <w:szCs w:val="20"/>
              </w:rPr>
              <w:t>(</w:t>
            </w:r>
            <w:r w:rsidR="00D037B5" w:rsidRPr="00F81987">
              <w:rPr>
                <w:rFonts w:cstheme="minorHAnsi"/>
                <w:sz w:val="20"/>
                <w:szCs w:val="20"/>
              </w:rPr>
              <w:t xml:space="preserve">DC, </w:t>
            </w:r>
            <w:r w:rsidR="00C71031" w:rsidRPr="00F81987">
              <w:rPr>
                <w:rFonts w:cstheme="minorHAnsi"/>
                <w:sz w:val="20"/>
                <w:szCs w:val="20"/>
              </w:rPr>
              <w:t>DOZE</w:t>
            </w:r>
            <w:r w:rsidR="0081782B">
              <w:rPr>
                <w:rFonts w:cstheme="minorHAnsi"/>
                <w:sz w:val="20"/>
                <w:szCs w:val="20"/>
              </w:rPr>
              <w:t>, przy wsparciu DELG</w:t>
            </w:r>
            <w:r w:rsidR="00C71031" w:rsidRPr="00F81987">
              <w:rPr>
                <w:rFonts w:cstheme="minorHAnsi"/>
                <w:sz w:val="20"/>
                <w:szCs w:val="20"/>
              </w:rPr>
              <w:t>)</w:t>
            </w:r>
          </w:p>
        </w:tc>
      </w:tr>
      <w:tr w:rsidR="00C71031" w:rsidRPr="00F81987" w14:paraId="481C42EC" w14:textId="77777777" w:rsidTr="00745D42">
        <w:trPr>
          <w:trHeight w:val="439"/>
          <w:jc w:val="center"/>
        </w:trPr>
        <w:tc>
          <w:tcPr>
            <w:tcW w:w="1429" w:type="dxa"/>
            <w:vMerge/>
          </w:tcPr>
          <w:p w14:paraId="22B3926C" w14:textId="066E23E7" w:rsidR="00C71031" w:rsidRPr="00F81987" w:rsidRDefault="00C71031" w:rsidP="00A77FE9">
            <w:pPr>
              <w:rPr>
                <w:rFonts w:cstheme="minorHAnsi"/>
                <w:sz w:val="20"/>
                <w:szCs w:val="20"/>
              </w:rPr>
            </w:pPr>
          </w:p>
        </w:tc>
        <w:tc>
          <w:tcPr>
            <w:tcW w:w="5370" w:type="dxa"/>
          </w:tcPr>
          <w:p w14:paraId="5E050D4B" w14:textId="677FAB50" w:rsidR="00C71031" w:rsidRPr="00F81987" w:rsidRDefault="00DC2C5E" w:rsidP="00A77FE9">
            <w:pPr>
              <w:rPr>
                <w:rFonts w:cstheme="minorHAnsi"/>
                <w:iCs/>
                <w:sz w:val="20"/>
                <w:szCs w:val="20"/>
              </w:rPr>
            </w:pPr>
            <w:r>
              <w:rPr>
                <w:rFonts w:cstheme="minorHAnsi"/>
                <w:sz w:val="20"/>
                <w:szCs w:val="20"/>
              </w:rPr>
              <w:t>z</w:t>
            </w:r>
            <w:r w:rsidR="00C71031" w:rsidRPr="00F81987">
              <w:rPr>
                <w:rFonts w:cstheme="minorHAnsi"/>
                <w:sz w:val="20"/>
                <w:szCs w:val="20"/>
              </w:rPr>
              <w:t>większenie wzrostu udziału technologii produkcji energii z wiatru na lądzie. Powyższy wzrost mocy zainstalowanej będzie odbywać się z poszanowaniem stanowisk społeczności lokalnych, a także kosztów i możliwości bilansowania takiej energii elektrycznej</w:t>
            </w:r>
          </w:p>
        </w:tc>
        <w:tc>
          <w:tcPr>
            <w:tcW w:w="2421" w:type="dxa"/>
            <w:gridSpan w:val="2"/>
          </w:tcPr>
          <w:p w14:paraId="02DBDF90" w14:textId="27DC08DC" w:rsidR="00C71031" w:rsidRPr="00F81987" w:rsidRDefault="00DC2C5E" w:rsidP="00A77FE9">
            <w:pPr>
              <w:rPr>
                <w:rFonts w:cstheme="minorHAnsi"/>
                <w:sz w:val="20"/>
                <w:szCs w:val="20"/>
              </w:rPr>
            </w:pPr>
            <w:r>
              <w:rPr>
                <w:rFonts w:cstheme="minorHAnsi"/>
                <w:sz w:val="20"/>
                <w:szCs w:val="20"/>
              </w:rPr>
              <w:t>m</w:t>
            </w:r>
            <w:r w:rsidR="00D037B5" w:rsidRPr="00F81987">
              <w:rPr>
                <w:rFonts w:cstheme="minorHAnsi"/>
                <w:sz w:val="20"/>
                <w:szCs w:val="20"/>
              </w:rPr>
              <w:t>inister właściwy ds. energii</w:t>
            </w:r>
            <w:r w:rsidR="00C71031" w:rsidRPr="00F81987">
              <w:rPr>
                <w:rFonts w:cstheme="minorHAnsi"/>
                <w:sz w:val="20"/>
                <w:szCs w:val="20"/>
              </w:rPr>
              <w:t xml:space="preserve"> (DOZE)</w:t>
            </w:r>
          </w:p>
        </w:tc>
      </w:tr>
      <w:tr w:rsidR="00C71031" w:rsidRPr="00F81987" w14:paraId="44EFB55A" w14:textId="77777777" w:rsidTr="00745D42">
        <w:trPr>
          <w:trHeight w:val="439"/>
          <w:jc w:val="center"/>
        </w:trPr>
        <w:tc>
          <w:tcPr>
            <w:tcW w:w="1429" w:type="dxa"/>
            <w:vMerge/>
          </w:tcPr>
          <w:p w14:paraId="3798EB5E" w14:textId="6ACB76B9" w:rsidR="00C71031" w:rsidRPr="00F81987" w:rsidRDefault="00C71031" w:rsidP="00A77FE9">
            <w:pPr>
              <w:rPr>
                <w:rFonts w:cstheme="minorHAnsi"/>
                <w:sz w:val="20"/>
                <w:szCs w:val="20"/>
              </w:rPr>
            </w:pPr>
          </w:p>
        </w:tc>
        <w:tc>
          <w:tcPr>
            <w:tcW w:w="5370" w:type="dxa"/>
          </w:tcPr>
          <w:p w14:paraId="008A39DD" w14:textId="3F4CAFDF" w:rsidR="00C71031" w:rsidRPr="00F81987" w:rsidRDefault="00DC2C5E" w:rsidP="00A77FE9">
            <w:pPr>
              <w:rPr>
                <w:rFonts w:cstheme="minorHAnsi"/>
                <w:iCs/>
                <w:sz w:val="20"/>
                <w:szCs w:val="20"/>
              </w:rPr>
            </w:pPr>
            <w:r>
              <w:rPr>
                <w:rFonts w:cstheme="minorHAnsi"/>
                <w:sz w:val="20"/>
                <w:szCs w:val="20"/>
              </w:rPr>
              <w:t>s</w:t>
            </w:r>
            <w:r w:rsidR="00C71031" w:rsidRPr="00F81987">
              <w:rPr>
                <w:rFonts w:cstheme="minorHAnsi"/>
                <w:sz w:val="20"/>
                <w:szCs w:val="20"/>
              </w:rPr>
              <w:t>tworzenie przyjaznego i zrównoważonego środowiska dla rozwoju umów PPA oraz CPPA czyli modelu sprzedaży energii elektrycznej z instalacji odnawialnego źródła energii, w którym sprzedaż ta odbywa się pomiędzy wytwórcą energii elektrycznej w takiej instalacji a odbiorcą - głównie odbiorcą przemysłowym lub komunalnym - na podstawie bezpośredniej umowy sprzedaży energii elektrycznej zawartej pomiędzy takimi podmiotami na wieloletni okres</w:t>
            </w:r>
          </w:p>
        </w:tc>
        <w:tc>
          <w:tcPr>
            <w:tcW w:w="2421" w:type="dxa"/>
            <w:gridSpan w:val="2"/>
          </w:tcPr>
          <w:p w14:paraId="51DA760D" w14:textId="7C03D094" w:rsidR="00C71031" w:rsidRPr="00F81987" w:rsidRDefault="00DC2C5E" w:rsidP="00A77FE9">
            <w:pPr>
              <w:rPr>
                <w:rFonts w:cstheme="minorHAnsi"/>
                <w:sz w:val="20"/>
                <w:szCs w:val="20"/>
              </w:rPr>
            </w:pPr>
            <w:r>
              <w:rPr>
                <w:rFonts w:cstheme="minorHAnsi"/>
                <w:sz w:val="20"/>
                <w:szCs w:val="20"/>
              </w:rPr>
              <w:t>m</w:t>
            </w:r>
            <w:r w:rsidR="00D037B5" w:rsidRPr="00F81987">
              <w:rPr>
                <w:rFonts w:cstheme="minorHAnsi"/>
                <w:sz w:val="20"/>
                <w:szCs w:val="20"/>
              </w:rPr>
              <w:t xml:space="preserve">inister właściwy ds. energii </w:t>
            </w:r>
            <w:r w:rsidR="00C71031" w:rsidRPr="00F81987">
              <w:rPr>
                <w:rFonts w:cstheme="minorHAnsi"/>
                <w:sz w:val="20"/>
                <w:szCs w:val="20"/>
              </w:rPr>
              <w:t>(DOZE)</w:t>
            </w:r>
          </w:p>
        </w:tc>
      </w:tr>
      <w:tr w:rsidR="00C71031" w:rsidRPr="00F81987" w14:paraId="423F1667" w14:textId="77777777" w:rsidTr="00745D42">
        <w:trPr>
          <w:trHeight w:val="439"/>
          <w:jc w:val="center"/>
        </w:trPr>
        <w:tc>
          <w:tcPr>
            <w:tcW w:w="1429" w:type="dxa"/>
            <w:vMerge/>
          </w:tcPr>
          <w:p w14:paraId="00F83C3E" w14:textId="7084598D" w:rsidR="00C71031" w:rsidRPr="00F81987" w:rsidRDefault="00C71031" w:rsidP="00A77FE9">
            <w:pPr>
              <w:rPr>
                <w:rFonts w:cstheme="minorHAnsi"/>
                <w:sz w:val="20"/>
                <w:szCs w:val="20"/>
              </w:rPr>
            </w:pPr>
          </w:p>
        </w:tc>
        <w:tc>
          <w:tcPr>
            <w:tcW w:w="5370" w:type="dxa"/>
          </w:tcPr>
          <w:p w14:paraId="4E2BCCB2" w14:textId="3965C46A" w:rsidR="00C71031" w:rsidRPr="00F81987" w:rsidRDefault="00DC2C5E" w:rsidP="00A77FE9">
            <w:pPr>
              <w:rPr>
                <w:rFonts w:cstheme="minorHAnsi"/>
                <w:iCs/>
                <w:sz w:val="20"/>
                <w:szCs w:val="20"/>
              </w:rPr>
            </w:pPr>
            <w:r>
              <w:rPr>
                <w:rFonts w:cstheme="minorHAnsi"/>
                <w:sz w:val="20"/>
                <w:szCs w:val="20"/>
              </w:rPr>
              <w:t>p</w:t>
            </w:r>
            <w:r w:rsidR="00C71031" w:rsidRPr="00F81987">
              <w:rPr>
                <w:rFonts w:cstheme="minorHAnsi"/>
                <w:sz w:val="20"/>
                <w:szCs w:val="20"/>
              </w:rPr>
              <w:t>oprawa dostępu do informacji i porad związanych z wszczęciem i prowadzeniem postępowań inwestycyjnych dla podmiotów chcących założyć instalacje OZE</w:t>
            </w:r>
          </w:p>
        </w:tc>
        <w:tc>
          <w:tcPr>
            <w:tcW w:w="2421" w:type="dxa"/>
            <w:gridSpan w:val="2"/>
          </w:tcPr>
          <w:p w14:paraId="0158AF05" w14:textId="102CD9B9" w:rsidR="00C71031" w:rsidRPr="00F81987" w:rsidRDefault="00DC2C5E" w:rsidP="00A77FE9">
            <w:pPr>
              <w:rPr>
                <w:rFonts w:cstheme="minorHAnsi"/>
                <w:sz w:val="20"/>
                <w:szCs w:val="20"/>
              </w:rPr>
            </w:pPr>
            <w:r>
              <w:rPr>
                <w:rFonts w:cstheme="minorHAnsi"/>
                <w:sz w:val="20"/>
                <w:szCs w:val="20"/>
              </w:rPr>
              <w:t>m</w:t>
            </w:r>
            <w:r w:rsidR="00D037B5" w:rsidRPr="00F81987">
              <w:rPr>
                <w:rFonts w:cstheme="minorHAnsi"/>
                <w:sz w:val="20"/>
                <w:szCs w:val="20"/>
              </w:rPr>
              <w:t>inister właściwy ds. energii</w:t>
            </w:r>
            <w:r w:rsidR="00C71031" w:rsidRPr="00F81987">
              <w:rPr>
                <w:rFonts w:cstheme="minorHAnsi"/>
                <w:sz w:val="20"/>
                <w:szCs w:val="20"/>
              </w:rPr>
              <w:t xml:space="preserve"> (DOZE)</w:t>
            </w:r>
          </w:p>
        </w:tc>
      </w:tr>
      <w:tr w:rsidR="00C71031" w:rsidRPr="00F81987" w14:paraId="33D51937" w14:textId="77777777" w:rsidTr="00745D42">
        <w:trPr>
          <w:trHeight w:val="439"/>
          <w:jc w:val="center"/>
        </w:trPr>
        <w:tc>
          <w:tcPr>
            <w:tcW w:w="1429" w:type="dxa"/>
            <w:vMerge/>
          </w:tcPr>
          <w:p w14:paraId="015AC88A" w14:textId="07FED95E" w:rsidR="00C71031" w:rsidRPr="00F81987" w:rsidRDefault="00C71031" w:rsidP="00A77FE9">
            <w:pPr>
              <w:rPr>
                <w:rFonts w:cstheme="minorHAnsi"/>
                <w:sz w:val="20"/>
                <w:szCs w:val="20"/>
              </w:rPr>
            </w:pPr>
          </w:p>
        </w:tc>
        <w:tc>
          <w:tcPr>
            <w:tcW w:w="5370" w:type="dxa"/>
          </w:tcPr>
          <w:p w14:paraId="12CBFC59" w14:textId="23A93F10" w:rsidR="00C71031" w:rsidRPr="00F81987" w:rsidRDefault="00DC2C5E" w:rsidP="00A77FE9">
            <w:pPr>
              <w:rPr>
                <w:rFonts w:cstheme="minorHAnsi"/>
                <w:iCs/>
                <w:sz w:val="20"/>
                <w:szCs w:val="20"/>
              </w:rPr>
            </w:pPr>
            <w:r>
              <w:rPr>
                <w:rFonts w:cstheme="minorHAnsi"/>
                <w:sz w:val="20"/>
                <w:szCs w:val="20"/>
              </w:rPr>
              <w:t>r</w:t>
            </w:r>
            <w:r w:rsidR="00C71031" w:rsidRPr="00F81987">
              <w:rPr>
                <w:rFonts w:cstheme="minorHAnsi"/>
                <w:sz w:val="20"/>
                <w:szCs w:val="20"/>
              </w:rPr>
              <w:t>ozwój lokalnych biogazowni rolniczych, wysypiskowych, ściekowych, w których produkowany byłby biogaz o parametrach dostosowanych do potrzeb lokalnych odbiorców</w:t>
            </w:r>
          </w:p>
        </w:tc>
        <w:tc>
          <w:tcPr>
            <w:tcW w:w="2421" w:type="dxa"/>
            <w:gridSpan w:val="2"/>
          </w:tcPr>
          <w:p w14:paraId="369CAE3D" w14:textId="2EE50CC6" w:rsidR="00C71031" w:rsidRPr="00F81987" w:rsidRDefault="00DC2C5E" w:rsidP="00A77FE9">
            <w:pPr>
              <w:rPr>
                <w:rFonts w:cstheme="minorHAnsi"/>
                <w:sz w:val="20"/>
                <w:szCs w:val="20"/>
              </w:rPr>
            </w:pPr>
            <w:r>
              <w:rPr>
                <w:rFonts w:cstheme="minorHAnsi"/>
                <w:sz w:val="20"/>
                <w:szCs w:val="20"/>
              </w:rPr>
              <w:t>m</w:t>
            </w:r>
            <w:r w:rsidR="00D037B5" w:rsidRPr="00F81987">
              <w:rPr>
                <w:rFonts w:cstheme="minorHAnsi"/>
                <w:sz w:val="20"/>
                <w:szCs w:val="20"/>
              </w:rPr>
              <w:t xml:space="preserve">inister właściwy ds. energii </w:t>
            </w:r>
            <w:r w:rsidR="00C71031" w:rsidRPr="00F81987">
              <w:rPr>
                <w:rFonts w:cstheme="minorHAnsi"/>
                <w:sz w:val="20"/>
                <w:szCs w:val="20"/>
              </w:rPr>
              <w:t>(DOZE)</w:t>
            </w:r>
          </w:p>
        </w:tc>
      </w:tr>
      <w:tr w:rsidR="00C71031" w:rsidRPr="00F81987" w14:paraId="158B1552" w14:textId="77777777" w:rsidTr="00745D42">
        <w:trPr>
          <w:trHeight w:val="439"/>
          <w:jc w:val="center"/>
        </w:trPr>
        <w:tc>
          <w:tcPr>
            <w:tcW w:w="1429" w:type="dxa"/>
            <w:vMerge/>
          </w:tcPr>
          <w:p w14:paraId="360CD82E" w14:textId="798EAABA" w:rsidR="00C71031" w:rsidRPr="00F81987" w:rsidRDefault="00C71031" w:rsidP="00A77FE9">
            <w:pPr>
              <w:rPr>
                <w:rFonts w:cstheme="minorHAnsi"/>
                <w:sz w:val="20"/>
                <w:szCs w:val="20"/>
              </w:rPr>
            </w:pPr>
          </w:p>
        </w:tc>
        <w:tc>
          <w:tcPr>
            <w:tcW w:w="5370" w:type="dxa"/>
          </w:tcPr>
          <w:p w14:paraId="25CE3E45" w14:textId="2427D81B" w:rsidR="00C71031" w:rsidRPr="00F81987" w:rsidRDefault="00DC2C5E" w:rsidP="00A77FE9">
            <w:pPr>
              <w:rPr>
                <w:rFonts w:cstheme="minorHAnsi"/>
                <w:iCs/>
                <w:sz w:val="20"/>
                <w:szCs w:val="20"/>
              </w:rPr>
            </w:pPr>
            <w:r>
              <w:rPr>
                <w:rFonts w:cstheme="minorHAnsi"/>
                <w:sz w:val="20"/>
                <w:szCs w:val="20"/>
              </w:rPr>
              <w:t>e</w:t>
            </w:r>
            <w:r w:rsidR="00C71031" w:rsidRPr="00F81987">
              <w:rPr>
                <w:rFonts w:cstheme="minorHAnsi"/>
                <w:sz w:val="20"/>
                <w:szCs w:val="20"/>
              </w:rPr>
              <w:t>fektywne wdrożenie morskiej energetyki wiatrowej do polskiego systemu elektroenergetycznego poprzez opracowanie przepisów wykonawczych tj. rozporządzeń wynikających z ustawy z dnia 17 grudnia 2020 r. o promowaniu wytwarzania energii elektrycznej w morskich farmach wiatrowych</w:t>
            </w:r>
          </w:p>
        </w:tc>
        <w:tc>
          <w:tcPr>
            <w:tcW w:w="2421" w:type="dxa"/>
            <w:gridSpan w:val="2"/>
          </w:tcPr>
          <w:p w14:paraId="7437A392" w14:textId="279A44EC" w:rsidR="00C71031" w:rsidRPr="00F81987" w:rsidRDefault="00DC2C5E" w:rsidP="00A77FE9">
            <w:pPr>
              <w:rPr>
                <w:rFonts w:cstheme="minorHAnsi"/>
                <w:sz w:val="20"/>
                <w:szCs w:val="20"/>
              </w:rPr>
            </w:pPr>
            <w:r>
              <w:rPr>
                <w:rFonts w:cstheme="minorHAnsi"/>
                <w:sz w:val="20"/>
                <w:szCs w:val="20"/>
              </w:rPr>
              <w:t>m</w:t>
            </w:r>
            <w:r w:rsidR="00D037B5" w:rsidRPr="00F81987">
              <w:rPr>
                <w:rFonts w:cstheme="minorHAnsi"/>
                <w:sz w:val="20"/>
                <w:szCs w:val="20"/>
              </w:rPr>
              <w:t xml:space="preserve">inister właściwy ds. energii </w:t>
            </w:r>
            <w:r w:rsidR="00C71031" w:rsidRPr="00F81987">
              <w:rPr>
                <w:rFonts w:cstheme="minorHAnsi"/>
                <w:sz w:val="20"/>
                <w:szCs w:val="20"/>
              </w:rPr>
              <w:t>(DOZE)</w:t>
            </w:r>
          </w:p>
        </w:tc>
      </w:tr>
      <w:tr w:rsidR="00C71031" w:rsidRPr="00F81987" w14:paraId="3A62CA70" w14:textId="77777777" w:rsidTr="00745D42">
        <w:trPr>
          <w:trHeight w:val="439"/>
          <w:jc w:val="center"/>
        </w:trPr>
        <w:tc>
          <w:tcPr>
            <w:tcW w:w="1429" w:type="dxa"/>
            <w:vMerge/>
          </w:tcPr>
          <w:p w14:paraId="48BD5610" w14:textId="0B32AD3F" w:rsidR="00C71031" w:rsidRPr="00F81987" w:rsidRDefault="00C71031" w:rsidP="00A77FE9">
            <w:pPr>
              <w:rPr>
                <w:rFonts w:cstheme="minorHAnsi"/>
                <w:sz w:val="20"/>
                <w:szCs w:val="20"/>
              </w:rPr>
            </w:pPr>
          </w:p>
        </w:tc>
        <w:tc>
          <w:tcPr>
            <w:tcW w:w="5370" w:type="dxa"/>
          </w:tcPr>
          <w:p w14:paraId="229B86F2" w14:textId="6452E5A7" w:rsidR="00C71031" w:rsidRPr="00F81987" w:rsidRDefault="00DC2C5E" w:rsidP="00A77FE9">
            <w:pPr>
              <w:rPr>
                <w:rFonts w:cstheme="minorHAnsi"/>
                <w:sz w:val="20"/>
                <w:szCs w:val="20"/>
              </w:rPr>
            </w:pPr>
            <w:r>
              <w:rPr>
                <w:rFonts w:cstheme="minorHAnsi"/>
                <w:sz w:val="20"/>
                <w:szCs w:val="20"/>
              </w:rPr>
              <w:t>u</w:t>
            </w:r>
            <w:r w:rsidR="00C71031" w:rsidRPr="00F81987">
              <w:rPr>
                <w:rFonts w:cstheme="minorHAnsi"/>
                <w:sz w:val="20"/>
                <w:szCs w:val="20"/>
              </w:rPr>
              <w:t>ruchomienie instalacji ko- i poligeneracyjnych, np. elektrociepłowni o mocy do 50 MWt, gdzie głównym paliwem będzie wodór</w:t>
            </w:r>
          </w:p>
        </w:tc>
        <w:tc>
          <w:tcPr>
            <w:tcW w:w="2421" w:type="dxa"/>
            <w:gridSpan w:val="2"/>
          </w:tcPr>
          <w:p w14:paraId="4394B14E" w14:textId="5B41224A" w:rsidR="00C71031" w:rsidRPr="00F81987" w:rsidRDefault="00DC2C5E" w:rsidP="00A77FE9">
            <w:pPr>
              <w:rPr>
                <w:rFonts w:cstheme="minorHAnsi"/>
                <w:sz w:val="20"/>
                <w:szCs w:val="20"/>
              </w:rPr>
            </w:pPr>
            <w:r>
              <w:rPr>
                <w:rFonts w:cstheme="minorHAnsi"/>
                <w:sz w:val="20"/>
                <w:szCs w:val="20"/>
              </w:rPr>
              <w:t>m</w:t>
            </w:r>
            <w:r w:rsidR="00D037B5" w:rsidRPr="00F81987">
              <w:rPr>
                <w:rFonts w:cstheme="minorHAnsi"/>
                <w:sz w:val="20"/>
                <w:szCs w:val="20"/>
              </w:rPr>
              <w:t>inister właściwy ds. energii (DEG)</w:t>
            </w:r>
          </w:p>
        </w:tc>
      </w:tr>
      <w:tr w:rsidR="00C71031" w:rsidRPr="00F81987" w14:paraId="72E13351" w14:textId="77777777" w:rsidTr="00745D42">
        <w:trPr>
          <w:trHeight w:val="439"/>
          <w:jc w:val="center"/>
        </w:trPr>
        <w:tc>
          <w:tcPr>
            <w:tcW w:w="1429" w:type="dxa"/>
            <w:vMerge/>
          </w:tcPr>
          <w:p w14:paraId="2F45C52B" w14:textId="77777777" w:rsidR="00C71031" w:rsidRPr="00F81987" w:rsidRDefault="00C71031" w:rsidP="00A77FE9">
            <w:pPr>
              <w:rPr>
                <w:rFonts w:cstheme="minorHAnsi"/>
                <w:sz w:val="20"/>
                <w:szCs w:val="20"/>
              </w:rPr>
            </w:pPr>
          </w:p>
        </w:tc>
        <w:tc>
          <w:tcPr>
            <w:tcW w:w="5370" w:type="dxa"/>
          </w:tcPr>
          <w:p w14:paraId="22A9C130" w14:textId="1D72ED75" w:rsidR="00C71031" w:rsidRPr="00F81987" w:rsidRDefault="00DC2C5E" w:rsidP="00A77FE9">
            <w:pPr>
              <w:rPr>
                <w:rFonts w:cstheme="minorHAnsi"/>
                <w:sz w:val="20"/>
                <w:szCs w:val="20"/>
              </w:rPr>
            </w:pPr>
            <w:r>
              <w:rPr>
                <w:rFonts w:cstheme="minorHAnsi"/>
                <w:sz w:val="20"/>
                <w:szCs w:val="20"/>
              </w:rPr>
              <w:t>i</w:t>
            </w:r>
            <w:r w:rsidR="00C71031" w:rsidRPr="00F81987">
              <w:rPr>
                <w:rFonts w:cstheme="minorHAnsi"/>
                <w:sz w:val="20"/>
                <w:szCs w:val="20"/>
              </w:rPr>
              <w:t>nstalacja układów ko- i poligeneracyjnych dla bloków mieszkalnych, biurowców, małych osiedli oraz obiektów użyteczności publicznej od 10 kW do 250 kW z wykorzystaniem ogniw paliwowych</w:t>
            </w:r>
          </w:p>
        </w:tc>
        <w:tc>
          <w:tcPr>
            <w:tcW w:w="2421" w:type="dxa"/>
            <w:gridSpan w:val="2"/>
          </w:tcPr>
          <w:p w14:paraId="65651B9D" w14:textId="5D0C50A2" w:rsidR="00C71031" w:rsidRPr="00F81987" w:rsidRDefault="00DC2C5E" w:rsidP="00A77FE9">
            <w:pPr>
              <w:rPr>
                <w:rFonts w:cstheme="minorHAnsi"/>
                <w:sz w:val="20"/>
                <w:szCs w:val="20"/>
              </w:rPr>
            </w:pPr>
            <w:r>
              <w:rPr>
                <w:rFonts w:cstheme="minorHAnsi"/>
                <w:sz w:val="20"/>
                <w:szCs w:val="20"/>
              </w:rPr>
              <w:t>m</w:t>
            </w:r>
            <w:r w:rsidR="00D037B5" w:rsidRPr="00F81987">
              <w:rPr>
                <w:rFonts w:cstheme="minorHAnsi"/>
                <w:sz w:val="20"/>
                <w:szCs w:val="20"/>
              </w:rPr>
              <w:t>inister właściwy ds. energii (DEG)</w:t>
            </w:r>
          </w:p>
        </w:tc>
      </w:tr>
      <w:tr w:rsidR="00C71031" w:rsidRPr="00F81987" w14:paraId="11004D3F" w14:textId="77777777" w:rsidTr="00745D42">
        <w:trPr>
          <w:trHeight w:val="439"/>
          <w:jc w:val="center"/>
        </w:trPr>
        <w:tc>
          <w:tcPr>
            <w:tcW w:w="1429" w:type="dxa"/>
            <w:vMerge/>
          </w:tcPr>
          <w:p w14:paraId="2156378C" w14:textId="77777777" w:rsidR="00C71031" w:rsidRPr="00F81987" w:rsidRDefault="00C71031" w:rsidP="00A77FE9">
            <w:pPr>
              <w:rPr>
                <w:rFonts w:cstheme="minorHAnsi"/>
                <w:sz w:val="20"/>
                <w:szCs w:val="20"/>
              </w:rPr>
            </w:pPr>
          </w:p>
        </w:tc>
        <w:tc>
          <w:tcPr>
            <w:tcW w:w="5370" w:type="dxa"/>
          </w:tcPr>
          <w:p w14:paraId="039DCD14" w14:textId="3C7E3A5B" w:rsidR="00C71031" w:rsidRPr="00F81987" w:rsidRDefault="00DC2C5E" w:rsidP="00A77FE9">
            <w:pPr>
              <w:rPr>
                <w:rFonts w:cstheme="minorHAnsi"/>
                <w:sz w:val="20"/>
                <w:szCs w:val="20"/>
              </w:rPr>
            </w:pPr>
            <w:r>
              <w:rPr>
                <w:rFonts w:cstheme="minorHAnsi"/>
                <w:sz w:val="20"/>
                <w:szCs w:val="20"/>
              </w:rPr>
              <w:t>u</w:t>
            </w:r>
            <w:r w:rsidR="00C71031" w:rsidRPr="00F81987">
              <w:rPr>
                <w:rFonts w:cstheme="minorHAnsi"/>
                <w:sz w:val="20"/>
                <w:szCs w:val="20"/>
              </w:rPr>
              <w:t>ruchomienie instalacji mikrogeneracyjnych 1-10 kW do wytwarzania wodoru dla instalacji grzewczej lub energii elektrycznej, oraz do zastosowań do zasilania w trudno dostępnych miejscach</w:t>
            </w:r>
          </w:p>
        </w:tc>
        <w:tc>
          <w:tcPr>
            <w:tcW w:w="2421" w:type="dxa"/>
            <w:gridSpan w:val="2"/>
          </w:tcPr>
          <w:p w14:paraId="57D13C39" w14:textId="5191974A" w:rsidR="00C71031" w:rsidRPr="00F81987" w:rsidRDefault="00DC2C5E" w:rsidP="00A77FE9">
            <w:pPr>
              <w:rPr>
                <w:rFonts w:cstheme="minorHAnsi"/>
                <w:sz w:val="20"/>
                <w:szCs w:val="20"/>
              </w:rPr>
            </w:pPr>
            <w:r>
              <w:rPr>
                <w:rFonts w:cstheme="minorHAnsi"/>
                <w:sz w:val="20"/>
                <w:szCs w:val="20"/>
              </w:rPr>
              <w:t>m</w:t>
            </w:r>
            <w:r w:rsidR="00D037B5" w:rsidRPr="00F81987">
              <w:rPr>
                <w:rFonts w:cstheme="minorHAnsi"/>
                <w:sz w:val="20"/>
                <w:szCs w:val="20"/>
              </w:rPr>
              <w:t>inister właściwy ds. energii (DEG)</w:t>
            </w:r>
          </w:p>
        </w:tc>
      </w:tr>
      <w:tr w:rsidR="00C71031" w:rsidRPr="00F81987" w14:paraId="4C65F24F" w14:textId="77777777" w:rsidTr="00745D42">
        <w:trPr>
          <w:trHeight w:val="439"/>
          <w:jc w:val="center"/>
        </w:trPr>
        <w:tc>
          <w:tcPr>
            <w:tcW w:w="1429" w:type="dxa"/>
            <w:vMerge/>
          </w:tcPr>
          <w:p w14:paraId="77267B51" w14:textId="77777777" w:rsidR="00C71031" w:rsidRPr="00F81987" w:rsidRDefault="00C71031" w:rsidP="00A77FE9">
            <w:pPr>
              <w:rPr>
                <w:rFonts w:cstheme="minorHAnsi"/>
                <w:sz w:val="20"/>
                <w:szCs w:val="20"/>
              </w:rPr>
            </w:pPr>
          </w:p>
        </w:tc>
        <w:tc>
          <w:tcPr>
            <w:tcW w:w="5370" w:type="dxa"/>
          </w:tcPr>
          <w:p w14:paraId="1A55CFC9" w14:textId="5965D0BE" w:rsidR="00C71031" w:rsidRPr="00F81987" w:rsidRDefault="00DC2C5E" w:rsidP="00A77FE9">
            <w:pPr>
              <w:rPr>
                <w:rFonts w:cstheme="minorHAnsi"/>
                <w:sz w:val="20"/>
                <w:szCs w:val="20"/>
              </w:rPr>
            </w:pPr>
            <w:r>
              <w:rPr>
                <w:rFonts w:cstheme="minorHAnsi"/>
                <w:sz w:val="20"/>
                <w:szCs w:val="20"/>
              </w:rPr>
              <w:t>d</w:t>
            </w:r>
            <w:r w:rsidR="00C71031" w:rsidRPr="00F81987">
              <w:rPr>
                <w:rFonts w:cstheme="minorHAnsi"/>
                <w:sz w:val="20"/>
                <w:szCs w:val="20"/>
              </w:rPr>
              <w:t>ążenie do osiągnięcia mocy instalacji produkcji z niskoemisyjnych źródeł, procesów i technologii dla potrzeb produkcji wodoru i jego pochodnych na poziomie 2 GW, w tym w szczególności instalacji elektrolizerów</w:t>
            </w:r>
          </w:p>
        </w:tc>
        <w:tc>
          <w:tcPr>
            <w:tcW w:w="2421" w:type="dxa"/>
            <w:gridSpan w:val="2"/>
          </w:tcPr>
          <w:p w14:paraId="69110126" w14:textId="3205E137" w:rsidR="00C71031" w:rsidRPr="00F81987" w:rsidRDefault="00DC2C5E" w:rsidP="00A77FE9">
            <w:pPr>
              <w:rPr>
                <w:rFonts w:cstheme="minorHAnsi"/>
                <w:sz w:val="20"/>
                <w:szCs w:val="20"/>
              </w:rPr>
            </w:pPr>
            <w:r>
              <w:rPr>
                <w:rFonts w:cstheme="minorHAnsi"/>
                <w:sz w:val="20"/>
                <w:szCs w:val="20"/>
              </w:rPr>
              <w:t>m</w:t>
            </w:r>
            <w:r w:rsidR="00D037B5" w:rsidRPr="00F81987">
              <w:rPr>
                <w:rFonts w:cstheme="minorHAnsi"/>
                <w:sz w:val="20"/>
                <w:szCs w:val="20"/>
              </w:rPr>
              <w:t>inister właściwy ds. energii (DEG)</w:t>
            </w:r>
          </w:p>
        </w:tc>
      </w:tr>
      <w:tr w:rsidR="00C71031" w:rsidRPr="00F81987" w14:paraId="0FF88D07" w14:textId="77777777" w:rsidTr="00745D42">
        <w:trPr>
          <w:trHeight w:val="439"/>
          <w:jc w:val="center"/>
        </w:trPr>
        <w:tc>
          <w:tcPr>
            <w:tcW w:w="1429" w:type="dxa"/>
            <w:vMerge w:val="restart"/>
          </w:tcPr>
          <w:p w14:paraId="0E6EA43E" w14:textId="77777777" w:rsidR="00C71031" w:rsidRPr="00F81987" w:rsidRDefault="00C71031" w:rsidP="00A77FE9">
            <w:pPr>
              <w:rPr>
                <w:rFonts w:cstheme="minorHAnsi"/>
                <w:sz w:val="20"/>
                <w:szCs w:val="20"/>
              </w:rPr>
            </w:pPr>
            <w:r w:rsidRPr="00F81987">
              <w:rPr>
                <w:rFonts w:cstheme="minorHAnsi"/>
                <w:sz w:val="20"/>
                <w:szCs w:val="20"/>
              </w:rPr>
              <w:t>Długoterminowe (do 2040 r.)</w:t>
            </w:r>
          </w:p>
          <w:p w14:paraId="2DDFAB52" w14:textId="459F863C" w:rsidR="00C71031" w:rsidRPr="00F81987" w:rsidRDefault="00C71031" w:rsidP="00A77FE9">
            <w:pPr>
              <w:rPr>
                <w:rFonts w:cstheme="minorHAnsi"/>
                <w:sz w:val="20"/>
                <w:szCs w:val="20"/>
              </w:rPr>
            </w:pPr>
            <w:r w:rsidRPr="00F81987">
              <w:rPr>
                <w:rFonts w:cstheme="minorHAnsi"/>
                <w:sz w:val="20"/>
                <w:szCs w:val="20"/>
              </w:rPr>
              <w:t>Gospodarka Wodorowa</w:t>
            </w:r>
          </w:p>
        </w:tc>
        <w:tc>
          <w:tcPr>
            <w:tcW w:w="5370" w:type="dxa"/>
          </w:tcPr>
          <w:p w14:paraId="78BC3477" w14:textId="269DCCCE" w:rsidR="00C71031" w:rsidRPr="00F81987" w:rsidRDefault="00DC2C5E" w:rsidP="00A77FE9">
            <w:pPr>
              <w:rPr>
                <w:rFonts w:cstheme="minorHAnsi"/>
                <w:iCs/>
                <w:sz w:val="20"/>
                <w:szCs w:val="20"/>
              </w:rPr>
            </w:pPr>
            <w:r>
              <w:rPr>
                <w:rFonts w:cstheme="minorHAnsi"/>
                <w:sz w:val="20"/>
                <w:szCs w:val="20"/>
              </w:rPr>
              <w:t>k</w:t>
            </w:r>
            <w:r w:rsidR="00C71031" w:rsidRPr="00F81987">
              <w:rPr>
                <w:rFonts w:cstheme="minorHAnsi"/>
                <w:sz w:val="20"/>
                <w:szCs w:val="20"/>
              </w:rPr>
              <w:t xml:space="preserve">ontynuacja działań krótko - i średnioterminowych </w:t>
            </w:r>
          </w:p>
        </w:tc>
        <w:tc>
          <w:tcPr>
            <w:tcW w:w="2421" w:type="dxa"/>
            <w:gridSpan w:val="2"/>
          </w:tcPr>
          <w:p w14:paraId="6735A49A" w14:textId="77777777" w:rsidR="00C71031" w:rsidRPr="00F81987" w:rsidRDefault="00C71031" w:rsidP="00A77FE9">
            <w:pPr>
              <w:rPr>
                <w:rFonts w:cstheme="minorHAnsi"/>
                <w:iCs/>
                <w:sz w:val="20"/>
                <w:szCs w:val="20"/>
              </w:rPr>
            </w:pPr>
          </w:p>
        </w:tc>
      </w:tr>
      <w:tr w:rsidR="00C71031" w:rsidRPr="00F81987" w14:paraId="07CC20F0" w14:textId="77777777" w:rsidTr="00745D42">
        <w:trPr>
          <w:trHeight w:val="439"/>
          <w:jc w:val="center"/>
        </w:trPr>
        <w:tc>
          <w:tcPr>
            <w:tcW w:w="1429" w:type="dxa"/>
            <w:vMerge/>
          </w:tcPr>
          <w:p w14:paraId="7B461EBD" w14:textId="361994CF" w:rsidR="00C71031" w:rsidRPr="00F81987" w:rsidRDefault="00C71031" w:rsidP="00A77FE9">
            <w:pPr>
              <w:rPr>
                <w:rFonts w:cstheme="minorHAnsi"/>
                <w:sz w:val="20"/>
                <w:szCs w:val="20"/>
              </w:rPr>
            </w:pPr>
          </w:p>
        </w:tc>
        <w:tc>
          <w:tcPr>
            <w:tcW w:w="5370" w:type="dxa"/>
          </w:tcPr>
          <w:p w14:paraId="4C163E7B" w14:textId="791F6D74" w:rsidR="00C71031" w:rsidRPr="00F81987" w:rsidRDefault="00DC2C5E" w:rsidP="00A77FE9">
            <w:pPr>
              <w:rPr>
                <w:rFonts w:cstheme="minorHAnsi"/>
                <w:iCs/>
                <w:sz w:val="20"/>
                <w:szCs w:val="20"/>
              </w:rPr>
            </w:pPr>
            <w:r>
              <w:rPr>
                <w:rFonts w:cstheme="minorHAnsi"/>
                <w:iCs/>
                <w:sz w:val="20"/>
                <w:szCs w:val="20"/>
              </w:rPr>
              <w:t>r</w:t>
            </w:r>
            <w:r w:rsidR="00C71031" w:rsidRPr="00F81987">
              <w:rPr>
                <w:rFonts w:cstheme="minorHAnsi"/>
                <w:iCs/>
                <w:sz w:val="20"/>
                <w:szCs w:val="20"/>
              </w:rPr>
              <w:t xml:space="preserve">ozwój odnawialnych źródeł energii </w:t>
            </w:r>
          </w:p>
        </w:tc>
        <w:tc>
          <w:tcPr>
            <w:tcW w:w="2421" w:type="dxa"/>
            <w:gridSpan w:val="2"/>
          </w:tcPr>
          <w:p w14:paraId="0C67DE69" w14:textId="45B6EE01" w:rsidR="00C71031" w:rsidRPr="00F81987" w:rsidRDefault="00DC2C5E" w:rsidP="00A77FE9">
            <w:pPr>
              <w:rPr>
                <w:rFonts w:cstheme="minorHAnsi"/>
                <w:iCs/>
                <w:sz w:val="20"/>
                <w:szCs w:val="20"/>
              </w:rPr>
            </w:pPr>
            <w:r>
              <w:rPr>
                <w:rFonts w:cstheme="minorHAnsi"/>
                <w:sz w:val="20"/>
                <w:szCs w:val="20"/>
              </w:rPr>
              <w:t>m</w:t>
            </w:r>
            <w:r w:rsidR="00D037B5" w:rsidRPr="00F81987">
              <w:rPr>
                <w:rFonts w:cstheme="minorHAnsi"/>
                <w:sz w:val="20"/>
                <w:szCs w:val="20"/>
              </w:rPr>
              <w:t xml:space="preserve">inister właściwy ds. energii </w:t>
            </w:r>
            <w:r w:rsidR="00C71031" w:rsidRPr="00F81987">
              <w:rPr>
                <w:rFonts w:cstheme="minorHAnsi"/>
                <w:sz w:val="20"/>
                <w:szCs w:val="20"/>
              </w:rPr>
              <w:t>(DOZE)</w:t>
            </w:r>
          </w:p>
        </w:tc>
      </w:tr>
      <w:tr w:rsidR="00C71031" w:rsidRPr="00F81987" w14:paraId="08A152FD" w14:textId="77777777" w:rsidTr="00745D42">
        <w:trPr>
          <w:trHeight w:val="439"/>
          <w:jc w:val="center"/>
        </w:trPr>
        <w:tc>
          <w:tcPr>
            <w:tcW w:w="1429" w:type="dxa"/>
            <w:vMerge/>
          </w:tcPr>
          <w:p w14:paraId="4B7E1165" w14:textId="352B14BC" w:rsidR="00C71031" w:rsidRPr="00F81987" w:rsidRDefault="00C71031" w:rsidP="00A77FE9">
            <w:pPr>
              <w:rPr>
                <w:rFonts w:cstheme="minorHAnsi"/>
                <w:sz w:val="20"/>
                <w:szCs w:val="20"/>
              </w:rPr>
            </w:pPr>
          </w:p>
        </w:tc>
        <w:tc>
          <w:tcPr>
            <w:tcW w:w="5370" w:type="dxa"/>
          </w:tcPr>
          <w:p w14:paraId="3E6E294E" w14:textId="3BC51C4D" w:rsidR="00C71031" w:rsidRPr="00F81987" w:rsidRDefault="00DC2C5E" w:rsidP="00A77FE9">
            <w:pPr>
              <w:rPr>
                <w:rFonts w:cstheme="minorHAnsi"/>
                <w:iCs/>
                <w:sz w:val="20"/>
                <w:szCs w:val="20"/>
              </w:rPr>
            </w:pPr>
            <w:r>
              <w:rPr>
                <w:rFonts w:cstheme="minorHAnsi"/>
                <w:iCs/>
                <w:sz w:val="20"/>
                <w:szCs w:val="20"/>
              </w:rPr>
              <w:t>p</w:t>
            </w:r>
            <w:r w:rsidR="00C71031" w:rsidRPr="00F81987">
              <w:rPr>
                <w:rFonts w:cstheme="minorHAnsi"/>
                <w:iCs/>
                <w:sz w:val="20"/>
                <w:szCs w:val="20"/>
              </w:rPr>
              <w:t>o roku 2030 możliwy będzie rozwój produkcji wodoru w oparciu o elektrownie jądrowe i podłączone do nich elektrolizery. Aby tak się stało należy przygotować wcześniej odpowiednie warunki do budowy instalacji do produkcji wodoru przy elektrowniach jądrowych. Przewaga konkurencyjna wodoru wytwarzanego w źródłach jądrowych opiera się nie tylko na zerowej emisyjności, ale również możliwej dużej skali produkcji</w:t>
            </w:r>
          </w:p>
        </w:tc>
        <w:tc>
          <w:tcPr>
            <w:tcW w:w="2421" w:type="dxa"/>
            <w:gridSpan w:val="2"/>
          </w:tcPr>
          <w:p w14:paraId="23337878" w14:textId="13DB8A1F" w:rsidR="00C71031" w:rsidRPr="00F81987" w:rsidRDefault="00DC2C5E" w:rsidP="00A77FE9">
            <w:pPr>
              <w:rPr>
                <w:rFonts w:cstheme="minorHAnsi"/>
                <w:sz w:val="20"/>
                <w:szCs w:val="20"/>
              </w:rPr>
            </w:pPr>
            <w:r>
              <w:rPr>
                <w:rFonts w:cstheme="minorHAnsi"/>
                <w:sz w:val="20"/>
                <w:szCs w:val="20"/>
              </w:rPr>
              <w:t>m</w:t>
            </w:r>
            <w:r w:rsidR="00D037B5" w:rsidRPr="00F81987">
              <w:rPr>
                <w:rFonts w:cstheme="minorHAnsi"/>
                <w:sz w:val="20"/>
                <w:szCs w:val="20"/>
              </w:rPr>
              <w:t>inister właściwy ds. energii (DEG)</w:t>
            </w:r>
          </w:p>
        </w:tc>
      </w:tr>
      <w:tr w:rsidR="00A77FE9" w:rsidRPr="00F81987" w14:paraId="73DCCDA0" w14:textId="77777777" w:rsidTr="00745D42">
        <w:trPr>
          <w:trHeight w:val="431"/>
          <w:jc w:val="center"/>
        </w:trPr>
        <w:tc>
          <w:tcPr>
            <w:tcW w:w="9220" w:type="dxa"/>
            <w:gridSpan w:val="4"/>
            <w:shd w:val="clear" w:color="auto" w:fill="D9E2F3" w:themeFill="accent1" w:themeFillTint="33"/>
          </w:tcPr>
          <w:p w14:paraId="3320294A" w14:textId="3CB495BF" w:rsidR="00A77FE9" w:rsidRPr="00F81987" w:rsidRDefault="00A77FE9" w:rsidP="00A77FE9">
            <w:pPr>
              <w:jc w:val="both"/>
              <w:rPr>
                <w:rFonts w:cstheme="minorHAnsi"/>
                <w:sz w:val="20"/>
                <w:szCs w:val="20"/>
              </w:rPr>
            </w:pPr>
            <w:r w:rsidRPr="00F81987">
              <w:rPr>
                <w:rFonts w:cstheme="minorHAnsi"/>
                <w:b/>
                <w:bCs/>
                <w:sz w:val="20"/>
                <w:szCs w:val="20"/>
              </w:rPr>
              <w:t xml:space="preserve">Kierunek interwencji 5 – Edukacja ekologiczna </w:t>
            </w:r>
          </w:p>
        </w:tc>
      </w:tr>
      <w:tr w:rsidR="002B20A8" w:rsidRPr="00F81987" w14:paraId="0DF11189" w14:textId="77777777" w:rsidTr="00DD0E4C">
        <w:trPr>
          <w:gridAfter w:val="1"/>
          <w:wAfter w:w="11" w:type="dxa"/>
          <w:trHeight w:val="693"/>
          <w:jc w:val="center"/>
        </w:trPr>
        <w:tc>
          <w:tcPr>
            <w:tcW w:w="1429" w:type="dxa"/>
            <w:vMerge w:val="restart"/>
          </w:tcPr>
          <w:p w14:paraId="78C979D8" w14:textId="1CA03070" w:rsidR="002B20A8" w:rsidRPr="00F81987" w:rsidRDefault="002B20A8" w:rsidP="00A77FE9">
            <w:pPr>
              <w:rPr>
                <w:rFonts w:cstheme="minorHAnsi"/>
                <w:sz w:val="20"/>
                <w:szCs w:val="20"/>
              </w:rPr>
            </w:pPr>
            <w:r w:rsidRPr="00F81987">
              <w:rPr>
                <w:rFonts w:cstheme="minorHAnsi"/>
                <w:sz w:val="20"/>
                <w:szCs w:val="20"/>
              </w:rPr>
              <w:t>Krótko-terminowe</w:t>
            </w:r>
            <w:r w:rsidRPr="00F81987">
              <w:rPr>
                <w:rFonts w:cstheme="minorHAnsi"/>
                <w:sz w:val="20"/>
                <w:szCs w:val="20"/>
              </w:rPr>
              <w:br/>
              <w:t xml:space="preserve"> (do 2025 r.)</w:t>
            </w:r>
          </w:p>
        </w:tc>
        <w:tc>
          <w:tcPr>
            <w:tcW w:w="5370" w:type="dxa"/>
          </w:tcPr>
          <w:p w14:paraId="64544416" w14:textId="25AD977F" w:rsidR="002B20A8" w:rsidRPr="00F81987" w:rsidRDefault="002B20A8" w:rsidP="00A77FE9">
            <w:pPr>
              <w:jc w:val="both"/>
              <w:rPr>
                <w:rFonts w:cstheme="minorHAnsi"/>
                <w:iCs/>
                <w:sz w:val="20"/>
                <w:szCs w:val="20"/>
              </w:rPr>
            </w:pPr>
            <w:r>
              <w:rPr>
                <w:rFonts w:cstheme="minorHAnsi"/>
                <w:sz w:val="20"/>
                <w:szCs w:val="20"/>
              </w:rPr>
              <w:t>k</w:t>
            </w:r>
            <w:r w:rsidRPr="00F81987">
              <w:rPr>
                <w:rFonts w:cstheme="minorHAnsi"/>
                <w:sz w:val="20"/>
                <w:szCs w:val="20"/>
              </w:rPr>
              <w:t xml:space="preserve">ontynuacja prowadzenia kampanii medialnych i informacyjnych w zakresie proekologicznych zachowań </w:t>
            </w:r>
            <w:r w:rsidRPr="00F81987">
              <w:rPr>
                <w:rFonts w:cstheme="minorHAnsi"/>
                <w:iCs/>
                <w:sz w:val="20"/>
                <w:szCs w:val="20"/>
              </w:rPr>
              <w:t xml:space="preserve">sprzyjających poprawie jakości powietrza </w:t>
            </w:r>
            <w:r w:rsidRPr="00DD0E4C">
              <w:rPr>
                <w:rFonts w:cstheme="minorHAnsi"/>
                <w:sz w:val="20"/>
                <w:szCs w:val="20"/>
              </w:rPr>
              <w:t>z uwzględnieniem komponentu informacyjnego dotyczącego wpływu niskiej emisji na zdrowie i środowisko, w tym lokowanie idei w programach popularno-naukowych oraz rozrywkowych oraz organizacje konkursów mających na celu promocje działań związanych z poprawą jakości powietrza, w tym np. korzyści z odnawialnych źródeł energii</w:t>
            </w:r>
          </w:p>
        </w:tc>
        <w:tc>
          <w:tcPr>
            <w:tcW w:w="2410" w:type="dxa"/>
          </w:tcPr>
          <w:p w14:paraId="0FC4DA22" w14:textId="0F99BB41" w:rsidR="002B20A8" w:rsidRPr="00F81987" w:rsidRDefault="002B20A8" w:rsidP="00A77FE9">
            <w:pPr>
              <w:rPr>
                <w:rFonts w:cstheme="minorHAnsi"/>
                <w:sz w:val="20"/>
                <w:szCs w:val="20"/>
              </w:rPr>
            </w:pPr>
            <w:r>
              <w:rPr>
                <w:rFonts w:cstheme="minorHAnsi"/>
                <w:sz w:val="20"/>
                <w:szCs w:val="20"/>
              </w:rPr>
              <w:t>m</w:t>
            </w:r>
            <w:r w:rsidRPr="00F81987">
              <w:rPr>
                <w:rFonts w:cstheme="minorHAnsi"/>
                <w:sz w:val="20"/>
                <w:szCs w:val="20"/>
              </w:rPr>
              <w:t>inister właściwy ds. klimatu (DEiK, DPM)</w:t>
            </w:r>
          </w:p>
        </w:tc>
      </w:tr>
      <w:tr w:rsidR="002B20A8" w:rsidRPr="00F81987" w14:paraId="4BF116D3" w14:textId="77777777" w:rsidTr="00745D42">
        <w:trPr>
          <w:gridAfter w:val="1"/>
          <w:wAfter w:w="11" w:type="dxa"/>
          <w:trHeight w:val="699"/>
          <w:jc w:val="center"/>
        </w:trPr>
        <w:tc>
          <w:tcPr>
            <w:tcW w:w="1429" w:type="dxa"/>
            <w:vMerge/>
          </w:tcPr>
          <w:p w14:paraId="743A7DAC" w14:textId="77777777" w:rsidR="002B20A8" w:rsidRPr="00F81987" w:rsidRDefault="002B20A8" w:rsidP="00A77FE9">
            <w:pPr>
              <w:pStyle w:val="Akapitzlist"/>
              <w:rPr>
                <w:rFonts w:cstheme="minorHAnsi"/>
                <w:sz w:val="20"/>
                <w:szCs w:val="20"/>
              </w:rPr>
            </w:pPr>
          </w:p>
        </w:tc>
        <w:tc>
          <w:tcPr>
            <w:tcW w:w="5370" w:type="dxa"/>
          </w:tcPr>
          <w:p w14:paraId="02F42593" w14:textId="17B17778" w:rsidR="002B20A8" w:rsidRPr="00F81987" w:rsidRDefault="002B20A8" w:rsidP="002B20A8">
            <w:pPr>
              <w:jc w:val="both"/>
              <w:rPr>
                <w:rFonts w:cstheme="minorHAnsi"/>
                <w:sz w:val="20"/>
                <w:szCs w:val="20"/>
              </w:rPr>
            </w:pPr>
            <w:r>
              <w:rPr>
                <w:rFonts w:cstheme="minorHAnsi"/>
                <w:iCs/>
                <w:sz w:val="20"/>
                <w:szCs w:val="20"/>
              </w:rPr>
              <w:t>k</w:t>
            </w:r>
            <w:r w:rsidRPr="00F81987">
              <w:rPr>
                <w:rFonts w:cstheme="minorHAnsi"/>
                <w:iCs/>
                <w:sz w:val="20"/>
                <w:szCs w:val="20"/>
              </w:rPr>
              <w:t xml:space="preserve">ontynuacja prowadzenia programów informacyjnych i edukacyjnych dotyczących wpływu zanieczyszczenia powietrza na zdrowie i komfort życia obywateli </w:t>
            </w:r>
          </w:p>
        </w:tc>
        <w:tc>
          <w:tcPr>
            <w:tcW w:w="2410" w:type="dxa"/>
          </w:tcPr>
          <w:p w14:paraId="6B523611" w14:textId="6E0407D1" w:rsidR="002B20A8" w:rsidRPr="00F81987" w:rsidRDefault="002B20A8" w:rsidP="00A77FE9">
            <w:pPr>
              <w:rPr>
                <w:rFonts w:cstheme="minorHAnsi"/>
                <w:sz w:val="20"/>
                <w:szCs w:val="20"/>
              </w:rPr>
            </w:pPr>
            <w:r>
              <w:rPr>
                <w:rFonts w:cstheme="minorHAnsi"/>
                <w:sz w:val="20"/>
                <w:szCs w:val="20"/>
              </w:rPr>
              <w:t>m</w:t>
            </w:r>
            <w:r w:rsidRPr="00F81987">
              <w:rPr>
                <w:rFonts w:cstheme="minorHAnsi"/>
                <w:sz w:val="20"/>
                <w:szCs w:val="20"/>
              </w:rPr>
              <w:t xml:space="preserve">inister właściwy ds. zdrowia, </w:t>
            </w:r>
            <w:r>
              <w:rPr>
                <w:rFonts w:cstheme="minorHAnsi"/>
                <w:sz w:val="20"/>
                <w:szCs w:val="20"/>
              </w:rPr>
              <w:t>m</w:t>
            </w:r>
            <w:r w:rsidRPr="00F81987">
              <w:rPr>
                <w:rFonts w:cstheme="minorHAnsi"/>
                <w:sz w:val="20"/>
                <w:szCs w:val="20"/>
              </w:rPr>
              <w:t>inister właściwy ds. klimatu (DPM)</w:t>
            </w:r>
          </w:p>
        </w:tc>
      </w:tr>
      <w:tr w:rsidR="002B20A8" w:rsidRPr="00F81987" w14:paraId="3232ADFD" w14:textId="77777777" w:rsidTr="00D037B5">
        <w:trPr>
          <w:gridAfter w:val="1"/>
          <w:wAfter w:w="11" w:type="dxa"/>
          <w:trHeight w:val="1969"/>
          <w:jc w:val="center"/>
        </w:trPr>
        <w:tc>
          <w:tcPr>
            <w:tcW w:w="1429" w:type="dxa"/>
            <w:vMerge/>
          </w:tcPr>
          <w:p w14:paraId="0518B7B1" w14:textId="77777777" w:rsidR="002B20A8" w:rsidRPr="00F81987" w:rsidRDefault="002B20A8" w:rsidP="00A77FE9">
            <w:pPr>
              <w:pStyle w:val="Akapitzlist"/>
              <w:rPr>
                <w:rFonts w:cstheme="minorHAnsi"/>
                <w:sz w:val="20"/>
                <w:szCs w:val="20"/>
              </w:rPr>
            </w:pPr>
          </w:p>
        </w:tc>
        <w:tc>
          <w:tcPr>
            <w:tcW w:w="5370" w:type="dxa"/>
          </w:tcPr>
          <w:p w14:paraId="2D4640CA" w14:textId="2BACD350" w:rsidR="002B20A8" w:rsidRPr="00F81987" w:rsidRDefault="002B20A8" w:rsidP="002B20A8">
            <w:pPr>
              <w:spacing w:after="0" w:line="240" w:lineRule="auto"/>
              <w:jc w:val="both"/>
              <w:rPr>
                <w:rFonts w:cstheme="minorHAnsi"/>
                <w:iCs/>
                <w:sz w:val="20"/>
                <w:szCs w:val="20"/>
              </w:rPr>
            </w:pPr>
            <w:r>
              <w:rPr>
                <w:rFonts w:cstheme="minorHAnsi"/>
                <w:iCs/>
                <w:sz w:val="20"/>
                <w:szCs w:val="20"/>
              </w:rPr>
              <w:t>w</w:t>
            </w:r>
            <w:r w:rsidRPr="00F81987">
              <w:rPr>
                <w:rFonts w:cstheme="minorHAnsi"/>
                <w:iCs/>
                <w:sz w:val="20"/>
                <w:szCs w:val="20"/>
              </w:rPr>
              <w:t>zmocnienie aktywności edukacyjnej i PR w ramach wybranych programów priorytetowych:</w:t>
            </w:r>
          </w:p>
          <w:p w14:paraId="7B30521B" w14:textId="0DAC4282" w:rsidR="002B20A8" w:rsidRPr="00F81987" w:rsidRDefault="002B20A8" w:rsidP="002B20A8">
            <w:pPr>
              <w:spacing w:after="0"/>
              <w:jc w:val="both"/>
              <w:rPr>
                <w:rFonts w:cstheme="minorHAnsi"/>
                <w:iCs/>
                <w:sz w:val="20"/>
                <w:szCs w:val="20"/>
              </w:rPr>
            </w:pPr>
            <w:r w:rsidRPr="00F81987">
              <w:rPr>
                <w:rFonts w:cstheme="minorHAnsi"/>
                <w:iCs/>
                <w:sz w:val="20"/>
                <w:szCs w:val="20"/>
              </w:rPr>
              <w:t xml:space="preserve">- </w:t>
            </w:r>
            <w:r w:rsidRPr="00F81987">
              <w:rPr>
                <w:rFonts w:cstheme="minorHAnsi"/>
                <w:sz w:val="20"/>
                <w:szCs w:val="20"/>
              </w:rPr>
              <w:t xml:space="preserve">prowadzenie kampanii medialnych i informacyjnych w zakresie proekologicznych zachowań </w:t>
            </w:r>
            <w:r w:rsidRPr="00F81987">
              <w:rPr>
                <w:rFonts w:cstheme="minorHAnsi"/>
                <w:iCs/>
                <w:sz w:val="20"/>
                <w:szCs w:val="20"/>
              </w:rPr>
              <w:t>sprzyjających poprawie jakości powietrza</w:t>
            </w:r>
            <w:r w:rsidRPr="00F81987">
              <w:rPr>
                <w:rFonts w:cstheme="minorHAnsi"/>
                <w:sz w:val="20"/>
                <w:szCs w:val="20"/>
              </w:rPr>
              <w:t xml:space="preserve"> </w:t>
            </w:r>
            <w:r w:rsidRPr="00F81987">
              <w:rPr>
                <w:rFonts w:cstheme="minorHAnsi"/>
                <w:iCs/>
                <w:sz w:val="20"/>
                <w:szCs w:val="20"/>
              </w:rPr>
              <w:t>przez skorzystanie z oferty NFOŚiGW,</w:t>
            </w:r>
          </w:p>
          <w:p w14:paraId="204BA5CB" w14:textId="20337D9B" w:rsidR="002B20A8" w:rsidRPr="00F81987" w:rsidRDefault="002B20A8" w:rsidP="002B20A8">
            <w:pPr>
              <w:spacing w:after="0" w:line="276" w:lineRule="auto"/>
              <w:jc w:val="both"/>
              <w:rPr>
                <w:rFonts w:cstheme="minorHAnsi"/>
                <w:iCs/>
                <w:sz w:val="20"/>
                <w:szCs w:val="20"/>
              </w:rPr>
            </w:pPr>
            <w:r w:rsidRPr="00F81987">
              <w:rPr>
                <w:rFonts w:cstheme="minorHAnsi"/>
                <w:iCs/>
                <w:sz w:val="20"/>
                <w:szCs w:val="20"/>
              </w:rPr>
              <w:t xml:space="preserve">- inicjowanie i wspieranie działań </w:t>
            </w:r>
            <w:r w:rsidRPr="007C6A6F">
              <w:rPr>
                <w:rFonts w:cstheme="minorHAnsi"/>
                <w:iCs/>
                <w:sz w:val="20"/>
                <w:szCs w:val="20"/>
              </w:rPr>
              <w:t xml:space="preserve">bezpośrednich np. </w:t>
            </w:r>
            <w:r w:rsidRPr="00F81987">
              <w:rPr>
                <w:rFonts w:cstheme="minorHAnsi"/>
                <w:iCs/>
                <w:sz w:val="20"/>
                <w:szCs w:val="20"/>
              </w:rPr>
              <w:t>wspierających kaskadową edukację ekologiczną</w:t>
            </w:r>
          </w:p>
        </w:tc>
        <w:tc>
          <w:tcPr>
            <w:tcW w:w="2410" w:type="dxa"/>
          </w:tcPr>
          <w:p w14:paraId="112421D5" w14:textId="6ED427C8" w:rsidR="002B20A8" w:rsidRPr="00F81987" w:rsidRDefault="002B20A8" w:rsidP="00A77FE9">
            <w:pPr>
              <w:rPr>
                <w:rFonts w:cstheme="minorHAnsi"/>
                <w:sz w:val="20"/>
                <w:szCs w:val="20"/>
              </w:rPr>
            </w:pPr>
            <w:r w:rsidRPr="00F81987">
              <w:rPr>
                <w:rFonts w:cstheme="minorHAnsi"/>
                <w:sz w:val="20"/>
                <w:szCs w:val="20"/>
              </w:rPr>
              <w:t>NFOŚiGW</w:t>
            </w:r>
          </w:p>
        </w:tc>
      </w:tr>
      <w:tr w:rsidR="002B20A8" w:rsidRPr="00F81987" w14:paraId="72B9DA08" w14:textId="77777777" w:rsidTr="00745D42">
        <w:trPr>
          <w:gridAfter w:val="1"/>
          <w:wAfter w:w="11" w:type="dxa"/>
          <w:trHeight w:val="939"/>
          <w:jc w:val="center"/>
        </w:trPr>
        <w:tc>
          <w:tcPr>
            <w:tcW w:w="1429" w:type="dxa"/>
            <w:vMerge/>
          </w:tcPr>
          <w:p w14:paraId="7B0575BD" w14:textId="77777777" w:rsidR="002B20A8" w:rsidRPr="00F81987" w:rsidRDefault="002B20A8" w:rsidP="00A77FE9">
            <w:pPr>
              <w:pStyle w:val="Akapitzlist"/>
              <w:rPr>
                <w:rFonts w:cstheme="minorHAnsi"/>
                <w:sz w:val="20"/>
                <w:szCs w:val="20"/>
              </w:rPr>
            </w:pPr>
          </w:p>
        </w:tc>
        <w:tc>
          <w:tcPr>
            <w:tcW w:w="5370" w:type="dxa"/>
          </w:tcPr>
          <w:p w14:paraId="1FD45557" w14:textId="7266591B" w:rsidR="002B20A8" w:rsidRPr="00F81987" w:rsidRDefault="002B20A8" w:rsidP="002B20A8">
            <w:pPr>
              <w:spacing w:after="0"/>
              <w:jc w:val="both"/>
              <w:rPr>
                <w:rFonts w:cstheme="minorHAnsi"/>
                <w:b/>
                <w:sz w:val="20"/>
                <w:szCs w:val="20"/>
              </w:rPr>
            </w:pPr>
            <w:r>
              <w:rPr>
                <w:rFonts w:cstheme="minorHAnsi"/>
                <w:iCs/>
                <w:sz w:val="20"/>
                <w:szCs w:val="20"/>
              </w:rPr>
              <w:t>p</w:t>
            </w:r>
            <w:r w:rsidRPr="00F81987">
              <w:rPr>
                <w:rFonts w:cstheme="minorHAnsi"/>
                <w:iCs/>
                <w:sz w:val="20"/>
                <w:szCs w:val="20"/>
              </w:rPr>
              <w:t>romocja programów priorytetowych prowadzonych przez NFOŚiGW/WFOŚiGW:</w:t>
            </w:r>
            <w:r w:rsidRPr="00F81987">
              <w:rPr>
                <w:rFonts w:cstheme="minorHAnsi"/>
                <w:b/>
                <w:sz w:val="20"/>
                <w:szCs w:val="20"/>
              </w:rPr>
              <w:t xml:space="preserve"> </w:t>
            </w:r>
          </w:p>
          <w:p w14:paraId="3386C67B" w14:textId="7E550CAD" w:rsidR="002B20A8" w:rsidRPr="002C4A11" w:rsidRDefault="002B20A8" w:rsidP="002B20A8">
            <w:pPr>
              <w:spacing w:after="0"/>
              <w:ind w:left="153" w:hanging="141"/>
              <w:jc w:val="both"/>
              <w:rPr>
                <w:rFonts w:cstheme="minorHAnsi"/>
                <w:bCs/>
                <w:sz w:val="20"/>
                <w:szCs w:val="20"/>
              </w:rPr>
            </w:pPr>
            <w:r w:rsidRPr="002C4A11">
              <w:rPr>
                <w:rFonts w:cstheme="minorHAnsi"/>
                <w:bCs/>
                <w:sz w:val="20"/>
                <w:szCs w:val="20"/>
              </w:rPr>
              <w:t>- informowanie o aktualnych naborach NFOŚiGW</w:t>
            </w:r>
          </w:p>
          <w:p w14:paraId="54791AE0" w14:textId="77777777" w:rsidR="002B20A8" w:rsidRPr="002C4A11" w:rsidRDefault="002B20A8" w:rsidP="002B20A8">
            <w:pPr>
              <w:spacing w:after="0"/>
              <w:ind w:left="153" w:hanging="141"/>
              <w:jc w:val="both"/>
              <w:rPr>
                <w:rFonts w:cstheme="minorHAnsi"/>
                <w:bCs/>
                <w:sz w:val="20"/>
                <w:szCs w:val="20"/>
              </w:rPr>
            </w:pPr>
            <w:r w:rsidRPr="002C4A11">
              <w:rPr>
                <w:rFonts w:cstheme="minorHAnsi"/>
                <w:bCs/>
                <w:sz w:val="20"/>
                <w:szCs w:val="20"/>
              </w:rPr>
              <w:t>- stała komunikacja i współpraca z mediami</w:t>
            </w:r>
          </w:p>
          <w:p w14:paraId="4508D413" w14:textId="77777777" w:rsidR="002B20A8" w:rsidRPr="002C4A11" w:rsidRDefault="002B20A8" w:rsidP="002B20A8">
            <w:pPr>
              <w:spacing w:after="0"/>
              <w:ind w:left="153" w:hanging="141"/>
              <w:jc w:val="both"/>
              <w:rPr>
                <w:rFonts w:cstheme="minorHAnsi"/>
                <w:bCs/>
                <w:sz w:val="20"/>
                <w:szCs w:val="20"/>
              </w:rPr>
            </w:pPr>
            <w:r w:rsidRPr="002C4A11">
              <w:rPr>
                <w:rFonts w:cstheme="minorHAnsi"/>
                <w:bCs/>
                <w:sz w:val="20"/>
                <w:szCs w:val="20"/>
              </w:rPr>
              <w:t>- organizacja wydarzeń o charakterze szkoleniowym</w:t>
            </w:r>
          </w:p>
          <w:p w14:paraId="7EBCA86D" w14:textId="77777777" w:rsidR="002B20A8" w:rsidRPr="002C4A11" w:rsidRDefault="002B20A8" w:rsidP="002B20A8">
            <w:pPr>
              <w:spacing w:after="0"/>
              <w:ind w:left="153" w:hanging="141"/>
              <w:jc w:val="both"/>
              <w:rPr>
                <w:rFonts w:cstheme="minorHAnsi"/>
                <w:bCs/>
                <w:sz w:val="20"/>
                <w:szCs w:val="20"/>
              </w:rPr>
            </w:pPr>
            <w:r w:rsidRPr="002C4A11">
              <w:rPr>
                <w:rFonts w:cstheme="minorHAnsi"/>
                <w:bCs/>
                <w:sz w:val="20"/>
                <w:szCs w:val="20"/>
              </w:rPr>
              <w:t>- organizacja wydarzeń o charakterze PR</w:t>
            </w:r>
          </w:p>
          <w:p w14:paraId="26966166" w14:textId="77777777" w:rsidR="002B20A8" w:rsidRPr="002C4A11" w:rsidRDefault="002B20A8" w:rsidP="002B20A8">
            <w:pPr>
              <w:spacing w:after="0"/>
              <w:ind w:left="153" w:hanging="141"/>
              <w:jc w:val="both"/>
              <w:rPr>
                <w:rFonts w:cstheme="minorHAnsi"/>
                <w:bCs/>
                <w:sz w:val="20"/>
                <w:szCs w:val="20"/>
              </w:rPr>
            </w:pPr>
            <w:r w:rsidRPr="002C4A11">
              <w:rPr>
                <w:rFonts w:cstheme="minorHAnsi"/>
                <w:bCs/>
                <w:sz w:val="20"/>
                <w:szCs w:val="20"/>
              </w:rPr>
              <w:t>- wsparcie dla wybranych programów priorytetowych w prowadzeniu promocji oferty i edukacji ekologicznej</w:t>
            </w:r>
          </w:p>
          <w:p w14:paraId="1B82D2BE" w14:textId="7743FCCE" w:rsidR="002B20A8" w:rsidRPr="002C4A11" w:rsidRDefault="002B20A8" w:rsidP="002B20A8">
            <w:pPr>
              <w:ind w:left="153" w:hanging="153"/>
              <w:jc w:val="both"/>
              <w:rPr>
                <w:rFonts w:cstheme="minorHAnsi"/>
                <w:iCs/>
                <w:sz w:val="20"/>
                <w:szCs w:val="20"/>
              </w:rPr>
            </w:pPr>
            <w:r>
              <w:rPr>
                <w:rFonts w:cstheme="minorHAnsi"/>
                <w:iCs/>
                <w:sz w:val="20"/>
                <w:szCs w:val="20"/>
              </w:rPr>
              <w:t xml:space="preserve">- </w:t>
            </w:r>
            <w:r w:rsidRPr="002C4A11">
              <w:rPr>
                <w:rFonts w:cstheme="minorHAnsi"/>
                <w:iCs/>
                <w:sz w:val="20"/>
                <w:szCs w:val="20"/>
              </w:rPr>
              <w:t>kampanie promujące programy NFOŚiGW (w okresie jego funkcjonowania) zachęcające do składania wniosków i wykorzystania środków z programów oraz promocja dotychczasowych efektów ich</w:t>
            </w:r>
            <w:r>
              <w:rPr>
                <w:rFonts w:cstheme="minorHAnsi"/>
                <w:iCs/>
                <w:sz w:val="20"/>
                <w:szCs w:val="20"/>
              </w:rPr>
              <w:t xml:space="preserve"> </w:t>
            </w:r>
            <w:r w:rsidRPr="002C4A11">
              <w:rPr>
                <w:rFonts w:cstheme="minorHAnsi"/>
                <w:iCs/>
                <w:sz w:val="20"/>
                <w:szCs w:val="20"/>
              </w:rPr>
              <w:t>realizacji.</w:t>
            </w:r>
            <w:r>
              <w:t xml:space="preserve"> </w:t>
            </w:r>
            <w:r w:rsidRPr="002C4A11">
              <w:rPr>
                <w:rFonts w:cstheme="minorHAnsi"/>
                <w:iCs/>
                <w:sz w:val="20"/>
                <w:szCs w:val="20"/>
              </w:rPr>
              <w:t>W ramach ww. kampanii planuje się działania ukierunkowane na beneficjentów programów np. do Programu Priorytetowego „Czyste Powietrze” - mieszkańców małych miast i wsi, w szczególności wykluczonych cyfrowo</w:t>
            </w:r>
          </w:p>
        </w:tc>
        <w:tc>
          <w:tcPr>
            <w:tcW w:w="2410" w:type="dxa"/>
          </w:tcPr>
          <w:p w14:paraId="04DB78E7" w14:textId="02AE7C7C" w:rsidR="002B20A8" w:rsidRPr="00F81987" w:rsidRDefault="002B20A8" w:rsidP="00A77FE9">
            <w:pPr>
              <w:rPr>
                <w:rFonts w:cstheme="minorHAnsi"/>
                <w:sz w:val="20"/>
                <w:szCs w:val="20"/>
              </w:rPr>
            </w:pPr>
            <w:r w:rsidRPr="00F81987">
              <w:rPr>
                <w:rFonts w:cstheme="minorHAnsi"/>
                <w:sz w:val="20"/>
                <w:szCs w:val="20"/>
              </w:rPr>
              <w:t xml:space="preserve">NFOŚiGW/WFOŚiGW, </w:t>
            </w:r>
            <w:r>
              <w:rPr>
                <w:rFonts w:cstheme="minorHAnsi"/>
                <w:sz w:val="20"/>
                <w:szCs w:val="20"/>
              </w:rPr>
              <w:t>m</w:t>
            </w:r>
            <w:r w:rsidRPr="00F81987">
              <w:rPr>
                <w:rFonts w:cstheme="minorHAnsi"/>
                <w:sz w:val="20"/>
                <w:szCs w:val="20"/>
              </w:rPr>
              <w:t>inister właściwy ds. klimatu (DPM, DEiK)</w:t>
            </w:r>
          </w:p>
        </w:tc>
      </w:tr>
      <w:tr w:rsidR="002B20A8" w:rsidRPr="00F81987" w14:paraId="43AEA0F0" w14:textId="77777777" w:rsidTr="00745D42">
        <w:trPr>
          <w:gridAfter w:val="1"/>
          <w:wAfter w:w="11" w:type="dxa"/>
          <w:trHeight w:val="823"/>
          <w:jc w:val="center"/>
        </w:trPr>
        <w:tc>
          <w:tcPr>
            <w:tcW w:w="1429" w:type="dxa"/>
            <w:vMerge/>
          </w:tcPr>
          <w:p w14:paraId="3C1240D4" w14:textId="77777777" w:rsidR="002B20A8" w:rsidRPr="00F81987" w:rsidRDefault="002B20A8" w:rsidP="00A77FE9">
            <w:pPr>
              <w:pStyle w:val="Akapitzlist"/>
              <w:rPr>
                <w:rFonts w:cstheme="minorHAnsi"/>
                <w:sz w:val="20"/>
                <w:szCs w:val="20"/>
              </w:rPr>
            </w:pPr>
          </w:p>
        </w:tc>
        <w:tc>
          <w:tcPr>
            <w:tcW w:w="5370" w:type="dxa"/>
          </w:tcPr>
          <w:p w14:paraId="234DCC46" w14:textId="0BBC1EB8" w:rsidR="002B20A8" w:rsidRPr="00F81987" w:rsidRDefault="002B20A8" w:rsidP="002B20A8">
            <w:pPr>
              <w:spacing w:after="0" w:line="240" w:lineRule="auto"/>
              <w:jc w:val="both"/>
              <w:rPr>
                <w:rFonts w:cstheme="minorHAnsi"/>
                <w:iCs/>
                <w:sz w:val="20"/>
                <w:szCs w:val="20"/>
              </w:rPr>
            </w:pPr>
            <w:r>
              <w:rPr>
                <w:rFonts w:cstheme="minorHAnsi"/>
                <w:iCs/>
                <w:sz w:val="20"/>
                <w:szCs w:val="20"/>
              </w:rPr>
              <w:t>w</w:t>
            </w:r>
            <w:r w:rsidRPr="00F81987">
              <w:rPr>
                <w:rFonts w:cstheme="minorHAnsi"/>
                <w:iCs/>
                <w:sz w:val="20"/>
                <w:szCs w:val="20"/>
              </w:rPr>
              <w:t xml:space="preserve">spółpraca w ramach Ogólnopolskiego Programu Regionalnego Wsparcia Edukacji Ekologicznej/ przekazanie środków </w:t>
            </w:r>
            <w:r>
              <w:rPr>
                <w:rFonts w:cstheme="minorHAnsi"/>
                <w:iCs/>
                <w:sz w:val="20"/>
                <w:szCs w:val="20"/>
              </w:rPr>
              <w:t>WFOŚiGW</w:t>
            </w:r>
            <w:r w:rsidRPr="00F81987">
              <w:rPr>
                <w:rFonts w:cstheme="minorHAnsi"/>
                <w:iCs/>
                <w:sz w:val="20"/>
                <w:szCs w:val="20"/>
              </w:rPr>
              <w:t xml:space="preserve"> na lokalne działania edukacyjne (projekt w przygotowaniu)</w:t>
            </w:r>
          </w:p>
        </w:tc>
        <w:tc>
          <w:tcPr>
            <w:tcW w:w="2410" w:type="dxa"/>
          </w:tcPr>
          <w:p w14:paraId="7AA2694D" w14:textId="2855595D" w:rsidR="002B20A8" w:rsidRPr="00F81987" w:rsidRDefault="002B20A8" w:rsidP="00A77FE9">
            <w:pPr>
              <w:rPr>
                <w:rFonts w:cstheme="minorHAnsi"/>
                <w:sz w:val="20"/>
                <w:szCs w:val="20"/>
              </w:rPr>
            </w:pPr>
            <w:r w:rsidRPr="00F81987">
              <w:rPr>
                <w:rFonts w:cstheme="minorHAnsi"/>
                <w:sz w:val="20"/>
                <w:szCs w:val="20"/>
              </w:rPr>
              <w:t>NFOŚiGW</w:t>
            </w:r>
          </w:p>
        </w:tc>
      </w:tr>
      <w:tr w:rsidR="002B20A8" w:rsidRPr="00F81987" w14:paraId="71C2D581" w14:textId="77777777" w:rsidTr="002B20A8">
        <w:trPr>
          <w:gridAfter w:val="1"/>
          <w:wAfter w:w="11" w:type="dxa"/>
          <w:trHeight w:val="413"/>
          <w:jc w:val="center"/>
        </w:trPr>
        <w:tc>
          <w:tcPr>
            <w:tcW w:w="1429" w:type="dxa"/>
            <w:vMerge/>
          </w:tcPr>
          <w:p w14:paraId="4D14793D" w14:textId="77777777" w:rsidR="002B20A8" w:rsidRPr="00F81987" w:rsidRDefault="002B20A8" w:rsidP="00A77FE9">
            <w:pPr>
              <w:pStyle w:val="Akapitzlist"/>
              <w:rPr>
                <w:rFonts w:cstheme="minorHAnsi"/>
                <w:sz w:val="20"/>
                <w:szCs w:val="20"/>
              </w:rPr>
            </w:pPr>
          </w:p>
        </w:tc>
        <w:tc>
          <w:tcPr>
            <w:tcW w:w="5370" w:type="dxa"/>
          </w:tcPr>
          <w:p w14:paraId="257BFF97" w14:textId="4AF32952" w:rsidR="002B20A8" w:rsidRPr="00F81987" w:rsidRDefault="002B20A8" w:rsidP="002B20A8">
            <w:pPr>
              <w:jc w:val="both"/>
              <w:rPr>
                <w:rFonts w:cstheme="minorHAnsi"/>
                <w:iCs/>
                <w:sz w:val="20"/>
                <w:szCs w:val="20"/>
              </w:rPr>
            </w:pPr>
            <w:r>
              <w:rPr>
                <w:rFonts w:cstheme="minorHAnsi"/>
                <w:iCs/>
                <w:sz w:val="20"/>
                <w:szCs w:val="20"/>
              </w:rPr>
              <w:t>r</w:t>
            </w:r>
            <w:r w:rsidRPr="00F81987">
              <w:rPr>
                <w:rFonts w:cstheme="minorHAnsi"/>
                <w:iCs/>
                <w:sz w:val="20"/>
                <w:szCs w:val="20"/>
              </w:rPr>
              <w:t>ealizacja Projektu Doradztwa Energetycznego</w:t>
            </w:r>
          </w:p>
        </w:tc>
        <w:tc>
          <w:tcPr>
            <w:tcW w:w="2410" w:type="dxa"/>
          </w:tcPr>
          <w:p w14:paraId="210902F3" w14:textId="57A47DC1" w:rsidR="002B20A8" w:rsidRPr="00F81987" w:rsidRDefault="002B20A8" w:rsidP="00A77FE9">
            <w:pPr>
              <w:rPr>
                <w:rFonts w:cstheme="minorHAnsi"/>
                <w:sz w:val="20"/>
                <w:szCs w:val="20"/>
              </w:rPr>
            </w:pPr>
            <w:r w:rsidRPr="00F81987">
              <w:rPr>
                <w:rFonts w:cstheme="minorHAnsi"/>
                <w:sz w:val="20"/>
                <w:szCs w:val="20"/>
              </w:rPr>
              <w:t>NFOŚiGW</w:t>
            </w:r>
          </w:p>
        </w:tc>
      </w:tr>
      <w:tr w:rsidR="002B20A8" w:rsidRPr="00F81987" w14:paraId="0D9D7068" w14:textId="77777777" w:rsidTr="002B20A8">
        <w:trPr>
          <w:gridAfter w:val="1"/>
          <w:wAfter w:w="11" w:type="dxa"/>
          <w:trHeight w:val="804"/>
          <w:jc w:val="center"/>
        </w:trPr>
        <w:tc>
          <w:tcPr>
            <w:tcW w:w="1429" w:type="dxa"/>
            <w:vMerge/>
          </w:tcPr>
          <w:p w14:paraId="5EEE53E0" w14:textId="77777777" w:rsidR="002B20A8" w:rsidRPr="00F81987" w:rsidRDefault="002B20A8" w:rsidP="00A77FE9">
            <w:pPr>
              <w:pStyle w:val="Akapitzlist"/>
              <w:rPr>
                <w:rFonts w:cstheme="minorHAnsi"/>
                <w:sz w:val="20"/>
                <w:szCs w:val="20"/>
              </w:rPr>
            </w:pPr>
          </w:p>
        </w:tc>
        <w:tc>
          <w:tcPr>
            <w:tcW w:w="5370" w:type="dxa"/>
          </w:tcPr>
          <w:p w14:paraId="781492A9" w14:textId="6D851CA2" w:rsidR="002B20A8" w:rsidRPr="00F81987" w:rsidRDefault="002B20A8" w:rsidP="002B20A8">
            <w:pPr>
              <w:jc w:val="both"/>
              <w:rPr>
                <w:rFonts w:cstheme="minorHAnsi"/>
                <w:iCs/>
                <w:sz w:val="20"/>
                <w:szCs w:val="20"/>
              </w:rPr>
            </w:pPr>
            <w:bookmarkStart w:id="96" w:name="_Hlk66307849"/>
            <w:r>
              <w:rPr>
                <w:rFonts w:cstheme="minorHAnsi"/>
                <w:iCs/>
                <w:sz w:val="20"/>
                <w:szCs w:val="20"/>
              </w:rPr>
              <w:t>p</w:t>
            </w:r>
            <w:r w:rsidRPr="00F81987">
              <w:rPr>
                <w:rFonts w:cstheme="minorHAnsi"/>
                <w:iCs/>
                <w:sz w:val="20"/>
                <w:szCs w:val="20"/>
              </w:rPr>
              <w:t xml:space="preserve">rzygotowanie/aktualizacja założeń programowych nauczania podstawowego i szkolnictwa średniego i wyższego w zakresie podstaw </w:t>
            </w:r>
            <w:bookmarkEnd w:id="96"/>
          </w:p>
        </w:tc>
        <w:tc>
          <w:tcPr>
            <w:tcW w:w="2410" w:type="dxa"/>
          </w:tcPr>
          <w:p w14:paraId="484B58E0" w14:textId="26A857A2" w:rsidR="002B20A8" w:rsidRPr="00F81987" w:rsidRDefault="002B20A8" w:rsidP="00A77FE9">
            <w:pPr>
              <w:rPr>
                <w:rFonts w:cstheme="minorHAnsi"/>
                <w:sz w:val="20"/>
                <w:szCs w:val="20"/>
              </w:rPr>
            </w:pPr>
            <w:r>
              <w:rPr>
                <w:rFonts w:cstheme="minorHAnsi"/>
                <w:sz w:val="20"/>
                <w:szCs w:val="20"/>
              </w:rPr>
              <w:t>m</w:t>
            </w:r>
            <w:r w:rsidRPr="00F81987">
              <w:rPr>
                <w:rFonts w:cstheme="minorHAnsi"/>
                <w:sz w:val="20"/>
                <w:szCs w:val="20"/>
              </w:rPr>
              <w:t>inister właściwy ds. edukacji narodowej</w:t>
            </w:r>
            <w:r>
              <w:rPr>
                <w:rStyle w:val="Odwoanieprzypisudolnego"/>
                <w:rFonts w:cstheme="minorHAnsi"/>
                <w:sz w:val="20"/>
                <w:szCs w:val="20"/>
              </w:rPr>
              <w:footnoteReference w:id="43"/>
            </w:r>
            <w:r w:rsidRPr="00F81987">
              <w:rPr>
                <w:rFonts w:cstheme="minorHAnsi"/>
                <w:sz w:val="20"/>
                <w:szCs w:val="20"/>
              </w:rPr>
              <w:t xml:space="preserve"> </w:t>
            </w:r>
          </w:p>
        </w:tc>
      </w:tr>
      <w:tr w:rsidR="002B20A8" w:rsidRPr="00F81987" w14:paraId="49B4606A" w14:textId="77777777" w:rsidTr="002B20A8">
        <w:trPr>
          <w:gridAfter w:val="1"/>
          <w:wAfter w:w="11" w:type="dxa"/>
          <w:trHeight w:val="691"/>
          <w:jc w:val="center"/>
        </w:trPr>
        <w:tc>
          <w:tcPr>
            <w:tcW w:w="1429" w:type="dxa"/>
            <w:vMerge/>
          </w:tcPr>
          <w:p w14:paraId="6BEDEFE3" w14:textId="77777777" w:rsidR="002B20A8" w:rsidRPr="00F81987" w:rsidRDefault="002B20A8" w:rsidP="00A77FE9">
            <w:pPr>
              <w:pStyle w:val="Akapitzlist"/>
              <w:rPr>
                <w:rFonts w:cstheme="minorHAnsi"/>
                <w:sz w:val="20"/>
                <w:szCs w:val="20"/>
              </w:rPr>
            </w:pPr>
          </w:p>
        </w:tc>
        <w:tc>
          <w:tcPr>
            <w:tcW w:w="5370" w:type="dxa"/>
          </w:tcPr>
          <w:p w14:paraId="2218DAD1" w14:textId="2336A12B" w:rsidR="002B20A8" w:rsidRPr="00F81987" w:rsidRDefault="002B20A8" w:rsidP="002B20A8">
            <w:pPr>
              <w:jc w:val="both"/>
              <w:rPr>
                <w:rFonts w:cstheme="minorHAnsi"/>
                <w:sz w:val="20"/>
                <w:szCs w:val="20"/>
              </w:rPr>
            </w:pPr>
            <w:r>
              <w:rPr>
                <w:rFonts w:cstheme="minorHAnsi"/>
                <w:sz w:val="20"/>
                <w:szCs w:val="20"/>
              </w:rPr>
              <w:t>m</w:t>
            </w:r>
            <w:r w:rsidRPr="00F81987">
              <w:rPr>
                <w:rFonts w:cstheme="minorHAnsi"/>
                <w:sz w:val="20"/>
                <w:szCs w:val="20"/>
              </w:rPr>
              <w:t>iędzynarodowe i krajowe konferencje i seminaria naukowe w zakresie wymiany doświadczeń w ochronie powietrza</w:t>
            </w:r>
          </w:p>
        </w:tc>
        <w:tc>
          <w:tcPr>
            <w:tcW w:w="2410" w:type="dxa"/>
          </w:tcPr>
          <w:p w14:paraId="2E8F4770" w14:textId="01D1B4C2" w:rsidR="002B20A8" w:rsidRPr="00F81987" w:rsidRDefault="002B20A8" w:rsidP="00A77FE9">
            <w:pPr>
              <w:rPr>
                <w:rFonts w:cstheme="minorHAnsi"/>
                <w:sz w:val="20"/>
                <w:szCs w:val="20"/>
              </w:rPr>
            </w:pPr>
            <w:r>
              <w:rPr>
                <w:rFonts w:cstheme="minorHAnsi"/>
                <w:sz w:val="20"/>
                <w:szCs w:val="20"/>
              </w:rPr>
              <w:t>m</w:t>
            </w:r>
            <w:r w:rsidRPr="00F81987">
              <w:rPr>
                <w:rFonts w:cstheme="minorHAnsi"/>
                <w:sz w:val="20"/>
                <w:szCs w:val="20"/>
              </w:rPr>
              <w:t>inister właściwy ds. klimatu (DPM, DSP)</w:t>
            </w:r>
          </w:p>
        </w:tc>
      </w:tr>
      <w:tr w:rsidR="002B20A8" w:rsidRPr="00F81987" w14:paraId="791FD156" w14:textId="77777777" w:rsidTr="00745D42">
        <w:trPr>
          <w:gridAfter w:val="1"/>
          <w:wAfter w:w="11" w:type="dxa"/>
          <w:trHeight w:val="823"/>
          <w:jc w:val="center"/>
        </w:trPr>
        <w:tc>
          <w:tcPr>
            <w:tcW w:w="1429" w:type="dxa"/>
            <w:vMerge/>
          </w:tcPr>
          <w:p w14:paraId="27E39C59" w14:textId="77777777" w:rsidR="002B20A8" w:rsidRPr="00F81987" w:rsidRDefault="002B20A8" w:rsidP="00A77FE9">
            <w:pPr>
              <w:pStyle w:val="Akapitzlist"/>
              <w:rPr>
                <w:rFonts w:cstheme="minorHAnsi"/>
                <w:sz w:val="20"/>
                <w:szCs w:val="20"/>
              </w:rPr>
            </w:pPr>
          </w:p>
        </w:tc>
        <w:tc>
          <w:tcPr>
            <w:tcW w:w="5370" w:type="dxa"/>
          </w:tcPr>
          <w:p w14:paraId="61F1D401" w14:textId="65102A8D" w:rsidR="002B20A8" w:rsidRPr="00F81987" w:rsidRDefault="002B20A8" w:rsidP="002B20A8">
            <w:pPr>
              <w:jc w:val="both"/>
              <w:rPr>
                <w:rFonts w:cstheme="minorHAnsi"/>
                <w:iCs/>
                <w:sz w:val="20"/>
                <w:szCs w:val="20"/>
              </w:rPr>
            </w:pPr>
            <w:bookmarkStart w:id="97" w:name="_Hlk66308456"/>
            <w:r>
              <w:rPr>
                <w:rFonts w:cstheme="minorHAnsi"/>
                <w:sz w:val="20"/>
                <w:szCs w:val="20"/>
              </w:rPr>
              <w:t>i</w:t>
            </w:r>
            <w:r w:rsidRPr="00F81987">
              <w:rPr>
                <w:rFonts w:cstheme="minorHAnsi"/>
                <w:sz w:val="20"/>
                <w:szCs w:val="20"/>
              </w:rPr>
              <w:t xml:space="preserve">nformowanie społeczeństwa o aktualnym stanie jakości powietrza w oparciu o różne narzędzia, w tym portal GIOŚ, tablice informacyjne </w:t>
            </w:r>
            <w:bookmarkEnd w:id="97"/>
          </w:p>
        </w:tc>
        <w:tc>
          <w:tcPr>
            <w:tcW w:w="2410" w:type="dxa"/>
          </w:tcPr>
          <w:p w14:paraId="155F03C1" w14:textId="77777777" w:rsidR="002B20A8" w:rsidRPr="00F81987" w:rsidRDefault="002B20A8" w:rsidP="00A77FE9">
            <w:pPr>
              <w:rPr>
                <w:rFonts w:cstheme="minorHAnsi"/>
                <w:sz w:val="20"/>
                <w:szCs w:val="20"/>
              </w:rPr>
            </w:pPr>
            <w:r w:rsidRPr="00F81987">
              <w:rPr>
                <w:rFonts w:cstheme="minorHAnsi"/>
                <w:sz w:val="20"/>
                <w:szCs w:val="20"/>
              </w:rPr>
              <w:t>GIOŚ</w:t>
            </w:r>
          </w:p>
        </w:tc>
      </w:tr>
      <w:tr w:rsidR="002B20A8" w:rsidRPr="00F81987" w14:paraId="38A1E199" w14:textId="77777777" w:rsidTr="00745D42">
        <w:trPr>
          <w:gridAfter w:val="1"/>
          <w:wAfter w:w="11" w:type="dxa"/>
          <w:trHeight w:val="823"/>
          <w:jc w:val="center"/>
        </w:trPr>
        <w:tc>
          <w:tcPr>
            <w:tcW w:w="1429" w:type="dxa"/>
            <w:vMerge/>
          </w:tcPr>
          <w:p w14:paraId="54AEC25B" w14:textId="77777777" w:rsidR="002B20A8" w:rsidRPr="00F81987" w:rsidRDefault="002B20A8" w:rsidP="00A77FE9">
            <w:pPr>
              <w:pStyle w:val="Akapitzlist"/>
              <w:rPr>
                <w:rFonts w:cstheme="minorHAnsi"/>
                <w:sz w:val="20"/>
                <w:szCs w:val="20"/>
              </w:rPr>
            </w:pPr>
          </w:p>
        </w:tc>
        <w:tc>
          <w:tcPr>
            <w:tcW w:w="5370" w:type="dxa"/>
          </w:tcPr>
          <w:p w14:paraId="4F630F79" w14:textId="6485F356" w:rsidR="002B20A8" w:rsidRPr="00F81987" w:rsidRDefault="002B20A8" w:rsidP="002B20A8">
            <w:pPr>
              <w:jc w:val="both"/>
              <w:rPr>
                <w:rFonts w:cstheme="minorHAnsi"/>
                <w:iCs/>
                <w:sz w:val="20"/>
                <w:szCs w:val="20"/>
              </w:rPr>
            </w:pPr>
            <w:r>
              <w:rPr>
                <w:rFonts w:cstheme="minorHAnsi"/>
                <w:sz w:val="20"/>
                <w:szCs w:val="20"/>
              </w:rPr>
              <w:t>r</w:t>
            </w:r>
            <w:r w:rsidRPr="00F81987">
              <w:rPr>
                <w:rFonts w:cstheme="minorHAnsi"/>
                <w:sz w:val="20"/>
                <w:szCs w:val="20"/>
              </w:rPr>
              <w:t>ealizacja działań związanych z „Badaniem świadomości i zachowań ekologicznych mieszkańców Polski” w tym ocenie dotychczasowych działań MKiŚ/NFOŚiGW w powyższym kryterium</w:t>
            </w:r>
          </w:p>
        </w:tc>
        <w:tc>
          <w:tcPr>
            <w:tcW w:w="2410" w:type="dxa"/>
          </w:tcPr>
          <w:p w14:paraId="26557CCF" w14:textId="21BE0795" w:rsidR="002B20A8" w:rsidRPr="00F81987" w:rsidRDefault="002B20A8" w:rsidP="00A77FE9">
            <w:pPr>
              <w:rPr>
                <w:rFonts w:cstheme="minorHAnsi"/>
                <w:sz w:val="20"/>
                <w:szCs w:val="20"/>
              </w:rPr>
            </w:pPr>
            <w:r>
              <w:rPr>
                <w:rFonts w:cstheme="minorHAnsi"/>
                <w:sz w:val="20"/>
                <w:szCs w:val="20"/>
              </w:rPr>
              <w:t>m</w:t>
            </w:r>
            <w:r w:rsidRPr="00F81987">
              <w:rPr>
                <w:rFonts w:cstheme="minorHAnsi"/>
                <w:sz w:val="20"/>
                <w:szCs w:val="20"/>
              </w:rPr>
              <w:t>inister właściwy ds. klimatu (DPM)</w:t>
            </w:r>
          </w:p>
        </w:tc>
      </w:tr>
      <w:tr w:rsidR="002B20A8" w:rsidRPr="00F81987" w14:paraId="5B8CE19D" w14:textId="77777777" w:rsidTr="002B20A8">
        <w:trPr>
          <w:gridAfter w:val="1"/>
          <w:wAfter w:w="11" w:type="dxa"/>
          <w:trHeight w:val="648"/>
          <w:jc w:val="center"/>
        </w:trPr>
        <w:tc>
          <w:tcPr>
            <w:tcW w:w="1429" w:type="dxa"/>
            <w:vMerge/>
          </w:tcPr>
          <w:p w14:paraId="5321C1EC" w14:textId="77777777" w:rsidR="002B20A8" w:rsidRPr="00F81987" w:rsidRDefault="002B20A8" w:rsidP="00A77FE9">
            <w:pPr>
              <w:pStyle w:val="Akapitzlist"/>
              <w:rPr>
                <w:rFonts w:cstheme="minorHAnsi"/>
                <w:sz w:val="20"/>
                <w:szCs w:val="20"/>
              </w:rPr>
            </w:pPr>
          </w:p>
        </w:tc>
        <w:tc>
          <w:tcPr>
            <w:tcW w:w="5370" w:type="dxa"/>
          </w:tcPr>
          <w:p w14:paraId="51196BA7" w14:textId="7BE251EB" w:rsidR="002B20A8" w:rsidRDefault="001D2651" w:rsidP="002B20A8">
            <w:pPr>
              <w:jc w:val="both"/>
              <w:rPr>
                <w:rFonts w:cstheme="minorHAnsi"/>
                <w:sz w:val="20"/>
                <w:szCs w:val="20"/>
              </w:rPr>
            </w:pPr>
            <w:r>
              <w:rPr>
                <w:rFonts w:cstheme="minorHAnsi"/>
                <w:sz w:val="20"/>
                <w:szCs w:val="20"/>
              </w:rPr>
              <w:t>w</w:t>
            </w:r>
            <w:r w:rsidR="002B20A8">
              <w:rPr>
                <w:rFonts w:cstheme="minorHAnsi"/>
                <w:sz w:val="20"/>
                <w:szCs w:val="20"/>
              </w:rPr>
              <w:t xml:space="preserve">łączenie </w:t>
            </w:r>
            <w:r>
              <w:rPr>
                <w:rFonts w:cstheme="minorHAnsi"/>
                <w:sz w:val="20"/>
                <w:szCs w:val="20"/>
              </w:rPr>
              <w:t xml:space="preserve">Młodzieżowej Rady Klimatycznej </w:t>
            </w:r>
            <w:r w:rsidR="002B20A8">
              <w:rPr>
                <w:rFonts w:cstheme="minorHAnsi"/>
                <w:sz w:val="20"/>
                <w:szCs w:val="20"/>
              </w:rPr>
              <w:t>w działania edukacyjno-informacyjne na rzecz poprawy jakości powietrza</w:t>
            </w:r>
            <w:r>
              <w:rPr>
                <w:rFonts w:cstheme="minorHAnsi"/>
                <w:sz w:val="20"/>
                <w:szCs w:val="20"/>
              </w:rPr>
              <w:t xml:space="preserve"> </w:t>
            </w:r>
          </w:p>
        </w:tc>
        <w:tc>
          <w:tcPr>
            <w:tcW w:w="2410" w:type="dxa"/>
          </w:tcPr>
          <w:p w14:paraId="5743B53E" w14:textId="54DC3DA9" w:rsidR="002B20A8" w:rsidRDefault="002B20A8" w:rsidP="00A77FE9">
            <w:pPr>
              <w:rPr>
                <w:rFonts w:cstheme="minorHAnsi"/>
                <w:sz w:val="20"/>
                <w:szCs w:val="20"/>
              </w:rPr>
            </w:pPr>
            <w:r>
              <w:rPr>
                <w:rFonts w:cstheme="minorHAnsi"/>
                <w:sz w:val="20"/>
                <w:szCs w:val="20"/>
              </w:rPr>
              <w:t>Młodzieżowa Rada Klimatyczna</w:t>
            </w:r>
          </w:p>
        </w:tc>
      </w:tr>
      <w:tr w:rsidR="00A77FE9" w:rsidRPr="00F81987" w14:paraId="02A52940" w14:textId="77777777" w:rsidTr="002B20A8">
        <w:trPr>
          <w:trHeight w:val="816"/>
          <w:jc w:val="center"/>
        </w:trPr>
        <w:tc>
          <w:tcPr>
            <w:tcW w:w="1429" w:type="dxa"/>
          </w:tcPr>
          <w:p w14:paraId="3558809A" w14:textId="77777777" w:rsidR="00A77FE9" w:rsidRPr="00F81987" w:rsidRDefault="00A77FE9" w:rsidP="00A77FE9">
            <w:pPr>
              <w:rPr>
                <w:rFonts w:cstheme="minorHAnsi"/>
                <w:sz w:val="20"/>
                <w:szCs w:val="20"/>
              </w:rPr>
            </w:pPr>
            <w:r w:rsidRPr="00F81987">
              <w:rPr>
                <w:rFonts w:cstheme="minorHAnsi"/>
                <w:sz w:val="20"/>
                <w:szCs w:val="20"/>
              </w:rPr>
              <w:t>Średnioterminowe (do 2030 r.)</w:t>
            </w:r>
          </w:p>
        </w:tc>
        <w:tc>
          <w:tcPr>
            <w:tcW w:w="7791" w:type="dxa"/>
            <w:gridSpan w:val="3"/>
          </w:tcPr>
          <w:p w14:paraId="1F4A5B81" w14:textId="1235A74A" w:rsidR="00A77FE9" w:rsidRPr="00F81987" w:rsidRDefault="00DC2C5E" w:rsidP="00A77FE9">
            <w:pPr>
              <w:rPr>
                <w:rFonts w:cstheme="minorHAnsi"/>
                <w:iCs/>
                <w:sz w:val="20"/>
                <w:szCs w:val="20"/>
              </w:rPr>
            </w:pPr>
            <w:r>
              <w:rPr>
                <w:rFonts w:cstheme="minorHAnsi"/>
                <w:sz w:val="20"/>
                <w:szCs w:val="20"/>
              </w:rPr>
              <w:t>k</w:t>
            </w:r>
            <w:r w:rsidR="00A77FE9" w:rsidRPr="00F81987">
              <w:rPr>
                <w:rFonts w:cstheme="minorHAnsi"/>
                <w:sz w:val="20"/>
                <w:szCs w:val="20"/>
              </w:rPr>
              <w:t>ontynuacja działań krótkoterminowych</w:t>
            </w:r>
          </w:p>
        </w:tc>
      </w:tr>
      <w:tr w:rsidR="00A77FE9" w:rsidRPr="00F81987" w14:paraId="42969FC4" w14:textId="77777777" w:rsidTr="002B20A8">
        <w:trPr>
          <w:trHeight w:val="842"/>
          <w:jc w:val="center"/>
        </w:trPr>
        <w:tc>
          <w:tcPr>
            <w:tcW w:w="1429" w:type="dxa"/>
          </w:tcPr>
          <w:p w14:paraId="152C375F" w14:textId="77777777" w:rsidR="00A77FE9" w:rsidRPr="00F81987" w:rsidRDefault="00A77FE9" w:rsidP="00A77FE9">
            <w:pPr>
              <w:rPr>
                <w:rFonts w:cstheme="minorHAnsi"/>
                <w:sz w:val="20"/>
                <w:szCs w:val="20"/>
              </w:rPr>
            </w:pPr>
            <w:r w:rsidRPr="00F81987">
              <w:rPr>
                <w:rFonts w:cstheme="minorHAnsi"/>
                <w:sz w:val="20"/>
                <w:szCs w:val="20"/>
              </w:rPr>
              <w:t>Długoterminowe (do 2040 r.)</w:t>
            </w:r>
          </w:p>
        </w:tc>
        <w:tc>
          <w:tcPr>
            <w:tcW w:w="7791" w:type="dxa"/>
            <w:gridSpan w:val="3"/>
          </w:tcPr>
          <w:p w14:paraId="5C54F70D" w14:textId="2F5F724A" w:rsidR="00A77FE9" w:rsidRPr="00F81987" w:rsidRDefault="00DC2C5E" w:rsidP="00A77FE9">
            <w:pPr>
              <w:rPr>
                <w:rFonts w:cstheme="minorHAnsi"/>
                <w:iCs/>
                <w:sz w:val="20"/>
                <w:szCs w:val="20"/>
              </w:rPr>
            </w:pPr>
            <w:r>
              <w:rPr>
                <w:rFonts w:cstheme="minorHAnsi"/>
                <w:sz w:val="20"/>
                <w:szCs w:val="20"/>
              </w:rPr>
              <w:t>k</w:t>
            </w:r>
            <w:r w:rsidR="00A77FE9" w:rsidRPr="00F81987">
              <w:rPr>
                <w:rFonts w:cstheme="minorHAnsi"/>
                <w:sz w:val="20"/>
                <w:szCs w:val="20"/>
              </w:rPr>
              <w:t xml:space="preserve">ontynuacja działań krótko - i średnioterminowych </w:t>
            </w:r>
          </w:p>
        </w:tc>
      </w:tr>
      <w:tr w:rsidR="00A77FE9" w:rsidRPr="00F81987" w14:paraId="5761E79F" w14:textId="77777777" w:rsidTr="00745D42">
        <w:trPr>
          <w:trHeight w:val="468"/>
          <w:jc w:val="center"/>
        </w:trPr>
        <w:tc>
          <w:tcPr>
            <w:tcW w:w="9220" w:type="dxa"/>
            <w:gridSpan w:val="4"/>
            <w:shd w:val="clear" w:color="auto" w:fill="D9E2F3" w:themeFill="accent1" w:themeFillTint="33"/>
          </w:tcPr>
          <w:p w14:paraId="277BE737" w14:textId="65B73BF9" w:rsidR="00A77FE9" w:rsidRPr="00F81987" w:rsidRDefault="00A77FE9" w:rsidP="00A77FE9">
            <w:pPr>
              <w:ind w:left="2302" w:hanging="2302"/>
              <w:jc w:val="both"/>
              <w:rPr>
                <w:rFonts w:cstheme="minorHAnsi"/>
                <w:b/>
                <w:bCs/>
                <w:sz w:val="20"/>
                <w:szCs w:val="20"/>
              </w:rPr>
            </w:pPr>
            <w:r w:rsidRPr="00F81987">
              <w:rPr>
                <w:rFonts w:cstheme="minorHAnsi"/>
                <w:b/>
                <w:bCs/>
                <w:sz w:val="20"/>
                <w:szCs w:val="20"/>
              </w:rPr>
              <w:lastRenderedPageBreak/>
              <w:t xml:space="preserve">Kierunek interwencji nr 6 </w:t>
            </w:r>
            <w:r w:rsidR="00DB0802">
              <w:rPr>
                <w:rFonts w:cstheme="minorHAnsi"/>
                <w:b/>
                <w:bCs/>
                <w:sz w:val="20"/>
                <w:szCs w:val="20"/>
              </w:rPr>
              <w:t xml:space="preserve">- </w:t>
            </w:r>
            <w:r w:rsidRPr="00F81987">
              <w:rPr>
                <w:rFonts w:cstheme="minorHAnsi"/>
                <w:b/>
                <w:bCs/>
                <w:sz w:val="20"/>
                <w:szCs w:val="20"/>
              </w:rPr>
              <w:t>Upowszechnianie mechanizmów finansowych sprzyjających poprawie jakości powietrza</w:t>
            </w:r>
          </w:p>
        </w:tc>
      </w:tr>
      <w:tr w:rsidR="00A77FE9" w:rsidRPr="00F81987" w14:paraId="50E5EA61" w14:textId="77777777" w:rsidTr="00745D42">
        <w:trPr>
          <w:gridAfter w:val="1"/>
          <w:wAfter w:w="11" w:type="dxa"/>
          <w:trHeight w:val="673"/>
          <w:jc w:val="center"/>
        </w:trPr>
        <w:tc>
          <w:tcPr>
            <w:tcW w:w="1429" w:type="dxa"/>
            <w:vMerge w:val="restart"/>
          </w:tcPr>
          <w:p w14:paraId="61FF92E8" w14:textId="77777777" w:rsidR="00A77FE9" w:rsidRPr="00F81987" w:rsidRDefault="00A77FE9" w:rsidP="00A77FE9">
            <w:pPr>
              <w:rPr>
                <w:rFonts w:cstheme="minorHAnsi"/>
                <w:sz w:val="20"/>
                <w:szCs w:val="20"/>
              </w:rPr>
            </w:pPr>
            <w:r w:rsidRPr="00F81987">
              <w:rPr>
                <w:rFonts w:cstheme="minorHAnsi"/>
                <w:sz w:val="20"/>
                <w:szCs w:val="20"/>
              </w:rPr>
              <w:t>Krótkoterminowe (do 2025 r.)</w:t>
            </w:r>
          </w:p>
        </w:tc>
        <w:tc>
          <w:tcPr>
            <w:tcW w:w="5370" w:type="dxa"/>
          </w:tcPr>
          <w:p w14:paraId="24B3A773" w14:textId="6DF977E5" w:rsidR="00A77FE9" w:rsidRPr="00F81987" w:rsidRDefault="007E7CAF" w:rsidP="00A77FE9">
            <w:pPr>
              <w:jc w:val="both"/>
              <w:rPr>
                <w:rFonts w:cstheme="minorHAnsi"/>
                <w:sz w:val="20"/>
                <w:szCs w:val="20"/>
              </w:rPr>
            </w:pPr>
            <w:r>
              <w:rPr>
                <w:rFonts w:cstheme="minorHAnsi"/>
                <w:sz w:val="20"/>
                <w:szCs w:val="20"/>
              </w:rPr>
              <w:t>W</w:t>
            </w:r>
            <w:r w:rsidR="00A77FE9" w:rsidRPr="00F81987">
              <w:rPr>
                <w:rFonts w:cstheme="minorHAnsi"/>
                <w:sz w:val="20"/>
                <w:szCs w:val="20"/>
              </w:rPr>
              <w:t xml:space="preserve">yeliminowanie z katalogu </w:t>
            </w:r>
            <w:r>
              <w:rPr>
                <w:rFonts w:cstheme="minorHAnsi"/>
                <w:sz w:val="20"/>
                <w:szCs w:val="20"/>
              </w:rPr>
              <w:t xml:space="preserve">przedsięwzięć, na które można pozyskać </w:t>
            </w:r>
            <w:r w:rsidR="00A77FE9" w:rsidRPr="00F81987">
              <w:rPr>
                <w:rFonts w:cstheme="minorHAnsi"/>
                <w:sz w:val="20"/>
                <w:szCs w:val="20"/>
              </w:rPr>
              <w:t>dofinansowani</w:t>
            </w:r>
            <w:r>
              <w:rPr>
                <w:rFonts w:cstheme="minorHAnsi"/>
                <w:sz w:val="20"/>
                <w:szCs w:val="20"/>
              </w:rPr>
              <w:t>e</w:t>
            </w:r>
            <w:r w:rsidR="00A77FE9" w:rsidRPr="00F81987">
              <w:rPr>
                <w:rFonts w:cstheme="minorHAnsi"/>
                <w:sz w:val="20"/>
                <w:szCs w:val="20"/>
              </w:rPr>
              <w:t xml:space="preserve"> w ramach Programu Priorytetowego „C</w:t>
            </w:r>
            <w:r w:rsidR="00DC2C5E">
              <w:rPr>
                <w:rFonts w:cstheme="minorHAnsi"/>
                <w:sz w:val="20"/>
                <w:szCs w:val="20"/>
              </w:rPr>
              <w:t>zyste Powietrze</w:t>
            </w:r>
            <w:r w:rsidR="00A77FE9" w:rsidRPr="00F81987">
              <w:rPr>
                <w:rFonts w:cstheme="minorHAnsi"/>
                <w:sz w:val="20"/>
                <w:szCs w:val="20"/>
              </w:rPr>
              <w:t>” – zakup</w:t>
            </w:r>
            <w:r w:rsidR="00E74A18">
              <w:rPr>
                <w:rFonts w:cstheme="minorHAnsi"/>
                <w:sz w:val="20"/>
                <w:szCs w:val="20"/>
              </w:rPr>
              <w:t>u</w:t>
            </w:r>
            <w:r w:rsidR="00A77FE9" w:rsidRPr="00F81987">
              <w:rPr>
                <w:rFonts w:cstheme="minorHAnsi"/>
                <w:sz w:val="20"/>
                <w:szCs w:val="20"/>
              </w:rPr>
              <w:t xml:space="preserve"> kotłów na paliwa stałe oraz dalsze usprawnianie Programu, celem zwiększenia jego oddziaływania poprzez </w:t>
            </w:r>
            <w:r>
              <w:rPr>
                <w:rFonts w:cstheme="minorHAnsi"/>
                <w:sz w:val="20"/>
                <w:szCs w:val="20"/>
              </w:rPr>
              <w:t>umożliwienie skorzystania z Programu jak największej liczbie</w:t>
            </w:r>
            <w:r w:rsidR="00A77FE9" w:rsidRPr="00F81987">
              <w:rPr>
                <w:rFonts w:cstheme="minorHAnsi"/>
                <w:sz w:val="20"/>
                <w:szCs w:val="20"/>
              </w:rPr>
              <w:t xml:space="preserve"> potencjalnych beneficjentów</w:t>
            </w:r>
            <w:r>
              <w:rPr>
                <w:rFonts w:cstheme="minorHAnsi"/>
                <w:sz w:val="20"/>
                <w:szCs w:val="20"/>
              </w:rPr>
              <w:t>.</w:t>
            </w:r>
          </w:p>
        </w:tc>
        <w:tc>
          <w:tcPr>
            <w:tcW w:w="2410" w:type="dxa"/>
          </w:tcPr>
          <w:p w14:paraId="73A9B732" w14:textId="1679801C" w:rsidR="00A77FE9" w:rsidRPr="00F81987" w:rsidRDefault="00A77FE9" w:rsidP="00A77FE9">
            <w:pPr>
              <w:jc w:val="both"/>
              <w:rPr>
                <w:rFonts w:cstheme="minorHAnsi"/>
                <w:sz w:val="20"/>
                <w:szCs w:val="20"/>
              </w:rPr>
            </w:pPr>
            <w:r w:rsidRPr="00F81987">
              <w:rPr>
                <w:rFonts w:cstheme="minorHAnsi"/>
                <w:sz w:val="20"/>
                <w:szCs w:val="20"/>
              </w:rPr>
              <w:t xml:space="preserve">NFOŚiGW, </w:t>
            </w:r>
            <w:r w:rsidR="00DC2C5E">
              <w:rPr>
                <w:rFonts w:cstheme="minorHAnsi"/>
                <w:sz w:val="20"/>
                <w:szCs w:val="20"/>
              </w:rPr>
              <w:t>m</w:t>
            </w:r>
            <w:r w:rsidRPr="00F81987">
              <w:rPr>
                <w:rFonts w:cstheme="minorHAnsi"/>
                <w:sz w:val="20"/>
                <w:szCs w:val="20"/>
              </w:rPr>
              <w:t>inister właściwy ds. klimatu</w:t>
            </w:r>
            <w:r w:rsidR="001C6BED">
              <w:rPr>
                <w:rFonts w:cstheme="minorHAnsi"/>
                <w:sz w:val="20"/>
                <w:szCs w:val="20"/>
              </w:rPr>
              <w:t xml:space="preserve"> </w:t>
            </w:r>
            <w:r w:rsidR="001C6BED" w:rsidRPr="001C6BED">
              <w:rPr>
                <w:rFonts w:cstheme="minorHAnsi"/>
                <w:sz w:val="20"/>
                <w:szCs w:val="20"/>
              </w:rPr>
              <w:t>(DPM, DFE)</w:t>
            </w:r>
          </w:p>
        </w:tc>
      </w:tr>
      <w:tr w:rsidR="001C6BED" w:rsidRPr="00F81987" w14:paraId="401E37AC" w14:textId="77777777" w:rsidTr="00745D42">
        <w:trPr>
          <w:gridAfter w:val="1"/>
          <w:wAfter w:w="11" w:type="dxa"/>
          <w:trHeight w:val="673"/>
          <w:jc w:val="center"/>
        </w:trPr>
        <w:tc>
          <w:tcPr>
            <w:tcW w:w="1429" w:type="dxa"/>
            <w:vMerge/>
          </w:tcPr>
          <w:p w14:paraId="220075DF" w14:textId="77777777" w:rsidR="001C6BED" w:rsidRPr="00F81987" w:rsidRDefault="001C6BED" w:rsidP="00A77FE9">
            <w:pPr>
              <w:rPr>
                <w:rFonts w:cstheme="minorHAnsi"/>
                <w:sz w:val="20"/>
                <w:szCs w:val="20"/>
              </w:rPr>
            </w:pPr>
          </w:p>
        </w:tc>
        <w:tc>
          <w:tcPr>
            <w:tcW w:w="5370" w:type="dxa"/>
          </w:tcPr>
          <w:p w14:paraId="06B6B658" w14:textId="4E3465A6" w:rsidR="001C6BED" w:rsidRPr="00DD0E4C" w:rsidDel="007E7CAF" w:rsidRDefault="001C6BED" w:rsidP="00A77FE9">
            <w:pPr>
              <w:jc w:val="both"/>
              <w:rPr>
                <w:rFonts w:cstheme="minorHAnsi"/>
                <w:b/>
                <w:sz w:val="20"/>
                <w:szCs w:val="20"/>
              </w:rPr>
            </w:pPr>
            <w:r w:rsidRPr="00DD0E4C">
              <w:rPr>
                <w:rFonts w:cstheme="minorHAnsi"/>
                <w:b/>
                <w:sz w:val="20"/>
                <w:szCs w:val="20"/>
              </w:rPr>
              <w:t xml:space="preserve">Wprowadzenie III części do Programu Priorytetowego „Czyste Powietrze” dedykowanej dla najuboższych </w:t>
            </w:r>
          </w:p>
        </w:tc>
        <w:tc>
          <w:tcPr>
            <w:tcW w:w="2410" w:type="dxa"/>
          </w:tcPr>
          <w:p w14:paraId="2A7E08A4" w14:textId="4B2C62FA" w:rsidR="001C6BED" w:rsidRPr="00F81987" w:rsidRDefault="00B71110" w:rsidP="00A77FE9">
            <w:pPr>
              <w:jc w:val="both"/>
              <w:rPr>
                <w:rFonts w:cstheme="minorHAnsi"/>
                <w:sz w:val="20"/>
                <w:szCs w:val="20"/>
              </w:rPr>
            </w:pPr>
            <w:r>
              <w:rPr>
                <w:rFonts w:cstheme="minorHAnsi"/>
                <w:sz w:val="20"/>
                <w:szCs w:val="20"/>
              </w:rPr>
              <w:t xml:space="preserve">NFOŚiGW, </w:t>
            </w:r>
            <w:r w:rsidR="00DC2C5E">
              <w:rPr>
                <w:rFonts w:cstheme="minorHAnsi"/>
                <w:sz w:val="20"/>
                <w:szCs w:val="20"/>
              </w:rPr>
              <w:t>m</w:t>
            </w:r>
            <w:r w:rsidR="001C6BED" w:rsidRPr="001C6BED">
              <w:rPr>
                <w:rFonts w:cstheme="minorHAnsi"/>
                <w:sz w:val="20"/>
                <w:szCs w:val="20"/>
              </w:rPr>
              <w:t>inister właściwy ds. klimatu (DPM, DFE)</w:t>
            </w:r>
          </w:p>
        </w:tc>
      </w:tr>
      <w:tr w:rsidR="00A77FE9" w:rsidRPr="00F81987" w14:paraId="62D69AA4" w14:textId="77777777" w:rsidTr="00745D42">
        <w:trPr>
          <w:gridAfter w:val="1"/>
          <w:wAfter w:w="11" w:type="dxa"/>
          <w:trHeight w:val="673"/>
          <w:jc w:val="center"/>
        </w:trPr>
        <w:tc>
          <w:tcPr>
            <w:tcW w:w="1429" w:type="dxa"/>
            <w:vMerge/>
          </w:tcPr>
          <w:p w14:paraId="2FB7CC77" w14:textId="77777777" w:rsidR="00A77FE9" w:rsidRPr="00F81987" w:rsidRDefault="00A77FE9" w:rsidP="00A77FE9">
            <w:pPr>
              <w:rPr>
                <w:rFonts w:cstheme="minorHAnsi"/>
                <w:sz w:val="20"/>
                <w:szCs w:val="20"/>
              </w:rPr>
            </w:pPr>
          </w:p>
        </w:tc>
        <w:tc>
          <w:tcPr>
            <w:tcW w:w="5370" w:type="dxa"/>
          </w:tcPr>
          <w:p w14:paraId="392BC527" w14:textId="00DDEA37" w:rsidR="00A77FE9" w:rsidRPr="00F81987" w:rsidRDefault="00DC2C5E" w:rsidP="00A77FE9">
            <w:pPr>
              <w:jc w:val="both"/>
              <w:rPr>
                <w:rFonts w:cstheme="minorHAnsi"/>
                <w:b/>
                <w:bCs/>
                <w:sz w:val="20"/>
                <w:szCs w:val="20"/>
              </w:rPr>
            </w:pPr>
            <w:r>
              <w:rPr>
                <w:rFonts w:cstheme="minorHAnsi"/>
                <w:b/>
                <w:bCs/>
                <w:sz w:val="20"/>
                <w:szCs w:val="20"/>
              </w:rPr>
              <w:t>w</w:t>
            </w:r>
            <w:r w:rsidR="00A77FE9" w:rsidRPr="00F81987">
              <w:rPr>
                <w:rFonts w:cstheme="minorHAnsi"/>
                <w:b/>
                <w:bCs/>
                <w:sz w:val="20"/>
                <w:szCs w:val="20"/>
              </w:rPr>
              <w:t xml:space="preserve">prowadzenie </w:t>
            </w:r>
            <w:r w:rsidR="00D037B5" w:rsidRPr="00F81987">
              <w:rPr>
                <w:rFonts w:cstheme="minorHAnsi"/>
                <w:b/>
                <w:bCs/>
                <w:sz w:val="20"/>
                <w:szCs w:val="20"/>
              </w:rPr>
              <w:t xml:space="preserve">w terminie do dnia 31 grudnia 2023 r. </w:t>
            </w:r>
            <w:r w:rsidR="00A77FE9" w:rsidRPr="00F81987">
              <w:rPr>
                <w:rFonts w:cstheme="minorHAnsi"/>
                <w:b/>
                <w:bCs/>
                <w:sz w:val="20"/>
                <w:szCs w:val="20"/>
              </w:rPr>
              <w:t>zakazu dofinansowania do zakupu kotłów węglowych z realizowanych w kraju programów finansowych, dedykowanych realizacji przedsięwzięć proekologicznych</w:t>
            </w:r>
            <w:r w:rsidR="00A77FE9" w:rsidRPr="00F81987">
              <w:rPr>
                <w:rStyle w:val="Odwoanieprzypisudolnego"/>
                <w:rFonts w:cstheme="minorHAnsi"/>
                <w:b/>
                <w:bCs/>
                <w:sz w:val="20"/>
                <w:szCs w:val="20"/>
              </w:rPr>
              <w:footnoteReference w:id="44"/>
            </w:r>
          </w:p>
        </w:tc>
        <w:tc>
          <w:tcPr>
            <w:tcW w:w="2410" w:type="dxa"/>
          </w:tcPr>
          <w:p w14:paraId="5F372D6D" w14:textId="3AB49FAD" w:rsidR="00A77FE9" w:rsidRPr="00F81987" w:rsidRDefault="00DC2C5E" w:rsidP="00A77FE9">
            <w:pPr>
              <w:jc w:val="both"/>
              <w:rPr>
                <w:rFonts w:cstheme="minorHAnsi"/>
                <w:sz w:val="20"/>
                <w:szCs w:val="20"/>
              </w:rPr>
            </w:pPr>
            <w:r>
              <w:rPr>
                <w:rFonts w:cstheme="minorHAnsi"/>
                <w:sz w:val="20"/>
                <w:szCs w:val="20"/>
              </w:rPr>
              <w:t>m</w:t>
            </w:r>
            <w:r w:rsidR="00A77FE9" w:rsidRPr="00F81987">
              <w:rPr>
                <w:rFonts w:cstheme="minorHAnsi"/>
                <w:sz w:val="20"/>
                <w:szCs w:val="20"/>
              </w:rPr>
              <w:t>inister właściwy ds. klimatu</w:t>
            </w:r>
            <w:r w:rsidR="00D037B5" w:rsidRPr="00F81987">
              <w:rPr>
                <w:rFonts w:cstheme="minorHAnsi"/>
                <w:sz w:val="20"/>
                <w:szCs w:val="20"/>
              </w:rPr>
              <w:t xml:space="preserve"> (DSP, DPM, DFE)</w:t>
            </w:r>
            <w:r w:rsidR="00A77FE9" w:rsidRPr="00F81987">
              <w:rPr>
                <w:rFonts w:cstheme="minorHAnsi"/>
                <w:sz w:val="20"/>
                <w:szCs w:val="20"/>
              </w:rPr>
              <w:t xml:space="preserve">, minister właściwy ds. </w:t>
            </w:r>
            <w:r w:rsidR="00173C6D">
              <w:rPr>
                <w:rFonts w:cstheme="minorHAnsi"/>
                <w:sz w:val="20"/>
                <w:szCs w:val="20"/>
              </w:rPr>
              <w:t>rozwoju regionalnego</w:t>
            </w:r>
            <w:r w:rsidR="00A77FE9" w:rsidRPr="00F81987">
              <w:rPr>
                <w:rFonts w:cstheme="minorHAnsi"/>
                <w:sz w:val="20"/>
                <w:szCs w:val="20"/>
              </w:rPr>
              <w:t xml:space="preserve">, NFOŚiGW, </w:t>
            </w:r>
            <w:r>
              <w:rPr>
                <w:rFonts w:cstheme="minorHAnsi"/>
                <w:sz w:val="20"/>
                <w:szCs w:val="20"/>
              </w:rPr>
              <w:t>WFOŚiGW</w:t>
            </w:r>
            <w:r w:rsidR="00A77FE9" w:rsidRPr="00F81987">
              <w:rPr>
                <w:rFonts w:cstheme="minorHAnsi"/>
                <w:sz w:val="20"/>
                <w:szCs w:val="20"/>
              </w:rPr>
              <w:t xml:space="preserve">, jst., </w:t>
            </w:r>
          </w:p>
        </w:tc>
      </w:tr>
      <w:tr w:rsidR="00A77FE9" w:rsidRPr="00F81987" w14:paraId="3D1FAFAE" w14:textId="77777777" w:rsidTr="00745D42">
        <w:trPr>
          <w:gridAfter w:val="1"/>
          <w:wAfter w:w="11" w:type="dxa"/>
          <w:trHeight w:val="673"/>
          <w:jc w:val="center"/>
        </w:trPr>
        <w:tc>
          <w:tcPr>
            <w:tcW w:w="1429" w:type="dxa"/>
            <w:vMerge/>
          </w:tcPr>
          <w:p w14:paraId="47EF4B7D" w14:textId="77777777" w:rsidR="00A77FE9" w:rsidRPr="00F81987" w:rsidRDefault="00A77FE9" w:rsidP="00A77FE9">
            <w:pPr>
              <w:rPr>
                <w:rFonts w:cstheme="minorHAnsi"/>
                <w:sz w:val="20"/>
                <w:szCs w:val="20"/>
              </w:rPr>
            </w:pPr>
          </w:p>
        </w:tc>
        <w:tc>
          <w:tcPr>
            <w:tcW w:w="5370" w:type="dxa"/>
          </w:tcPr>
          <w:p w14:paraId="422FC62A" w14:textId="7A7DA1AB" w:rsidR="00A77FE9" w:rsidRPr="00F81987" w:rsidRDefault="00A77FE9" w:rsidP="00A77FE9">
            <w:pPr>
              <w:jc w:val="both"/>
              <w:rPr>
                <w:rFonts w:cstheme="minorHAnsi"/>
                <w:sz w:val="20"/>
                <w:szCs w:val="20"/>
              </w:rPr>
            </w:pPr>
            <w:r w:rsidRPr="00F81987">
              <w:rPr>
                <w:rFonts w:cstheme="minorHAnsi"/>
                <w:sz w:val="20"/>
                <w:szCs w:val="20"/>
              </w:rPr>
              <w:t xml:space="preserve">Promocja realizowanych programów priorytetowych NFOŚiGW: </w:t>
            </w:r>
            <w:r w:rsidR="00DC2C5E">
              <w:rPr>
                <w:rFonts w:cstheme="minorHAnsi"/>
                <w:sz w:val="20"/>
                <w:szCs w:val="20"/>
              </w:rPr>
              <w:t>”Czyste Powietrze”</w:t>
            </w:r>
            <w:r w:rsidRPr="00F81987">
              <w:rPr>
                <w:rFonts w:cstheme="minorHAnsi"/>
                <w:sz w:val="20"/>
                <w:szCs w:val="20"/>
              </w:rPr>
              <w:t xml:space="preserve">, </w:t>
            </w:r>
            <w:r w:rsidR="00DC2C5E">
              <w:rPr>
                <w:rFonts w:cstheme="minorHAnsi"/>
                <w:sz w:val="20"/>
                <w:szCs w:val="20"/>
              </w:rPr>
              <w:t>„Mój Prąd”</w:t>
            </w:r>
            <w:r w:rsidRPr="00F81987">
              <w:rPr>
                <w:rFonts w:cstheme="minorHAnsi"/>
                <w:sz w:val="20"/>
                <w:szCs w:val="20"/>
              </w:rPr>
              <w:t>, oraz innych programów, które mają pośredni wpływ na poprawę jakości powietrza (w tym dotyczące poprawy efektywności energetycznej budynków, rozwój transportu ekologicznego)</w:t>
            </w:r>
          </w:p>
        </w:tc>
        <w:tc>
          <w:tcPr>
            <w:tcW w:w="2410" w:type="dxa"/>
          </w:tcPr>
          <w:p w14:paraId="1F4924EF" w14:textId="40B00772" w:rsidR="00A77FE9" w:rsidRPr="00F81987" w:rsidRDefault="00A77FE9" w:rsidP="00A77FE9">
            <w:pPr>
              <w:jc w:val="both"/>
              <w:rPr>
                <w:rFonts w:cstheme="minorHAnsi"/>
                <w:sz w:val="20"/>
                <w:szCs w:val="20"/>
              </w:rPr>
            </w:pPr>
            <w:r w:rsidRPr="00F81987">
              <w:rPr>
                <w:rFonts w:cstheme="minorHAnsi"/>
                <w:sz w:val="20"/>
                <w:szCs w:val="20"/>
              </w:rPr>
              <w:t xml:space="preserve">NFOŚiGW, </w:t>
            </w:r>
            <w:r w:rsidR="00DC2C5E">
              <w:rPr>
                <w:rFonts w:cstheme="minorHAnsi"/>
                <w:sz w:val="20"/>
                <w:szCs w:val="20"/>
              </w:rPr>
              <w:t>m</w:t>
            </w:r>
            <w:r w:rsidRPr="00F81987">
              <w:rPr>
                <w:rFonts w:cstheme="minorHAnsi"/>
                <w:sz w:val="20"/>
                <w:szCs w:val="20"/>
              </w:rPr>
              <w:t>inister właściwy ds. klimatu (DFE, DPM, DSP, DOZE, DEL)</w:t>
            </w:r>
          </w:p>
          <w:p w14:paraId="3DD2053C" w14:textId="77777777" w:rsidR="00A77FE9" w:rsidRPr="00F81987" w:rsidRDefault="00A77FE9" w:rsidP="00A77FE9">
            <w:pPr>
              <w:jc w:val="both"/>
              <w:rPr>
                <w:rFonts w:cstheme="minorHAnsi"/>
                <w:sz w:val="20"/>
                <w:szCs w:val="20"/>
              </w:rPr>
            </w:pPr>
          </w:p>
        </w:tc>
      </w:tr>
      <w:tr w:rsidR="00A77FE9" w:rsidRPr="00F81987" w14:paraId="33CDC4D8" w14:textId="77777777" w:rsidTr="00745D42">
        <w:trPr>
          <w:gridAfter w:val="1"/>
          <w:wAfter w:w="11" w:type="dxa"/>
          <w:trHeight w:val="673"/>
          <w:jc w:val="center"/>
        </w:trPr>
        <w:tc>
          <w:tcPr>
            <w:tcW w:w="1429" w:type="dxa"/>
            <w:vMerge/>
          </w:tcPr>
          <w:p w14:paraId="1F5D76C3" w14:textId="77777777" w:rsidR="00A77FE9" w:rsidRPr="00F81987" w:rsidRDefault="00A77FE9" w:rsidP="00A77FE9">
            <w:pPr>
              <w:pStyle w:val="Akapitzlist"/>
              <w:rPr>
                <w:rFonts w:cstheme="minorHAnsi"/>
                <w:sz w:val="20"/>
                <w:szCs w:val="20"/>
              </w:rPr>
            </w:pPr>
          </w:p>
        </w:tc>
        <w:tc>
          <w:tcPr>
            <w:tcW w:w="5370" w:type="dxa"/>
          </w:tcPr>
          <w:p w14:paraId="5FA1E36A" w14:textId="5D60F1D6" w:rsidR="00A77FE9" w:rsidRPr="00F81987" w:rsidRDefault="00DC2C5E" w:rsidP="00A77FE9">
            <w:pPr>
              <w:jc w:val="both"/>
              <w:rPr>
                <w:rFonts w:cstheme="minorHAnsi"/>
                <w:sz w:val="20"/>
                <w:szCs w:val="20"/>
              </w:rPr>
            </w:pPr>
            <w:r>
              <w:rPr>
                <w:rFonts w:cstheme="minorHAnsi"/>
                <w:sz w:val="20"/>
                <w:szCs w:val="20"/>
              </w:rPr>
              <w:t>r</w:t>
            </w:r>
            <w:r w:rsidR="00A77FE9" w:rsidRPr="00F81987">
              <w:rPr>
                <w:rFonts w:cstheme="minorHAnsi"/>
                <w:sz w:val="20"/>
                <w:szCs w:val="20"/>
              </w:rPr>
              <w:t xml:space="preserve">ealizacja </w:t>
            </w:r>
            <w:r>
              <w:rPr>
                <w:rFonts w:cstheme="minorHAnsi"/>
                <w:sz w:val="20"/>
                <w:szCs w:val="20"/>
              </w:rPr>
              <w:t>P</w:t>
            </w:r>
            <w:r w:rsidR="00A77FE9" w:rsidRPr="00F81987">
              <w:rPr>
                <w:rFonts w:cstheme="minorHAnsi"/>
                <w:sz w:val="20"/>
                <w:szCs w:val="20"/>
              </w:rPr>
              <w:t xml:space="preserve">rogramu rządowego „Stop Smog” </w:t>
            </w:r>
          </w:p>
        </w:tc>
        <w:tc>
          <w:tcPr>
            <w:tcW w:w="2410" w:type="dxa"/>
          </w:tcPr>
          <w:p w14:paraId="609E4BC6" w14:textId="7FE35522" w:rsidR="00A77FE9" w:rsidRPr="00F81987" w:rsidRDefault="00A77FE9" w:rsidP="00A77FE9">
            <w:pPr>
              <w:jc w:val="both"/>
              <w:rPr>
                <w:rFonts w:cstheme="minorHAnsi"/>
                <w:sz w:val="20"/>
                <w:szCs w:val="20"/>
              </w:rPr>
            </w:pPr>
            <w:r w:rsidRPr="00F81987">
              <w:rPr>
                <w:rFonts w:cstheme="minorHAnsi"/>
                <w:sz w:val="20"/>
                <w:szCs w:val="20"/>
              </w:rPr>
              <w:t>NFOŚiGW, minister właściwy ds. klimatu</w:t>
            </w:r>
            <w:r w:rsidR="00D037B5" w:rsidRPr="00F81987">
              <w:rPr>
                <w:rFonts w:cstheme="minorHAnsi"/>
                <w:sz w:val="20"/>
                <w:szCs w:val="20"/>
              </w:rPr>
              <w:t xml:space="preserve"> (DPM)</w:t>
            </w:r>
          </w:p>
        </w:tc>
      </w:tr>
      <w:tr w:rsidR="00A77FE9" w:rsidRPr="00F81987" w14:paraId="2D5DDACE" w14:textId="77777777" w:rsidTr="00745D42">
        <w:trPr>
          <w:gridAfter w:val="1"/>
          <w:wAfter w:w="11" w:type="dxa"/>
          <w:trHeight w:val="673"/>
          <w:jc w:val="center"/>
        </w:trPr>
        <w:tc>
          <w:tcPr>
            <w:tcW w:w="1429" w:type="dxa"/>
            <w:vMerge/>
          </w:tcPr>
          <w:p w14:paraId="25A1645C" w14:textId="77777777" w:rsidR="00A77FE9" w:rsidRPr="00F81987" w:rsidRDefault="00A77FE9" w:rsidP="00A77FE9">
            <w:pPr>
              <w:pStyle w:val="Akapitzlist"/>
              <w:rPr>
                <w:rFonts w:cstheme="minorHAnsi"/>
                <w:sz w:val="20"/>
                <w:szCs w:val="20"/>
              </w:rPr>
            </w:pPr>
          </w:p>
        </w:tc>
        <w:tc>
          <w:tcPr>
            <w:tcW w:w="5370" w:type="dxa"/>
          </w:tcPr>
          <w:p w14:paraId="3CDCAFD5" w14:textId="6B2A94E7" w:rsidR="00A77FE9" w:rsidRPr="00F81987" w:rsidRDefault="00DC2C5E" w:rsidP="00A77FE9">
            <w:pPr>
              <w:spacing w:after="0"/>
              <w:jc w:val="both"/>
              <w:rPr>
                <w:rFonts w:cstheme="minorHAnsi"/>
                <w:sz w:val="20"/>
                <w:szCs w:val="20"/>
              </w:rPr>
            </w:pPr>
            <w:r>
              <w:rPr>
                <w:rFonts w:cstheme="minorHAnsi"/>
                <w:sz w:val="20"/>
                <w:szCs w:val="20"/>
              </w:rPr>
              <w:t>k</w:t>
            </w:r>
            <w:r w:rsidR="00A77FE9" w:rsidRPr="00F81987">
              <w:rPr>
                <w:rFonts w:cstheme="minorHAnsi"/>
                <w:sz w:val="20"/>
                <w:szCs w:val="20"/>
              </w:rPr>
              <w:t>ontynuowanie działań wspierających rozwój niskoemisyjnego transportu publicznego, który wpłynie korzystnie na poprawę jakości powietrza w miastach, ograniczy emisję hałasu i poziom natężenia ruchu samochodowego, w tym budowy stacji ładowań dla samochodów elektrycznych. Kontynuacja realizacji programów dedykowanych tj.:</w:t>
            </w:r>
          </w:p>
          <w:p w14:paraId="79526135" w14:textId="77777777" w:rsidR="00A77FE9" w:rsidRPr="00F81987" w:rsidRDefault="00A77FE9" w:rsidP="00A77FE9">
            <w:pPr>
              <w:numPr>
                <w:ilvl w:val="0"/>
                <w:numId w:val="5"/>
              </w:numPr>
              <w:spacing w:after="0"/>
              <w:ind w:left="163" w:hanging="163"/>
              <w:jc w:val="both"/>
              <w:rPr>
                <w:rFonts w:cstheme="minorHAnsi"/>
                <w:sz w:val="20"/>
                <w:szCs w:val="20"/>
              </w:rPr>
            </w:pPr>
            <w:r w:rsidRPr="00F81987">
              <w:rPr>
                <w:rFonts w:cstheme="minorHAnsi"/>
                <w:sz w:val="20"/>
                <w:szCs w:val="20"/>
              </w:rPr>
              <w:t>„eVAN” – dofinansowanie zakupu elektrycznego samochodu dostawczego;</w:t>
            </w:r>
          </w:p>
          <w:p w14:paraId="3A617B70" w14:textId="77777777" w:rsidR="00A77FE9" w:rsidRPr="00F81987" w:rsidRDefault="00A77FE9" w:rsidP="00A77FE9">
            <w:pPr>
              <w:numPr>
                <w:ilvl w:val="0"/>
                <w:numId w:val="5"/>
              </w:numPr>
              <w:spacing w:after="0"/>
              <w:ind w:left="163" w:hanging="163"/>
              <w:jc w:val="both"/>
              <w:rPr>
                <w:rFonts w:cstheme="minorHAnsi"/>
                <w:sz w:val="20"/>
                <w:szCs w:val="20"/>
              </w:rPr>
            </w:pPr>
            <w:r w:rsidRPr="00F81987">
              <w:rPr>
                <w:rFonts w:cstheme="minorHAnsi"/>
                <w:sz w:val="20"/>
                <w:szCs w:val="20"/>
              </w:rPr>
              <w:t>„Zielony samochód” – dofinansowanie zakupu elektrycznego samochodu osobowego;</w:t>
            </w:r>
          </w:p>
          <w:p w14:paraId="3B93D159" w14:textId="5B9F4CEA" w:rsidR="00A77FE9" w:rsidRPr="00F81987" w:rsidRDefault="00A77FE9" w:rsidP="00A77FE9">
            <w:pPr>
              <w:numPr>
                <w:ilvl w:val="0"/>
                <w:numId w:val="5"/>
              </w:numPr>
              <w:spacing w:after="0"/>
              <w:ind w:left="163" w:hanging="163"/>
              <w:jc w:val="both"/>
              <w:rPr>
                <w:rFonts w:cstheme="minorHAnsi"/>
                <w:sz w:val="20"/>
                <w:szCs w:val="20"/>
              </w:rPr>
            </w:pPr>
            <w:r w:rsidRPr="00F81987">
              <w:rPr>
                <w:rFonts w:cstheme="minorHAnsi"/>
                <w:sz w:val="20"/>
                <w:szCs w:val="20"/>
              </w:rPr>
              <w:t>„Koliber – taxi dobre dla klimatu” – pilotaż</w:t>
            </w:r>
          </w:p>
        </w:tc>
        <w:tc>
          <w:tcPr>
            <w:tcW w:w="2410" w:type="dxa"/>
          </w:tcPr>
          <w:p w14:paraId="30D31874" w14:textId="09569589" w:rsidR="00A77FE9" w:rsidRPr="00F81987" w:rsidRDefault="00A77FE9" w:rsidP="00A77FE9">
            <w:pPr>
              <w:jc w:val="both"/>
              <w:rPr>
                <w:rFonts w:cstheme="minorHAnsi"/>
                <w:sz w:val="20"/>
                <w:szCs w:val="20"/>
              </w:rPr>
            </w:pPr>
            <w:r w:rsidRPr="00F81987">
              <w:rPr>
                <w:rFonts w:cstheme="minorHAnsi"/>
                <w:sz w:val="20"/>
                <w:szCs w:val="20"/>
              </w:rPr>
              <w:t>NFOŚiGW, minister właściwy ds. klimatu</w:t>
            </w:r>
            <w:r w:rsidR="00D037B5" w:rsidRPr="00F81987">
              <w:rPr>
                <w:rFonts w:cstheme="minorHAnsi"/>
                <w:sz w:val="20"/>
                <w:szCs w:val="20"/>
              </w:rPr>
              <w:t xml:space="preserve"> </w:t>
            </w:r>
            <w:r w:rsidR="00DC2C5E">
              <w:rPr>
                <w:rFonts w:cstheme="minorHAnsi"/>
                <w:sz w:val="20"/>
                <w:szCs w:val="20"/>
              </w:rPr>
              <w:t xml:space="preserve">i energii </w:t>
            </w:r>
            <w:r w:rsidR="00D037B5" w:rsidRPr="00F81987">
              <w:rPr>
                <w:rFonts w:cstheme="minorHAnsi"/>
                <w:sz w:val="20"/>
                <w:szCs w:val="20"/>
              </w:rPr>
              <w:t>(DSP, DPM, DIŚ, DEG)</w:t>
            </w:r>
          </w:p>
        </w:tc>
      </w:tr>
      <w:tr w:rsidR="00A77FE9" w:rsidRPr="00F81987" w14:paraId="2F43CDA5" w14:textId="77777777" w:rsidTr="00745D42">
        <w:trPr>
          <w:gridAfter w:val="1"/>
          <w:wAfter w:w="11" w:type="dxa"/>
          <w:trHeight w:val="673"/>
          <w:jc w:val="center"/>
        </w:trPr>
        <w:tc>
          <w:tcPr>
            <w:tcW w:w="1429" w:type="dxa"/>
            <w:vMerge/>
          </w:tcPr>
          <w:p w14:paraId="78056B1B" w14:textId="77777777" w:rsidR="00A77FE9" w:rsidRPr="00F81987" w:rsidRDefault="00A77FE9" w:rsidP="00A77FE9">
            <w:pPr>
              <w:pStyle w:val="Akapitzlist"/>
              <w:rPr>
                <w:rFonts w:cstheme="minorHAnsi"/>
                <w:sz w:val="20"/>
                <w:szCs w:val="20"/>
              </w:rPr>
            </w:pPr>
          </w:p>
        </w:tc>
        <w:tc>
          <w:tcPr>
            <w:tcW w:w="5370" w:type="dxa"/>
          </w:tcPr>
          <w:p w14:paraId="02EAE672" w14:textId="5322B4D2" w:rsidR="00A77FE9" w:rsidRPr="00F81987" w:rsidRDefault="00DC2C5E" w:rsidP="00A77FE9">
            <w:pPr>
              <w:jc w:val="both"/>
              <w:rPr>
                <w:rFonts w:cstheme="minorHAnsi"/>
                <w:sz w:val="20"/>
                <w:szCs w:val="20"/>
              </w:rPr>
            </w:pPr>
            <w:r>
              <w:rPr>
                <w:rFonts w:cstheme="minorHAnsi"/>
                <w:sz w:val="20"/>
                <w:szCs w:val="20"/>
              </w:rPr>
              <w:t>w</w:t>
            </w:r>
            <w:r w:rsidR="00A77FE9" w:rsidRPr="00F81987">
              <w:rPr>
                <w:rFonts w:cstheme="minorHAnsi"/>
                <w:sz w:val="20"/>
                <w:szCs w:val="20"/>
              </w:rPr>
              <w:t>sparcie finansowe modernizacji miejskiego transportu zbiorowego w kierunku rozwoju transportu przyjaznego dla środowiska, oraz działań zmierzających do budowy odpowiedniej infrastruktury w tym zakresie</w:t>
            </w:r>
          </w:p>
        </w:tc>
        <w:tc>
          <w:tcPr>
            <w:tcW w:w="2410" w:type="dxa"/>
          </w:tcPr>
          <w:p w14:paraId="08974BCE" w14:textId="757FCD94" w:rsidR="00A77FE9" w:rsidRPr="00F81987" w:rsidRDefault="00DC2C5E" w:rsidP="00A77FE9">
            <w:pPr>
              <w:jc w:val="both"/>
              <w:rPr>
                <w:rFonts w:cstheme="minorHAnsi"/>
                <w:sz w:val="20"/>
                <w:szCs w:val="20"/>
              </w:rPr>
            </w:pPr>
            <w:r>
              <w:rPr>
                <w:rFonts w:cstheme="minorHAnsi"/>
                <w:sz w:val="20"/>
                <w:szCs w:val="20"/>
              </w:rPr>
              <w:t>m</w:t>
            </w:r>
            <w:r w:rsidR="00A77FE9" w:rsidRPr="00F81987">
              <w:rPr>
                <w:rFonts w:cstheme="minorHAnsi"/>
                <w:sz w:val="20"/>
                <w:szCs w:val="20"/>
              </w:rPr>
              <w:t xml:space="preserve">inister właściwy ds. infrastruktury </w:t>
            </w:r>
          </w:p>
        </w:tc>
      </w:tr>
      <w:tr w:rsidR="00A77FE9" w:rsidRPr="00F81987" w14:paraId="5F91485F" w14:textId="77777777" w:rsidTr="00745D42">
        <w:trPr>
          <w:gridAfter w:val="1"/>
          <w:wAfter w:w="11" w:type="dxa"/>
          <w:trHeight w:val="673"/>
          <w:jc w:val="center"/>
        </w:trPr>
        <w:tc>
          <w:tcPr>
            <w:tcW w:w="1429" w:type="dxa"/>
            <w:vMerge/>
          </w:tcPr>
          <w:p w14:paraId="47DFD4D5" w14:textId="77777777" w:rsidR="00A77FE9" w:rsidRPr="00F81987" w:rsidRDefault="00A77FE9" w:rsidP="00A77FE9">
            <w:pPr>
              <w:pStyle w:val="Akapitzlist"/>
              <w:rPr>
                <w:rFonts w:cstheme="minorHAnsi"/>
                <w:sz w:val="20"/>
                <w:szCs w:val="20"/>
              </w:rPr>
            </w:pPr>
          </w:p>
        </w:tc>
        <w:tc>
          <w:tcPr>
            <w:tcW w:w="5370" w:type="dxa"/>
          </w:tcPr>
          <w:p w14:paraId="6439BB77" w14:textId="42FE992E" w:rsidR="00A77FE9" w:rsidRPr="00F81987" w:rsidRDefault="00DC2C5E" w:rsidP="00A77FE9">
            <w:pPr>
              <w:spacing w:after="0"/>
              <w:jc w:val="both"/>
              <w:rPr>
                <w:rFonts w:cstheme="minorHAnsi"/>
                <w:sz w:val="20"/>
                <w:szCs w:val="20"/>
              </w:rPr>
            </w:pPr>
            <w:r>
              <w:rPr>
                <w:rFonts w:cstheme="minorHAnsi"/>
                <w:sz w:val="20"/>
                <w:szCs w:val="20"/>
              </w:rPr>
              <w:t>u</w:t>
            </w:r>
            <w:r w:rsidR="00A77FE9" w:rsidRPr="00F81987">
              <w:rPr>
                <w:rFonts w:cstheme="minorHAnsi"/>
                <w:sz w:val="20"/>
                <w:szCs w:val="20"/>
              </w:rPr>
              <w:t xml:space="preserve">względnienie problematyki jakości powietrza w projektowanej nowej perspektywie finansowej UE w: </w:t>
            </w:r>
          </w:p>
          <w:p w14:paraId="4DD007F7" w14:textId="0273C57D" w:rsidR="00A77FE9" w:rsidRPr="00F81987" w:rsidRDefault="00A77FE9" w:rsidP="00A77FE9">
            <w:pPr>
              <w:spacing w:after="0"/>
              <w:jc w:val="both"/>
              <w:rPr>
                <w:rFonts w:cstheme="minorHAnsi"/>
                <w:sz w:val="20"/>
                <w:szCs w:val="20"/>
              </w:rPr>
            </w:pPr>
            <w:r w:rsidRPr="00F81987">
              <w:rPr>
                <w:rFonts w:cstheme="minorHAnsi"/>
                <w:sz w:val="20"/>
                <w:szCs w:val="20"/>
              </w:rPr>
              <w:t>- Krajowym Planie Odbudowy do 2026 r.,</w:t>
            </w:r>
          </w:p>
          <w:p w14:paraId="7F57AAE3" w14:textId="5DDF79F1" w:rsidR="00A77FE9" w:rsidRPr="00F81987" w:rsidRDefault="00A77FE9" w:rsidP="00A77FE9">
            <w:pPr>
              <w:spacing w:after="0"/>
              <w:jc w:val="both"/>
              <w:rPr>
                <w:rFonts w:cstheme="minorHAnsi"/>
                <w:sz w:val="20"/>
                <w:szCs w:val="20"/>
              </w:rPr>
            </w:pPr>
            <w:r w:rsidRPr="00F81987">
              <w:rPr>
                <w:rFonts w:cstheme="minorHAnsi"/>
                <w:sz w:val="20"/>
                <w:szCs w:val="20"/>
              </w:rPr>
              <w:t>- Mechanizmie Sprawiedliwej Transformacji do 2027 r.,</w:t>
            </w:r>
          </w:p>
          <w:p w14:paraId="6155F00F" w14:textId="57AF57FB" w:rsidR="00A77FE9" w:rsidRPr="00F81987" w:rsidRDefault="00A77FE9" w:rsidP="00A77FE9">
            <w:pPr>
              <w:spacing w:after="0"/>
              <w:jc w:val="both"/>
              <w:rPr>
                <w:rFonts w:cstheme="minorHAnsi"/>
                <w:sz w:val="20"/>
                <w:szCs w:val="20"/>
              </w:rPr>
            </w:pPr>
            <w:r w:rsidRPr="00F81987">
              <w:rPr>
                <w:rFonts w:cstheme="minorHAnsi"/>
                <w:sz w:val="20"/>
                <w:szCs w:val="20"/>
              </w:rPr>
              <w:t>- Funduszu Europejskim na Infrastrukturę, Klimat, Środowisko 2021-2027,</w:t>
            </w:r>
          </w:p>
          <w:p w14:paraId="70F4CFCF" w14:textId="36DE949F" w:rsidR="00A77FE9" w:rsidRPr="00F81987" w:rsidRDefault="00A77FE9" w:rsidP="00A77FE9">
            <w:pPr>
              <w:spacing w:after="0"/>
              <w:jc w:val="both"/>
              <w:rPr>
                <w:rFonts w:cstheme="minorHAnsi"/>
                <w:sz w:val="20"/>
                <w:szCs w:val="20"/>
              </w:rPr>
            </w:pPr>
            <w:r w:rsidRPr="00F81987">
              <w:rPr>
                <w:rFonts w:cstheme="minorHAnsi"/>
                <w:sz w:val="20"/>
                <w:szCs w:val="20"/>
              </w:rPr>
              <w:lastRenderedPageBreak/>
              <w:t>- Polityce Spójności do 2029 r.</w:t>
            </w:r>
          </w:p>
        </w:tc>
        <w:tc>
          <w:tcPr>
            <w:tcW w:w="2410" w:type="dxa"/>
          </w:tcPr>
          <w:p w14:paraId="7AD52FA2" w14:textId="3C4761A3" w:rsidR="00A77FE9" w:rsidRPr="00F81987" w:rsidRDefault="00DC2C5E" w:rsidP="00A77FE9">
            <w:pPr>
              <w:jc w:val="both"/>
              <w:rPr>
                <w:rFonts w:cstheme="minorHAnsi"/>
                <w:sz w:val="20"/>
                <w:szCs w:val="20"/>
              </w:rPr>
            </w:pPr>
            <w:r>
              <w:rPr>
                <w:rFonts w:cstheme="minorHAnsi"/>
                <w:sz w:val="20"/>
                <w:szCs w:val="20"/>
              </w:rPr>
              <w:lastRenderedPageBreak/>
              <w:t>m</w:t>
            </w:r>
            <w:r w:rsidR="00A77FE9" w:rsidRPr="00F81987">
              <w:rPr>
                <w:rFonts w:cstheme="minorHAnsi"/>
                <w:sz w:val="20"/>
                <w:szCs w:val="20"/>
              </w:rPr>
              <w:t>inister właściwy ds. klimatu (DFE, DPM, DSP)</w:t>
            </w:r>
          </w:p>
        </w:tc>
      </w:tr>
      <w:tr w:rsidR="00A77FE9" w:rsidRPr="00F81987" w14:paraId="50FD2E17" w14:textId="77777777" w:rsidTr="00745D42">
        <w:trPr>
          <w:gridAfter w:val="1"/>
          <w:wAfter w:w="11" w:type="dxa"/>
          <w:trHeight w:val="913"/>
          <w:jc w:val="center"/>
        </w:trPr>
        <w:tc>
          <w:tcPr>
            <w:tcW w:w="1429" w:type="dxa"/>
            <w:vMerge/>
          </w:tcPr>
          <w:p w14:paraId="5734F910" w14:textId="77777777" w:rsidR="00A77FE9" w:rsidRPr="00F81987" w:rsidRDefault="00A77FE9" w:rsidP="00A77FE9">
            <w:pPr>
              <w:pStyle w:val="Akapitzlist"/>
              <w:rPr>
                <w:rFonts w:cstheme="minorHAnsi"/>
                <w:sz w:val="20"/>
                <w:szCs w:val="20"/>
              </w:rPr>
            </w:pPr>
          </w:p>
        </w:tc>
        <w:tc>
          <w:tcPr>
            <w:tcW w:w="5370" w:type="dxa"/>
          </w:tcPr>
          <w:p w14:paraId="2643CC5E" w14:textId="19798195" w:rsidR="00A77FE9" w:rsidRPr="00F81987" w:rsidRDefault="00DC2C5E" w:rsidP="00A77FE9">
            <w:pPr>
              <w:rPr>
                <w:rFonts w:cstheme="minorHAnsi"/>
                <w:iCs/>
                <w:sz w:val="20"/>
                <w:szCs w:val="20"/>
              </w:rPr>
            </w:pPr>
            <w:r>
              <w:rPr>
                <w:rFonts w:cstheme="minorHAnsi"/>
                <w:iCs/>
                <w:sz w:val="20"/>
                <w:szCs w:val="20"/>
              </w:rPr>
              <w:t>r</w:t>
            </w:r>
            <w:r w:rsidR="00A77FE9" w:rsidRPr="00F81987">
              <w:rPr>
                <w:rFonts w:cstheme="minorHAnsi"/>
                <w:iCs/>
                <w:sz w:val="20"/>
                <w:szCs w:val="20"/>
              </w:rPr>
              <w:t xml:space="preserve">ozwój nowych mechanizmów finansowych na poziomie UE </w:t>
            </w:r>
          </w:p>
          <w:p w14:paraId="12040360" w14:textId="77777777" w:rsidR="00A77FE9" w:rsidRPr="00F81987" w:rsidRDefault="00A77FE9" w:rsidP="00A77FE9">
            <w:pPr>
              <w:rPr>
                <w:rFonts w:cstheme="minorHAnsi"/>
                <w:sz w:val="20"/>
                <w:szCs w:val="20"/>
              </w:rPr>
            </w:pPr>
          </w:p>
        </w:tc>
        <w:tc>
          <w:tcPr>
            <w:tcW w:w="2410" w:type="dxa"/>
          </w:tcPr>
          <w:p w14:paraId="3F022974" w14:textId="6793EDF2" w:rsidR="00A77FE9" w:rsidRPr="00F81987" w:rsidRDefault="00DC2C5E" w:rsidP="00A77FE9">
            <w:pPr>
              <w:jc w:val="both"/>
              <w:rPr>
                <w:rFonts w:cstheme="minorHAnsi"/>
                <w:sz w:val="20"/>
                <w:szCs w:val="20"/>
              </w:rPr>
            </w:pPr>
            <w:r>
              <w:rPr>
                <w:rFonts w:cstheme="minorHAnsi"/>
                <w:sz w:val="20"/>
                <w:szCs w:val="20"/>
              </w:rPr>
              <w:t>m</w:t>
            </w:r>
            <w:r w:rsidR="00A77FE9" w:rsidRPr="00F81987">
              <w:rPr>
                <w:rFonts w:cstheme="minorHAnsi"/>
                <w:sz w:val="20"/>
                <w:szCs w:val="20"/>
              </w:rPr>
              <w:t xml:space="preserve">inister właściwy ds. </w:t>
            </w:r>
            <w:r w:rsidR="00173C6D">
              <w:rPr>
                <w:rFonts w:cstheme="minorHAnsi"/>
                <w:sz w:val="20"/>
                <w:szCs w:val="20"/>
              </w:rPr>
              <w:t>rozwoju regionalnego</w:t>
            </w:r>
            <w:r w:rsidR="00A77FE9" w:rsidRPr="00F81987">
              <w:rPr>
                <w:rFonts w:cstheme="minorHAnsi"/>
                <w:sz w:val="20"/>
                <w:szCs w:val="20"/>
              </w:rPr>
              <w:t>, minister właściwy ds. klimatu</w:t>
            </w:r>
          </w:p>
        </w:tc>
      </w:tr>
      <w:tr w:rsidR="00A77FE9" w:rsidRPr="00F81987" w14:paraId="5F6D8E00" w14:textId="77777777" w:rsidTr="00745D42">
        <w:trPr>
          <w:gridAfter w:val="1"/>
          <w:wAfter w:w="11" w:type="dxa"/>
          <w:trHeight w:val="625"/>
          <w:jc w:val="center"/>
        </w:trPr>
        <w:tc>
          <w:tcPr>
            <w:tcW w:w="1429" w:type="dxa"/>
            <w:vMerge w:val="restart"/>
          </w:tcPr>
          <w:p w14:paraId="1BDE183A" w14:textId="77777777" w:rsidR="00A77FE9" w:rsidRPr="00F81987" w:rsidRDefault="00A77FE9" w:rsidP="00A77FE9">
            <w:pPr>
              <w:rPr>
                <w:rFonts w:cstheme="minorHAnsi"/>
                <w:iCs/>
                <w:sz w:val="20"/>
                <w:szCs w:val="20"/>
              </w:rPr>
            </w:pPr>
          </w:p>
          <w:p w14:paraId="325423D1" w14:textId="77777777" w:rsidR="00A77FE9" w:rsidRPr="00F81987" w:rsidRDefault="00A77FE9" w:rsidP="00A77FE9">
            <w:pPr>
              <w:rPr>
                <w:rFonts w:cstheme="minorHAnsi"/>
                <w:iCs/>
                <w:sz w:val="20"/>
                <w:szCs w:val="20"/>
              </w:rPr>
            </w:pPr>
            <w:r w:rsidRPr="00F81987">
              <w:rPr>
                <w:rFonts w:cstheme="minorHAnsi"/>
                <w:sz w:val="20"/>
                <w:szCs w:val="20"/>
              </w:rPr>
              <w:t>Średnioterminowe (do 2030 r.)</w:t>
            </w:r>
          </w:p>
        </w:tc>
        <w:tc>
          <w:tcPr>
            <w:tcW w:w="5370" w:type="dxa"/>
          </w:tcPr>
          <w:p w14:paraId="60EECBFC" w14:textId="2219EB7A" w:rsidR="00A77FE9" w:rsidRPr="00F81987" w:rsidRDefault="00DC2C5E" w:rsidP="00A77FE9">
            <w:pPr>
              <w:jc w:val="both"/>
              <w:rPr>
                <w:rFonts w:cstheme="minorHAnsi"/>
                <w:sz w:val="20"/>
                <w:szCs w:val="20"/>
              </w:rPr>
            </w:pPr>
            <w:r>
              <w:rPr>
                <w:rFonts w:cstheme="minorHAnsi"/>
                <w:iCs/>
                <w:sz w:val="20"/>
                <w:szCs w:val="20"/>
              </w:rPr>
              <w:t>k</w:t>
            </w:r>
            <w:r w:rsidR="00A77FE9" w:rsidRPr="00F81987">
              <w:rPr>
                <w:rFonts w:cstheme="minorHAnsi"/>
                <w:iCs/>
                <w:sz w:val="20"/>
                <w:szCs w:val="20"/>
              </w:rPr>
              <w:t>ontynuacja działań krótkoterminowych w zakresie programów priorytetowych NFOŚiGW</w:t>
            </w:r>
          </w:p>
        </w:tc>
        <w:tc>
          <w:tcPr>
            <w:tcW w:w="2410" w:type="dxa"/>
          </w:tcPr>
          <w:p w14:paraId="44147231" w14:textId="77777777" w:rsidR="00A77FE9" w:rsidRPr="00F81987" w:rsidRDefault="00A77FE9" w:rsidP="00A77FE9">
            <w:pPr>
              <w:jc w:val="both"/>
              <w:rPr>
                <w:rFonts w:cstheme="minorHAnsi"/>
                <w:sz w:val="20"/>
                <w:szCs w:val="20"/>
              </w:rPr>
            </w:pPr>
            <w:r w:rsidRPr="00F81987">
              <w:rPr>
                <w:rFonts w:cstheme="minorHAnsi"/>
                <w:sz w:val="20"/>
                <w:szCs w:val="20"/>
              </w:rPr>
              <w:t>NFOŚiGW</w:t>
            </w:r>
          </w:p>
        </w:tc>
      </w:tr>
      <w:tr w:rsidR="00A77FE9" w:rsidRPr="00F81987" w14:paraId="12963E6F" w14:textId="77777777" w:rsidTr="00745D42">
        <w:trPr>
          <w:gridAfter w:val="1"/>
          <w:wAfter w:w="11" w:type="dxa"/>
          <w:trHeight w:val="538"/>
          <w:jc w:val="center"/>
        </w:trPr>
        <w:tc>
          <w:tcPr>
            <w:tcW w:w="1429" w:type="dxa"/>
            <w:vMerge/>
          </w:tcPr>
          <w:p w14:paraId="08ED8BCA" w14:textId="77777777" w:rsidR="00A77FE9" w:rsidRPr="00F81987" w:rsidRDefault="00A77FE9" w:rsidP="00A77FE9">
            <w:pPr>
              <w:pStyle w:val="Akapitzlist"/>
              <w:rPr>
                <w:rFonts w:cstheme="minorHAnsi"/>
                <w:sz w:val="20"/>
                <w:szCs w:val="20"/>
              </w:rPr>
            </w:pPr>
          </w:p>
        </w:tc>
        <w:tc>
          <w:tcPr>
            <w:tcW w:w="5370" w:type="dxa"/>
          </w:tcPr>
          <w:p w14:paraId="1C188C8B" w14:textId="576B692E" w:rsidR="00A77FE9" w:rsidRPr="00F81987" w:rsidRDefault="00DC2C5E" w:rsidP="00A77FE9">
            <w:pPr>
              <w:jc w:val="both"/>
              <w:rPr>
                <w:rFonts w:cstheme="minorHAnsi"/>
                <w:sz w:val="20"/>
                <w:szCs w:val="20"/>
              </w:rPr>
            </w:pPr>
            <w:r>
              <w:rPr>
                <w:rFonts w:cstheme="minorHAnsi"/>
                <w:sz w:val="20"/>
                <w:szCs w:val="20"/>
              </w:rPr>
              <w:t>p</w:t>
            </w:r>
            <w:r w:rsidR="00A77FE9" w:rsidRPr="00F81987">
              <w:rPr>
                <w:rFonts w:cstheme="minorHAnsi"/>
                <w:sz w:val="20"/>
                <w:szCs w:val="20"/>
              </w:rPr>
              <w:t xml:space="preserve">rzygotowanie nowych </w:t>
            </w:r>
            <w:r w:rsidR="00587550">
              <w:rPr>
                <w:rFonts w:cstheme="minorHAnsi"/>
                <w:sz w:val="20"/>
                <w:szCs w:val="20"/>
              </w:rPr>
              <w:t xml:space="preserve">lub rozszerzenie zakresu obowiązujących </w:t>
            </w:r>
            <w:r w:rsidR="00A77FE9" w:rsidRPr="00F81987">
              <w:rPr>
                <w:rFonts w:cstheme="minorHAnsi"/>
                <w:sz w:val="20"/>
                <w:szCs w:val="20"/>
              </w:rPr>
              <w:t>programów priorytetowych NFOŚiGW, które będą miały wpływ na poprawę jakości powietrza</w:t>
            </w:r>
            <w:r w:rsidR="00587550">
              <w:rPr>
                <w:rFonts w:cstheme="minorHAnsi"/>
                <w:sz w:val="20"/>
                <w:szCs w:val="20"/>
              </w:rPr>
              <w:t>, biorąc pod uwagę postęp techniczno-technologiczny w tym zakresie oraz zdiagnozowanie nowych obszarów działalności człowieka, które mogą mieć negatywny wpływ na stan powietrza.</w:t>
            </w:r>
          </w:p>
        </w:tc>
        <w:tc>
          <w:tcPr>
            <w:tcW w:w="2410" w:type="dxa"/>
          </w:tcPr>
          <w:p w14:paraId="74D460E6" w14:textId="77777777" w:rsidR="00A77FE9" w:rsidRPr="00F81987" w:rsidRDefault="00A77FE9" w:rsidP="00A77FE9">
            <w:pPr>
              <w:jc w:val="both"/>
              <w:rPr>
                <w:rFonts w:cstheme="minorHAnsi"/>
                <w:sz w:val="20"/>
                <w:szCs w:val="20"/>
              </w:rPr>
            </w:pPr>
            <w:r w:rsidRPr="00F81987">
              <w:rPr>
                <w:rFonts w:cstheme="minorHAnsi"/>
                <w:sz w:val="20"/>
                <w:szCs w:val="20"/>
              </w:rPr>
              <w:t>NFOŚiGW</w:t>
            </w:r>
          </w:p>
        </w:tc>
      </w:tr>
      <w:tr w:rsidR="006171F2" w:rsidRPr="00F81987" w14:paraId="0D4428B1" w14:textId="77777777" w:rsidTr="00745D42">
        <w:trPr>
          <w:gridAfter w:val="1"/>
          <w:wAfter w:w="11" w:type="dxa"/>
          <w:trHeight w:val="538"/>
          <w:jc w:val="center"/>
        </w:trPr>
        <w:tc>
          <w:tcPr>
            <w:tcW w:w="1429" w:type="dxa"/>
            <w:vMerge/>
          </w:tcPr>
          <w:p w14:paraId="1C68A9ED" w14:textId="77777777" w:rsidR="006171F2" w:rsidRPr="00F81987" w:rsidRDefault="006171F2" w:rsidP="00A77FE9">
            <w:pPr>
              <w:pStyle w:val="Akapitzlist"/>
              <w:rPr>
                <w:rFonts w:cstheme="minorHAnsi"/>
                <w:sz w:val="20"/>
                <w:szCs w:val="20"/>
              </w:rPr>
            </w:pPr>
          </w:p>
        </w:tc>
        <w:tc>
          <w:tcPr>
            <w:tcW w:w="5370" w:type="dxa"/>
          </w:tcPr>
          <w:p w14:paraId="764B98F9" w14:textId="72A3A893" w:rsidR="006171F2" w:rsidRPr="00F81987" w:rsidRDefault="00DC2C5E" w:rsidP="00A77FE9">
            <w:pPr>
              <w:jc w:val="both"/>
              <w:rPr>
                <w:rFonts w:cstheme="minorHAnsi"/>
                <w:sz w:val="20"/>
                <w:szCs w:val="20"/>
              </w:rPr>
            </w:pPr>
            <w:r>
              <w:rPr>
                <w:rFonts w:cstheme="minorHAnsi"/>
                <w:sz w:val="20"/>
                <w:szCs w:val="20"/>
              </w:rPr>
              <w:t>a</w:t>
            </w:r>
            <w:r w:rsidR="006171F2">
              <w:rPr>
                <w:rFonts w:cstheme="minorHAnsi"/>
                <w:sz w:val="20"/>
                <w:szCs w:val="20"/>
              </w:rPr>
              <w:t xml:space="preserve">naliza modelowa efektywności </w:t>
            </w:r>
            <w:r w:rsidR="00256A32">
              <w:rPr>
                <w:rFonts w:cstheme="minorHAnsi"/>
                <w:sz w:val="20"/>
                <w:szCs w:val="20"/>
              </w:rPr>
              <w:t xml:space="preserve">ekologicznych </w:t>
            </w:r>
            <w:r w:rsidR="006171F2">
              <w:rPr>
                <w:rFonts w:cstheme="minorHAnsi"/>
                <w:sz w:val="20"/>
                <w:szCs w:val="20"/>
              </w:rPr>
              <w:t xml:space="preserve">programów </w:t>
            </w:r>
            <w:r w:rsidR="007C6A6F">
              <w:rPr>
                <w:rFonts w:cstheme="minorHAnsi"/>
                <w:sz w:val="20"/>
                <w:szCs w:val="20"/>
              </w:rPr>
              <w:t>priorytetowych</w:t>
            </w:r>
            <w:r w:rsidR="006171F2">
              <w:rPr>
                <w:rFonts w:cstheme="minorHAnsi"/>
                <w:sz w:val="20"/>
                <w:szCs w:val="20"/>
              </w:rPr>
              <w:t xml:space="preserve"> </w:t>
            </w:r>
            <w:r w:rsidR="00256A32">
              <w:rPr>
                <w:rFonts w:cstheme="minorHAnsi"/>
                <w:sz w:val="20"/>
                <w:szCs w:val="20"/>
              </w:rPr>
              <w:t>NFOŚiGW</w:t>
            </w:r>
            <w:r w:rsidR="00A84E16">
              <w:rPr>
                <w:rStyle w:val="Odwoanieprzypisudolnego"/>
                <w:rFonts w:cstheme="minorHAnsi"/>
                <w:sz w:val="20"/>
                <w:szCs w:val="20"/>
              </w:rPr>
              <w:footnoteReference w:id="45"/>
            </w:r>
          </w:p>
        </w:tc>
        <w:tc>
          <w:tcPr>
            <w:tcW w:w="2410" w:type="dxa"/>
          </w:tcPr>
          <w:p w14:paraId="4D388B48" w14:textId="2DE7E924" w:rsidR="006171F2" w:rsidRPr="00F81987" w:rsidRDefault="006171F2" w:rsidP="00A77FE9">
            <w:pPr>
              <w:jc w:val="both"/>
              <w:rPr>
                <w:rFonts w:cstheme="minorHAnsi"/>
                <w:sz w:val="20"/>
                <w:szCs w:val="20"/>
              </w:rPr>
            </w:pPr>
            <w:r>
              <w:rPr>
                <w:rFonts w:cstheme="minorHAnsi"/>
                <w:sz w:val="20"/>
                <w:szCs w:val="20"/>
              </w:rPr>
              <w:t>IOŚ-PIB</w:t>
            </w:r>
            <w:r w:rsidR="00A84E16">
              <w:rPr>
                <w:rFonts w:cstheme="minorHAnsi"/>
                <w:sz w:val="20"/>
                <w:szCs w:val="20"/>
              </w:rPr>
              <w:t>, KOBiZE</w:t>
            </w:r>
          </w:p>
        </w:tc>
      </w:tr>
      <w:tr w:rsidR="00A77FE9" w:rsidRPr="00F81987" w14:paraId="1690F791" w14:textId="77777777" w:rsidTr="00745D42">
        <w:trPr>
          <w:gridAfter w:val="1"/>
          <w:wAfter w:w="11" w:type="dxa"/>
          <w:trHeight w:val="538"/>
          <w:jc w:val="center"/>
        </w:trPr>
        <w:tc>
          <w:tcPr>
            <w:tcW w:w="1429" w:type="dxa"/>
            <w:vMerge/>
          </w:tcPr>
          <w:p w14:paraId="28E5EAF0" w14:textId="77777777" w:rsidR="00A77FE9" w:rsidRPr="00F81987" w:rsidRDefault="00A77FE9" w:rsidP="00A77FE9">
            <w:pPr>
              <w:pStyle w:val="Akapitzlist"/>
              <w:rPr>
                <w:rFonts w:cstheme="minorHAnsi"/>
                <w:sz w:val="20"/>
                <w:szCs w:val="20"/>
              </w:rPr>
            </w:pPr>
          </w:p>
        </w:tc>
        <w:tc>
          <w:tcPr>
            <w:tcW w:w="5370" w:type="dxa"/>
          </w:tcPr>
          <w:p w14:paraId="1772BF06" w14:textId="49958884" w:rsidR="00A77FE9" w:rsidRPr="00F81987" w:rsidRDefault="00DC2C5E" w:rsidP="00A77FE9">
            <w:pPr>
              <w:jc w:val="both"/>
              <w:rPr>
                <w:rFonts w:cstheme="minorHAnsi"/>
                <w:sz w:val="20"/>
                <w:szCs w:val="20"/>
              </w:rPr>
            </w:pPr>
            <w:r>
              <w:rPr>
                <w:rFonts w:cstheme="minorHAnsi"/>
                <w:sz w:val="20"/>
                <w:szCs w:val="20"/>
              </w:rPr>
              <w:t>k</w:t>
            </w:r>
            <w:r w:rsidR="00A77FE9" w:rsidRPr="00F81987">
              <w:rPr>
                <w:rFonts w:cstheme="minorHAnsi"/>
                <w:sz w:val="20"/>
                <w:szCs w:val="20"/>
              </w:rPr>
              <w:t>ontynuacja wsparcia realizacji działań na rzecz rozwoju energetyki odnawialnej i kogeneracji w perspektywie do roku 2030 wraz z określeniem oczekiwanego efektu środowiskowego</w:t>
            </w:r>
          </w:p>
        </w:tc>
        <w:tc>
          <w:tcPr>
            <w:tcW w:w="2410" w:type="dxa"/>
          </w:tcPr>
          <w:p w14:paraId="281707BF" w14:textId="08A30A18" w:rsidR="00A77FE9" w:rsidRPr="00F81987" w:rsidRDefault="00DC2C5E" w:rsidP="00A77FE9">
            <w:pPr>
              <w:jc w:val="both"/>
              <w:rPr>
                <w:rFonts w:cstheme="minorHAnsi"/>
                <w:sz w:val="20"/>
                <w:szCs w:val="20"/>
              </w:rPr>
            </w:pPr>
            <w:r>
              <w:rPr>
                <w:rFonts w:cstheme="minorHAnsi"/>
                <w:sz w:val="20"/>
                <w:szCs w:val="20"/>
              </w:rPr>
              <w:t>m</w:t>
            </w:r>
            <w:r w:rsidR="00A77FE9" w:rsidRPr="00F81987">
              <w:rPr>
                <w:rFonts w:cstheme="minorHAnsi"/>
                <w:sz w:val="20"/>
                <w:szCs w:val="20"/>
              </w:rPr>
              <w:t>inister właściwy ds. klimatu, NFOŚi</w:t>
            </w:r>
            <w:r w:rsidR="00256A32">
              <w:rPr>
                <w:rFonts w:cstheme="minorHAnsi"/>
                <w:sz w:val="20"/>
                <w:szCs w:val="20"/>
              </w:rPr>
              <w:t>G</w:t>
            </w:r>
            <w:r w:rsidR="00A77FE9" w:rsidRPr="00F81987">
              <w:rPr>
                <w:rFonts w:cstheme="minorHAnsi"/>
                <w:sz w:val="20"/>
                <w:szCs w:val="20"/>
              </w:rPr>
              <w:t>W, NCBR</w:t>
            </w:r>
          </w:p>
        </w:tc>
      </w:tr>
      <w:tr w:rsidR="00A77FE9" w:rsidRPr="00F81987" w14:paraId="197DEAB1" w14:textId="77777777" w:rsidTr="00745D42">
        <w:trPr>
          <w:gridAfter w:val="1"/>
          <w:wAfter w:w="11" w:type="dxa"/>
          <w:trHeight w:val="694"/>
          <w:jc w:val="center"/>
        </w:trPr>
        <w:tc>
          <w:tcPr>
            <w:tcW w:w="1429" w:type="dxa"/>
          </w:tcPr>
          <w:p w14:paraId="52762C99" w14:textId="77777777" w:rsidR="00A77FE9" w:rsidRPr="00F81987" w:rsidRDefault="00A77FE9" w:rsidP="00A77FE9">
            <w:pPr>
              <w:rPr>
                <w:rFonts w:cstheme="minorHAnsi"/>
                <w:sz w:val="20"/>
                <w:szCs w:val="20"/>
              </w:rPr>
            </w:pPr>
            <w:r w:rsidRPr="00F81987">
              <w:rPr>
                <w:rFonts w:cstheme="minorHAnsi"/>
                <w:sz w:val="20"/>
                <w:szCs w:val="20"/>
              </w:rPr>
              <w:t>Długoterminowe (do 2040 r.)</w:t>
            </w:r>
          </w:p>
        </w:tc>
        <w:tc>
          <w:tcPr>
            <w:tcW w:w="5370" w:type="dxa"/>
          </w:tcPr>
          <w:p w14:paraId="1A99C8E5" w14:textId="71C701E6" w:rsidR="00A77FE9" w:rsidRPr="00F81987" w:rsidRDefault="00DC2C5E" w:rsidP="00A77FE9">
            <w:pPr>
              <w:rPr>
                <w:rFonts w:cstheme="minorHAnsi"/>
                <w:iCs/>
                <w:sz w:val="20"/>
                <w:szCs w:val="20"/>
              </w:rPr>
            </w:pPr>
            <w:r>
              <w:rPr>
                <w:rFonts w:cstheme="minorHAnsi"/>
                <w:sz w:val="20"/>
                <w:szCs w:val="20"/>
              </w:rPr>
              <w:t>k</w:t>
            </w:r>
            <w:r w:rsidR="00A77FE9" w:rsidRPr="00F81987">
              <w:rPr>
                <w:rFonts w:cstheme="minorHAnsi"/>
                <w:sz w:val="20"/>
                <w:szCs w:val="20"/>
              </w:rPr>
              <w:t xml:space="preserve">ontynuacja działań krótko - i średnioterminowych </w:t>
            </w:r>
          </w:p>
        </w:tc>
        <w:tc>
          <w:tcPr>
            <w:tcW w:w="2410" w:type="dxa"/>
          </w:tcPr>
          <w:p w14:paraId="18BCAE78" w14:textId="1907F984" w:rsidR="00A77FE9" w:rsidRPr="00F81987" w:rsidRDefault="00DC2C5E" w:rsidP="00A77FE9">
            <w:pPr>
              <w:jc w:val="both"/>
              <w:rPr>
                <w:rFonts w:cstheme="minorHAnsi"/>
                <w:sz w:val="20"/>
                <w:szCs w:val="20"/>
              </w:rPr>
            </w:pPr>
            <w:r>
              <w:rPr>
                <w:rFonts w:cstheme="minorHAnsi"/>
                <w:sz w:val="20"/>
                <w:szCs w:val="20"/>
              </w:rPr>
              <w:t>m</w:t>
            </w:r>
            <w:r w:rsidR="00A77FE9" w:rsidRPr="00F81987">
              <w:rPr>
                <w:rFonts w:cstheme="minorHAnsi"/>
                <w:sz w:val="20"/>
                <w:szCs w:val="20"/>
              </w:rPr>
              <w:t xml:space="preserve">inister właściwy ds. </w:t>
            </w:r>
            <w:r w:rsidR="000061FE">
              <w:rPr>
                <w:rFonts w:cstheme="minorHAnsi"/>
                <w:sz w:val="20"/>
                <w:szCs w:val="20"/>
              </w:rPr>
              <w:t>rozwoju regionalnego</w:t>
            </w:r>
            <w:r w:rsidR="00A77FE9" w:rsidRPr="00F81987">
              <w:rPr>
                <w:rFonts w:cstheme="minorHAnsi"/>
                <w:sz w:val="20"/>
                <w:szCs w:val="20"/>
              </w:rPr>
              <w:t>, minister właściwy ds. klimatu, NFOŚiGW, NCBR</w:t>
            </w:r>
          </w:p>
        </w:tc>
      </w:tr>
    </w:tbl>
    <w:p w14:paraId="3E3DEA53" w14:textId="77777777" w:rsidR="000B3A1B" w:rsidRPr="0035160C" w:rsidRDefault="000B3A1B" w:rsidP="000B3A1B">
      <w:pPr>
        <w:pStyle w:val="Akapitzlist"/>
        <w:jc w:val="both"/>
        <w:rPr>
          <w:b/>
          <w:bCs/>
          <w:color w:val="2F5496" w:themeColor="accent1" w:themeShade="BF"/>
        </w:rPr>
      </w:pPr>
    </w:p>
    <w:bookmarkEnd w:id="92"/>
    <w:p w14:paraId="5B2A6863" w14:textId="391FDEDB" w:rsidR="000B3A1B" w:rsidRPr="001E4DA0" w:rsidRDefault="00CA19EF" w:rsidP="001E4DA0">
      <w:pPr>
        <w:rPr>
          <w:b/>
          <w:bCs/>
          <w:color w:val="2F5496" w:themeColor="accent1" w:themeShade="BF"/>
        </w:rPr>
      </w:pPr>
      <w:r w:rsidRPr="0035160C">
        <w:rPr>
          <w:b/>
          <w:bCs/>
          <w:color w:val="2F5496" w:themeColor="accent1" w:themeShade="BF"/>
        </w:rPr>
        <w:br w:type="page"/>
      </w:r>
    </w:p>
    <w:p w14:paraId="04F394A8" w14:textId="1795E7D8" w:rsidR="00282106" w:rsidRPr="0035160C" w:rsidRDefault="00282106" w:rsidP="00CA3BB7">
      <w:pPr>
        <w:pStyle w:val="Nagwek1"/>
        <w:numPr>
          <w:ilvl w:val="0"/>
          <w:numId w:val="71"/>
        </w:numPr>
        <w:ind w:left="426"/>
      </w:pPr>
      <w:bookmarkStart w:id="98" w:name="_Toc78205909"/>
      <w:r w:rsidRPr="0035160C">
        <w:rPr>
          <w:b/>
          <w:sz w:val="24"/>
          <w:szCs w:val="24"/>
        </w:rPr>
        <w:lastRenderedPageBreak/>
        <w:t>System wdrażania i monitoringu aKPOP</w:t>
      </w:r>
      <w:r w:rsidRPr="0035160C">
        <w:t>:</w:t>
      </w:r>
      <w:bookmarkEnd w:id="98"/>
    </w:p>
    <w:p w14:paraId="0F9A99B8" w14:textId="77777777" w:rsidR="00985ABC" w:rsidRPr="0035160C" w:rsidRDefault="00985ABC" w:rsidP="00985ABC">
      <w:pPr>
        <w:autoSpaceDE w:val="0"/>
        <w:autoSpaceDN w:val="0"/>
        <w:adjustRightInd w:val="0"/>
        <w:spacing w:after="0" w:line="240" w:lineRule="auto"/>
        <w:jc w:val="both"/>
        <w:rPr>
          <w:rFonts w:eastAsia="MinionPro-Regular" w:cstheme="minorHAnsi"/>
        </w:rPr>
      </w:pPr>
    </w:p>
    <w:p w14:paraId="3907F386" w14:textId="0CB1F1E4" w:rsidR="00985ABC" w:rsidRDefault="00985ABC" w:rsidP="00985ABC">
      <w:pPr>
        <w:autoSpaceDE w:val="0"/>
        <w:autoSpaceDN w:val="0"/>
        <w:adjustRightInd w:val="0"/>
        <w:spacing w:after="0" w:line="240" w:lineRule="auto"/>
        <w:jc w:val="both"/>
        <w:rPr>
          <w:rFonts w:eastAsia="MinionPro-Regular" w:cstheme="minorHAnsi"/>
        </w:rPr>
      </w:pPr>
      <w:r w:rsidRPr="0035160C">
        <w:rPr>
          <w:rFonts w:eastAsia="MinionPro-Regular" w:cstheme="minorHAnsi"/>
        </w:rPr>
        <w:t xml:space="preserve">W zakresie wdrażania Programu wykorzystane zostaną kompetencje </w:t>
      </w:r>
      <w:r w:rsidR="00D91920" w:rsidRPr="0035160C">
        <w:rPr>
          <w:rFonts w:eastAsia="MinionPro-Regular" w:cstheme="minorHAnsi"/>
        </w:rPr>
        <w:t>ministr</w:t>
      </w:r>
      <w:r w:rsidR="00D91920">
        <w:rPr>
          <w:rFonts w:eastAsia="MinionPro-Regular" w:cstheme="minorHAnsi"/>
        </w:rPr>
        <w:t>a</w:t>
      </w:r>
      <w:r w:rsidR="00D91920" w:rsidRPr="0035160C">
        <w:rPr>
          <w:rFonts w:eastAsia="MinionPro-Regular" w:cstheme="minorHAnsi"/>
        </w:rPr>
        <w:t xml:space="preserve"> właściw</w:t>
      </w:r>
      <w:r w:rsidR="00D91920">
        <w:rPr>
          <w:rFonts w:eastAsia="MinionPro-Regular" w:cstheme="minorHAnsi"/>
        </w:rPr>
        <w:t>ego</w:t>
      </w:r>
      <w:r w:rsidR="00D91920" w:rsidRPr="0035160C">
        <w:rPr>
          <w:rFonts w:eastAsia="MinionPro-Regular" w:cstheme="minorHAnsi"/>
        </w:rPr>
        <w:t xml:space="preserve"> </w:t>
      </w:r>
      <w:r w:rsidRPr="0035160C">
        <w:rPr>
          <w:rFonts w:eastAsia="MinionPro-Regular" w:cstheme="minorHAnsi"/>
        </w:rPr>
        <w:t xml:space="preserve">do spraw klimatu, w tym wynikające z nadzoru nad podległymi jednostkami organizacyjnymi. </w:t>
      </w:r>
      <w:r w:rsidR="00EA68AD">
        <w:rPr>
          <w:rFonts w:eastAsia="MinionPro-Regular" w:cstheme="minorHAnsi"/>
        </w:rPr>
        <w:t xml:space="preserve">Dodatkowo w realizację działań określonych w Planie działań do aKPOP zaangażowane zostaną ministerstwa współodpowiedzialne za realizację polityki poprawy jakości powietrza. </w:t>
      </w:r>
      <w:r w:rsidRPr="0035160C">
        <w:rPr>
          <w:rFonts w:eastAsia="MinionPro-Regular" w:cstheme="minorHAnsi"/>
        </w:rPr>
        <w:t xml:space="preserve">Jednocześnie zapisy aKPOP oraz SOR stanowić będą wytyczną dla dokumentów strategicznych szczebla wojewódzkiego, powiatowego i gminnego, w tym przede wszystkim </w:t>
      </w:r>
      <w:r w:rsidR="00DC2C5E">
        <w:rPr>
          <w:rFonts w:eastAsia="MinionPro-Regular" w:cstheme="minorHAnsi"/>
        </w:rPr>
        <w:t>POP</w:t>
      </w:r>
      <w:r w:rsidRPr="0035160C">
        <w:rPr>
          <w:rFonts w:eastAsia="MinionPro-Regular" w:cstheme="minorHAnsi"/>
        </w:rPr>
        <w:t>. Analizie podlegać będą również optymalne rozwiązania instytucjonalne w kontekście rozwiązań maksymalizujących absorbcję środków dostępnych w ramach nowych ram wsparcia U</w:t>
      </w:r>
      <w:r w:rsidR="00DC2C5E">
        <w:rPr>
          <w:rFonts w:eastAsia="MinionPro-Regular" w:cstheme="minorHAnsi"/>
        </w:rPr>
        <w:t xml:space="preserve">nii </w:t>
      </w:r>
      <w:r w:rsidRPr="0035160C">
        <w:rPr>
          <w:rFonts w:eastAsia="MinionPro-Regular" w:cstheme="minorHAnsi"/>
        </w:rPr>
        <w:t>E</w:t>
      </w:r>
      <w:r w:rsidR="00DC2C5E">
        <w:rPr>
          <w:rFonts w:eastAsia="MinionPro-Regular" w:cstheme="minorHAnsi"/>
        </w:rPr>
        <w:t>uropejskiej</w:t>
      </w:r>
      <w:r w:rsidRPr="0035160C">
        <w:rPr>
          <w:rFonts w:eastAsia="MinionPro-Regular" w:cstheme="minorHAnsi"/>
        </w:rPr>
        <w:t xml:space="preserve">. </w:t>
      </w:r>
    </w:p>
    <w:p w14:paraId="21997F9D" w14:textId="18C16977" w:rsidR="00EA68AD" w:rsidRDefault="00EA68AD" w:rsidP="00985ABC">
      <w:pPr>
        <w:autoSpaceDE w:val="0"/>
        <w:autoSpaceDN w:val="0"/>
        <w:adjustRightInd w:val="0"/>
        <w:spacing w:after="0" w:line="240" w:lineRule="auto"/>
        <w:jc w:val="both"/>
        <w:rPr>
          <w:rFonts w:eastAsia="MinionPro-Regular" w:cstheme="minorHAnsi"/>
        </w:rPr>
      </w:pPr>
    </w:p>
    <w:p w14:paraId="4EF7B7A2" w14:textId="4C2C26B7" w:rsidR="00EA68AD" w:rsidRDefault="00EA68AD" w:rsidP="00985ABC">
      <w:pPr>
        <w:autoSpaceDE w:val="0"/>
        <w:autoSpaceDN w:val="0"/>
        <w:adjustRightInd w:val="0"/>
        <w:spacing w:after="0" w:line="240" w:lineRule="auto"/>
        <w:jc w:val="both"/>
        <w:rPr>
          <w:rFonts w:eastAsia="MinionPro-Regular" w:cstheme="minorHAnsi"/>
        </w:rPr>
      </w:pPr>
      <w:r>
        <w:rPr>
          <w:rFonts w:eastAsia="MinionPro-Regular" w:cstheme="minorHAnsi"/>
        </w:rPr>
        <w:t xml:space="preserve">W celu monitorowania postępów prac we wdrażaniu aKPOP, powołane zostanie </w:t>
      </w:r>
      <w:r w:rsidR="008F139C">
        <w:rPr>
          <w:rFonts w:eastAsia="MinionPro-Regular" w:cstheme="minorHAnsi"/>
        </w:rPr>
        <w:t xml:space="preserve">specjalne </w:t>
      </w:r>
      <w:r>
        <w:rPr>
          <w:rFonts w:eastAsia="MinionPro-Regular" w:cstheme="minorHAnsi"/>
        </w:rPr>
        <w:t xml:space="preserve">gremium pn. </w:t>
      </w:r>
      <w:r w:rsidRPr="00DA66FB">
        <w:rPr>
          <w:rFonts w:eastAsia="MinionPro-Regular" w:cstheme="minorHAnsi"/>
          <w:b/>
          <w:bCs/>
          <w:color w:val="2F5496" w:themeColor="accent1" w:themeShade="BF"/>
        </w:rPr>
        <w:t>„Partnerstwo na rzecz poprawy jakości powietrza”</w:t>
      </w:r>
      <w:r w:rsidR="008F139C">
        <w:rPr>
          <w:rFonts w:eastAsia="MinionPro-Regular" w:cstheme="minorHAnsi"/>
        </w:rPr>
        <w:t>, zrzeszające przedstawicieli administracji rządowej oraz samorządowej, której zadaniem będzie podjęcie dobrej współpracy</w:t>
      </w:r>
      <w:r w:rsidR="008B4B2E">
        <w:rPr>
          <w:rFonts w:eastAsia="MinionPro-Regular" w:cstheme="minorHAnsi"/>
        </w:rPr>
        <w:t>,</w:t>
      </w:r>
      <w:r w:rsidR="008F139C">
        <w:rPr>
          <w:rFonts w:eastAsia="MinionPro-Regular" w:cstheme="minorHAnsi"/>
        </w:rPr>
        <w:t xml:space="preserve"> nie tylko w zakresie realizacji spójnych, na wszystkich szczeblach zarządzania, działań mających na celu poprawę stanu powietrza, ale także </w:t>
      </w:r>
      <w:r w:rsidR="008B4B2E">
        <w:rPr>
          <w:rFonts w:eastAsia="MinionPro-Regular" w:cstheme="minorHAnsi"/>
        </w:rPr>
        <w:t xml:space="preserve">bezpośrednio </w:t>
      </w:r>
      <w:r w:rsidR="008F139C">
        <w:rPr>
          <w:rFonts w:eastAsia="MinionPro-Regular" w:cstheme="minorHAnsi"/>
        </w:rPr>
        <w:t>monitorowanie stanu zaawansowania działań wynikających z aKPOP.</w:t>
      </w:r>
    </w:p>
    <w:p w14:paraId="67B6CA36" w14:textId="5D1926FA" w:rsidR="00DA66FB" w:rsidRDefault="00DA66FB" w:rsidP="00DA66FB">
      <w:pPr>
        <w:autoSpaceDE w:val="0"/>
        <w:autoSpaceDN w:val="0"/>
        <w:adjustRightInd w:val="0"/>
        <w:spacing w:after="0" w:line="240" w:lineRule="auto"/>
        <w:jc w:val="both"/>
        <w:rPr>
          <w:rFonts w:eastAsia="MinionPro-Regular" w:cstheme="minorHAnsi"/>
        </w:rPr>
      </w:pPr>
      <w:r>
        <w:rPr>
          <w:rFonts w:eastAsia="MinionPro-Regular" w:cstheme="minorHAnsi"/>
        </w:rPr>
        <w:t xml:space="preserve">Do współpracy zaproszone zostaną także miasta, które są zaangażowane w realizowaną przez Ministra Klimatu i Środowiska inicjatywę </w:t>
      </w:r>
      <w:r w:rsidR="008B4B2E">
        <w:rPr>
          <w:rFonts w:eastAsia="MinionPro-Regular" w:cstheme="minorHAnsi"/>
        </w:rPr>
        <w:t xml:space="preserve">pn. </w:t>
      </w:r>
      <w:r>
        <w:rPr>
          <w:rFonts w:eastAsia="MinionPro-Regular" w:cstheme="minorHAnsi"/>
        </w:rPr>
        <w:t>„Miasto z Klimatem”. W ramach spotkań będą organizowane dyskusje dedykowane problematyce jakości powietrza w miastach</w:t>
      </w:r>
      <w:r w:rsidR="008B4B2E">
        <w:rPr>
          <w:rFonts w:eastAsia="MinionPro-Regular" w:cstheme="minorHAnsi"/>
        </w:rPr>
        <w:t xml:space="preserve">, na które zapraszani będą także przedstawiciele organizacji pozarządowych. </w:t>
      </w:r>
    </w:p>
    <w:p w14:paraId="35408D0B" w14:textId="1BAA5010" w:rsidR="00DA66FB" w:rsidRDefault="008B4B2E" w:rsidP="00DA66FB">
      <w:pPr>
        <w:autoSpaceDE w:val="0"/>
        <w:autoSpaceDN w:val="0"/>
        <w:adjustRightInd w:val="0"/>
        <w:spacing w:after="0" w:line="240" w:lineRule="auto"/>
        <w:jc w:val="both"/>
        <w:rPr>
          <w:rFonts w:eastAsia="MinionPro-Regular" w:cstheme="minorHAnsi"/>
        </w:rPr>
      </w:pPr>
      <w:r>
        <w:rPr>
          <w:rFonts w:eastAsia="MinionPro-Regular" w:cstheme="minorHAnsi"/>
        </w:rPr>
        <w:t xml:space="preserve">Spotkania odbywać się będą cyklicznie, raz na kwartał. Pozwoli to na stały monitoring prac w ramach aKPOP, a także diagnozowanie ryzyka nieterminowej jego realizacji.  </w:t>
      </w:r>
    </w:p>
    <w:p w14:paraId="011620B1" w14:textId="4E733838" w:rsidR="00541BCE" w:rsidRPr="0035160C" w:rsidRDefault="00D80A87" w:rsidP="008B4B2E">
      <w:pPr>
        <w:autoSpaceDE w:val="0"/>
        <w:autoSpaceDN w:val="0"/>
        <w:adjustRightInd w:val="0"/>
        <w:spacing w:before="120" w:after="0" w:line="240" w:lineRule="auto"/>
        <w:jc w:val="both"/>
        <w:rPr>
          <w:rFonts w:eastAsia="MinionPro-Regular" w:cstheme="minorHAnsi"/>
        </w:rPr>
      </w:pPr>
      <w:r w:rsidRPr="0035160C">
        <w:rPr>
          <w:rFonts w:eastAsia="MinionPro-Regular" w:cstheme="minorHAnsi"/>
        </w:rPr>
        <w:t xml:space="preserve">Skuteczność realizacji aKPOP monitorowana będzie za pomocą wskaźników, których wartości będą pochodzić z wiarygodnych źródeł, w </w:t>
      </w:r>
      <w:r w:rsidR="00985ABC" w:rsidRPr="0035160C">
        <w:rPr>
          <w:rFonts w:eastAsia="MinionPro-Regular" w:cstheme="minorHAnsi"/>
        </w:rPr>
        <w:t xml:space="preserve">tym w </w:t>
      </w:r>
      <w:r w:rsidRPr="0035160C">
        <w:rPr>
          <w:rFonts w:eastAsia="MinionPro-Regular" w:cstheme="minorHAnsi"/>
        </w:rPr>
        <w:t xml:space="preserve">szczególności z wyników pomiarów jakości powietrza, prowadzonych przez </w:t>
      </w:r>
      <w:r w:rsidR="00DC2C5E">
        <w:rPr>
          <w:rFonts w:eastAsia="MinionPro-Regular" w:cstheme="minorHAnsi"/>
        </w:rPr>
        <w:t>GIOŚ</w:t>
      </w:r>
      <w:r w:rsidRPr="0035160C">
        <w:rPr>
          <w:rFonts w:eastAsia="MinionPro-Regular" w:cstheme="minorHAnsi"/>
        </w:rPr>
        <w:t xml:space="preserve"> w ramach P</w:t>
      </w:r>
      <w:r w:rsidR="00DF2675">
        <w:rPr>
          <w:rFonts w:eastAsia="MinionPro-Regular" w:cstheme="minorHAnsi"/>
        </w:rPr>
        <w:t>MŚ</w:t>
      </w:r>
      <w:r w:rsidRPr="0035160C">
        <w:rPr>
          <w:rFonts w:eastAsia="MinionPro-Regular" w:cstheme="minorHAnsi"/>
        </w:rPr>
        <w:t xml:space="preserve">, danych pozyskanych przez ministra właściwego ds. klimatu, </w:t>
      </w:r>
      <w:r w:rsidR="00EA68AD">
        <w:rPr>
          <w:rFonts w:eastAsia="MinionPro-Regular" w:cstheme="minorHAnsi"/>
        </w:rPr>
        <w:t xml:space="preserve">jak również </w:t>
      </w:r>
      <w:r w:rsidRPr="0035160C">
        <w:rPr>
          <w:rFonts w:eastAsia="MinionPro-Regular" w:cstheme="minorHAnsi"/>
        </w:rPr>
        <w:t>jednostek podległych i</w:t>
      </w:r>
      <w:r w:rsidR="00665D02" w:rsidRPr="0035160C">
        <w:rPr>
          <w:rFonts w:eastAsia="MinionPro-Regular" w:cstheme="minorHAnsi"/>
        </w:rPr>
        <w:t> </w:t>
      </w:r>
      <w:r w:rsidRPr="0035160C">
        <w:rPr>
          <w:rFonts w:eastAsia="MinionPro-Regular" w:cstheme="minorHAnsi"/>
        </w:rPr>
        <w:t>nadzorowanych przez ministra właściwego ds. klimatu. Wskaźniki umożliwiają ścieżkę realizacji określonych celów Programu poprzez określenie stanu istniejącego i docelowego</w:t>
      </w:r>
      <w:r w:rsidR="008977D2" w:rsidRPr="0035160C">
        <w:rPr>
          <w:rFonts w:eastAsia="MinionPro-Regular" w:cstheme="minorHAnsi"/>
        </w:rPr>
        <w:t>. Z</w:t>
      </w:r>
      <w:r w:rsidR="00541BCE" w:rsidRPr="0035160C">
        <w:rPr>
          <w:rFonts w:eastAsia="MinionPro-Regular" w:cstheme="minorHAnsi"/>
        </w:rPr>
        <w:t xml:space="preserve"> punktu widzenia realizacji celu Programu, jakim jest poprawa jakości życia mieszkańców Rzeczpospolitej Polskiej w</w:t>
      </w:r>
      <w:r w:rsidR="00665D02" w:rsidRPr="0035160C">
        <w:rPr>
          <w:rFonts w:eastAsia="MinionPro-Regular" w:cstheme="minorHAnsi"/>
        </w:rPr>
        <w:t> </w:t>
      </w:r>
      <w:r w:rsidR="00541BCE" w:rsidRPr="0035160C">
        <w:rPr>
          <w:rFonts w:eastAsia="MinionPro-Regular" w:cstheme="minorHAnsi"/>
        </w:rPr>
        <w:t xml:space="preserve">wymiarze </w:t>
      </w:r>
      <w:r w:rsidR="00665D02" w:rsidRPr="0035160C">
        <w:rPr>
          <w:rFonts w:eastAsia="MinionPro-Regular" w:cstheme="minorHAnsi"/>
        </w:rPr>
        <w:t>krajowym, wojewódzkim, powiatowym i gminnym</w:t>
      </w:r>
      <w:r w:rsidR="00541BCE" w:rsidRPr="0035160C">
        <w:rPr>
          <w:rFonts w:eastAsia="MinionPro-Regular" w:cstheme="minorHAnsi"/>
        </w:rPr>
        <w:t xml:space="preserve">, zbiór wskaźników realizacji Programu przedstawia się następująco. </w:t>
      </w:r>
    </w:p>
    <w:p w14:paraId="48F0E4F1" w14:textId="7D6DD9D5" w:rsidR="00541BCE" w:rsidRPr="0035160C" w:rsidRDefault="00541BCE" w:rsidP="00541BCE">
      <w:pPr>
        <w:autoSpaceDE w:val="0"/>
        <w:autoSpaceDN w:val="0"/>
        <w:adjustRightInd w:val="0"/>
        <w:spacing w:before="120" w:after="0" w:line="240" w:lineRule="auto"/>
        <w:jc w:val="both"/>
        <w:rPr>
          <w:rFonts w:eastAsia="MinionPro-Regular" w:cstheme="minorHAnsi"/>
        </w:rPr>
      </w:pPr>
      <w:r w:rsidRPr="0035160C">
        <w:rPr>
          <w:rFonts w:eastAsia="MinionPro-Regular" w:cstheme="minorHAnsi"/>
        </w:rPr>
        <w:t xml:space="preserve">Podobnie jak to miało miejsce w przypadku KPOP, w </w:t>
      </w:r>
      <w:r w:rsidR="00665D02" w:rsidRPr="0035160C">
        <w:rPr>
          <w:rFonts w:eastAsia="MinionPro-Regular" w:cstheme="minorHAnsi"/>
        </w:rPr>
        <w:t>a</w:t>
      </w:r>
      <w:r w:rsidRPr="0035160C">
        <w:rPr>
          <w:rFonts w:eastAsia="MinionPro-Regular" w:cstheme="minorHAnsi"/>
        </w:rPr>
        <w:t>KPOP stosowane będą dwie grupy wskaźników:</w:t>
      </w:r>
    </w:p>
    <w:p w14:paraId="5C8BC5B2" w14:textId="77777777" w:rsidR="00541BCE" w:rsidRPr="0035160C" w:rsidRDefault="00541BCE" w:rsidP="00541BCE">
      <w:pPr>
        <w:autoSpaceDE w:val="0"/>
        <w:autoSpaceDN w:val="0"/>
        <w:adjustRightInd w:val="0"/>
        <w:spacing w:before="120" w:after="0" w:line="240" w:lineRule="auto"/>
        <w:jc w:val="both"/>
        <w:rPr>
          <w:rFonts w:eastAsia="MinionPro-Regular" w:cstheme="minorHAnsi"/>
        </w:rPr>
      </w:pPr>
      <w:r w:rsidRPr="0035160C">
        <w:rPr>
          <w:rFonts w:eastAsia="MinionPro-Regular" w:cstheme="minorHAnsi"/>
        </w:rPr>
        <w:t>1) wskaźniki realizacji celu głównego</w:t>
      </w:r>
      <w:r w:rsidR="00665D02" w:rsidRPr="0035160C">
        <w:rPr>
          <w:rFonts w:eastAsia="MinionPro-Regular" w:cstheme="minorHAnsi"/>
        </w:rPr>
        <w:t>,</w:t>
      </w:r>
    </w:p>
    <w:p w14:paraId="792C224A" w14:textId="77777777" w:rsidR="00541BCE" w:rsidRPr="0035160C" w:rsidRDefault="00541BCE" w:rsidP="00541BCE">
      <w:pPr>
        <w:autoSpaceDE w:val="0"/>
        <w:autoSpaceDN w:val="0"/>
        <w:adjustRightInd w:val="0"/>
        <w:spacing w:after="0" w:line="240" w:lineRule="auto"/>
        <w:jc w:val="both"/>
        <w:rPr>
          <w:rFonts w:eastAsia="MinionPro-Regular" w:cstheme="minorHAnsi"/>
        </w:rPr>
      </w:pPr>
      <w:r w:rsidRPr="0035160C">
        <w:rPr>
          <w:rFonts w:eastAsia="MinionPro-Regular" w:cstheme="minorHAnsi"/>
        </w:rPr>
        <w:t>2) wskaźniki realizacji celów szczegółowych</w:t>
      </w:r>
      <w:r w:rsidR="00665D02" w:rsidRPr="0035160C">
        <w:rPr>
          <w:rFonts w:eastAsia="MinionPro-Regular" w:cstheme="minorHAnsi"/>
        </w:rPr>
        <w:t>.</w:t>
      </w:r>
    </w:p>
    <w:p w14:paraId="2D2C6EEA" w14:textId="39B28DF3" w:rsidR="00665D02" w:rsidRPr="0035160C" w:rsidRDefault="00665D02" w:rsidP="00665D02">
      <w:pPr>
        <w:spacing w:before="120"/>
        <w:jc w:val="both"/>
      </w:pPr>
      <w:r w:rsidRPr="0035160C">
        <w:t>Podkreślić należy, że wskaźniki te są zgodne z</w:t>
      </w:r>
      <w:r w:rsidR="00DF2675">
        <w:t>e</w:t>
      </w:r>
      <w:r w:rsidRPr="0035160C">
        <w:t xml:space="preserve"> wskaźnikami celu poprawy jakości powietrza, określonymi w nadrzędnych dokumentach o charakterze strategicznym, jak S</w:t>
      </w:r>
      <w:r w:rsidR="005733D6">
        <w:t>OR</w:t>
      </w:r>
      <w:r w:rsidRPr="0035160C">
        <w:t xml:space="preserve"> oraz P</w:t>
      </w:r>
      <w:r w:rsidR="005733D6">
        <w:t>EP2030</w:t>
      </w:r>
      <w:r w:rsidRPr="0035160C">
        <w:t>.</w:t>
      </w:r>
    </w:p>
    <w:p w14:paraId="1CA7CE91" w14:textId="7A4AB111" w:rsidR="00282106" w:rsidRPr="00DD0E4C" w:rsidRDefault="00541BCE" w:rsidP="00DD0E4C">
      <w:pPr>
        <w:pStyle w:val="Nagwek3"/>
        <w:numPr>
          <w:ilvl w:val="0"/>
          <w:numId w:val="0"/>
        </w:numPr>
        <w:rPr>
          <w:b/>
          <w:bCs w:val="0"/>
        </w:rPr>
      </w:pPr>
      <w:bookmarkStart w:id="99" w:name="_Toc78205910"/>
      <w:r w:rsidRPr="00DD0E4C">
        <w:rPr>
          <w:b/>
          <w:sz w:val="22"/>
          <w:szCs w:val="22"/>
        </w:rPr>
        <w:t>1</w:t>
      </w:r>
      <w:r w:rsidR="00D83DFC" w:rsidRPr="00DD0E4C">
        <w:rPr>
          <w:b/>
          <w:sz w:val="22"/>
          <w:szCs w:val="22"/>
        </w:rPr>
        <w:t>1</w:t>
      </w:r>
      <w:r w:rsidR="00282106" w:rsidRPr="00DD0E4C">
        <w:rPr>
          <w:b/>
          <w:sz w:val="22"/>
          <w:szCs w:val="22"/>
        </w:rPr>
        <w:t>.1.</w:t>
      </w:r>
      <w:r w:rsidR="00282106" w:rsidRPr="00DD0E4C">
        <w:rPr>
          <w:b/>
          <w:sz w:val="22"/>
          <w:szCs w:val="22"/>
        </w:rPr>
        <w:tab/>
        <w:t xml:space="preserve">Wskaźnik realizacji celu głównego </w:t>
      </w:r>
      <w:r w:rsidR="00C37202" w:rsidRPr="00DD0E4C">
        <w:rPr>
          <w:b/>
          <w:sz w:val="22"/>
          <w:szCs w:val="22"/>
        </w:rPr>
        <w:t>i celów szczegółowych a</w:t>
      </w:r>
      <w:r w:rsidR="00282106" w:rsidRPr="00DD0E4C">
        <w:rPr>
          <w:b/>
          <w:sz w:val="22"/>
          <w:szCs w:val="22"/>
        </w:rPr>
        <w:t>KPOP</w:t>
      </w:r>
      <w:bookmarkEnd w:id="99"/>
    </w:p>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462"/>
        <w:gridCol w:w="2227"/>
        <w:gridCol w:w="1701"/>
        <w:gridCol w:w="1417"/>
        <w:gridCol w:w="1276"/>
        <w:gridCol w:w="1276"/>
        <w:gridCol w:w="1275"/>
      </w:tblGrid>
      <w:tr w:rsidR="006516B5" w:rsidRPr="0035160C" w14:paraId="4440D2CA" w14:textId="77777777" w:rsidTr="006516B5">
        <w:trPr>
          <w:tblHeader/>
        </w:trPr>
        <w:tc>
          <w:tcPr>
            <w:tcW w:w="462" w:type="dxa"/>
            <w:shd w:val="clear" w:color="auto" w:fill="D9E2F3" w:themeFill="accent1" w:themeFillTint="33"/>
            <w:vAlign w:val="center"/>
          </w:tcPr>
          <w:p w14:paraId="6CAC560F" w14:textId="77777777" w:rsidR="006516B5" w:rsidRPr="009227B9" w:rsidRDefault="006516B5" w:rsidP="002959F3">
            <w:pPr>
              <w:autoSpaceDE w:val="0"/>
              <w:autoSpaceDN w:val="0"/>
              <w:adjustRightInd w:val="0"/>
              <w:spacing w:line="240" w:lineRule="auto"/>
              <w:jc w:val="center"/>
              <w:rPr>
                <w:rFonts w:cstheme="minorHAnsi"/>
                <w:b/>
                <w:bCs/>
                <w:color w:val="0000FF"/>
                <w:sz w:val="20"/>
                <w:szCs w:val="20"/>
              </w:rPr>
            </w:pPr>
          </w:p>
          <w:p w14:paraId="2A6E5EEF" w14:textId="77777777" w:rsidR="006516B5" w:rsidRPr="009227B9" w:rsidRDefault="006516B5" w:rsidP="002959F3">
            <w:pPr>
              <w:spacing w:after="0" w:line="240" w:lineRule="auto"/>
              <w:jc w:val="center"/>
              <w:rPr>
                <w:rFonts w:cstheme="minorHAnsi"/>
                <w:b/>
                <w:sz w:val="20"/>
                <w:szCs w:val="20"/>
              </w:rPr>
            </w:pPr>
            <w:r w:rsidRPr="009227B9">
              <w:rPr>
                <w:rFonts w:cstheme="minorHAnsi"/>
                <w:b/>
                <w:sz w:val="20"/>
                <w:szCs w:val="20"/>
              </w:rPr>
              <w:t>Lp.</w:t>
            </w:r>
          </w:p>
        </w:tc>
        <w:tc>
          <w:tcPr>
            <w:tcW w:w="2227" w:type="dxa"/>
            <w:shd w:val="clear" w:color="auto" w:fill="D9E2F3" w:themeFill="accent1" w:themeFillTint="33"/>
            <w:vAlign w:val="center"/>
          </w:tcPr>
          <w:p w14:paraId="673CB670" w14:textId="77777777" w:rsidR="006516B5" w:rsidRPr="009227B9" w:rsidRDefault="006516B5" w:rsidP="002959F3">
            <w:pPr>
              <w:spacing w:after="0" w:line="240" w:lineRule="auto"/>
              <w:jc w:val="center"/>
              <w:rPr>
                <w:rFonts w:cstheme="minorHAnsi"/>
                <w:sz w:val="20"/>
                <w:szCs w:val="20"/>
              </w:rPr>
            </w:pPr>
            <w:r w:rsidRPr="009227B9">
              <w:rPr>
                <w:rFonts w:cstheme="minorHAnsi"/>
                <w:b/>
                <w:sz w:val="20"/>
                <w:szCs w:val="20"/>
              </w:rPr>
              <w:t>Nazwa wskaźnika</w:t>
            </w:r>
          </w:p>
        </w:tc>
        <w:tc>
          <w:tcPr>
            <w:tcW w:w="1701" w:type="dxa"/>
            <w:shd w:val="clear" w:color="auto" w:fill="D9E2F3" w:themeFill="accent1" w:themeFillTint="33"/>
            <w:vAlign w:val="center"/>
          </w:tcPr>
          <w:p w14:paraId="1F2FC8B2" w14:textId="77777777" w:rsidR="006516B5" w:rsidRPr="009227B9" w:rsidRDefault="006516B5" w:rsidP="002959F3">
            <w:pPr>
              <w:spacing w:after="0" w:line="240" w:lineRule="auto"/>
              <w:jc w:val="center"/>
              <w:rPr>
                <w:rFonts w:cstheme="minorHAnsi"/>
                <w:sz w:val="20"/>
                <w:szCs w:val="20"/>
              </w:rPr>
            </w:pPr>
            <w:r w:rsidRPr="009227B9">
              <w:rPr>
                <w:rFonts w:cstheme="minorHAnsi"/>
                <w:b/>
                <w:sz w:val="20"/>
                <w:szCs w:val="20"/>
              </w:rPr>
              <w:t xml:space="preserve">Wartość bazowa </w:t>
            </w:r>
            <w:r w:rsidRPr="009227B9">
              <w:rPr>
                <w:rFonts w:cstheme="minorHAnsi"/>
                <w:b/>
                <w:sz w:val="20"/>
                <w:szCs w:val="20"/>
              </w:rPr>
              <w:br/>
              <w:t xml:space="preserve">w </w:t>
            </w:r>
            <w:r w:rsidR="00665D02" w:rsidRPr="009227B9">
              <w:rPr>
                <w:rFonts w:cstheme="minorHAnsi"/>
                <w:b/>
                <w:sz w:val="20"/>
                <w:szCs w:val="20"/>
              </w:rPr>
              <w:t xml:space="preserve">2020 r. (dane z </w:t>
            </w:r>
            <w:r w:rsidRPr="009227B9">
              <w:rPr>
                <w:rFonts w:cstheme="minorHAnsi"/>
                <w:b/>
                <w:sz w:val="20"/>
                <w:szCs w:val="20"/>
              </w:rPr>
              <w:t>2019 r.</w:t>
            </w:r>
          </w:p>
        </w:tc>
        <w:tc>
          <w:tcPr>
            <w:tcW w:w="1417" w:type="dxa"/>
            <w:shd w:val="clear" w:color="auto" w:fill="D9E2F3" w:themeFill="accent1" w:themeFillTint="33"/>
            <w:vAlign w:val="center"/>
          </w:tcPr>
          <w:p w14:paraId="07331E9F" w14:textId="77777777" w:rsidR="006516B5" w:rsidRPr="009227B9" w:rsidRDefault="006516B5" w:rsidP="002959F3">
            <w:pPr>
              <w:spacing w:after="0" w:line="240" w:lineRule="auto"/>
              <w:jc w:val="center"/>
              <w:rPr>
                <w:rFonts w:cstheme="minorHAnsi"/>
                <w:b/>
                <w:sz w:val="20"/>
                <w:szCs w:val="20"/>
              </w:rPr>
            </w:pPr>
            <w:r w:rsidRPr="009227B9">
              <w:rPr>
                <w:rFonts w:cstheme="minorHAnsi"/>
                <w:b/>
                <w:sz w:val="20"/>
                <w:szCs w:val="20"/>
              </w:rPr>
              <w:t>Wartość w 2025 r.</w:t>
            </w:r>
          </w:p>
        </w:tc>
        <w:tc>
          <w:tcPr>
            <w:tcW w:w="1276" w:type="dxa"/>
            <w:shd w:val="clear" w:color="auto" w:fill="D9E2F3" w:themeFill="accent1" w:themeFillTint="33"/>
            <w:vAlign w:val="center"/>
          </w:tcPr>
          <w:p w14:paraId="4F2A77F4" w14:textId="77777777" w:rsidR="006516B5" w:rsidRPr="009227B9" w:rsidRDefault="006516B5" w:rsidP="002959F3">
            <w:pPr>
              <w:spacing w:after="0" w:line="240" w:lineRule="auto"/>
              <w:jc w:val="center"/>
              <w:rPr>
                <w:rFonts w:cstheme="minorHAnsi"/>
                <w:sz w:val="20"/>
                <w:szCs w:val="20"/>
              </w:rPr>
            </w:pPr>
            <w:r w:rsidRPr="009227B9">
              <w:rPr>
                <w:rFonts w:cstheme="minorHAnsi"/>
                <w:b/>
                <w:sz w:val="20"/>
                <w:szCs w:val="20"/>
              </w:rPr>
              <w:t xml:space="preserve">Wartość oczekiwana </w:t>
            </w:r>
            <w:r w:rsidRPr="009227B9">
              <w:rPr>
                <w:rFonts w:cstheme="minorHAnsi"/>
                <w:b/>
                <w:sz w:val="20"/>
                <w:szCs w:val="20"/>
              </w:rPr>
              <w:br/>
              <w:t>w 2030 r.</w:t>
            </w:r>
          </w:p>
        </w:tc>
        <w:tc>
          <w:tcPr>
            <w:tcW w:w="1276" w:type="dxa"/>
            <w:shd w:val="clear" w:color="auto" w:fill="D9E2F3" w:themeFill="accent1" w:themeFillTint="33"/>
          </w:tcPr>
          <w:p w14:paraId="781189A1" w14:textId="77777777" w:rsidR="001E4DA0" w:rsidRDefault="001E4DA0" w:rsidP="002959F3">
            <w:pPr>
              <w:spacing w:after="0" w:line="240" w:lineRule="auto"/>
              <w:jc w:val="center"/>
              <w:rPr>
                <w:rFonts w:cstheme="minorHAnsi"/>
                <w:b/>
                <w:sz w:val="20"/>
                <w:szCs w:val="20"/>
              </w:rPr>
            </w:pPr>
          </w:p>
          <w:p w14:paraId="2B489C57" w14:textId="1EDF501F" w:rsidR="006516B5" w:rsidRPr="009227B9" w:rsidRDefault="006516B5" w:rsidP="002959F3">
            <w:pPr>
              <w:spacing w:after="0" w:line="240" w:lineRule="auto"/>
              <w:jc w:val="center"/>
              <w:rPr>
                <w:rFonts w:cstheme="minorHAnsi"/>
                <w:b/>
                <w:sz w:val="20"/>
                <w:szCs w:val="20"/>
              </w:rPr>
            </w:pPr>
            <w:r w:rsidRPr="009227B9">
              <w:rPr>
                <w:rFonts w:cstheme="minorHAnsi"/>
                <w:b/>
                <w:sz w:val="20"/>
                <w:szCs w:val="20"/>
              </w:rPr>
              <w:t xml:space="preserve">Wartość oczekiwana </w:t>
            </w:r>
            <w:r w:rsidRPr="009227B9">
              <w:rPr>
                <w:rFonts w:cstheme="minorHAnsi"/>
                <w:b/>
                <w:sz w:val="20"/>
                <w:szCs w:val="20"/>
              </w:rPr>
              <w:br/>
              <w:t>w 2040 r.</w:t>
            </w:r>
          </w:p>
        </w:tc>
        <w:tc>
          <w:tcPr>
            <w:tcW w:w="1275" w:type="dxa"/>
            <w:shd w:val="clear" w:color="auto" w:fill="D9E2F3" w:themeFill="accent1" w:themeFillTint="33"/>
            <w:vAlign w:val="center"/>
          </w:tcPr>
          <w:p w14:paraId="1BA28123" w14:textId="77777777" w:rsidR="006516B5" w:rsidRPr="009227B9" w:rsidRDefault="006516B5" w:rsidP="002959F3">
            <w:pPr>
              <w:spacing w:after="0" w:line="240" w:lineRule="auto"/>
              <w:jc w:val="center"/>
              <w:rPr>
                <w:rFonts w:cstheme="minorHAnsi"/>
                <w:sz w:val="20"/>
                <w:szCs w:val="20"/>
              </w:rPr>
            </w:pPr>
            <w:r w:rsidRPr="009227B9">
              <w:rPr>
                <w:rFonts w:cstheme="minorHAnsi"/>
                <w:b/>
                <w:sz w:val="20"/>
                <w:szCs w:val="20"/>
              </w:rPr>
              <w:t>Źródło danych (instytucja bądź publikacja)</w:t>
            </w:r>
          </w:p>
        </w:tc>
      </w:tr>
      <w:tr w:rsidR="006516B5" w:rsidRPr="0035160C" w14:paraId="7D019949" w14:textId="77777777" w:rsidTr="006516B5">
        <w:trPr>
          <w:trHeight w:val="680"/>
        </w:trPr>
        <w:tc>
          <w:tcPr>
            <w:tcW w:w="9634" w:type="dxa"/>
            <w:gridSpan w:val="7"/>
          </w:tcPr>
          <w:p w14:paraId="05E35645" w14:textId="77777777" w:rsidR="006516B5" w:rsidRPr="009227B9" w:rsidRDefault="006516B5" w:rsidP="002959F3">
            <w:pPr>
              <w:spacing w:after="0" w:line="240" w:lineRule="auto"/>
              <w:jc w:val="center"/>
              <w:rPr>
                <w:rFonts w:cstheme="minorHAnsi"/>
                <w:b/>
                <w:sz w:val="20"/>
                <w:szCs w:val="20"/>
              </w:rPr>
            </w:pPr>
          </w:p>
          <w:p w14:paraId="7D714218" w14:textId="77777777" w:rsidR="006516B5" w:rsidRPr="009227B9" w:rsidRDefault="006516B5" w:rsidP="002959F3">
            <w:pPr>
              <w:spacing w:after="0" w:line="240" w:lineRule="auto"/>
              <w:jc w:val="center"/>
              <w:rPr>
                <w:rFonts w:cstheme="minorHAnsi"/>
                <w:b/>
                <w:color w:val="0000FF"/>
                <w:sz w:val="20"/>
                <w:szCs w:val="20"/>
              </w:rPr>
            </w:pPr>
            <w:r w:rsidRPr="009227B9">
              <w:rPr>
                <w:rFonts w:cstheme="minorHAnsi"/>
                <w:b/>
                <w:sz w:val="20"/>
                <w:szCs w:val="20"/>
              </w:rPr>
              <w:t xml:space="preserve">CEL GŁÓWNY </w:t>
            </w:r>
          </w:p>
        </w:tc>
      </w:tr>
      <w:tr w:rsidR="006516B5" w:rsidRPr="0035160C" w14:paraId="5DBC3A51" w14:textId="77777777" w:rsidTr="006516B5">
        <w:trPr>
          <w:trHeight w:val="1010"/>
        </w:trPr>
        <w:tc>
          <w:tcPr>
            <w:tcW w:w="462" w:type="dxa"/>
            <w:vAlign w:val="center"/>
          </w:tcPr>
          <w:p w14:paraId="41628E6A" w14:textId="77777777" w:rsidR="006516B5" w:rsidRPr="009227B9" w:rsidRDefault="006516B5" w:rsidP="002959F3">
            <w:pPr>
              <w:spacing w:after="0" w:line="240" w:lineRule="auto"/>
              <w:jc w:val="center"/>
              <w:rPr>
                <w:rFonts w:cstheme="minorHAnsi"/>
                <w:sz w:val="20"/>
                <w:szCs w:val="20"/>
              </w:rPr>
            </w:pPr>
            <w:r w:rsidRPr="009227B9">
              <w:rPr>
                <w:rFonts w:cstheme="minorHAnsi"/>
                <w:sz w:val="20"/>
                <w:szCs w:val="20"/>
              </w:rPr>
              <w:lastRenderedPageBreak/>
              <w:t>1</w:t>
            </w:r>
          </w:p>
        </w:tc>
        <w:tc>
          <w:tcPr>
            <w:tcW w:w="2227" w:type="dxa"/>
            <w:vAlign w:val="center"/>
          </w:tcPr>
          <w:p w14:paraId="7CFE4CF3" w14:textId="77777777" w:rsidR="006516B5" w:rsidRPr="009227B9" w:rsidRDefault="006516B5" w:rsidP="002959F3">
            <w:pPr>
              <w:spacing w:after="0" w:line="240" w:lineRule="auto"/>
              <w:jc w:val="center"/>
              <w:rPr>
                <w:rFonts w:cstheme="minorHAnsi"/>
                <w:sz w:val="20"/>
                <w:szCs w:val="20"/>
              </w:rPr>
            </w:pPr>
          </w:p>
          <w:p w14:paraId="42DAFB51" w14:textId="77777777" w:rsidR="006516B5" w:rsidRPr="009227B9" w:rsidRDefault="006516B5" w:rsidP="002959F3">
            <w:pPr>
              <w:spacing w:after="0" w:line="240" w:lineRule="auto"/>
              <w:jc w:val="center"/>
              <w:rPr>
                <w:rFonts w:cstheme="minorHAnsi"/>
                <w:sz w:val="20"/>
                <w:szCs w:val="20"/>
              </w:rPr>
            </w:pPr>
            <w:r w:rsidRPr="009227B9">
              <w:rPr>
                <w:rFonts w:cstheme="minorHAnsi"/>
                <w:sz w:val="20"/>
                <w:szCs w:val="20"/>
              </w:rPr>
              <w:t>Liczba stref spośród wszystkich 46 stref w kraju, w których występują obszary narażenia ludności na negatywne skutki zanieczyszczenia powietrza spowodowane przekroczeniami norm jakości powietrza (PM10 i B(a)P [szt.]</w:t>
            </w:r>
          </w:p>
          <w:p w14:paraId="65E821C6" w14:textId="77777777" w:rsidR="006516B5" w:rsidRPr="009227B9" w:rsidRDefault="006516B5" w:rsidP="002959F3">
            <w:pPr>
              <w:spacing w:after="0" w:line="240" w:lineRule="auto"/>
              <w:jc w:val="center"/>
              <w:rPr>
                <w:rFonts w:cstheme="minorHAnsi"/>
                <w:sz w:val="20"/>
                <w:szCs w:val="20"/>
              </w:rPr>
            </w:pPr>
          </w:p>
        </w:tc>
        <w:tc>
          <w:tcPr>
            <w:tcW w:w="1701" w:type="dxa"/>
            <w:vAlign w:val="center"/>
          </w:tcPr>
          <w:p w14:paraId="1564907C" w14:textId="77777777" w:rsidR="006516B5" w:rsidRPr="009227B9" w:rsidRDefault="006516B5" w:rsidP="002959F3">
            <w:pPr>
              <w:spacing w:after="0" w:line="240" w:lineRule="auto"/>
              <w:jc w:val="center"/>
              <w:rPr>
                <w:rFonts w:cstheme="minorHAnsi"/>
                <w:sz w:val="20"/>
                <w:szCs w:val="20"/>
              </w:rPr>
            </w:pPr>
            <w:r w:rsidRPr="009227B9">
              <w:rPr>
                <w:rFonts w:cstheme="minorHAnsi"/>
                <w:sz w:val="20"/>
                <w:szCs w:val="20"/>
              </w:rPr>
              <w:t>22 - PM10</w:t>
            </w:r>
            <w:r w:rsidRPr="009227B9">
              <w:rPr>
                <w:rFonts w:cstheme="minorHAnsi"/>
                <w:sz w:val="20"/>
                <w:szCs w:val="20"/>
                <w:vertAlign w:val="superscript"/>
              </w:rPr>
              <w:footnoteReference w:id="46"/>
            </w:r>
            <w:r w:rsidRPr="009227B9">
              <w:rPr>
                <w:rFonts w:cstheme="minorHAnsi"/>
                <w:sz w:val="20"/>
                <w:szCs w:val="20"/>
                <w:vertAlign w:val="superscript"/>
              </w:rPr>
              <w:t>)</w:t>
            </w:r>
          </w:p>
          <w:p w14:paraId="4E079992" w14:textId="77777777" w:rsidR="006516B5" w:rsidRPr="009227B9" w:rsidRDefault="006516B5" w:rsidP="002959F3">
            <w:pPr>
              <w:spacing w:after="0" w:line="240" w:lineRule="auto"/>
              <w:jc w:val="center"/>
              <w:rPr>
                <w:rFonts w:cstheme="minorHAnsi"/>
                <w:color w:val="FF0000"/>
                <w:sz w:val="20"/>
                <w:szCs w:val="20"/>
              </w:rPr>
            </w:pPr>
            <w:r w:rsidRPr="009227B9">
              <w:rPr>
                <w:rFonts w:cstheme="minorHAnsi"/>
                <w:sz w:val="20"/>
                <w:szCs w:val="20"/>
              </w:rPr>
              <w:t>36 - B(a)P</w:t>
            </w:r>
            <w:r w:rsidRPr="009227B9">
              <w:rPr>
                <w:rStyle w:val="Odwoanieprzypisudolnego"/>
                <w:rFonts w:cstheme="minorHAnsi"/>
                <w:sz w:val="20"/>
                <w:szCs w:val="20"/>
              </w:rPr>
              <w:footnoteReference w:id="47"/>
            </w:r>
          </w:p>
        </w:tc>
        <w:tc>
          <w:tcPr>
            <w:tcW w:w="1417" w:type="dxa"/>
            <w:vAlign w:val="center"/>
          </w:tcPr>
          <w:p w14:paraId="149B5C8B" w14:textId="77777777" w:rsidR="006516B5" w:rsidRPr="009227B9" w:rsidRDefault="006516B5" w:rsidP="002959F3">
            <w:pPr>
              <w:spacing w:after="0" w:line="240" w:lineRule="auto"/>
              <w:jc w:val="center"/>
              <w:rPr>
                <w:rFonts w:cstheme="minorHAnsi"/>
                <w:sz w:val="20"/>
                <w:szCs w:val="20"/>
              </w:rPr>
            </w:pPr>
            <w:r w:rsidRPr="009227B9">
              <w:rPr>
                <w:rFonts w:cstheme="minorHAnsi"/>
                <w:sz w:val="20"/>
                <w:szCs w:val="20"/>
              </w:rPr>
              <w:t>12 - PM10</w:t>
            </w:r>
          </w:p>
          <w:p w14:paraId="273A068E" w14:textId="77777777" w:rsidR="006516B5" w:rsidRPr="009227B9" w:rsidRDefault="006516B5" w:rsidP="002959F3">
            <w:pPr>
              <w:spacing w:after="0" w:line="240" w:lineRule="auto"/>
              <w:jc w:val="center"/>
              <w:rPr>
                <w:rFonts w:cstheme="minorHAnsi"/>
                <w:sz w:val="20"/>
                <w:szCs w:val="20"/>
              </w:rPr>
            </w:pPr>
            <w:r w:rsidRPr="009227B9">
              <w:rPr>
                <w:rFonts w:cstheme="minorHAnsi"/>
                <w:sz w:val="20"/>
                <w:szCs w:val="20"/>
              </w:rPr>
              <w:t>29 - B(a)P</w:t>
            </w:r>
          </w:p>
        </w:tc>
        <w:tc>
          <w:tcPr>
            <w:tcW w:w="1276" w:type="dxa"/>
            <w:vAlign w:val="center"/>
          </w:tcPr>
          <w:p w14:paraId="781A490E" w14:textId="77777777" w:rsidR="006516B5" w:rsidRPr="009227B9" w:rsidRDefault="006516B5" w:rsidP="002959F3">
            <w:pPr>
              <w:spacing w:after="0" w:line="240" w:lineRule="auto"/>
              <w:jc w:val="center"/>
              <w:rPr>
                <w:rFonts w:cstheme="minorHAnsi"/>
                <w:sz w:val="20"/>
                <w:szCs w:val="20"/>
              </w:rPr>
            </w:pPr>
            <w:r w:rsidRPr="009227B9">
              <w:rPr>
                <w:rFonts w:cstheme="minorHAnsi"/>
                <w:sz w:val="20"/>
                <w:szCs w:val="20"/>
              </w:rPr>
              <w:t>0 - PM10</w:t>
            </w:r>
          </w:p>
          <w:p w14:paraId="23718544" w14:textId="77777777" w:rsidR="006516B5" w:rsidRPr="009227B9" w:rsidRDefault="006516B5" w:rsidP="002959F3">
            <w:pPr>
              <w:spacing w:after="0" w:line="240" w:lineRule="auto"/>
              <w:jc w:val="center"/>
              <w:rPr>
                <w:rFonts w:cstheme="minorHAnsi"/>
                <w:sz w:val="20"/>
                <w:szCs w:val="20"/>
              </w:rPr>
            </w:pPr>
            <w:r w:rsidRPr="009227B9">
              <w:rPr>
                <w:rFonts w:cstheme="minorHAnsi"/>
                <w:sz w:val="20"/>
                <w:szCs w:val="20"/>
              </w:rPr>
              <w:t>10 - B(a)P</w:t>
            </w:r>
          </w:p>
        </w:tc>
        <w:tc>
          <w:tcPr>
            <w:tcW w:w="1276" w:type="dxa"/>
          </w:tcPr>
          <w:p w14:paraId="551239D3" w14:textId="77777777" w:rsidR="006516B5" w:rsidRPr="009227B9" w:rsidRDefault="006516B5" w:rsidP="002959F3">
            <w:pPr>
              <w:spacing w:after="0" w:line="240" w:lineRule="auto"/>
              <w:jc w:val="center"/>
              <w:rPr>
                <w:rFonts w:cstheme="minorHAnsi"/>
                <w:sz w:val="20"/>
                <w:szCs w:val="20"/>
              </w:rPr>
            </w:pPr>
          </w:p>
          <w:p w14:paraId="37412F5E" w14:textId="77777777" w:rsidR="006516B5" w:rsidRPr="009227B9" w:rsidRDefault="006516B5" w:rsidP="002959F3">
            <w:pPr>
              <w:spacing w:after="0" w:line="240" w:lineRule="auto"/>
              <w:jc w:val="center"/>
              <w:rPr>
                <w:rFonts w:cstheme="minorHAnsi"/>
                <w:sz w:val="20"/>
                <w:szCs w:val="20"/>
              </w:rPr>
            </w:pPr>
          </w:p>
          <w:p w14:paraId="3A0C9BA0" w14:textId="77777777" w:rsidR="001E4DA0" w:rsidRDefault="001E4DA0" w:rsidP="001E4DA0">
            <w:pPr>
              <w:spacing w:after="0" w:line="240" w:lineRule="auto"/>
              <w:jc w:val="center"/>
              <w:rPr>
                <w:rFonts w:cstheme="minorHAnsi"/>
                <w:sz w:val="20"/>
                <w:szCs w:val="20"/>
              </w:rPr>
            </w:pPr>
          </w:p>
          <w:p w14:paraId="74958248" w14:textId="77777777" w:rsidR="001E4DA0" w:rsidRDefault="001E4DA0" w:rsidP="001E4DA0">
            <w:pPr>
              <w:spacing w:after="0" w:line="240" w:lineRule="auto"/>
              <w:jc w:val="center"/>
              <w:rPr>
                <w:rFonts w:cstheme="minorHAnsi"/>
                <w:sz w:val="20"/>
                <w:szCs w:val="20"/>
              </w:rPr>
            </w:pPr>
          </w:p>
          <w:p w14:paraId="613524E5" w14:textId="77777777" w:rsidR="001E4DA0" w:rsidRDefault="001E4DA0" w:rsidP="001E4DA0">
            <w:pPr>
              <w:spacing w:after="0" w:line="240" w:lineRule="auto"/>
              <w:jc w:val="center"/>
              <w:rPr>
                <w:rFonts w:cstheme="minorHAnsi"/>
                <w:sz w:val="20"/>
                <w:szCs w:val="20"/>
              </w:rPr>
            </w:pPr>
          </w:p>
          <w:p w14:paraId="0279A213" w14:textId="26B3F7C6" w:rsidR="006516B5" w:rsidRPr="009227B9" w:rsidRDefault="006516B5" w:rsidP="001E4DA0">
            <w:pPr>
              <w:spacing w:after="0" w:line="240" w:lineRule="auto"/>
              <w:jc w:val="center"/>
              <w:rPr>
                <w:rFonts w:cstheme="minorHAnsi"/>
                <w:sz w:val="20"/>
                <w:szCs w:val="20"/>
              </w:rPr>
            </w:pPr>
            <w:r w:rsidRPr="009227B9">
              <w:rPr>
                <w:rFonts w:cstheme="minorHAnsi"/>
                <w:sz w:val="20"/>
                <w:szCs w:val="20"/>
              </w:rPr>
              <w:t>0 - PM10</w:t>
            </w:r>
          </w:p>
          <w:p w14:paraId="0F4B6422" w14:textId="77777777" w:rsidR="006516B5" w:rsidRPr="009227B9" w:rsidRDefault="006516B5" w:rsidP="002959F3">
            <w:pPr>
              <w:spacing w:after="0" w:line="240" w:lineRule="auto"/>
              <w:jc w:val="center"/>
              <w:rPr>
                <w:rFonts w:cstheme="minorHAnsi"/>
                <w:sz w:val="20"/>
                <w:szCs w:val="20"/>
              </w:rPr>
            </w:pPr>
            <w:r w:rsidRPr="009227B9">
              <w:rPr>
                <w:rFonts w:cstheme="minorHAnsi"/>
                <w:sz w:val="20"/>
                <w:szCs w:val="20"/>
              </w:rPr>
              <w:t>0 - B(a)P</w:t>
            </w:r>
          </w:p>
        </w:tc>
        <w:tc>
          <w:tcPr>
            <w:tcW w:w="1275" w:type="dxa"/>
            <w:vAlign w:val="center"/>
          </w:tcPr>
          <w:p w14:paraId="5A4D2CCA" w14:textId="77777777" w:rsidR="006516B5" w:rsidRPr="009227B9" w:rsidRDefault="006516B5" w:rsidP="002959F3">
            <w:pPr>
              <w:spacing w:after="0" w:line="240" w:lineRule="auto"/>
              <w:jc w:val="center"/>
              <w:rPr>
                <w:rFonts w:cstheme="minorHAnsi"/>
                <w:sz w:val="20"/>
                <w:szCs w:val="20"/>
              </w:rPr>
            </w:pPr>
            <w:r w:rsidRPr="009227B9">
              <w:rPr>
                <w:rFonts w:cstheme="minorHAnsi"/>
                <w:sz w:val="20"/>
                <w:szCs w:val="20"/>
              </w:rPr>
              <w:t>GIOŚ</w:t>
            </w:r>
          </w:p>
        </w:tc>
      </w:tr>
      <w:tr w:rsidR="006516B5" w:rsidRPr="0035160C" w14:paraId="60C6BCF3" w14:textId="77777777" w:rsidTr="006516B5">
        <w:trPr>
          <w:trHeight w:val="747"/>
        </w:trPr>
        <w:tc>
          <w:tcPr>
            <w:tcW w:w="462" w:type="dxa"/>
            <w:vAlign w:val="center"/>
          </w:tcPr>
          <w:p w14:paraId="191615B6" w14:textId="77777777" w:rsidR="006516B5" w:rsidRPr="009227B9" w:rsidRDefault="006516B5" w:rsidP="002959F3">
            <w:pPr>
              <w:spacing w:after="0" w:line="240" w:lineRule="auto"/>
              <w:jc w:val="center"/>
              <w:rPr>
                <w:rFonts w:cstheme="minorHAnsi"/>
                <w:sz w:val="20"/>
                <w:szCs w:val="20"/>
              </w:rPr>
            </w:pPr>
            <w:r w:rsidRPr="009227B9">
              <w:rPr>
                <w:rFonts w:cstheme="minorHAnsi"/>
                <w:sz w:val="20"/>
                <w:szCs w:val="20"/>
              </w:rPr>
              <w:t>2</w:t>
            </w:r>
          </w:p>
        </w:tc>
        <w:tc>
          <w:tcPr>
            <w:tcW w:w="2227" w:type="dxa"/>
            <w:vAlign w:val="center"/>
          </w:tcPr>
          <w:p w14:paraId="7F4BAA40" w14:textId="77777777" w:rsidR="006516B5" w:rsidRPr="009227B9" w:rsidRDefault="006516B5" w:rsidP="002959F3">
            <w:pPr>
              <w:spacing w:after="0" w:line="240" w:lineRule="auto"/>
              <w:jc w:val="center"/>
              <w:rPr>
                <w:rFonts w:cstheme="minorHAnsi"/>
                <w:sz w:val="20"/>
                <w:szCs w:val="20"/>
              </w:rPr>
            </w:pPr>
          </w:p>
          <w:p w14:paraId="14CF4FDD" w14:textId="083A48CA" w:rsidR="006516B5" w:rsidRPr="009227B9" w:rsidRDefault="006516B5" w:rsidP="002959F3">
            <w:pPr>
              <w:spacing w:after="0" w:line="240" w:lineRule="auto"/>
              <w:jc w:val="center"/>
              <w:rPr>
                <w:rFonts w:cstheme="minorHAnsi"/>
                <w:sz w:val="20"/>
                <w:szCs w:val="20"/>
                <w:vertAlign w:val="superscript"/>
              </w:rPr>
            </w:pPr>
            <w:r w:rsidRPr="009227B9">
              <w:rPr>
                <w:rFonts w:cstheme="minorHAnsi"/>
                <w:sz w:val="20"/>
                <w:szCs w:val="20"/>
              </w:rPr>
              <w:t xml:space="preserve">Liczba aglomeracji i miast </w:t>
            </w:r>
            <w:r w:rsidR="005733D6" w:rsidRPr="009227B9">
              <w:rPr>
                <w:rFonts w:cstheme="minorHAnsi"/>
                <w:sz w:val="20"/>
                <w:szCs w:val="20"/>
              </w:rPr>
              <w:t>(spośród 12 aglomeracji oraz 18 miast, które do 2019 r. miały status miasta powyżej 100 tys. mieszkańców)</w:t>
            </w:r>
            <w:r w:rsidRPr="009227B9">
              <w:rPr>
                <w:rFonts w:cstheme="minorHAnsi"/>
                <w:sz w:val="20"/>
                <w:szCs w:val="20"/>
              </w:rPr>
              <w:t>, w których wartość wskaźnika średniego narażenia nie przekracza pułapu stężenia ekspozycji na pył PM2,5 na poziomie 20 µg/m</w:t>
            </w:r>
            <w:r w:rsidRPr="009227B9">
              <w:rPr>
                <w:rFonts w:cstheme="minorHAnsi"/>
                <w:sz w:val="20"/>
                <w:szCs w:val="20"/>
                <w:vertAlign w:val="superscript"/>
              </w:rPr>
              <w:t>3</w:t>
            </w:r>
          </w:p>
          <w:p w14:paraId="70379970" w14:textId="77777777" w:rsidR="006516B5" w:rsidRPr="009227B9" w:rsidRDefault="006516B5" w:rsidP="002959F3">
            <w:pPr>
              <w:spacing w:after="0" w:line="240" w:lineRule="auto"/>
              <w:jc w:val="center"/>
              <w:rPr>
                <w:rFonts w:cstheme="minorHAnsi"/>
                <w:sz w:val="20"/>
                <w:szCs w:val="20"/>
              </w:rPr>
            </w:pPr>
          </w:p>
        </w:tc>
        <w:tc>
          <w:tcPr>
            <w:tcW w:w="1701" w:type="dxa"/>
            <w:vAlign w:val="center"/>
          </w:tcPr>
          <w:p w14:paraId="20065AD2" w14:textId="77777777" w:rsidR="006516B5" w:rsidRPr="009227B9" w:rsidRDefault="006516B5" w:rsidP="001E4DA0">
            <w:pPr>
              <w:spacing w:after="0" w:line="240" w:lineRule="auto"/>
              <w:jc w:val="center"/>
              <w:rPr>
                <w:rFonts w:cstheme="minorHAnsi"/>
                <w:color w:val="FF0000"/>
                <w:sz w:val="20"/>
                <w:szCs w:val="20"/>
              </w:rPr>
            </w:pPr>
            <w:r w:rsidRPr="009227B9">
              <w:rPr>
                <w:rFonts w:cstheme="minorHAnsi"/>
                <w:sz w:val="20"/>
                <w:szCs w:val="20"/>
              </w:rPr>
              <w:t>16</w:t>
            </w:r>
            <w:r w:rsidRPr="009227B9">
              <w:rPr>
                <w:rStyle w:val="Odwoanieprzypisudolnego"/>
                <w:rFonts w:cstheme="minorHAnsi"/>
                <w:sz w:val="20"/>
                <w:szCs w:val="20"/>
              </w:rPr>
              <w:footnoteReference w:id="48"/>
            </w:r>
          </w:p>
        </w:tc>
        <w:tc>
          <w:tcPr>
            <w:tcW w:w="1417" w:type="dxa"/>
            <w:vAlign w:val="center"/>
          </w:tcPr>
          <w:p w14:paraId="2ED6EAF4" w14:textId="77777777" w:rsidR="006516B5" w:rsidRPr="009227B9" w:rsidRDefault="006516B5" w:rsidP="001E4DA0">
            <w:pPr>
              <w:spacing w:after="0" w:line="240" w:lineRule="auto"/>
              <w:jc w:val="center"/>
              <w:rPr>
                <w:rFonts w:cstheme="minorHAnsi"/>
                <w:sz w:val="20"/>
                <w:szCs w:val="20"/>
              </w:rPr>
            </w:pPr>
            <w:r w:rsidRPr="009227B9">
              <w:rPr>
                <w:rFonts w:cstheme="minorHAnsi"/>
                <w:sz w:val="20"/>
                <w:szCs w:val="20"/>
              </w:rPr>
              <w:t>1</w:t>
            </w:r>
            <w:r w:rsidR="00606929" w:rsidRPr="009227B9">
              <w:rPr>
                <w:rFonts w:cstheme="minorHAnsi"/>
                <w:sz w:val="20"/>
                <w:szCs w:val="20"/>
              </w:rPr>
              <w:t>8</w:t>
            </w:r>
          </w:p>
        </w:tc>
        <w:tc>
          <w:tcPr>
            <w:tcW w:w="1276" w:type="dxa"/>
            <w:vAlign w:val="center"/>
          </w:tcPr>
          <w:p w14:paraId="0600631E" w14:textId="77777777" w:rsidR="006516B5" w:rsidRPr="009227B9" w:rsidRDefault="006516B5" w:rsidP="001E4DA0">
            <w:pPr>
              <w:spacing w:after="0" w:line="240" w:lineRule="auto"/>
              <w:jc w:val="center"/>
              <w:rPr>
                <w:rFonts w:cstheme="minorHAnsi"/>
                <w:sz w:val="20"/>
                <w:szCs w:val="20"/>
              </w:rPr>
            </w:pPr>
            <w:r w:rsidRPr="009227B9">
              <w:rPr>
                <w:rFonts w:cstheme="minorHAnsi"/>
                <w:sz w:val="20"/>
                <w:szCs w:val="20"/>
              </w:rPr>
              <w:t>20</w:t>
            </w:r>
          </w:p>
        </w:tc>
        <w:tc>
          <w:tcPr>
            <w:tcW w:w="1276" w:type="dxa"/>
          </w:tcPr>
          <w:p w14:paraId="57E72C85" w14:textId="77777777" w:rsidR="006516B5" w:rsidRPr="009227B9" w:rsidRDefault="006516B5" w:rsidP="001E4DA0">
            <w:pPr>
              <w:spacing w:after="0" w:line="240" w:lineRule="auto"/>
              <w:jc w:val="center"/>
              <w:rPr>
                <w:rFonts w:cstheme="minorHAnsi"/>
                <w:sz w:val="20"/>
                <w:szCs w:val="20"/>
              </w:rPr>
            </w:pPr>
          </w:p>
          <w:p w14:paraId="5AA3D41D" w14:textId="77777777" w:rsidR="006516B5" w:rsidRPr="009227B9" w:rsidRDefault="006516B5" w:rsidP="001E4DA0">
            <w:pPr>
              <w:spacing w:after="0" w:line="240" w:lineRule="auto"/>
              <w:jc w:val="center"/>
              <w:rPr>
                <w:rFonts w:cstheme="minorHAnsi"/>
                <w:sz w:val="20"/>
                <w:szCs w:val="20"/>
              </w:rPr>
            </w:pPr>
          </w:p>
          <w:p w14:paraId="5A0D48A8" w14:textId="0B8E6EFA" w:rsidR="006516B5" w:rsidRPr="009227B9" w:rsidRDefault="006516B5" w:rsidP="001E4DA0">
            <w:pPr>
              <w:spacing w:after="0" w:line="240" w:lineRule="auto"/>
              <w:jc w:val="center"/>
              <w:rPr>
                <w:rFonts w:cstheme="minorHAnsi"/>
                <w:sz w:val="20"/>
                <w:szCs w:val="20"/>
              </w:rPr>
            </w:pPr>
          </w:p>
          <w:p w14:paraId="72442DEE" w14:textId="3CA2FDBF" w:rsidR="00D037B5" w:rsidRPr="009227B9" w:rsidRDefault="00D037B5" w:rsidP="001E4DA0">
            <w:pPr>
              <w:spacing w:after="0" w:line="240" w:lineRule="auto"/>
              <w:jc w:val="center"/>
              <w:rPr>
                <w:rFonts w:cstheme="minorHAnsi"/>
                <w:sz w:val="20"/>
                <w:szCs w:val="20"/>
              </w:rPr>
            </w:pPr>
          </w:p>
          <w:p w14:paraId="53ED4CA5" w14:textId="51A241FD" w:rsidR="00D037B5" w:rsidRPr="009227B9" w:rsidRDefault="00D037B5" w:rsidP="001E4DA0">
            <w:pPr>
              <w:spacing w:after="0" w:line="240" w:lineRule="auto"/>
              <w:jc w:val="center"/>
              <w:rPr>
                <w:rFonts w:cstheme="minorHAnsi"/>
                <w:sz w:val="20"/>
                <w:szCs w:val="20"/>
              </w:rPr>
            </w:pPr>
          </w:p>
          <w:p w14:paraId="58CA5DE7" w14:textId="77777777" w:rsidR="00D037B5" w:rsidRPr="009227B9" w:rsidRDefault="00D037B5" w:rsidP="001E4DA0">
            <w:pPr>
              <w:spacing w:after="0" w:line="240" w:lineRule="auto"/>
              <w:jc w:val="center"/>
              <w:rPr>
                <w:rFonts w:cstheme="minorHAnsi"/>
                <w:sz w:val="20"/>
                <w:szCs w:val="20"/>
              </w:rPr>
            </w:pPr>
          </w:p>
          <w:p w14:paraId="4AA932FE" w14:textId="7AFC425A" w:rsidR="006516B5" w:rsidRPr="009227B9" w:rsidRDefault="001E4DA0" w:rsidP="001E4DA0">
            <w:pPr>
              <w:jc w:val="center"/>
              <w:rPr>
                <w:rFonts w:cstheme="minorHAnsi"/>
                <w:sz w:val="20"/>
                <w:szCs w:val="20"/>
              </w:rPr>
            </w:pPr>
            <w:r>
              <w:rPr>
                <w:rFonts w:cstheme="minorHAnsi"/>
                <w:sz w:val="20"/>
                <w:szCs w:val="20"/>
              </w:rPr>
              <w:t xml:space="preserve">                      </w:t>
            </w:r>
            <w:r w:rsidR="006516B5" w:rsidRPr="009227B9">
              <w:rPr>
                <w:rFonts w:cstheme="minorHAnsi"/>
                <w:sz w:val="20"/>
                <w:szCs w:val="20"/>
              </w:rPr>
              <w:t>30</w:t>
            </w:r>
          </w:p>
        </w:tc>
        <w:tc>
          <w:tcPr>
            <w:tcW w:w="1275" w:type="dxa"/>
            <w:vAlign w:val="center"/>
          </w:tcPr>
          <w:p w14:paraId="58160B92" w14:textId="77777777" w:rsidR="006516B5" w:rsidRPr="009227B9" w:rsidRDefault="006516B5" w:rsidP="001E4DA0">
            <w:pPr>
              <w:spacing w:after="0" w:line="240" w:lineRule="auto"/>
              <w:jc w:val="center"/>
              <w:rPr>
                <w:rFonts w:cstheme="minorHAnsi"/>
                <w:sz w:val="20"/>
                <w:szCs w:val="20"/>
              </w:rPr>
            </w:pPr>
            <w:r w:rsidRPr="009227B9">
              <w:rPr>
                <w:rFonts w:cstheme="minorHAnsi"/>
                <w:sz w:val="20"/>
                <w:szCs w:val="20"/>
              </w:rPr>
              <w:t>GIOŚ/MKiŚ</w:t>
            </w:r>
          </w:p>
        </w:tc>
      </w:tr>
      <w:tr w:rsidR="006516B5" w:rsidRPr="0035160C" w14:paraId="104A22D3" w14:textId="77777777" w:rsidTr="006516B5">
        <w:trPr>
          <w:trHeight w:val="77"/>
        </w:trPr>
        <w:tc>
          <w:tcPr>
            <w:tcW w:w="462" w:type="dxa"/>
            <w:vAlign w:val="center"/>
          </w:tcPr>
          <w:p w14:paraId="434B991C" w14:textId="77777777" w:rsidR="006516B5" w:rsidRPr="009227B9" w:rsidRDefault="006516B5" w:rsidP="002959F3">
            <w:pPr>
              <w:spacing w:after="0" w:line="240" w:lineRule="auto"/>
              <w:jc w:val="center"/>
              <w:rPr>
                <w:rFonts w:cstheme="minorHAnsi"/>
                <w:sz w:val="20"/>
                <w:szCs w:val="20"/>
              </w:rPr>
            </w:pPr>
            <w:r w:rsidRPr="009227B9">
              <w:rPr>
                <w:rFonts w:cstheme="minorHAnsi"/>
                <w:sz w:val="20"/>
                <w:szCs w:val="20"/>
              </w:rPr>
              <w:t>3</w:t>
            </w:r>
          </w:p>
        </w:tc>
        <w:tc>
          <w:tcPr>
            <w:tcW w:w="2227" w:type="dxa"/>
            <w:vAlign w:val="center"/>
          </w:tcPr>
          <w:p w14:paraId="463D910D" w14:textId="77777777" w:rsidR="006516B5" w:rsidRPr="009227B9" w:rsidRDefault="006516B5" w:rsidP="002959F3">
            <w:pPr>
              <w:spacing w:after="0" w:line="240" w:lineRule="auto"/>
              <w:jc w:val="center"/>
              <w:rPr>
                <w:rFonts w:cstheme="minorHAnsi"/>
                <w:sz w:val="20"/>
                <w:szCs w:val="20"/>
              </w:rPr>
            </w:pPr>
            <w:r w:rsidRPr="009227B9">
              <w:rPr>
                <w:rFonts w:cstheme="minorHAnsi"/>
                <w:sz w:val="20"/>
                <w:szCs w:val="20"/>
              </w:rPr>
              <w:t>Wartość Krajowego Celu Redukcji Narażenia na pył PM2,5 [µg/m</w:t>
            </w:r>
            <w:r w:rsidRPr="009227B9">
              <w:rPr>
                <w:rFonts w:cstheme="minorHAnsi"/>
                <w:sz w:val="20"/>
                <w:szCs w:val="20"/>
                <w:vertAlign w:val="superscript"/>
              </w:rPr>
              <w:t>3</w:t>
            </w:r>
            <w:r w:rsidRPr="009227B9">
              <w:rPr>
                <w:rFonts w:cstheme="minorHAnsi"/>
                <w:sz w:val="20"/>
                <w:szCs w:val="20"/>
              </w:rPr>
              <w:t>]</w:t>
            </w:r>
          </w:p>
        </w:tc>
        <w:tc>
          <w:tcPr>
            <w:tcW w:w="1701" w:type="dxa"/>
            <w:vAlign w:val="center"/>
          </w:tcPr>
          <w:p w14:paraId="42F27D4F" w14:textId="1E77E093" w:rsidR="006516B5" w:rsidRPr="009227B9" w:rsidRDefault="00D91920" w:rsidP="002959F3">
            <w:pPr>
              <w:spacing w:after="0" w:line="240" w:lineRule="auto"/>
              <w:jc w:val="center"/>
              <w:rPr>
                <w:rFonts w:cstheme="minorHAnsi"/>
                <w:color w:val="FF0000"/>
                <w:sz w:val="20"/>
                <w:szCs w:val="20"/>
              </w:rPr>
            </w:pPr>
            <w:r>
              <w:rPr>
                <w:rFonts w:cstheme="minorHAnsi"/>
                <w:sz w:val="20"/>
                <w:szCs w:val="20"/>
              </w:rPr>
              <w:t>21</w:t>
            </w:r>
            <w:r w:rsidR="006516B5" w:rsidRPr="009227B9">
              <w:rPr>
                <w:rStyle w:val="Odwoanieprzypisudolnego"/>
                <w:rFonts w:cstheme="minorHAnsi"/>
                <w:sz w:val="20"/>
                <w:szCs w:val="20"/>
              </w:rPr>
              <w:footnoteReference w:id="49"/>
            </w:r>
          </w:p>
        </w:tc>
        <w:tc>
          <w:tcPr>
            <w:tcW w:w="1417" w:type="dxa"/>
            <w:vAlign w:val="center"/>
          </w:tcPr>
          <w:p w14:paraId="6BBE1484" w14:textId="77777777" w:rsidR="006516B5" w:rsidRPr="009227B9" w:rsidRDefault="006516B5" w:rsidP="002959F3">
            <w:pPr>
              <w:spacing w:after="0" w:line="240" w:lineRule="auto"/>
              <w:jc w:val="center"/>
              <w:rPr>
                <w:rFonts w:cstheme="minorHAnsi"/>
                <w:sz w:val="20"/>
                <w:szCs w:val="20"/>
              </w:rPr>
            </w:pPr>
            <w:r w:rsidRPr="009227B9">
              <w:rPr>
                <w:rFonts w:cstheme="minorHAnsi"/>
                <w:sz w:val="20"/>
                <w:szCs w:val="20"/>
              </w:rPr>
              <w:t>18</w:t>
            </w:r>
          </w:p>
        </w:tc>
        <w:tc>
          <w:tcPr>
            <w:tcW w:w="1276" w:type="dxa"/>
            <w:vAlign w:val="center"/>
          </w:tcPr>
          <w:p w14:paraId="7625FD77" w14:textId="77777777" w:rsidR="006516B5" w:rsidRPr="009227B9" w:rsidRDefault="006516B5" w:rsidP="002959F3">
            <w:pPr>
              <w:spacing w:after="0" w:line="240" w:lineRule="auto"/>
              <w:jc w:val="center"/>
              <w:rPr>
                <w:rFonts w:cstheme="minorHAnsi"/>
                <w:sz w:val="20"/>
                <w:szCs w:val="20"/>
              </w:rPr>
            </w:pPr>
            <w:r w:rsidRPr="009227B9">
              <w:rPr>
                <w:rFonts w:cstheme="minorHAnsi"/>
                <w:sz w:val="20"/>
                <w:szCs w:val="20"/>
              </w:rPr>
              <w:t>16</w:t>
            </w:r>
          </w:p>
        </w:tc>
        <w:tc>
          <w:tcPr>
            <w:tcW w:w="1276" w:type="dxa"/>
          </w:tcPr>
          <w:p w14:paraId="2A79C5A1" w14:textId="77777777" w:rsidR="006516B5" w:rsidRPr="009227B9" w:rsidRDefault="006516B5" w:rsidP="002959F3">
            <w:pPr>
              <w:spacing w:after="0" w:line="240" w:lineRule="auto"/>
              <w:jc w:val="center"/>
              <w:rPr>
                <w:rFonts w:cstheme="minorHAnsi"/>
                <w:sz w:val="20"/>
                <w:szCs w:val="20"/>
              </w:rPr>
            </w:pPr>
          </w:p>
          <w:p w14:paraId="1C9F6DA8" w14:textId="77777777" w:rsidR="006516B5" w:rsidRPr="009227B9" w:rsidRDefault="006516B5" w:rsidP="002959F3">
            <w:pPr>
              <w:spacing w:after="0" w:line="240" w:lineRule="auto"/>
              <w:jc w:val="center"/>
              <w:rPr>
                <w:rFonts w:cstheme="minorHAnsi"/>
                <w:sz w:val="20"/>
                <w:szCs w:val="20"/>
              </w:rPr>
            </w:pPr>
          </w:p>
          <w:p w14:paraId="2B3E9A67" w14:textId="77777777" w:rsidR="006516B5" w:rsidRPr="009227B9" w:rsidRDefault="006516B5" w:rsidP="002959F3">
            <w:pPr>
              <w:spacing w:after="0" w:line="240" w:lineRule="auto"/>
              <w:jc w:val="center"/>
              <w:rPr>
                <w:rFonts w:cstheme="minorHAnsi"/>
                <w:sz w:val="20"/>
                <w:szCs w:val="20"/>
              </w:rPr>
            </w:pPr>
            <w:r w:rsidRPr="009227B9">
              <w:rPr>
                <w:rFonts w:cstheme="minorHAnsi"/>
                <w:sz w:val="20"/>
                <w:szCs w:val="20"/>
              </w:rPr>
              <w:t>10</w:t>
            </w:r>
          </w:p>
          <w:p w14:paraId="1BB62920" w14:textId="77777777" w:rsidR="006516B5" w:rsidRPr="009227B9" w:rsidRDefault="006516B5" w:rsidP="002959F3">
            <w:pPr>
              <w:spacing w:after="0" w:line="240" w:lineRule="auto"/>
              <w:jc w:val="center"/>
              <w:rPr>
                <w:rFonts w:cstheme="minorHAnsi"/>
                <w:sz w:val="20"/>
                <w:szCs w:val="20"/>
              </w:rPr>
            </w:pPr>
          </w:p>
          <w:p w14:paraId="365483F2" w14:textId="77777777" w:rsidR="006516B5" w:rsidRPr="009227B9" w:rsidRDefault="006516B5" w:rsidP="002959F3">
            <w:pPr>
              <w:spacing w:after="0" w:line="240" w:lineRule="auto"/>
              <w:jc w:val="center"/>
              <w:rPr>
                <w:rFonts w:cstheme="minorHAnsi"/>
                <w:sz w:val="20"/>
                <w:szCs w:val="20"/>
              </w:rPr>
            </w:pPr>
          </w:p>
        </w:tc>
        <w:tc>
          <w:tcPr>
            <w:tcW w:w="1275" w:type="dxa"/>
            <w:vAlign w:val="center"/>
          </w:tcPr>
          <w:p w14:paraId="6356B427" w14:textId="77777777" w:rsidR="006516B5" w:rsidRPr="009227B9" w:rsidRDefault="006516B5" w:rsidP="002959F3">
            <w:pPr>
              <w:spacing w:after="0" w:line="240" w:lineRule="auto"/>
              <w:jc w:val="center"/>
              <w:rPr>
                <w:rFonts w:cstheme="minorHAnsi"/>
                <w:sz w:val="20"/>
                <w:szCs w:val="20"/>
              </w:rPr>
            </w:pPr>
            <w:r w:rsidRPr="009227B9">
              <w:rPr>
                <w:rFonts w:cstheme="minorHAnsi"/>
                <w:sz w:val="20"/>
                <w:szCs w:val="20"/>
              </w:rPr>
              <w:t>GIOŚ</w:t>
            </w:r>
          </w:p>
        </w:tc>
      </w:tr>
      <w:tr w:rsidR="006516B5" w:rsidRPr="0035160C" w14:paraId="1A5AF082" w14:textId="77777777" w:rsidTr="006516B5">
        <w:trPr>
          <w:trHeight w:val="500"/>
        </w:trPr>
        <w:tc>
          <w:tcPr>
            <w:tcW w:w="9634" w:type="dxa"/>
            <w:gridSpan w:val="7"/>
          </w:tcPr>
          <w:p w14:paraId="0726A64A" w14:textId="77777777" w:rsidR="006516B5" w:rsidRPr="009227B9" w:rsidRDefault="006516B5" w:rsidP="006516B5">
            <w:pPr>
              <w:spacing w:after="0" w:line="240" w:lineRule="auto"/>
              <w:rPr>
                <w:rFonts w:cstheme="minorHAnsi"/>
                <w:b/>
                <w:sz w:val="20"/>
                <w:szCs w:val="20"/>
              </w:rPr>
            </w:pPr>
          </w:p>
          <w:p w14:paraId="70C609BF" w14:textId="77777777" w:rsidR="006516B5" w:rsidRPr="009227B9" w:rsidRDefault="006516B5" w:rsidP="002959F3">
            <w:pPr>
              <w:spacing w:after="0" w:line="240" w:lineRule="auto"/>
              <w:jc w:val="center"/>
              <w:rPr>
                <w:rFonts w:cstheme="minorHAnsi"/>
                <w:b/>
                <w:sz w:val="20"/>
                <w:szCs w:val="20"/>
              </w:rPr>
            </w:pPr>
            <w:r w:rsidRPr="009227B9">
              <w:rPr>
                <w:rFonts w:cstheme="minorHAnsi"/>
                <w:b/>
                <w:sz w:val="20"/>
                <w:szCs w:val="20"/>
              </w:rPr>
              <w:t>CELE SZCZEGÓŁOWE</w:t>
            </w:r>
          </w:p>
          <w:p w14:paraId="7870CC4F" w14:textId="77777777" w:rsidR="006516B5" w:rsidRPr="009227B9" w:rsidRDefault="006516B5" w:rsidP="002959F3">
            <w:pPr>
              <w:spacing w:after="0" w:line="240" w:lineRule="auto"/>
              <w:jc w:val="center"/>
              <w:rPr>
                <w:rFonts w:cstheme="minorHAnsi"/>
                <w:b/>
                <w:sz w:val="20"/>
                <w:szCs w:val="20"/>
              </w:rPr>
            </w:pPr>
          </w:p>
        </w:tc>
      </w:tr>
      <w:tr w:rsidR="006516B5" w:rsidRPr="0035160C" w14:paraId="68F26318" w14:textId="77777777" w:rsidTr="006516B5">
        <w:trPr>
          <w:trHeight w:val="920"/>
        </w:trPr>
        <w:tc>
          <w:tcPr>
            <w:tcW w:w="462" w:type="dxa"/>
            <w:shd w:val="clear" w:color="auto" w:fill="D9E2F3" w:themeFill="accent1" w:themeFillTint="33"/>
            <w:vAlign w:val="center"/>
          </w:tcPr>
          <w:p w14:paraId="2DC95DCE" w14:textId="77777777" w:rsidR="006516B5" w:rsidRPr="009227B9" w:rsidRDefault="006516B5" w:rsidP="002959F3">
            <w:pPr>
              <w:spacing w:after="0" w:line="240" w:lineRule="auto"/>
              <w:ind w:left="-32"/>
              <w:jc w:val="center"/>
              <w:rPr>
                <w:rFonts w:cstheme="minorHAnsi"/>
                <w:sz w:val="20"/>
                <w:szCs w:val="20"/>
              </w:rPr>
            </w:pPr>
            <w:r w:rsidRPr="009227B9">
              <w:rPr>
                <w:rFonts w:cstheme="minorHAnsi"/>
                <w:b/>
                <w:sz w:val="20"/>
                <w:szCs w:val="20"/>
              </w:rPr>
              <w:t>Lp.</w:t>
            </w:r>
          </w:p>
        </w:tc>
        <w:tc>
          <w:tcPr>
            <w:tcW w:w="2227" w:type="dxa"/>
            <w:shd w:val="clear" w:color="auto" w:fill="D9E2F3" w:themeFill="accent1" w:themeFillTint="33"/>
            <w:vAlign w:val="center"/>
          </w:tcPr>
          <w:p w14:paraId="2120729E" w14:textId="77777777" w:rsidR="006516B5" w:rsidRPr="009227B9" w:rsidRDefault="006516B5" w:rsidP="002959F3">
            <w:pPr>
              <w:spacing w:after="0" w:line="240" w:lineRule="auto"/>
              <w:jc w:val="center"/>
              <w:rPr>
                <w:rFonts w:cstheme="minorHAnsi"/>
                <w:sz w:val="20"/>
                <w:szCs w:val="20"/>
              </w:rPr>
            </w:pPr>
            <w:r w:rsidRPr="009227B9">
              <w:rPr>
                <w:rFonts w:cstheme="minorHAnsi"/>
                <w:b/>
                <w:sz w:val="20"/>
                <w:szCs w:val="20"/>
              </w:rPr>
              <w:t>Nazwa wskaźnika</w:t>
            </w:r>
          </w:p>
        </w:tc>
        <w:tc>
          <w:tcPr>
            <w:tcW w:w="1701" w:type="dxa"/>
            <w:shd w:val="clear" w:color="auto" w:fill="D9E2F3" w:themeFill="accent1" w:themeFillTint="33"/>
            <w:vAlign w:val="center"/>
          </w:tcPr>
          <w:p w14:paraId="74D9D583" w14:textId="722FBFFF" w:rsidR="006516B5" w:rsidRPr="009227B9" w:rsidRDefault="006516B5" w:rsidP="002959F3">
            <w:pPr>
              <w:autoSpaceDE w:val="0"/>
              <w:autoSpaceDN w:val="0"/>
              <w:adjustRightInd w:val="0"/>
              <w:spacing w:after="0" w:line="240" w:lineRule="auto"/>
              <w:jc w:val="center"/>
              <w:rPr>
                <w:rFonts w:cstheme="minorHAnsi"/>
                <w:sz w:val="20"/>
                <w:szCs w:val="20"/>
              </w:rPr>
            </w:pPr>
            <w:r w:rsidRPr="009227B9">
              <w:rPr>
                <w:rFonts w:cstheme="minorHAnsi"/>
                <w:b/>
                <w:sz w:val="20"/>
                <w:szCs w:val="20"/>
              </w:rPr>
              <w:t xml:space="preserve">Wartość bazowa </w:t>
            </w:r>
            <w:r w:rsidRPr="009227B9">
              <w:rPr>
                <w:rFonts w:cstheme="minorHAnsi"/>
                <w:b/>
                <w:sz w:val="20"/>
                <w:szCs w:val="20"/>
              </w:rPr>
              <w:br/>
              <w:t xml:space="preserve">w 2020 r. </w:t>
            </w:r>
          </w:p>
        </w:tc>
        <w:tc>
          <w:tcPr>
            <w:tcW w:w="1417" w:type="dxa"/>
            <w:shd w:val="clear" w:color="auto" w:fill="D9E2F3" w:themeFill="accent1" w:themeFillTint="33"/>
            <w:vAlign w:val="center"/>
          </w:tcPr>
          <w:p w14:paraId="63E0F2AE" w14:textId="77777777" w:rsidR="006516B5" w:rsidRPr="009227B9" w:rsidRDefault="006516B5" w:rsidP="002959F3">
            <w:pPr>
              <w:spacing w:after="0" w:line="240" w:lineRule="auto"/>
              <w:jc w:val="center"/>
              <w:rPr>
                <w:rFonts w:cstheme="minorHAnsi"/>
                <w:sz w:val="20"/>
                <w:szCs w:val="20"/>
              </w:rPr>
            </w:pPr>
            <w:r w:rsidRPr="009227B9">
              <w:rPr>
                <w:rFonts w:cstheme="minorHAnsi"/>
                <w:b/>
                <w:sz w:val="20"/>
                <w:szCs w:val="20"/>
              </w:rPr>
              <w:t>Wartość w 2025 roku</w:t>
            </w:r>
          </w:p>
        </w:tc>
        <w:tc>
          <w:tcPr>
            <w:tcW w:w="1276" w:type="dxa"/>
            <w:shd w:val="clear" w:color="auto" w:fill="D9E2F3" w:themeFill="accent1" w:themeFillTint="33"/>
            <w:vAlign w:val="center"/>
          </w:tcPr>
          <w:p w14:paraId="47CAF339" w14:textId="77777777" w:rsidR="006516B5" w:rsidRPr="009227B9" w:rsidRDefault="006516B5" w:rsidP="002959F3">
            <w:pPr>
              <w:spacing w:after="0" w:line="240" w:lineRule="auto"/>
              <w:jc w:val="center"/>
              <w:rPr>
                <w:rFonts w:cstheme="minorHAnsi"/>
                <w:sz w:val="20"/>
                <w:szCs w:val="20"/>
              </w:rPr>
            </w:pPr>
            <w:r w:rsidRPr="009227B9">
              <w:rPr>
                <w:rFonts w:cstheme="minorHAnsi"/>
                <w:b/>
                <w:sz w:val="20"/>
                <w:szCs w:val="20"/>
              </w:rPr>
              <w:t xml:space="preserve">Wartość oczekiwana </w:t>
            </w:r>
            <w:r w:rsidRPr="009227B9">
              <w:rPr>
                <w:rFonts w:cstheme="minorHAnsi"/>
                <w:b/>
                <w:sz w:val="20"/>
                <w:szCs w:val="20"/>
              </w:rPr>
              <w:br/>
              <w:t>w 2030roku</w:t>
            </w:r>
          </w:p>
        </w:tc>
        <w:tc>
          <w:tcPr>
            <w:tcW w:w="1276" w:type="dxa"/>
            <w:shd w:val="clear" w:color="auto" w:fill="D9E2F3" w:themeFill="accent1" w:themeFillTint="33"/>
          </w:tcPr>
          <w:p w14:paraId="4FE1AEC4" w14:textId="77777777" w:rsidR="006516B5" w:rsidRPr="009227B9" w:rsidRDefault="006516B5" w:rsidP="002959F3">
            <w:pPr>
              <w:autoSpaceDE w:val="0"/>
              <w:autoSpaceDN w:val="0"/>
              <w:adjustRightInd w:val="0"/>
              <w:spacing w:after="0" w:line="240" w:lineRule="auto"/>
              <w:jc w:val="center"/>
              <w:rPr>
                <w:rFonts w:cstheme="minorHAnsi"/>
                <w:sz w:val="20"/>
                <w:szCs w:val="20"/>
              </w:rPr>
            </w:pPr>
            <w:r w:rsidRPr="009227B9">
              <w:rPr>
                <w:rFonts w:cstheme="minorHAnsi"/>
                <w:b/>
                <w:sz w:val="20"/>
                <w:szCs w:val="20"/>
              </w:rPr>
              <w:t xml:space="preserve">Wartość oczekiwana </w:t>
            </w:r>
            <w:r w:rsidRPr="009227B9">
              <w:rPr>
                <w:rFonts w:cstheme="minorHAnsi"/>
                <w:b/>
                <w:sz w:val="20"/>
                <w:szCs w:val="20"/>
              </w:rPr>
              <w:br/>
              <w:t>w 2040 roku</w:t>
            </w:r>
          </w:p>
        </w:tc>
        <w:tc>
          <w:tcPr>
            <w:tcW w:w="1275" w:type="dxa"/>
            <w:shd w:val="clear" w:color="auto" w:fill="D9E2F3" w:themeFill="accent1" w:themeFillTint="33"/>
            <w:vAlign w:val="center"/>
          </w:tcPr>
          <w:p w14:paraId="1FFA85F9" w14:textId="77777777" w:rsidR="006516B5" w:rsidRPr="009227B9" w:rsidRDefault="006516B5" w:rsidP="002959F3">
            <w:pPr>
              <w:autoSpaceDE w:val="0"/>
              <w:autoSpaceDN w:val="0"/>
              <w:adjustRightInd w:val="0"/>
              <w:spacing w:after="0" w:line="240" w:lineRule="auto"/>
              <w:jc w:val="center"/>
              <w:rPr>
                <w:rFonts w:cstheme="minorHAnsi"/>
                <w:sz w:val="20"/>
                <w:szCs w:val="20"/>
              </w:rPr>
            </w:pPr>
            <w:r w:rsidRPr="009227B9">
              <w:rPr>
                <w:rFonts w:cstheme="minorHAnsi"/>
                <w:b/>
                <w:sz w:val="20"/>
                <w:szCs w:val="20"/>
              </w:rPr>
              <w:t>Źródło danych (instytucja bądź publikacja)</w:t>
            </w:r>
          </w:p>
        </w:tc>
      </w:tr>
      <w:tr w:rsidR="006516B5" w:rsidRPr="0035160C" w14:paraId="091A8318" w14:textId="77777777" w:rsidTr="006516B5">
        <w:trPr>
          <w:trHeight w:val="920"/>
        </w:trPr>
        <w:tc>
          <w:tcPr>
            <w:tcW w:w="462" w:type="dxa"/>
            <w:vAlign w:val="center"/>
          </w:tcPr>
          <w:p w14:paraId="59422FDB" w14:textId="06F48BC8" w:rsidR="006516B5" w:rsidRPr="009227B9" w:rsidRDefault="00D037B5" w:rsidP="002959F3">
            <w:pPr>
              <w:spacing w:after="0" w:line="240" w:lineRule="auto"/>
              <w:ind w:left="-32"/>
              <w:jc w:val="center"/>
              <w:rPr>
                <w:rFonts w:cstheme="minorHAnsi"/>
                <w:sz w:val="20"/>
                <w:szCs w:val="20"/>
              </w:rPr>
            </w:pPr>
            <w:r w:rsidRPr="009227B9">
              <w:rPr>
                <w:rFonts w:cstheme="minorHAnsi"/>
                <w:sz w:val="20"/>
                <w:szCs w:val="20"/>
              </w:rPr>
              <w:lastRenderedPageBreak/>
              <w:t>1</w:t>
            </w:r>
          </w:p>
        </w:tc>
        <w:tc>
          <w:tcPr>
            <w:tcW w:w="2227" w:type="dxa"/>
            <w:vAlign w:val="center"/>
          </w:tcPr>
          <w:p w14:paraId="5B32D10E" w14:textId="77777777" w:rsidR="006516B5" w:rsidRPr="009227B9" w:rsidRDefault="006516B5" w:rsidP="002959F3">
            <w:pPr>
              <w:spacing w:after="0" w:line="240" w:lineRule="auto"/>
              <w:jc w:val="center"/>
              <w:rPr>
                <w:rFonts w:cstheme="minorHAnsi"/>
                <w:sz w:val="20"/>
                <w:szCs w:val="20"/>
              </w:rPr>
            </w:pPr>
            <w:r w:rsidRPr="009227B9">
              <w:rPr>
                <w:rFonts w:cstheme="minorHAnsi"/>
                <w:sz w:val="20"/>
                <w:szCs w:val="20"/>
              </w:rPr>
              <w:t>Międzynarodowe konferencje/seminaria/warsztaty w zakresie ochrony powietrza [szt.]</w:t>
            </w:r>
          </w:p>
        </w:tc>
        <w:tc>
          <w:tcPr>
            <w:tcW w:w="1701" w:type="dxa"/>
            <w:vAlign w:val="center"/>
          </w:tcPr>
          <w:p w14:paraId="478AE086" w14:textId="77777777" w:rsidR="006516B5" w:rsidRPr="009227B9" w:rsidRDefault="006516B5" w:rsidP="002959F3">
            <w:pPr>
              <w:spacing w:after="0" w:line="240" w:lineRule="auto"/>
              <w:jc w:val="center"/>
              <w:rPr>
                <w:rFonts w:cstheme="minorHAnsi"/>
                <w:sz w:val="20"/>
                <w:szCs w:val="20"/>
              </w:rPr>
            </w:pPr>
            <w:r w:rsidRPr="009227B9">
              <w:rPr>
                <w:rFonts w:cstheme="minorHAnsi"/>
                <w:sz w:val="20"/>
                <w:szCs w:val="20"/>
              </w:rPr>
              <w:t>8</w:t>
            </w:r>
          </w:p>
        </w:tc>
        <w:tc>
          <w:tcPr>
            <w:tcW w:w="1417" w:type="dxa"/>
            <w:vAlign w:val="center"/>
          </w:tcPr>
          <w:p w14:paraId="35D457BC" w14:textId="77777777" w:rsidR="006516B5" w:rsidRPr="009227B9" w:rsidRDefault="006516B5" w:rsidP="002959F3">
            <w:pPr>
              <w:pStyle w:val="Akapitzlist"/>
              <w:spacing w:after="0" w:line="240" w:lineRule="auto"/>
              <w:ind w:left="102"/>
              <w:jc w:val="center"/>
              <w:rPr>
                <w:rFonts w:cstheme="minorHAnsi"/>
                <w:sz w:val="20"/>
                <w:szCs w:val="20"/>
              </w:rPr>
            </w:pPr>
            <w:r w:rsidRPr="009227B9">
              <w:rPr>
                <w:rFonts w:cstheme="minorHAnsi"/>
                <w:sz w:val="20"/>
                <w:szCs w:val="20"/>
              </w:rPr>
              <w:t>8</w:t>
            </w:r>
          </w:p>
        </w:tc>
        <w:tc>
          <w:tcPr>
            <w:tcW w:w="1276" w:type="dxa"/>
            <w:vAlign w:val="center"/>
          </w:tcPr>
          <w:p w14:paraId="2E36A615" w14:textId="77777777" w:rsidR="006516B5" w:rsidRPr="009227B9" w:rsidRDefault="006516B5" w:rsidP="002959F3">
            <w:pPr>
              <w:spacing w:after="0" w:line="240" w:lineRule="auto"/>
              <w:jc w:val="center"/>
              <w:rPr>
                <w:rFonts w:cstheme="minorHAnsi"/>
                <w:sz w:val="20"/>
                <w:szCs w:val="20"/>
              </w:rPr>
            </w:pPr>
            <w:r w:rsidRPr="009227B9">
              <w:rPr>
                <w:rFonts w:cstheme="minorHAnsi"/>
                <w:sz w:val="20"/>
                <w:szCs w:val="20"/>
              </w:rPr>
              <w:t>8</w:t>
            </w:r>
          </w:p>
        </w:tc>
        <w:tc>
          <w:tcPr>
            <w:tcW w:w="1276" w:type="dxa"/>
          </w:tcPr>
          <w:p w14:paraId="018E44DB" w14:textId="77777777" w:rsidR="006516B5" w:rsidRPr="009227B9" w:rsidRDefault="006516B5" w:rsidP="002959F3">
            <w:pPr>
              <w:spacing w:after="0" w:line="240" w:lineRule="auto"/>
              <w:rPr>
                <w:rFonts w:cstheme="minorHAnsi"/>
                <w:sz w:val="20"/>
                <w:szCs w:val="20"/>
              </w:rPr>
            </w:pPr>
          </w:p>
          <w:p w14:paraId="49F43523" w14:textId="2CE5A142" w:rsidR="006516B5" w:rsidRPr="009227B9" w:rsidRDefault="00DF2675" w:rsidP="002959F3">
            <w:pPr>
              <w:spacing w:after="0" w:line="240" w:lineRule="auto"/>
              <w:jc w:val="center"/>
              <w:rPr>
                <w:rFonts w:cstheme="minorHAnsi"/>
                <w:sz w:val="20"/>
                <w:szCs w:val="20"/>
              </w:rPr>
            </w:pPr>
            <w:r>
              <w:rPr>
                <w:rFonts w:cstheme="minorHAnsi"/>
                <w:sz w:val="20"/>
                <w:szCs w:val="20"/>
              </w:rPr>
              <w:t>n</w:t>
            </w:r>
            <w:r w:rsidR="006516B5" w:rsidRPr="009227B9">
              <w:rPr>
                <w:rFonts w:cstheme="minorHAnsi"/>
                <w:sz w:val="20"/>
                <w:szCs w:val="20"/>
              </w:rPr>
              <w:t>ie zakłada się zmian w stosunku do stanu z lat poprzednich</w:t>
            </w:r>
          </w:p>
        </w:tc>
        <w:tc>
          <w:tcPr>
            <w:tcW w:w="1275" w:type="dxa"/>
            <w:vAlign w:val="center"/>
          </w:tcPr>
          <w:p w14:paraId="38A766AB" w14:textId="00683221" w:rsidR="006516B5" w:rsidRPr="009227B9" w:rsidRDefault="00DF2675" w:rsidP="002959F3">
            <w:pPr>
              <w:spacing w:after="0" w:line="240" w:lineRule="auto"/>
              <w:jc w:val="center"/>
              <w:rPr>
                <w:rFonts w:cstheme="minorHAnsi"/>
                <w:sz w:val="20"/>
                <w:szCs w:val="20"/>
              </w:rPr>
            </w:pPr>
            <w:r>
              <w:rPr>
                <w:rFonts w:cstheme="minorHAnsi"/>
                <w:sz w:val="20"/>
                <w:szCs w:val="20"/>
              </w:rPr>
              <w:t>m</w:t>
            </w:r>
            <w:r w:rsidR="006516B5" w:rsidRPr="009227B9">
              <w:rPr>
                <w:rFonts w:cstheme="minorHAnsi"/>
                <w:sz w:val="20"/>
                <w:szCs w:val="20"/>
              </w:rPr>
              <w:t>inister właściwy ds. klimatu</w:t>
            </w:r>
          </w:p>
        </w:tc>
      </w:tr>
      <w:tr w:rsidR="006516B5" w:rsidRPr="0035160C" w14:paraId="0EDED677" w14:textId="77777777" w:rsidTr="006516B5">
        <w:trPr>
          <w:trHeight w:val="920"/>
        </w:trPr>
        <w:tc>
          <w:tcPr>
            <w:tcW w:w="462" w:type="dxa"/>
            <w:vAlign w:val="center"/>
          </w:tcPr>
          <w:p w14:paraId="5923E272" w14:textId="069A936E" w:rsidR="006516B5" w:rsidRPr="009227B9" w:rsidRDefault="00D037B5" w:rsidP="002959F3">
            <w:pPr>
              <w:spacing w:after="0" w:line="240" w:lineRule="auto"/>
              <w:jc w:val="center"/>
              <w:rPr>
                <w:rFonts w:cstheme="minorHAnsi"/>
                <w:sz w:val="20"/>
                <w:szCs w:val="20"/>
              </w:rPr>
            </w:pPr>
            <w:r w:rsidRPr="009227B9">
              <w:rPr>
                <w:rFonts w:cstheme="minorHAnsi"/>
                <w:sz w:val="20"/>
                <w:szCs w:val="20"/>
              </w:rPr>
              <w:t>2</w:t>
            </w:r>
          </w:p>
        </w:tc>
        <w:tc>
          <w:tcPr>
            <w:tcW w:w="2227" w:type="dxa"/>
            <w:vAlign w:val="center"/>
          </w:tcPr>
          <w:p w14:paraId="50B30821" w14:textId="3A92FE5B" w:rsidR="006516B5" w:rsidRPr="009227B9" w:rsidRDefault="006516B5" w:rsidP="008E1BF6">
            <w:pPr>
              <w:spacing w:after="0" w:line="240" w:lineRule="auto"/>
              <w:jc w:val="center"/>
              <w:rPr>
                <w:rFonts w:cstheme="minorHAnsi"/>
                <w:sz w:val="20"/>
                <w:szCs w:val="20"/>
              </w:rPr>
            </w:pPr>
            <w:r w:rsidRPr="009227B9">
              <w:rPr>
                <w:rFonts w:cstheme="minorHAnsi"/>
                <w:sz w:val="20"/>
                <w:szCs w:val="20"/>
              </w:rPr>
              <w:t xml:space="preserve">Wprowadzenie modelowania matematycznego </w:t>
            </w:r>
            <w:r w:rsidR="002932AD">
              <w:rPr>
                <w:rFonts w:cstheme="minorHAnsi"/>
                <w:sz w:val="20"/>
                <w:szCs w:val="20"/>
              </w:rPr>
              <w:t>do</w:t>
            </w:r>
            <w:r w:rsidR="002932AD" w:rsidRPr="009227B9">
              <w:rPr>
                <w:rFonts w:cstheme="minorHAnsi"/>
                <w:sz w:val="20"/>
                <w:szCs w:val="20"/>
              </w:rPr>
              <w:t xml:space="preserve"> </w:t>
            </w:r>
            <w:r w:rsidRPr="009227B9">
              <w:rPr>
                <w:rFonts w:cstheme="minorHAnsi"/>
                <w:sz w:val="20"/>
                <w:szCs w:val="20"/>
              </w:rPr>
              <w:t>diagnoz</w:t>
            </w:r>
            <w:r w:rsidR="002932AD">
              <w:rPr>
                <w:rFonts w:cstheme="minorHAnsi"/>
                <w:sz w:val="20"/>
                <w:szCs w:val="20"/>
              </w:rPr>
              <w:t>owania</w:t>
            </w:r>
            <w:r w:rsidRPr="009227B9">
              <w:rPr>
                <w:rFonts w:cstheme="minorHAnsi"/>
                <w:sz w:val="20"/>
                <w:szCs w:val="20"/>
              </w:rPr>
              <w:t xml:space="preserve"> </w:t>
            </w:r>
            <w:r w:rsidR="002932AD">
              <w:rPr>
                <w:rFonts w:cstheme="minorHAnsi"/>
                <w:sz w:val="20"/>
                <w:szCs w:val="20"/>
              </w:rPr>
              <w:t xml:space="preserve">przyczyn przekroczeń norm </w:t>
            </w:r>
            <w:r w:rsidR="002B59E1">
              <w:rPr>
                <w:rFonts w:cstheme="minorHAnsi"/>
                <w:sz w:val="20"/>
                <w:szCs w:val="20"/>
              </w:rPr>
              <w:t xml:space="preserve">jakości powietrza, </w:t>
            </w:r>
            <w:r w:rsidRPr="009227B9">
              <w:rPr>
                <w:rFonts w:cstheme="minorHAnsi"/>
                <w:sz w:val="20"/>
                <w:szCs w:val="20"/>
              </w:rPr>
              <w:t xml:space="preserve">na potrzeby opracowania </w:t>
            </w:r>
            <w:r w:rsidR="00D91920">
              <w:rPr>
                <w:rFonts w:cstheme="minorHAnsi"/>
                <w:sz w:val="20"/>
                <w:szCs w:val="20"/>
              </w:rPr>
              <w:t>POP</w:t>
            </w:r>
            <w:r w:rsidRPr="009227B9">
              <w:rPr>
                <w:rFonts w:cstheme="minorHAnsi"/>
                <w:sz w:val="20"/>
                <w:szCs w:val="20"/>
              </w:rPr>
              <w:t xml:space="preserve"> [szt.]</w:t>
            </w:r>
          </w:p>
        </w:tc>
        <w:tc>
          <w:tcPr>
            <w:tcW w:w="1701" w:type="dxa"/>
            <w:vAlign w:val="center"/>
          </w:tcPr>
          <w:p w14:paraId="7F4BB639" w14:textId="77777777" w:rsidR="006516B5" w:rsidRPr="009227B9" w:rsidRDefault="006516B5" w:rsidP="002959F3">
            <w:pPr>
              <w:spacing w:after="0" w:line="240" w:lineRule="auto"/>
              <w:jc w:val="center"/>
              <w:rPr>
                <w:rFonts w:cstheme="minorHAnsi"/>
                <w:sz w:val="20"/>
                <w:szCs w:val="20"/>
              </w:rPr>
            </w:pPr>
            <w:r w:rsidRPr="009227B9">
              <w:rPr>
                <w:rFonts w:cstheme="minorHAnsi"/>
                <w:sz w:val="20"/>
                <w:szCs w:val="20"/>
              </w:rPr>
              <w:t>0</w:t>
            </w:r>
          </w:p>
        </w:tc>
        <w:tc>
          <w:tcPr>
            <w:tcW w:w="1417" w:type="dxa"/>
            <w:vAlign w:val="center"/>
          </w:tcPr>
          <w:p w14:paraId="169A998D" w14:textId="77777777" w:rsidR="006516B5" w:rsidRPr="009227B9" w:rsidRDefault="006516B5" w:rsidP="002959F3">
            <w:pPr>
              <w:spacing w:after="0" w:line="240" w:lineRule="auto"/>
              <w:jc w:val="center"/>
              <w:rPr>
                <w:rFonts w:cstheme="minorHAnsi"/>
                <w:sz w:val="20"/>
                <w:szCs w:val="20"/>
              </w:rPr>
            </w:pPr>
            <w:r w:rsidRPr="009227B9">
              <w:rPr>
                <w:rFonts w:cstheme="minorHAnsi"/>
                <w:sz w:val="20"/>
                <w:szCs w:val="20"/>
              </w:rPr>
              <w:t>1</w:t>
            </w:r>
          </w:p>
        </w:tc>
        <w:tc>
          <w:tcPr>
            <w:tcW w:w="1276" w:type="dxa"/>
            <w:vAlign w:val="center"/>
          </w:tcPr>
          <w:p w14:paraId="671EF939" w14:textId="77777777" w:rsidR="001E4DA0" w:rsidRDefault="001E4DA0" w:rsidP="002959F3">
            <w:pPr>
              <w:spacing w:after="0" w:line="240" w:lineRule="auto"/>
              <w:jc w:val="center"/>
              <w:rPr>
                <w:rFonts w:cstheme="minorHAnsi"/>
                <w:sz w:val="20"/>
                <w:szCs w:val="20"/>
              </w:rPr>
            </w:pPr>
          </w:p>
          <w:p w14:paraId="44017EFA" w14:textId="4ED54759" w:rsidR="006516B5" w:rsidRPr="009227B9" w:rsidRDefault="006516B5" w:rsidP="002959F3">
            <w:pPr>
              <w:spacing w:after="0" w:line="240" w:lineRule="auto"/>
              <w:jc w:val="center"/>
              <w:rPr>
                <w:rFonts w:cstheme="minorHAnsi"/>
                <w:sz w:val="20"/>
                <w:szCs w:val="20"/>
              </w:rPr>
            </w:pPr>
            <w:r w:rsidRPr="009227B9">
              <w:rPr>
                <w:rFonts w:cstheme="minorHAnsi"/>
                <w:sz w:val="20"/>
                <w:szCs w:val="20"/>
              </w:rPr>
              <w:t xml:space="preserve">1  </w:t>
            </w:r>
          </w:p>
          <w:p w14:paraId="087124F9" w14:textId="3F9E0F9A" w:rsidR="006516B5" w:rsidRPr="009227B9" w:rsidRDefault="006516B5" w:rsidP="002959F3">
            <w:pPr>
              <w:spacing w:after="0" w:line="240" w:lineRule="auto"/>
              <w:jc w:val="center"/>
              <w:rPr>
                <w:rFonts w:cstheme="minorHAnsi"/>
                <w:sz w:val="20"/>
                <w:szCs w:val="20"/>
              </w:rPr>
            </w:pPr>
            <w:r w:rsidRPr="009227B9">
              <w:rPr>
                <w:rFonts w:cstheme="minorHAnsi"/>
                <w:sz w:val="20"/>
                <w:szCs w:val="20"/>
              </w:rPr>
              <w:t>(</w:t>
            </w:r>
            <w:r w:rsidR="00D037B5" w:rsidRPr="009227B9">
              <w:rPr>
                <w:rFonts w:cstheme="minorHAnsi"/>
                <w:sz w:val="20"/>
                <w:szCs w:val="20"/>
              </w:rPr>
              <w:t>n</w:t>
            </w:r>
            <w:r w:rsidRPr="009227B9">
              <w:rPr>
                <w:rFonts w:cstheme="minorHAnsi"/>
                <w:sz w:val="20"/>
                <w:szCs w:val="20"/>
              </w:rPr>
              <w:t>ie zakłada się zmian w stosunku do stanu z 2025 r.)</w:t>
            </w:r>
          </w:p>
        </w:tc>
        <w:tc>
          <w:tcPr>
            <w:tcW w:w="1276" w:type="dxa"/>
          </w:tcPr>
          <w:p w14:paraId="77A42A5D" w14:textId="77777777" w:rsidR="006516B5" w:rsidRPr="009227B9" w:rsidRDefault="006516B5" w:rsidP="002959F3">
            <w:pPr>
              <w:spacing w:after="0" w:line="240" w:lineRule="auto"/>
              <w:rPr>
                <w:rFonts w:cstheme="minorHAnsi"/>
                <w:sz w:val="20"/>
                <w:szCs w:val="20"/>
              </w:rPr>
            </w:pPr>
          </w:p>
          <w:p w14:paraId="6FFA1DAE" w14:textId="77777777" w:rsidR="006516B5" w:rsidRPr="009227B9" w:rsidRDefault="006516B5" w:rsidP="002959F3">
            <w:pPr>
              <w:spacing w:after="0" w:line="240" w:lineRule="auto"/>
              <w:jc w:val="center"/>
              <w:rPr>
                <w:rFonts w:cstheme="minorHAnsi"/>
                <w:sz w:val="20"/>
                <w:szCs w:val="20"/>
              </w:rPr>
            </w:pPr>
            <w:r w:rsidRPr="009227B9">
              <w:rPr>
                <w:rFonts w:cstheme="minorHAnsi"/>
                <w:sz w:val="20"/>
                <w:szCs w:val="20"/>
              </w:rPr>
              <w:t xml:space="preserve">1  </w:t>
            </w:r>
          </w:p>
          <w:p w14:paraId="69518BA1" w14:textId="213C9493" w:rsidR="006516B5" w:rsidRPr="009227B9" w:rsidRDefault="006516B5" w:rsidP="002959F3">
            <w:pPr>
              <w:spacing w:after="0" w:line="240" w:lineRule="auto"/>
              <w:jc w:val="center"/>
              <w:rPr>
                <w:rFonts w:cstheme="minorHAnsi"/>
                <w:sz w:val="20"/>
                <w:szCs w:val="20"/>
              </w:rPr>
            </w:pPr>
            <w:r w:rsidRPr="009227B9">
              <w:rPr>
                <w:rFonts w:cstheme="minorHAnsi"/>
                <w:sz w:val="20"/>
                <w:szCs w:val="20"/>
              </w:rPr>
              <w:t>(</w:t>
            </w:r>
            <w:r w:rsidR="00D037B5" w:rsidRPr="009227B9">
              <w:rPr>
                <w:rFonts w:cstheme="minorHAnsi"/>
                <w:sz w:val="20"/>
                <w:szCs w:val="20"/>
              </w:rPr>
              <w:t>n</w:t>
            </w:r>
            <w:r w:rsidRPr="009227B9">
              <w:rPr>
                <w:rFonts w:cstheme="minorHAnsi"/>
                <w:sz w:val="20"/>
                <w:szCs w:val="20"/>
              </w:rPr>
              <w:t>ie zakłada się zmian w stosunku do stanu z 2025 r.)</w:t>
            </w:r>
          </w:p>
        </w:tc>
        <w:tc>
          <w:tcPr>
            <w:tcW w:w="1275" w:type="dxa"/>
            <w:vAlign w:val="center"/>
          </w:tcPr>
          <w:p w14:paraId="78667D38" w14:textId="77777777" w:rsidR="006516B5" w:rsidRPr="009227B9" w:rsidRDefault="006516B5" w:rsidP="002959F3">
            <w:pPr>
              <w:spacing w:after="0" w:line="240" w:lineRule="auto"/>
              <w:rPr>
                <w:rFonts w:cstheme="minorHAnsi"/>
                <w:sz w:val="20"/>
                <w:szCs w:val="20"/>
              </w:rPr>
            </w:pPr>
            <w:r w:rsidRPr="009227B9">
              <w:rPr>
                <w:rFonts w:cstheme="minorHAnsi"/>
                <w:sz w:val="20"/>
                <w:szCs w:val="20"/>
              </w:rPr>
              <w:t>IOŚ-PIB / KOBiZE</w:t>
            </w:r>
          </w:p>
        </w:tc>
      </w:tr>
      <w:tr w:rsidR="006516B5" w:rsidRPr="0035160C" w14:paraId="12D775F1" w14:textId="77777777" w:rsidTr="006516B5">
        <w:trPr>
          <w:trHeight w:val="507"/>
        </w:trPr>
        <w:tc>
          <w:tcPr>
            <w:tcW w:w="462" w:type="dxa"/>
            <w:vAlign w:val="center"/>
          </w:tcPr>
          <w:p w14:paraId="15D6564B" w14:textId="44E0D4FF" w:rsidR="006516B5" w:rsidRPr="009227B9" w:rsidRDefault="00D037B5" w:rsidP="002959F3">
            <w:pPr>
              <w:spacing w:after="0" w:line="240" w:lineRule="auto"/>
              <w:jc w:val="center"/>
              <w:rPr>
                <w:rFonts w:cstheme="minorHAnsi"/>
                <w:sz w:val="20"/>
                <w:szCs w:val="20"/>
              </w:rPr>
            </w:pPr>
            <w:r w:rsidRPr="009227B9">
              <w:rPr>
                <w:rFonts w:cstheme="minorHAnsi"/>
                <w:sz w:val="20"/>
                <w:szCs w:val="20"/>
              </w:rPr>
              <w:t>3</w:t>
            </w:r>
          </w:p>
        </w:tc>
        <w:tc>
          <w:tcPr>
            <w:tcW w:w="2227" w:type="dxa"/>
            <w:vAlign w:val="center"/>
          </w:tcPr>
          <w:p w14:paraId="5AB94486" w14:textId="77777777" w:rsidR="006516B5" w:rsidRPr="009227B9" w:rsidRDefault="006516B5" w:rsidP="002959F3">
            <w:pPr>
              <w:spacing w:after="0" w:line="240" w:lineRule="auto"/>
              <w:jc w:val="center"/>
              <w:rPr>
                <w:rFonts w:cstheme="minorHAnsi"/>
                <w:sz w:val="20"/>
                <w:szCs w:val="20"/>
              </w:rPr>
            </w:pPr>
            <w:r w:rsidRPr="009227B9">
              <w:rPr>
                <w:rFonts w:cstheme="minorHAnsi"/>
                <w:bCs/>
                <w:sz w:val="20"/>
                <w:szCs w:val="20"/>
              </w:rPr>
              <w:t>Liczba opracowanych POP [szt.]</w:t>
            </w:r>
          </w:p>
        </w:tc>
        <w:tc>
          <w:tcPr>
            <w:tcW w:w="1701" w:type="dxa"/>
            <w:vAlign w:val="center"/>
          </w:tcPr>
          <w:p w14:paraId="1086BB40" w14:textId="77777777" w:rsidR="006516B5" w:rsidRPr="009227B9" w:rsidRDefault="006516B5" w:rsidP="002959F3">
            <w:pPr>
              <w:spacing w:after="0" w:line="240" w:lineRule="auto"/>
              <w:jc w:val="center"/>
              <w:rPr>
                <w:rFonts w:cstheme="minorHAnsi"/>
                <w:sz w:val="20"/>
                <w:szCs w:val="20"/>
              </w:rPr>
            </w:pPr>
            <w:r w:rsidRPr="009227B9">
              <w:rPr>
                <w:rFonts w:cstheme="minorHAnsi"/>
                <w:sz w:val="20"/>
                <w:szCs w:val="20"/>
              </w:rPr>
              <w:t>31</w:t>
            </w:r>
          </w:p>
        </w:tc>
        <w:tc>
          <w:tcPr>
            <w:tcW w:w="1417" w:type="dxa"/>
            <w:vAlign w:val="center"/>
          </w:tcPr>
          <w:p w14:paraId="1BCA2F50" w14:textId="3434ABAC" w:rsidR="006516B5" w:rsidRPr="009227B9" w:rsidRDefault="00DF2675" w:rsidP="002959F3">
            <w:pPr>
              <w:spacing w:after="0" w:line="240" w:lineRule="auto"/>
              <w:jc w:val="center"/>
              <w:rPr>
                <w:rFonts w:cstheme="minorHAnsi"/>
                <w:sz w:val="20"/>
                <w:szCs w:val="20"/>
              </w:rPr>
            </w:pPr>
            <w:r>
              <w:rPr>
                <w:rFonts w:cstheme="minorHAnsi"/>
                <w:sz w:val="20"/>
                <w:szCs w:val="20"/>
              </w:rPr>
              <w:t>n</w:t>
            </w:r>
            <w:r w:rsidR="006516B5" w:rsidRPr="009227B9">
              <w:rPr>
                <w:rFonts w:cstheme="minorHAnsi"/>
                <w:sz w:val="20"/>
                <w:szCs w:val="20"/>
              </w:rPr>
              <w:t>ie zakłada się zmian w stosunku do stanu z 2020 r. (aktualnie realizowane programy ochrony powietrza mają określony termin realizacji do końca 2026 r.)</w:t>
            </w:r>
          </w:p>
        </w:tc>
        <w:tc>
          <w:tcPr>
            <w:tcW w:w="1276" w:type="dxa"/>
            <w:vAlign w:val="center"/>
          </w:tcPr>
          <w:p w14:paraId="3685D838" w14:textId="77777777" w:rsidR="006516B5" w:rsidRPr="009227B9" w:rsidRDefault="006516B5" w:rsidP="002959F3">
            <w:pPr>
              <w:spacing w:after="0" w:line="240" w:lineRule="auto"/>
              <w:jc w:val="center"/>
              <w:rPr>
                <w:rFonts w:cstheme="minorHAnsi"/>
                <w:sz w:val="20"/>
                <w:szCs w:val="20"/>
              </w:rPr>
            </w:pPr>
            <w:r w:rsidRPr="009227B9">
              <w:rPr>
                <w:rFonts w:cstheme="minorHAnsi"/>
                <w:sz w:val="20"/>
                <w:szCs w:val="20"/>
              </w:rPr>
              <w:t>5</w:t>
            </w:r>
          </w:p>
        </w:tc>
        <w:tc>
          <w:tcPr>
            <w:tcW w:w="1276" w:type="dxa"/>
          </w:tcPr>
          <w:p w14:paraId="47C4B31C" w14:textId="77777777" w:rsidR="006516B5" w:rsidRPr="009227B9" w:rsidRDefault="006516B5" w:rsidP="002959F3">
            <w:pPr>
              <w:autoSpaceDE w:val="0"/>
              <w:autoSpaceDN w:val="0"/>
              <w:adjustRightInd w:val="0"/>
              <w:spacing w:after="0" w:line="240" w:lineRule="auto"/>
              <w:jc w:val="center"/>
              <w:rPr>
                <w:rFonts w:cstheme="minorHAnsi"/>
                <w:sz w:val="20"/>
                <w:szCs w:val="20"/>
              </w:rPr>
            </w:pPr>
          </w:p>
          <w:p w14:paraId="6018200C" w14:textId="77777777" w:rsidR="006516B5" w:rsidRPr="009227B9" w:rsidRDefault="006516B5" w:rsidP="002959F3">
            <w:pPr>
              <w:spacing w:after="0" w:line="240" w:lineRule="auto"/>
              <w:jc w:val="center"/>
              <w:rPr>
                <w:rFonts w:cstheme="minorHAnsi"/>
                <w:sz w:val="20"/>
                <w:szCs w:val="20"/>
              </w:rPr>
            </w:pPr>
          </w:p>
          <w:p w14:paraId="3B447D44" w14:textId="77777777" w:rsidR="001E4DA0" w:rsidRDefault="001E4DA0" w:rsidP="002959F3">
            <w:pPr>
              <w:spacing w:after="0" w:line="240" w:lineRule="auto"/>
              <w:jc w:val="center"/>
              <w:rPr>
                <w:rFonts w:cstheme="minorHAnsi"/>
                <w:sz w:val="20"/>
                <w:szCs w:val="20"/>
              </w:rPr>
            </w:pPr>
          </w:p>
          <w:p w14:paraId="36D83207" w14:textId="77777777" w:rsidR="001E4DA0" w:rsidRDefault="001E4DA0" w:rsidP="002959F3">
            <w:pPr>
              <w:spacing w:after="0" w:line="240" w:lineRule="auto"/>
              <w:jc w:val="center"/>
              <w:rPr>
                <w:rFonts w:cstheme="minorHAnsi"/>
                <w:sz w:val="20"/>
                <w:szCs w:val="20"/>
              </w:rPr>
            </w:pPr>
          </w:p>
          <w:p w14:paraId="77ADCB86" w14:textId="77777777" w:rsidR="001E4DA0" w:rsidRDefault="001E4DA0" w:rsidP="002959F3">
            <w:pPr>
              <w:spacing w:after="0" w:line="240" w:lineRule="auto"/>
              <w:jc w:val="center"/>
              <w:rPr>
                <w:rFonts w:cstheme="minorHAnsi"/>
                <w:sz w:val="20"/>
                <w:szCs w:val="20"/>
              </w:rPr>
            </w:pPr>
          </w:p>
          <w:p w14:paraId="19508481" w14:textId="77777777" w:rsidR="001E4DA0" w:rsidRDefault="001E4DA0" w:rsidP="002959F3">
            <w:pPr>
              <w:spacing w:after="0" w:line="240" w:lineRule="auto"/>
              <w:jc w:val="center"/>
              <w:rPr>
                <w:rFonts w:cstheme="minorHAnsi"/>
                <w:sz w:val="20"/>
                <w:szCs w:val="20"/>
              </w:rPr>
            </w:pPr>
          </w:p>
          <w:p w14:paraId="0838DD82" w14:textId="77777777" w:rsidR="001E4DA0" w:rsidRDefault="001E4DA0" w:rsidP="002959F3">
            <w:pPr>
              <w:spacing w:after="0" w:line="240" w:lineRule="auto"/>
              <w:jc w:val="center"/>
              <w:rPr>
                <w:rFonts w:cstheme="minorHAnsi"/>
                <w:sz w:val="20"/>
                <w:szCs w:val="20"/>
              </w:rPr>
            </w:pPr>
          </w:p>
          <w:p w14:paraId="18925543" w14:textId="40F8148B" w:rsidR="006516B5" w:rsidRPr="009227B9" w:rsidRDefault="006516B5" w:rsidP="002959F3">
            <w:pPr>
              <w:spacing w:after="0" w:line="240" w:lineRule="auto"/>
              <w:jc w:val="center"/>
              <w:rPr>
                <w:rFonts w:cstheme="minorHAnsi"/>
                <w:sz w:val="20"/>
                <w:szCs w:val="20"/>
              </w:rPr>
            </w:pPr>
            <w:r w:rsidRPr="009227B9">
              <w:rPr>
                <w:rFonts w:cstheme="minorHAnsi"/>
                <w:sz w:val="20"/>
                <w:szCs w:val="20"/>
              </w:rPr>
              <w:t>5</w:t>
            </w:r>
          </w:p>
        </w:tc>
        <w:tc>
          <w:tcPr>
            <w:tcW w:w="1275" w:type="dxa"/>
            <w:vAlign w:val="center"/>
          </w:tcPr>
          <w:p w14:paraId="40DDAA34" w14:textId="257B275B" w:rsidR="006516B5" w:rsidRPr="009227B9" w:rsidRDefault="00DF2675" w:rsidP="002959F3">
            <w:pPr>
              <w:spacing w:after="0" w:line="240" w:lineRule="auto"/>
              <w:jc w:val="center"/>
              <w:rPr>
                <w:rFonts w:cstheme="minorHAnsi"/>
                <w:sz w:val="20"/>
                <w:szCs w:val="20"/>
              </w:rPr>
            </w:pPr>
            <w:r>
              <w:rPr>
                <w:rFonts w:cstheme="minorHAnsi"/>
                <w:sz w:val="20"/>
                <w:szCs w:val="20"/>
              </w:rPr>
              <w:t>u</w:t>
            </w:r>
            <w:r w:rsidR="00D037B5" w:rsidRPr="009227B9">
              <w:rPr>
                <w:rFonts w:cstheme="minorHAnsi"/>
                <w:sz w:val="20"/>
                <w:szCs w:val="20"/>
              </w:rPr>
              <w:t>rzędy marszałkowskie /</w:t>
            </w:r>
            <w:r>
              <w:rPr>
                <w:rFonts w:cstheme="minorHAnsi"/>
                <w:sz w:val="20"/>
                <w:szCs w:val="20"/>
              </w:rPr>
              <w:t>m</w:t>
            </w:r>
            <w:r w:rsidR="006516B5" w:rsidRPr="009227B9">
              <w:rPr>
                <w:rFonts w:cstheme="minorHAnsi"/>
                <w:sz w:val="20"/>
                <w:szCs w:val="20"/>
              </w:rPr>
              <w:t>inister właściwy ds. klimatu</w:t>
            </w:r>
          </w:p>
        </w:tc>
      </w:tr>
      <w:tr w:rsidR="006516B5" w:rsidRPr="0035160C" w14:paraId="10FA1538" w14:textId="77777777" w:rsidTr="006516B5">
        <w:trPr>
          <w:trHeight w:val="500"/>
        </w:trPr>
        <w:tc>
          <w:tcPr>
            <w:tcW w:w="462" w:type="dxa"/>
            <w:vAlign w:val="center"/>
          </w:tcPr>
          <w:p w14:paraId="6ED46B5A" w14:textId="77777777" w:rsidR="006516B5" w:rsidRPr="009227B9" w:rsidRDefault="006516B5" w:rsidP="002959F3">
            <w:pPr>
              <w:spacing w:after="0" w:line="240" w:lineRule="auto"/>
              <w:jc w:val="center"/>
              <w:rPr>
                <w:rFonts w:cstheme="minorHAnsi"/>
                <w:sz w:val="20"/>
                <w:szCs w:val="20"/>
              </w:rPr>
            </w:pPr>
            <w:r w:rsidRPr="009227B9">
              <w:rPr>
                <w:rFonts w:cstheme="minorHAnsi"/>
                <w:sz w:val="20"/>
                <w:szCs w:val="20"/>
              </w:rPr>
              <w:t>5</w:t>
            </w:r>
          </w:p>
        </w:tc>
        <w:tc>
          <w:tcPr>
            <w:tcW w:w="2227" w:type="dxa"/>
            <w:vAlign w:val="center"/>
          </w:tcPr>
          <w:p w14:paraId="66273C80" w14:textId="77777777" w:rsidR="006516B5" w:rsidRPr="009227B9" w:rsidRDefault="006516B5" w:rsidP="002959F3">
            <w:pPr>
              <w:spacing w:after="0" w:line="240" w:lineRule="auto"/>
              <w:jc w:val="center"/>
              <w:rPr>
                <w:rFonts w:cstheme="minorHAnsi"/>
                <w:sz w:val="20"/>
                <w:szCs w:val="20"/>
              </w:rPr>
            </w:pPr>
            <w:r w:rsidRPr="009227B9">
              <w:rPr>
                <w:rFonts w:cstheme="minorHAnsi"/>
                <w:sz w:val="20"/>
                <w:szCs w:val="20"/>
              </w:rPr>
              <w:t>Liczba opracowanych planów działań krótkoterminowych [szt.]</w:t>
            </w:r>
          </w:p>
        </w:tc>
        <w:tc>
          <w:tcPr>
            <w:tcW w:w="1701" w:type="dxa"/>
            <w:vAlign w:val="center"/>
          </w:tcPr>
          <w:p w14:paraId="0A48EE6B" w14:textId="77777777" w:rsidR="006516B5" w:rsidRPr="009227B9" w:rsidRDefault="006516B5" w:rsidP="002959F3">
            <w:pPr>
              <w:spacing w:after="0" w:line="240" w:lineRule="auto"/>
              <w:jc w:val="center"/>
              <w:rPr>
                <w:rFonts w:cstheme="minorHAnsi"/>
                <w:sz w:val="20"/>
                <w:szCs w:val="20"/>
              </w:rPr>
            </w:pPr>
            <w:r w:rsidRPr="009227B9">
              <w:rPr>
                <w:rFonts w:cstheme="minorHAnsi"/>
                <w:sz w:val="20"/>
                <w:szCs w:val="20"/>
              </w:rPr>
              <w:t>31</w:t>
            </w:r>
          </w:p>
        </w:tc>
        <w:tc>
          <w:tcPr>
            <w:tcW w:w="1417" w:type="dxa"/>
            <w:vAlign w:val="center"/>
          </w:tcPr>
          <w:p w14:paraId="2AEF3246" w14:textId="00A19B3D" w:rsidR="006516B5" w:rsidRPr="009227B9" w:rsidRDefault="00DF2675" w:rsidP="002959F3">
            <w:pPr>
              <w:spacing w:after="0" w:line="240" w:lineRule="auto"/>
              <w:jc w:val="center"/>
              <w:rPr>
                <w:rFonts w:cstheme="minorHAnsi"/>
                <w:sz w:val="20"/>
                <w:szCs w:val="20"/>
              </w:rPr>
            </w:pPr>
            <w:r>
              <w:rPr>
                <w:rFonts w:cstheme="minorHAnsi"/>
                <w:sz w:val="20"/>
                <w:szCs w:val="20"/>
              </w:rPr>
              <w:t>n</w:t>
            </w:r>
            <w:r w:rsidR="006516B5" w:rsidRPr="009227B9">
              <w:rPr>
                <w:rFonts w:cstheme="minorHAnsi"/>
                <w:sz w:val="20"/>
                <w:szCs w:val="20"/>
              </w:rPr>
              <w:t>ie zakłada się zmian w stosunku do stanu z 2020 r. (aktualnie realizowane plany działań krótkoterminowych  stanowią w większości przypadków integralną cześć programów ochrony powietrza, które mają określony termin realizacji do końca 2026 r.)</w:t>
            </w:r>
          </w:p>
        </w:tc>
        <w:tc>
          <w:tcPr>
            <w:tcW w:w="1276" w:type="dxa"/>
            <w:vAlign w:val="center"/>
          </w:tcPr>
          <w:p w14:paraId="35687222" w14:textId="77777777" w:rsidR="006516B5" w:rsidRPr="009227B9" w:rsidRDefault="006516B5" w:rsidP="002959F3">
            <w:pPr>
              <w:spacing w:after="0" w:line="240" w:lineRule="auto"/>
              <w:jc w:val="center"/>
              <w:rPr>
                <w:rFonts w:cstheme="minorHAnsi"/>
                <w:sz w:val="20"/>
                <w:szCs w:val="20"/>
              </w:rPr>
            </w:pPr>
            <w:r w:rsidRPr="009227B9">
              <w:rPr>
                <w:rFonts w:cstheme="minorHAnsi"/>
                <w:sz w:val="20"/>
                <w:szCs w:val="20"/>
              </w:rPr>
              <w:t>5</w:t>
            </w:r>
          </w:p>
        </w:tc>
        <w:tc>
          <w:tcPr>
            <w:tcW w:w="1276" w:type="dxa"/>
          </w:tcPr>
          <w:p w14:paraId="02EF5FDE" w14:textId="77777777" w:rsidR="006516B5" w:rsidRPr="009227B9" w:rsidRDefault="006516B5" w:rsidP="002959F3">
            <w:pPr>
              <w:autoSpaceDE w:val="0"/>
              <w:autoSpaceDN w:val="0"/>
              <w:adjustRightInd w:val="0"/>
              <w:spacing w:after="0" w:line="240" w:lineRule="auto"/>
              <w:jc w:val="center"/>
              <w:rPr>
                <w:rFonts w:cstheme="minorHAnsi"/>
                <w:sz w:val="20"/>
                <w:szCs w:val="20"/>
              </w:rPr>
            </w:pPr>
          </w:p>
          <w:p w14:paraId="343D6F23" w14:textId="77777777" w:rsidR="006516B5" w:rsidRPr="009227B9" w:rsidRDefault="006516B5" w:rsidP="002959F3">
            <w:pPr>
              <w:autoSpaceDE w:val="0"/>
              <w:autoSpaceDN w:val="0"/>
              <w:adjustRightInd w:val="0"/>
              <w:spacing w:after="0" w:line="240" w:lineRule="auto"/>
              <w:jc w:val="center"/>
              <w:rPr>
                <w:rFonts w:cstheme="minorHAnsi"/>
                <w:sz w:val="20"/>
                <w:szCs w:val="20"/>
              </w:rPr>
            </w:pPr>
          </w:p>
          <w:p w14:paraId="33DD60FE" w14:textId="140F13F9" w:rsidR="006516B5" w:rsidRPr="009227B9" w:rsidRDefault="006516B5" w:rsidP="002959F3">
            <w:pPr>
              <w:spacing w:after="0" w:line="240" w:lineRule="auto"/>
              <w:jc w:val="center"/>
              <w:rPr>
                <w:rFonts w:cstheme="minorHAnsi"/>
                <w:sz w:val="20"/>
                <w:szCs w:val="20"/>
              </w:rPr>
            </w:pPr>
          </w:p>
          <w:p w14:paraId="217DFDF7" w14:textId="7984C3A5" w:rsidR="00DD5A9A" w:rsidRPr="009227B9" w:rsidRDefault="00DD5A9A" w:rsidP="002959F3">
            <w:pPr>
              <w:spacing w:after="0" w:line="240" w:lineRule="auto"/>
              <w:jc w:val="center"/>
              <w:rPr>
                <w:rFonts w:cstheme="minorHAnsi"/>
                <w:sz w:val="20"/>
                <w:szCs w:val="20"/>
              </w:rPr>
            </w:pPr>
          </w:p>
          <w:p w14:paraId="755285C0" w14:textId="79E21DD8" w:rsidR="00DD5A9A" w:rsidRPr="009227B9" w:rsidRDefault="00DD5A9A" w:rsidP="002959F3">
            <w:pPr>
              <w:spacing w:after="0" w:line="240" w:lineRule="auto"/>
              <w:jc w:val="center"/>
              <w:rPr>
                <w:rFonts w:cstheme="minorHAnsi"/>
                <w:sz w:val="20"/>
                <w:szCs w:val="20"/>
              </w:rPr>
            </w:pPr>
          </w:p>
          <w:p w14:paraId="729FD47D" w14:textId="78A7A456" w:rsidR="00DD5A9A" w:rsidRPr="009227B9" w:rsidRDefault="00DD5A9A" w:rsidP="002959F3">
            <w:pPr>
              <w:spacing w:after="0" w:line="240" w:lineRule="auto"/>
              <w:jc w:val="center"/>
              <w:rPr>
                <w:rFonts w:cstheme="minorHAnsi"/>
                <w:sz w:val="20"/>
                <w:szCs w:val="20"/>
              </w:rPr>
            </w:pPr>
          </w:p>
          <w:p w14:paraId="52586ADB" w14:textId="250837E4" w:rsidR="00DD5A9A" w:rsidRPr="009227B9" w:rsidRDefault="00DD5A9A" w:rsidP="002959F3">
            <w:pPr>
              <w:spacing w:after="0" w:line="240" w:lineRule="auto"/>
              <w:jc w:val="center"/>
              <w:rPr>
                <w:rFonts w:cstheme="minorHAnsi"/>
                <w:sz w:val="20"/>
                <w:szCs w:val="20"/>
              </w:rPr>
            </w:pPr>
          </w:p>
          <w:p w14:paraId="4754E19F" w14:textId="1E6068A8" w:rsidR="00DD5A9A" w:rsidRPr="009227B9" w:rsidRDefault="00DD5A9A" w:rsidP="002959F3">
            <w:pPr>
              <w:spacing w:after="0" w:line="240" w:lineRule="auto"/>
              <w:jc w:val="center"/>
              <w:rPr>
                <w:rFonts w:cstheme="minorHAnsi"/>
                <w:sz w:val="20"/>
                <w:szCs w:val="20"/>
              </w:rPr>
            </w:pPr>
          </w:p>
          <w:p w14:paraId="739BAAFA" w14:textId="35FB30A2" w:rsidR="00DD5A9A" w:rsidRPr="009227B9" w:rsidRDefault="00DD5A9A" w:rsidP="002959F3">
            <w:pPr>
              <w:spacing w:after="0" w:line="240" w:lineRule="auto"/>
              <w:jc w:val="center"/>
              <w:rPr>
                <w:rFonts w:cstheme="minorHAnsi"/>
                <w:sz w:val="20"/>
                <w:szCs w:val="20"/>
              </w:rPr>
            </w:pPr>
          </w:p>
          <w:p w14:paraId="112752CC" w14:textId="77777777" w:rsidR="001E4DA0" w:rsidRDefault="001E4DA0" w:rsidP="00E0671B">
            <w:pPr>
              <w:spacing w:after="0" w:line="240" w:lineRule="auto"/>
              <w:rPr>
                <w:rFonts w:cstheme="minorHAnsi"/>
                <w:sz w:val="20"/>
                <w:szCs w:val="20"/>
              </w:rPr>
            </w:pPr>
          </w:p>
          <w:p w14:paraId="4EDEC17F" w14:textId="089682DF" w:rsidR="006516B5" w:rsidRPr="009227B9" w:rsidRDefault="006516B5" w:rsidP="002959F3">
            <w:pPr>
              <w:spacing w:after="0" w:line="240" w:lineRule="auto"/>
              <w:jc w:val="center"/>
              <w:rPr>
                <w:rFonts w:cstheme="minorHAnsi"/>
                <w:sz w:val="20"/>
                <w:szCs w:val="20"/>
              </w:rPr>
            </w:pPr>
            <w:r w:rsidRPr="009227B9">
              <w:rPr>
                <w:rFonts w:cstheme="minorHAnsi"/>
                <w:sz w:val="20"/>
                <w:szCs w:val="20"/>
              </w:rPr>
              <w:t>5</w:t>
            </w:r>
          </w:p>
        </w:tc>
        <w:tc>
          <w:tcPr>
            <w:tcW w:w="1275" w:type="dxa"/>
            <w:vAlign w:val="center"/>
          </w:tcPr>
          <w:p w14:paraId="52B1FB14" w14:textId="52CD2A15" w:rsidR="006516B5" w:rsidRPr="009227B9" w:rsidRDefault="00DF2675" w:rsidP="002959F3">
            <w:pPr>
              <w:spacing w:after="0" w:line="240" w:lineRule="auto"/>
              <w:jc w:val="center"/>
              <w:rPr>
                <w:rFonts w:cstheme="minorHAnsi"/>
                <w:sz w:val="20"/>
                <w:szCs w:val="20"/>
              </w:rPr>
            </w:pPr>
            <w:r>
              <w:rPr>
                <w:rFonts w:cstheme="minorHAnsi"/>
                <w:sz w:val="20"/>
                <w:szCs w:val="20"/>
              </w:rPr>
              <w:t>u</w:t>
            </w:r>
            <w:r w:rsidR="00D037B5" w:rsidRPr="009227B9">
              <w:rPr>
                <w:rFonts w:cstheme="minorHAnsi"/>
                <w:sz w:val="20"/>
                <w:szCs w:val="20"/>
              </w:rPr>
              <w:t>rzędy marszałkowskie / m</w:t>
            </w:r>
            <w:r w:rsidR="006516B5" w:rsidRPr="009227B9">
              <w:rPr>
                <w:rFonts w:cstheme="minorHAnsi"/>
                <w:sz w:val="20"/>
                <w:szCs w:val="20"/>
              </w:rPr>
              <w:t xml:space="preserve">inister właściwy ds. klimatu </w:t>
            </w:r>
          </w:p>
        </w:tc>
      </w:tr>
      <w:tr w:rsidR="006516B5" w:rsidRPr="0035160C" w14:paraId="120416FD" w14:textId="77777777" w:rsidTr="006516B5">
        <w:trPr>
          <w:trHeight w:val="920"/>
        </w:trPr>
        <w:tc>
          <w:tcPr>
            <w:tcW w:w="462" w:type="dxa"/>
            <w:vAlign w:val="center"/>
          </w:tcPr>
          <w:p w14:paraId="650CCED9" w14:textId="77777777" w:rsidR="006516B5" w:rsidRPr="009227B9" w:rsidRDefault="006516B5" w:rsidP="002959F3">
            <w:pPr>
              <w:spacing w:after="0" w:line="240" w:lineRule="auto"/>
              <w:jc w:val="center"/>
              <w:rPr>
                <w:rFonts w:cstheme="minorHAnsi"/>
                <w:sz w:val="20"/>
                <w:szCs w:val="20"/>
              </w:rPr>
            </w:pPr>
            <w:r w:rsidRPr="009227B9">
              <w:rPr>
                <w:rFonts w:cstheme="minorHAnsi"/>
                <w:sz w:val="20"/>
                <w:szCs w:val="20"/>
              </w:rPr>
              <w:lastRenderedPageBreak/>
              <w:t>6</w:t>
            </w:r>
          </w:p>
        </w:tc>
        <w:tc>
          <w:tcPr>
            <w:tcW w:w="2227" w:type="dxa"/>
            <w:vAlign w:val="center"/>
          </w:tcPr>
          <w:p w14:paraId="37683BF1" w14:textId="77777777" w:rsidR="006516B5" w:rsidRPr="009227B9" w:rsidRDefault="006516B5" w:rsidP="002959F3">
            <w:pPr>
              <w:spacing w:after="0" w:line="240" w:lineRule="auto"/>
              <w:jc w:val="center"/>
              <w:rPr>
                <w:rFonts w:cstheme="minorHAnsi"/>
                <w:sz w:val="20"/>
                <w:szCs w:val="20"/>
              </w:rPr>
            </w:pPr>
            <w:r w:rsidRPr="009227B9">
              <w:rPr>
                <w:rFonts w:cstheme="minorHAnsi"/>
                <w:sz w:val="20"/>
                <w:szCs w:val="20"/>
              </w:rPr>
              <w:t>Przygotowanie aktualizacji KPOP</w:t>
            </w:r>
          </w:p>
        </w:tc>
        <w:tc>
          <w:tcPr>
            <w:tcW w:w="1701" w:type="dxa"/>
            <w:vAlign w:val="center"/>
          </w:tcPr>
          <w:p w14:paraId="34D04F9D" w14:textId="77777777" w:rsidR="006516B5" w:rsidRPr="009227B9" w:rsidRDefault="006516B5" w:rsidP="002959F3">
            <w:pPr>
              <w:spacing w:after="0" w:line="240" w:lineRule="auto"/>
              <w:jc w:val="center"/>
              <w:rPr>
                <w:rFonts w:cstheme="minorHAnsi"/>
                <w:bCs/>
                <w:sz w:val="20"/>
                <w:szCs w:val="20"/>
              </w:rPr>
            </w:pPr>
            <w:r w:rsidRPr="009227B9">
              <w:rPr>
                <w:rFonts w:cstheme="minorHAnsi"/>
                <w:bCs/>
                <w:sz w:val="20"/>
                <w:szCs w:val="20"/>
              </w:rPr>
              <w:t>Wstępny projekt aktualizacji KPOP do 2020</w:t>
            </w:r>
          </w:p>
        </w:tc>
        <w:tc>
          <w:tcPr>
            <w:tcW w:w="1417" w:type="dxa"/>
            <w:vAlign w:val="center"/>
          </w:tcPr>
          <w:p w14:paraId="368B0351" w14:textId="23D446F1" w:rsidR="006516B5" w:rsidRPr="008B4B2E" w:rsidRDefault="006516B5" w:rsidP="002959F3">
            <w:pPr>
              <w:spacing w:after="0" w:line="240" w:lineRule="auto"/>
              <w:jc w:val="center"/>
              <w:rPr>
                <w:rFonts w:cstheme="minorHAnsi"/>
                <w:sz w:val="20"/>
                <w:szCs w:val="20"/>
              </w:rPr>
            </w:pPr>
            <w:r w:rsidRPr="008B4B2E">
              <w:rPr>
                <w:rFonts w:cstheme="minorHAnsi"/>
                <w:sz w:val="20"/>
                <w:szCs w:val="20"/>
              </w:rPr>
              <w:t xml:space="preserve">aktualizacja </w:t>
            </w:r>
            <w:r w:rsidR="004A7582" w:rsidRPr="008B4B2E">
              <w:rPr>
                <w:rFonts w:cstheme="minorHAnsi"/>
                <w:sz w:val="20"/>
                <w:szCs w:val="20"/>
              </w:rPr>
              <w:t>Planu działań do a</w:t>
            </w:r>
            <w:r w:rsidRPr="008B4B2E">
              <w:rPr>
                <w:rFonts w:cstheme="minorHAnsi"/>
                <w:sz w:val="20"/>
                <w:szCs w:val="20"/>
              </w:rPr>
              <w:t>KPOP</w:t>
            </w:r>
          </w:p>
        </w:tc>
        <w:tc>
          <w:tcPr>
            <w:tcW w:w="1276" w:type="dxa"/>
            <w:vAlign w:val="center"/>
          </w:tcPr>
          <w:p w14:paraId="0E0B06A2" w14:textId="21B24C4A" w:rsidR="006516B5" w:rsidRPr="008B4B2E" w:rsidRDefault="006516B5" w:rsidP="002959F3">
            <w:pPr>
              <w:spacing w:after="0" w:line="240" w:lineRule="auto"/>
              <w:jc w:val="center"/>
              <w:rPr>
                <w:rFonts w:cstheme="minorHAnsi"/>
                <w:sz w:val="20"/>
                <w:szCs w:val="20"/>
              </w:rPr>
            </w:pPr>
            <w:r w:rsidRPr="008B4B2E">
              <w:rPr>
                <w:rFonts w:cstheme="minorHAnsi"/>
                <w:sz w:val="20"/>
                <w:szCs w:val="20"/>
              </w:rPr>
              <w:t>II aktualizacja KPOP</w:t>
            </w:r>
          </w:p>
        </w:tc>
        <w:tc>
          <w:tcPr>
            <w:tcW w:w="1276" w:type="dxa"/>
          </w:tcPr>
          <w:p w14:paraId="580A1DE9" w14:textId="77777777" w:rsidR="006516B5" w:rsidRPr="009227B9" w:rsidRDefault="006516B5" w:rsidP="002959F3">
            <w:pPr>
              <w:spacing w:after="0" w:line="240" w:lineRule="auto"/>
              <w:jc w:val="center"/>
              <w:rPr>
                <w:rFonts w:cstheme="minorHAnsi"/>
                <w:sz w:val="20"/>
                <w:szCs w:val="20"/>
              </w:rPr>
            </w:pPr>
          </w:p>
          <w:p w14:paraId="172A622B" w14:textId="77777777" w:rsidR="006516B5" w:rsidRPr="009227B9" w:rsidRDefault="006516B5" w:rsidP="002959F3">
            <w:pPr>
              <w:spacing w:after="0" w:line="240" w:lineRule="auto"/>
              <w:jc w:val="center"/>
              <w:rPr>
                <w:rFonts w:cstheme="minorHAnsi"/>
                <w:sz w:val="20"/>
                <w:szCs w:val="20"/>
              </w:rPr>
            </w:pPr>
          </w:p>
          <w:p w14:paraId="5004BC06" w14:textId="170D68FA" w:rsidR="006516B5" w:rsidRPr="009227B9" w:rsidRDefault="006516B5" w:rsidP="00DD5A9A">
            <w:pPr>
              <w:spacing w:after="0" w:line="240" w:lineRule="auto"/>
              <w:jc w:val="center"/>
              <w:rPr>
                <w:rFonts w:cstheme="minorHAnsi"/>
                <w:sz w:val="20"/>
                <w:szCs w:val="20"/>
              </w:rPr>
            </w:pPr>
            <w:r w:rsidRPr="009227B9">
              <w:rPr>
                <w:rFonts w:cstheme="minorHAnsi"/>
                <w:sz w:val="20"/>
                <w:szCs w:val="20"/>
              </w:rPr>
              <w:t>Ewentualne przygotowanie nowego KPOP</w:t>
            </w:r>
          </w:p>
        </w:tc>
        <w:tc>
          <w:tcPr>
            <w:tcW w:w="1275" w:type="dxa"/>
            <w:vAlign w:val="center"/>
          </w:tcPr>
          <w:p w14:paraId="60AE190E" w14:textId="50258A53" w:rsidR="006516B5" w:rsidRPr="009227B9" w:rsidRDefault="00DF2675" w:rsidP="002959F3">
            <w:pPr>
              <w:spacing w:after="0" w:line="240" w:lineRule="auto"/>
              <w:jc w:val="center"/>
              <w:rPr>
                <w:rFonts w:cstheme="minorHAnsi"/>
                <w:sz w:val="20"/>
                <w:szCs w:val="20"/>
              </w:rPr>
            </w:pPr>
            <w:r>
              <w:rPr>
                <w:rFonts w:cstheme="minorHAnsi"/>
                <w:sz w:val="20"/>
                <w:szCs w:val="20"/>
              </w:rPr>
              <w:t>m</w:t>
            </w:r>
            <w:r w:rsidR="006516B5" w:rsidRPr="009227B9">
              <w:rPr>
                <w:rFonts w:cstheme="minorHAnsi"/>
                <w:sz w:val="20"/>
                <w:szCs w:val="20"/>
              </w:rPr>
              <w:t xml:space="preserve">inister właściwy ds. klimatu oraz pozostali członkowie Rady Ministrów </w:t>
            </w:r>
          </w:p>
        </w:tc>
      </w:tr>
      <w:tr w:rsidR="006516B5" w:rsidRPr="0035160C" w14:paraId="7FC1B9F5" w14:textId="77777777" w:rsidTr="006516B5">
        <w:trPr>
          <w:trHeight w:val="920"/>
        </w:trPr>
        <w:tc>
          <w:tcPr>
            <w:tcW w:w="462" w:type="dxa"/>
            <w:vAlign w:val="center"/>
          </w:tcPr>
          <w:p w14:paraId="41F2A6C6" w14:textId="77777777" w:rsidR="006516B5" w:rsidRPr="009227B9" w:rsidRDefault="006516B5" w:rsidP="002959F3">
            <w:pPr>
              <w:spacing w:after="0" w:line="240" w:lineRule="auto"/>
              <w:jc w:val="center"/>
              <w:rPr>
                <w:rFonts w:cstheme="minorHAnsi"/>
                <w:sz w:val="20"/>
                <w:szCs w:val="20"/>
              </w:rPr>
            </w:pPr>
            <w:r w:rsidRPr="009227B9">
              <w:rPr>
                <w:rFonts w:cstheme="minorHAnsi"/>
                <w:sz w:val="20"/>
                <w:szCs w:val="20"/>
              </w:rPr>
              <w:t>7</w:t>
            </w:r>
          </w:p>
        </w:tc>
        <w:tc>
          <w:tcPr>
            <w:tcW w:w="2227" w:type="dxa"/>
            <w:vAlign w:val="center"/>
          </w:tcPr>
          <w:p w14:paraId="14F4E2FB" w14:textId="77777777" w:rsidR="006516B5" w:rsidRPr="009227B9" w:rsidRDefault="006516B5" w:rsidP="002959F3">
            <w:pPr>
              <w:spacing w:after="0" w:line="240" w:lineRule="auto"/>
              <w:jc w:val="center"/>
              <w:rPr>
                <w:rFonts w:cstheme="minorHAnsi"/>
                <w:sz w:val="20"/>
                <w:szCs w:val="20"/>
              </w:rPr>
            </w:pPr>
            <w:r w:rsidRPr="009227B9">
              <w:rPr>
                <w:rFonts w:cstheme="minorHAnsi"/>
                <w:sz w:val="20"/>
                <w:szCs w:val="20"/>
              </w:rPr>
              <w:t>Liczba wymienionych/zmodernizowanych starych urządzeń grzewczych/instalacji o małej mocy na paliwa stałe na niskoemisyjne urządzenia na paliwa ekologiczne [szt.]</w:t>
            </w:r>
          </w:p>
        </w:tc>
        <w:tc>
          <w:tcPr>
            <w:tcW w:w="1701" w:type="dxa"/>
            <w:vAlign w:val="center"/>
          </w:tcPr>
          <w:p w14:paraId="11B483FD" w14:textId="77777777" w:rsidR="006516B5" w:rsidRPr="009227B9" w:rsidRDefault="006516B5" w:rsidP="002959F3">
            <w:pPr>
              <w:spacing w:after="0" w:line="240" w:lineRule="auto"/>
              <w:jc w:val="center"/>
              <w:rPr>
                <w:rFonts w:cstheme="minorHAnsi"/>
                <w:sz w:val="20"/>
                <w:szCs w:val="20"/>
              </w:rPr>
            </w:pPr>
            <w:r w:rsidRPr="009227B9">
              <w:rPr>
                <w:rFonts w:cstheme="minorHAnsi"/>
                <w:sz w:val="20"/>
                <w:szCs w:val="20"/>
              </w:rPr>
              <w:t xml:space="preserve">Liczba nowych źródeł zastępujących stare </w:t>
            </w:r>
          </w:p>
          <w:p w14:paraId="55383B5A" w14:textId="77777777" w:rsidR="006516B5" w:rsidRPr="009227B9" w:rsidRDefault="006516B5" w:rsidP="002959F3">
            <w:pPr>
              <w:spacing w:after="0" w:line="240" w:lineRule="auto"/>
              <w:jc w:val="center"/>
              <w:rPr>
                <w:rFonts w:cstheme="minorHAnsi"/>
                <w:sz w:val="20"/>
                <w:szCs w:val="20"/>
              </w:rPr>
            </w:pPr>
            <w:r w:rsidRPr="009227B9">
              <w:rPr>
                <w:rFonts w:cstheme="minorHAnsi"/>
                <w:sz w:val="20"/>
                <w:szCs w:val="20"/>
              </w:rPr>
              <w:t xml:space="preserve">23 082 szt. </w:t>
            </w:r>
          </w:p>
          <w:p w14:paraId="6949DF9B" w14:textId="77777777" w:rsidR="006516B5" w:rsidRPr="009227B9" w:rsidRDefault="006516B5" w:rsidP="002959F3">
            <w:pPr>
              <w:spacing w:after="0" w:line="240" w:lineRule="auto"/>
              <w:jc w:val="center"/>
              <w:rPr>
                <w:rFonts w:cstheme="minorHAnsi"/>
                <w:sz w:val="20"/>
                <w:szCs w:val="20"/>
              </w:rPr>
            </w:pPr>
            <w:r w:rsidRPr="009227B9">
              <w:rPr>
                <w:rFonts w:cstheme="minorHAnsi"/>
                <w:sz w:val="20"/>
                <w:szCs w:val="20"/>
              </w:rPr>
              <w:t>Liczba likwidowanych źródeł 42 563 szt.</w:t>
            </w:r>
          </w:p>
          <w:p w14:paraId="52143D6F" w14:textId="77777777" w:rsidR="006516B5" w:rsidRPr="009227B9" w:rsidRDefault="006516B5" w:rsidP="002959F3">
            <w:pPr>
              <w:spacing w:after="0" w:line="240" w:lineRule="auto"/>
              <w:jc w:val="center"/>
              <w:rPr>
                <w:rFonts w:cstheme="minorHAnsi"/>
                <w:bCs/>
                <w:sz w:val="20"/>
                <w:szCs w:val="20"/>
              </w:rPr>
            </w:pPr>
          </w:p>
        </w:tc>
        <w:tc>
          <w:tcPr>
            <w:tcW w:w="1417" w:type="dxa"/>
            <w:vAlign w:val="center"/>
          </w:tcPr>
          <w:p w14:paraId="73314AE2" w14:textId="77777777" w:rsidR="00B71110" w:rsidRDefault="00B71110" w:rsidP="002959F3">
            <w:pPr>
              <w:spacing w:after="0" w:line="240" w:lineRule="auto"/>
              <w:jc w:val="center"/>
              <w:rPr>
                <w:rFonts w:cstheme="minorHAnsi"/>
                <w:sz w:val="20"/>
                <w:szCs w:val="20"/>
              </w:rPr>
            </w:pPr>
            <w:r w:rsidRPr="00E634C6">
              <w:rPr>
                <w:rFonts w:cstheme="minorHAnsi"/>
                <w:sz w:val="20"/>
                <w:szCs w:val="20"/>
              </w:rPr>
              <w:t>79</w:t>
            </w:r>
            <w:r>
              <w:rPr>
                <w:rFonts w:cstheme="minorHAnsi"/>
                <w:sz w:val="20"/>
                <w:szCs w:val="20"/>
              </w:rPr>
              <w:t>0</w:t>
            </w:r>
            <w:r w:rsidRPr="00E634C6">
              <w:rPr>
                <w:rFonts w:cstheme="minorHAnsi"/>
                <w:sz w:val="20"/>
                <w:szCs w:val="20"/>
              </w:rPr>
              <w:t> tys. szt.</w:t>
            </w:r>
          </w:p>
          <w:p w14:paraId="6D85BC63" w14:textId="4B386B04" w:rsidR="006516B5" w:rsidRPr="009227B9" w:rsidRDefault="006516B5" w:rsidP="002959F3">
            <w:pPr>
              <w:spacing w:after="0" w:line="240" w:lineRule="auto"/>
              <w:jc w:val="center"/>
              <w:rPr>
                <w:rFonts w:cstheme="minorHAnsi"/>
                <w:sz w:val="20"/>
                <w:szCs w:val="20"/>
              </w:rPr>
            </w:pPr>
          </w:p>
        </w:tc>
        <w:tc>
          <w:tcPr>
            <w:tcW w:w="1276" w:type="dxa"/>
            <w:vAlign w:val="center"/>
          </w:tcPr>
          <w:p w14:paraId="1F163A66" w14:textId="7BDEA8E6" w:rsidR="00DD5A9A" w:rsidRPr="00DD0E4C" w:rsidRDefault="00DD5A9A" w:rsidP="00DD0E4C">
            <w:pPr>
              <w:rPr>
                <w:sz w:val="20"/>
                <w:szCs w:val="20"/>
              </w:rPr>
            </w:pPr>
            <w:r w:rsidRPr="00DD0E4C">
              <w:rPr>
                <w:sz w:val="20"/>
                <w:szCs w:val="20"/>
              </w:rPr>
              <w:t>3mln. szt.</w:t>
            </w:r>
          </w:p>
          <w:p w14:paraId="3E9925D7" w14:textId="4E6E62A0" w:rsidR="006516B5" w:rsidRPr="009227B9" w:rsidRDefault="006516B5" w:rsidP="002959F3">
            <w:pPr>
              <w:spacing w:after="0" w:line="240" w:lineRule="auto"/>
              <w:jc w:val="center"/>
              <w:rPr>
                <w:rFonts w:cstheme="minorHAnsi"/>
                <w:sz w:val="20"/>
                <w:szCs w:val="20"/>
              </w:rPr>
            </w:pPr>
          </w:p>
        </w:tc>
        <w:tc>
          <w:tcPr>
            <w:tcW w:w="1276" w:type="dxa"/>
          </w:tcPr>
          <w:p w14:paraId="144D76F5" w14:textId="7880F597" w:rsidR="006516B5" w:rsidRPr="009227B9" w:rsidRDefault="006516B5" w:rsidP="002959F3">
            <w:pPr>
              <w:spacing w:after="0" w:line="240" w:lineRule="auto"/>
              <w:jc w:val="center"/>
              <w:rPr>
                <w:rFonts w:cstheme="minorHAnsi"/>
                <w:sz w:val="20"/>
                <w:szCs w:val="20"/>
              </w:rPr>
            </w:pPr>
          </w:p>
          <w:p w14:paraId="43C4DFBF" w14:textId="128035A8" w:rsidR="00DD5A9A" w:rsidRPr="009227B9" w:rsidRDefault="00DD5A9A" w:rsidP="00DD5A9A">
            <w:pPr>
              <w:spacing w:after="0" w:line="240" w:lineRule="auto"/>
              <w:jc w:val="center"/>
              <w:rPr>
                <w:rFonts w:cstheme="minorHAnsi"/>
                <w:sz w:val="20"/>
                <w:szCs w:val="20"/>
              </w:rPr>
            </w:pPr>
          </w:p>
          <w:p w14:paraId="77AA1C4F" w14:textId="77777777" w:rsidR="006516B5" w:rsidRPr="009227B9" w:rsidRDefault="006516B5" w:rsidP="002959F3">
            <w:pPr>
              <w:spacing w:after="0" w:line="240" w:lineRule="auto"/>
              <w:jc w:val="center"/>
              <w:rPr>
                <w:rFonts w:cstheme="minorHAnsi"/>
                <w:sz w:val="20"/>
                <w:szCs w:val="20"/>
              </w:rPr>
            </w:pPr>
          </w:p>
          <w:p w14:paraId="7AD96446" w14:textId="7E32D9A0" w:rsidR="00DD5A9A" w:rsidRPr="009227B9" w:rsidRDefault="00DD5A9A" w:rsidP="002959F3">
            <w:pPr>
              <w:spacing w:after="0" w:line="240" w:lineRule="auto"/>
              <w:jc w:val="center"/>
              <w:rPr>
                <w:rFonts w:cstheme="minorHAnsi"/>
                <w:sz w:val="20"/>
                <w:szCs w:val="20"/>
              </w:rPr>
            </w:pPr>
            <w:r w:rsidRPr="009227B9">
              <w:rPr>
                <w:rFonts w:cstheme="minorHAnsi"/>
                <w:sz w:val="20"/>
                <w:szCs w:val="20"/>
              </w:rPr>
              <w:t>Podanie szacunkowej wartości miernika na 2040 r. możliwe będzie w 2030 r. po przeprowadzeniu oceny stanu realizacji zadania do końca 2029 r. w ramach Programu Priorytetowego „Czyste Powietrze”</w:t>
            </w:r>
          </w:p>
        </w:tc>
        <w:tc>
          <w:tcPr>
            <w:tcW w:w="1275" w:type="dxa"/>
            <w:vAlign w:val="center"/>
          </w:tcPr>
          <w:p w14:paraId="00E8D861" w14:textId="7BCA7CB9" w:rsidR="006516B5" w:rsidRPr="009227B9" w:rsidRDefault="00DF2675" w:rsidP="002959F3">
            <w:pPr>
              <w:spacing w:after="0" w:line="240" w:lineRule="auto"/>
              <w:jc w:val="center"/>
              <w:rPr>
                <w:rFonts w:cstheme="minorHAnsi"/>
                <w:sz w:val="20"/>
                <w:szCs w:val="20"/>
              </w:rPr>
            </w:pPr>
            <w:r>
              <w:rPr>
                <w:rFonts w:cstheme="minorHAnsi"/>
                <w:sz w:val="20"/>
                <w:szCs w:val="20"/>
              </w:rPr>
              <w:t>m</w:t>
            </w:r>
            <w:r w:rsidR="006516B5" w:rsidRPr="009227B9">
              <w:rPr>
                <w:rFonts w:cstheme="minorHAnsi"/>
                <w:sz w:val="20"/>
                <w:szCs w:val="20"/>
              </w:rPr>
              <w:t>inister właściwy ds. klimatu /NFOŚiGW</w:t>
            </w:r>
          </w:p>
        </w:tc>
      </w:tr>
      <w:tr w:rsidR="006516B5" w:rsidRPr="0035160C" w14:paraId="02EB935D" w14:textId="77777777" w:rsidTr="006516B5">
        <w:trPr>
          <w:trHeight w:val="920"/>
        </w:trPr>
        <w:tc>
          <w:tcPr>
            <w:tcW w:w="462" w:type="dxa"/>
            <w:vAlign w:val="center"/>
          </w:tcPr>
          <w:p w14:paraId="4607D91A" w14:textId="77777777" w:rsidR="006516B5" w:rsidRPr="009227B9" w:rsidRDefault="006516B5" w:rsidP="002959F3">
            <w:pPr>
              <w:spacing w:after="0" w:line="240" w:lineRule="auto"/>
              <w:jc w:val="center"/>
              <w:rPr>
                <w:rFonts w:cstheme="minorHAnsi"/>
                <w:sz w:val="20"/>
                <w:szCs w:val="20"/>
              </w:rPr>
            </w:pPr>
            <w:r w:rsidRPr="009227B9">
              <w:rPr>
                <w:rFonts w:cstheme="minorHAnsi"/>
                <w:sz w:val="20"/>
                <w:szCs w:val="20"/>
              </w:rPr>
              <w:t>8</w:t>
            </w:r>
          </w:p>
        </w:tc>
        <w:tc>
          <w:tcPr>
            <w:tcW w:w="2227" w:type="dxa"/>
            <w:vAlign w:val="center"/>
          </w:tcPr>
          <w:p w14:paraId="36208B72" w14:textId="34F729CB" w:rsidR="006516B5" w:rsidRPr="009227B9" w:rsidRDefault="006516B5" w:rsidP="002959F3">
            <w:pPr>
              <w:spacing w:after="0" w:line="240" w:lineRule="auto"/>
              <w:jc w:val="center"/>
              <w:rPr>
                <w:rFonts w:cstheme="minorHAnsi"/>
                <w:sz w:val="20"/>
                <w:szCs w:val="20"/>
              </w:rPr>
            </w:pPr>
            <w:r w:rsidRPr="009227B9">
              <w:rPr>
                <w:rFonts w:cstheme="minorHAnsi"/>
                <w:sz w:val="20"/>
                <w:szCs w:val="20"/>
              </w:rPr>
              <w:t xml:space="preserve">Osiągnięty efekt ekologiczny w odniesieniu do pyłu PM10 w związku z realizacją działań naprawczych w ramach POP/PONE/PDK w ramach Programu </w:t>
            </w:r>
            <w:r w:rsidR="00DD5A9A" w:rsidRPr="009227B9">
              <w:rPr>
                <w:rFonts w:cstheme="minorHAnsi"/>
                <w:sz w:val="20"/>
                <w:szCs w:val="20"/>
              </w:rPr>
              <w:t>Priorytetowego „Czyste Powietrze</w:t>
            </w:r>
            <w:r w:rsidRPr="009227B9">
              <w:rPr>
                <w:rFonts w:cstheme="minorHAnsi"/>
                <w:sz w:val="20"/>
                <w:szCs w:val="20"/>
              </w:rPr>
              <w:t xml:space="preserve"> [Mg/rok]</w:t>
            </w:r>
          </w:p>
        </w:tc>
        <w:tc>
          <w:tcPr>
            <w:tcW w:w="1701" w:type="dxa"/>
            <w:vAlign w:val="center"/>
          </w:tcPr>
          <w:p w14:paraId="19925574" w14:textId="77777777" w:rsidR="006516B5" w:rsidRPr="009227B9" w:rsidRDefault="006516B5" w:rsidP="002959F3">
            <w:pPr>
              <w:spacing w:after="0" w:line="240" w:lineRule="auto"/>
              <w:jc w:val="center"/>
              <w:rPr>
                <w:rFonts w:cstheme="minorHAnsi"/>
                <w:sz w:val="20"/>
                <w:szCs w:val="20"/>
              </w:rPr>
            </w:pPr>
            <w:r w:rsidRPr="009227B9">
              <w:rPr>
                <w:rFonts w:cstheme="minorHAnsi"/>
                <w:sz w:val="20"/>
                <w:szCs w:val="20"/>
              </w:rPr>
              <w:t>Efekty ekologiczne osiągnięte na zakończenie KAWKA I i KAWKA II: zmniejszenie emisji zanieczyszczeń, w szczególności: pyłów PM10 o 1 244,39 Mg/rok; pyłów PM2,5 o 1 218,54 MG/rok; zmniejszenie emisji CO</w:t>
            </w:r>
            <w:r w:rsidRPr="009227B9">
              <w:rPr>
                <w:rFonts w:cstheme="minorHAnsi"/>
                <w:sz w:val="20"/>
                <w:szCs w:val="20"/>
                <w:vertAlign w:val="subscript"/>
              </w:rPr>
              <w:t>2</w:t>
            </w:r>
            <w:r w:rsidRPr="009227B9">
              <w:rPr>
                <w:rFonts w:cstheme="minorHAnsi"/>
                <w:sz w:val="20"/>
                <w:szCs w:val="20"/>
              </w:rPr>
              <w:t xml:space="preserve"> o 213 403,81 Mg/rok.</w:t>
            </w:r>
          </w:p>
        </w:tc>
        <w:tc>
          <w:tcPr>
            <w:tcW w:w="1417" w:type="dxa"/>
            <w:vAlign w:val="center"/>
          </w:tcPr>
          <w:p w14:paraId="6526DB71" w14:textId="7C8586F0" w:rsidR="00B71110" w:rsidRPr="008B4B2E" w:rsidRDefault="00B71110" w:rsidP="002959F3">
            <w:pPr>
              <w:spacing w:after="0" w:line="240" w:lineRule="auto"/>
              <w:jc w:val="center"/>
              <w:rPr>
                <w:rFonts w:cstheme="minorHAnsi"/>
                <w:sz w:val="20"/>
                <w:szCs w:val="20"/>
              </w:rPr>
            </w:pPr>
            <w:r w:rsidRPr="008B4B2E">
              <w:rPr>
                <w:rFonts w:cstheme="minorHAnsi"/>
                <w:sz w:val="20"/>
                <w:szCs w:val="20"/>
              </w:rPr>
              <w:t>55 300</w:t>
            </w:r>
          </w:p>
          <w:p w14:paraId="1DE51018" w14:textId="221FB4ED" w:rsidR="006516B5" w:rsidRPr="008B4B2E" w:rsidRDefault="006516B5" w:rsidP="002959F3">
            <w:pPr>
              <w:spacing w:after="0" w:line="240" w:lineRule="auto"/>
              <w:jc w:val="center"/>
              <w:rPr>
                <w:rFonts w:cstheme="minorHAnsi"/>
                <w:sz w:val="20"/>
                <w:szCs w:val="20"/>
              </w:rPr>
            </w:pPr>
          </w:p>
        </w:tc>
        <w:tc>
          <w:tcPr>
            <w:tcW w:w="1276" w:type="dxa"/>
            <w:vAlign w:val="center"/>
          </w:tcPr>
          <w:p w14:paraId="6ADCF5AD" w14:textId="77777777" w:rsidR="00DD5A9A" w:rsidRPr="00DD5A9A" w:rsidRDefault="00DD5A9A" w:rsidP="00DD5A9A">
            <w:pPr>
              <w:autoSpaceDE w:val="0"/>
              <w:autoSpaceDN w:val="0"/>
              <w:adjustRightInd w:val="0"/>
              <w:spacing w:after="0" w:line="240" w:lineRule="auto"/>
              <w:rPr>
                <w:rFonts w:cstheme="minorHAnsi"/>
                <w:color w:val="000000"/>
                <w:sz w:val="20"/>
                <w:szCs w:val="20"/>
              </w:rPr>
            </w:pPr>
          </w:p>
          <w:p w14:paraId="39C9EAC1" w14:textId="77777777" w:rsidR="00DD5A9A" w:rsidRPr="00DD5A9A" w:rsidRDefault="00DD5A9A" w:rsidP="00DD5A9A">
            <w:pPr>
              <w:autoSpaceDE w:val="0"/>
              <w:autoSpaceDN w:val="0"/>
              <w:adjustRightInd w:val="0"/>
              <w:spacing w:after="0" w:line="240" w:lineRule="auto"/>
              <w:rPr>
                <w:rFonts w:cstheme="minorHAnsi"/>
                <w:color w:val="000000"/>
                <w:sz w:val="20"/>
                <w:szCs w:val="20"/>
              </w:rPr>
            </w:pPr>
            <w:r w:rsidRPr="00DD5A9A">
              <w:rPr>
                <w:rFonts w:cstheme="minorHAnsi"/>
                <w:color w:val="000000"/>
                <w:sz w:val="20"/>
                <w:szCs w:val="20"/>
              </w:rPr>
              <w:t xml:space="preserve"> </w:t>
            </w:r>
          </w:p>
          <w:p w14:paraId="123FC02A" w14:textId="77777777" w:rsidR="00DD5A9A" w:rsidRPr="00DD5A9A" w:rsidRDefault="00DD5A9A" w:rsidP="00DD5A9A">
            <w:pPr>
              <w:autoSpaceDE w:val="0"/>
              <w:autoSpaceDN w:val="0"/>
              <w:adjustRightInd w:val="0"/>
              <w:spacing w:after="0" w:line="240" w:lineRule="auto"/>
              <w:rPr>
                <w:rFonts w:cstheme="minorHAnsi"/>
                <w:color w:val="000000"/>
                <w:sz w:val="20"/>
                <w:szCs w:val="20"/>
              </w:rPr>
            </w:pPr>
            <w:r w:rsidRPr="00DD5A9A">
              <w:rPr>
                <w:rFonts w:cstheme="minorHAnsi"/>
                <w:color w:val="000000"/>
                <w:sz w:val="20"/>
                <w:szCs w:val="20"/>
              </w:rPr>
              <w:t xml:space="preserve">210 000 </w:t>
            </w:r>
          </w:p>
          <w:p w14:paraId="77A73119" w14:textId="75D54879" w:rsidR="006516B5" w:rsidRPr="009227B9" w:rsidRDefault="006516B5" w:rsidP="002959F3">
            <w:pPr>
              <w:spacing w:after="0" w:line="240" w:lineRule="auto"/>
              <w:jc w:val="center"/>
              <w:rPr>
                <w:rFonts w:cstheme="minorHAnsi"/>
                <w:sz w:val="20"/>
                <w:szCs w:val="20"/>
              </w:rPr>
            </w:pPr>
          </w:p>
        </w:tc>
        <w:tc>
          <w:tcPr>
            <w:tcW w:w="1276" w:type="dxa"/>
          </w:tcPr>
          <w:p w14:paraId="61C9C172" w14:textId="01D67CA9" w:rsidR="00DD5A9A" w:rsidRPr="009227B9" w:rsidRDefault="00577752" w:rsidP="002959F3">
            <w:pPr>
              <w:spacing w:after="0" w:line="240" w:lineRule="auto"/>
              <w:jc w:val="center"/>
              <w:rPr>
                <w:rFonts w:cstheme="minorHAnsi"/>
                <w:sz w:val="20"/>
                <w:szCs w:val="20"/>
              </w:rPr>
            </w:pPr>
            <w:r w:rsidRPr="009227B9">
              <w:rPr>
                <w:rFonts w:cstheme="minorHAnsi"/>
                <w:sz w:val="20"/>
                <w:szCs w:val="20"/>
              </w:rPr>
              <w:t>Podanie szacunkowej wartości miernika na 2040 r. możliwe będzie w 2030 r. po przeprowadzeniu oceny stanu realizacji zadania do końca 2029 r. w ramach Programu Priorytetowego „Czyste Powietrze”</w:t>
            </w:r>
          </w:p>
          <w:p w14:paraId="59E601B3" w14:textId="35B0FC3F" w:rsidR="00DD5A9A" w:rsidRPr="009227B9" w:rsidRDefault="00DD5A9A" w:rsidP="002959F3">
            <w:pPr>
              <w:spacing w:after="0" w:line="240" w:lineRule="auto"/>
              <w:jc w:val="center"/>
              <w:rPr>
                <w:rFonts w:cstheme="minorHAnsi"/>
                <w:sz w:val="20"/>
                <w:szCs w:val="20"/>
              </w:rPr>
            </w:pPr>
          </w:p>
        </w:tc>
        <w:tc>
          <w:tcPr>
            <w:tcW w:w="1275" w:type="dxa"/>
            <w:vAlign w:val="center"/>
          </w:tcPr>
          <w:p w14:paraId="67DC2104" w14:textId="356CBB58" w:rsidR="006516B5" w:rsidRPr="009227B9" w:rsidRDefault="00DF2675" w:rsidP="002959F3">
            <w:pPr>
              <w:spacing w:after="0" w:line="240" w:lineRule="auto"/>
              <w:jc w:val="center"/>
              <w:rPr>
                <w:rFonts w:cstheme="minorHAnsi"/>
                <w:sz w:val="20"/>
                <w:szCs w:val="20"/>
              </w:rPr>
            </w:pPr>
            <w:r>
              <w:rPr>
                <w:rFonts w:cstheme="minorHAnsi"/>
                <w:sz w:val="20"/>
                <w:szCs w:val="20"/>
              </w:rPr>
              <w:t>m</w:t>
            </w:r>
            <w:r w:rsidR="006516B5" w:rsidRPr="009227B9">
              <w:rPr>
                <w:rFonts w:cstheme="minorHAnsi"/>
                <w:sz w:val="20"/>
                <w:szCs w:val="20"/>
              </w:rPr>
              <w:t>inister właściwy ds. klimatu /NFOŚiGW</w:t>
            </w:r>
          </w:p>
        </w:tc>
      </w:tr>
      <w:tr w:rsidR="009227B9" w:rsidRPr="0035160C" w14:paraId="64700F6D" w14:textId="77777777" w:rsidTr="006516B5">
        <w:trPr>
          <w:trHeight w:val="920"/>
        </w:trPr>
        <w:tc>
          <w:tcPr>
            <w:tcW w:w="462" w:type="dxa"/>
            <w:vAlign w:val="center"/>
          </w:tcPr>
          <w:p w14:paraId="5F2AD86B" w14:textId="3C3802A7" w:rsidR="009227B9" w:rsidRPr="009227B9" w:rsidRDefault="009227B9" w:rsidP="002959F3">
            <w:pPr>
              <w:spacing w:after="0" w:line="240" w:lineRule="auto"/>
              <w:jc w:val="center"/>
              <w:rPr>
                <w:rFonts w:cstheme="minorHAnsi"/>
                <w:sz w:val="20"/>
                <w:szCs w:val="20"/>
              </w:rPr>
            </w:pPr>
            <w:r w:rsidRPr="009227B9">
              <w:rPr>
                <w:rFonts w:cstheme="minorHAnsi"/>
                <w:sz w:val="20"/>
                <w:szCs w:val="20"/>
              </w:rPr>
              <w:t>9</w:t>
            </w:r>
          </w:p>
        </w:tc>
        <w:tc>
          <w:tcPr>
            <w:tcW w:w="2227" w:type="dxa"/>
            <w:vAlign w:val="center"/>
          </w:tcPr>
          <w:p w14:paraId="09BD6AF9" w14:textId="5DE28254" w:rsidR="009227B9" w:rsidRPr="009227B9" w:rsidRDefault="009227B9" w:rsidP="002959F3">
            <w:pPr>
              <w:spacing w:after="0" w:line="240" w:lineRule="auto"/>
              <w:jc w:val="center"/>
              <w:rPr>
                <w:rFonts w:cstheme="minorHAnsi"/>
                <w:sz w:val="20"/>
                <w:szCs w:val="20"/>
              </w:rPr>
            </w:pPr>
            <w:r w:rsidRPr="009227B9">
              <w:rPr>
                <w:rFonts w:cstheme="minorHAnsi"/>
                <w:sz w:val="20"/>
                <w:szCs w:val="20"/>
              </w:rPr>
              <w:t xml:space="preserve">Liczba utworzonych stref czystego transportu </w:t>
            </w:r>
          </w:p>
        </w:tc>
        <w:tc>
          <w:tcPr>
            <w:tcW w:w="1701" w:type="dxa"/>
            <w:vAlign w:val="center"/>
          </w:tcPr>
          <w:p w14:paraId="42BD8DBA" w14:textId="55AECA7F" w:rsidR="009227B9" w:rsidRPr="009227B9" w:rsidRDefault="009227B9" w:rsidP="002959F3">
            <w:pPr>
              <w:spacing w:after="0" w:line="240" w:lineRule="auto"/>
              <w:jc w:val="center"/>
              <w:rPr>
                <w:rFonts w:cstheme="minorHAnsi"/>
                <w:sz w:val="20"/>
                <w:szCs w:val="20"/>
              </w:rPr>
            </w:pPr>
            <w:r w:rsidRPr="009227B9">
              <w:rPr>
                <w:rFonts w:cstheme="minorHAnsi"/>
                <w:sz w:val="20"/>
                <w:szCs w:val="20"/>
              </w:rPr>
              <w:t>0</w:t>
            </w:r>
          </w:p>
        </w:tc>
        <w:tc>
          <w:tcPr>
            <w:tcW w:w="1417" w:type="dxa"/>
            <w:vAlign w:val="center"/>
          </w:tcPr>
          <w:p w14:paraId="7CF2E60B" w14:textId="50B4A428" w:rsidR="009227B9" w:rsidRPr="008B4B2E" w:rsidRDefault="009227B9" w:rsidP="002959F3">
            <w:pPr>
              <w:spacing w:after="0" w:line="240" w:lineRule="auto"/>
              <w:jc w:val="center"/>
              <w:rPr>
                <w:rFonts w:cstheme="minorHAnsi"/>
                <w:sz w:val="20"/>
                <w:szCs w:val="20"/>
              </w:rPr>
            </w:pPr>
            <w:r w:rsidRPr="008B4B2E">
              <w:rPr>
                <w:rFonts w:cstheme="minorHAnsi"/>
                <w:sz w:val="20"/>
                <w:szCs w:val="20"/>
              </w:rPr>
              <w:t>0</w:t>
            </w:r>
          </w:p>
        </w:tc>
        <w:tc>
          <w:tcPr>
            <w:tcW w:w="1276" w:type="dxa"/>
            <w:vAlign w:val="center"/>
          </w:tcPr>
          <w:p w14:paraId="0D702D29" w14:textId="3D0A7224" w:rsidR="009227B9" w:rsidRPr="009227B9" w:rsidRDefault="009227B9" w:rsidP="00DD5A9A">
            <w:pPr>
              <w:autoSpaceDE w:val="0"/>
              <w:autoSpaceDN w:val="0"/>
              <w:adjustRightInd w:val="0"/>
              <w:spacing w:after="0" w:line="240" w:lineRule="auto"/>
              <w:rPr>
                <w:rFonts w:cstheme="minorHAnsi"/>
                <w:color w:val="000000"/>
                <w:sz w:val="20"/>
                <w:szCs w:val="20"/>
              </w:rPr>
            </w:pPr>
            <w:r w:rsidRPr="009227B9">
              <w:rPr>
                <w:rFonts w:cstheme="minorHAnsi"/>
                <w:color w:val="000000"/>
                <w:sz w:val="20"/>
                <w:szCs w:val="20"/>
              </w:rPr>
              <w:t>2</w:t>
            </w:r>
          </w:p>
        </w:tc>
        <w:tc>
          <w:tcPr>
            <w:tcW w:w="1276" w:type="dxa"/>
          </w:tcPr>
          <w:p w14:paraId="704CB111" w14:textId="77777777" w:rsidR="009227B9" w:rsidRPr="009227B9" w:rsidRDefault="009227B9" w:rsidP="002959F3">
            <w:pPr>
              <w:spacing w:after="0" w:line="240" w:lineRule="auto"/>
              <w:jc w:val="center"/>
              <w:rPr>
                <w:rFonts w:cstheme="minorHAnsi"/>
                <w:sz w:val="20"/>
                <w:szCs w:val="20"/>
              </w:rPr>
            </w:pPr>
          </w:p>
          <w:p w14:paraId="2381266F" w14:textId="282ABCF7" w:rsidR="009227B9" w:rsidRPr="009227B9" w:rsidRDefault="009227B9" w:rsidP="001E4DA0">
            <w:pPr>
              <w:spacing w:after="0" w:line="240" w:lineRule="auto"/>
              <w:jc w:val="center"/>
              <w:rPr>
                <w:rFonts w:cstheme="minorHAnsi"/>
                <w:sz w:val="20"/>
                <w:szCs w:val="20"/>
              </w:rPr>
            </w:pPr>
            <w:r w:rsidRPr="009227B9">
              <w:rPr>
                <w:rFonts w:cstheme="minorHAnsi"/>
                <w:sz w:val="20"/>
                <w:szCs w:val="20"/>
              </w:rPr>
              <w:t>4</w:t>
            </w:r>
          </w:p>
        </w:tc>
        <w:tc>
          <w:tcPr>
            <w:tcW w:w="1275" w:type="dxa"/>
            <w:vAlign w:val="center"/>
          </w:tcPr>
          <w:p w14:paraId="2CAC2E11" w14:textId="275BF13E" w:rsidR="009227B9" w:rsidRPr="009227B9" w:rsidRDefault="00DF2675" w:rsidP="002959F3">
            <w:pPr>
              <w:spacing w:after="0" w:line="240" w:lineRule="auto"/>
              <w:jc w:val="center"/>
              <w:rPr>
                <w:rFonts w:cstheme="minorHAnsi"/>
                <w:sz w:val="20"/>
                <w:szCs w:val="20"/>
              </w:rPr>
            </w:pPr>
            <w:r>
              <w:rPr>
                <w:rFonts w:cstheme="minorHAnsi"/>
                <w:sz w:val="20"/>
                <w:szCs w:val="20"/>
              </w:rPr>
              <w:t>a</w:t>
            </w:r>
            <w:r w:rsidR="009227B9" w:rsidRPr="009227B9">
              <w:rPr>
                <w:rFonts w:cstheme="minorHAnsi"/>
                <w:sz w:val="20"/>
                <w:szCs w:val="20"/>
              </w:rPr>
              <w:t>dministracja samorządu terytorialnego</w:t>
            </w:r>
          </w:p>
        </w:tc>
      </w:tr>
      <w:bookmarkEnd w:id="89"/>
    </w:tbl>
    <w:p w14:paraId="18A555F1" w14:textId="77777777" w:rsidR="009227B9" w:rsidRPr="0035160C" w:rsidRDefault="009227B9" w:rsidP="00EA50B8">
      <w:pPr>
        <w:jc w:val="both"/>
        <w:rPr>
          <w:rFonts w:cstheme="minorHAnsi"/>
        </w:rPr>
      </w:pPr>
    </w:p>
    <w:sectPr w:rsidR="009227B9" w:rsidRPr="0035160C" w:rsidSect="00C21F77">
      <w:footerReference w:type="default" r:id="rId117"/>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8B6FA" w14:textId="77777777" w:rsidR="00E26E07" w:rsidRDefault="00E26E07" w:rsidP="00ED2AD4">
      <w:pPr>
        <w:spacing w:after="0" w:line="240" w:lineRule="auto"/>
      </w:pPr>
      <w:r>
        <w:separator/>
      </w:r>
    </w:p>
  </w:endnote>
  <w:endnote w:type="continuationSeparator" w:id="0">
    <w:p w14:paraId="62E669EC" w14:textId="77777777" w:rsidR="00E26E07" w:rsidRDefault="00E26E07" w:rsidP="00ED2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Montserrat Light">
    <w:altName w:val="Calibri"/>
    <w:panose1 w:val="00000000000000000000"/>
    <w:charset w:val="00"/>
    <w:family w:val="modern"/>
    <w:notTrueType/>
    <w:pitch w:val="variable"/>
    <w:sig w:usb0="00000007" w:usb1="00000000" w:usb2="00000000" w:usb3="00000000" w:csb0="00000093" w:csb1="00000000"/>
  </w:font>
  <w:font w:name="Tahoma">
    <w:panose1 w:val="020B0604030504040204"/>
    <w:charset w:val="EE"/>
    <w:family w:val="swiss"/>
    <w:pitch w:val="variable"/>
    <w:sig w:usb0="E1002EFF" w:usb1="C000605B" w:usb2="00000029" w:usb3="00000000" w:csb0="000101FF" w:csb1="00000000"/>
  </w:font>
  <w:font w:name="Yu Gothic UI Semilight">
    <w:panose1 w:val="020B0400000000000000"/>
    <w:charset w:val="80"/>
    <w:family w:val="swiss"/>
    <w:pitch w:val="variable"/>
    <w:sig w:usb0="E00002FF" w:usb1="2AC7FDFF" w:usb2="00000016" w:usb3="00000000" w:csb0="0002009F" w:csb1="00000000"/>
  </w:font>
  <w:font w:name="+mj-ea">
    <w:panose1 w:val="00000000000000000000"/>
    <w:charset w:val="00"/>
    <w:family w:val="roman"/>
    <w:notTrueType/>
    <w:pitch w:val="default"/>
  </w:font>
  <w:font w:name="MinionPro-Regular">
    <w:altName w:val="Yu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7839931"/>
      <w:docPartObj>
        <w:docPartGallery w:val="Page Numbers (Bottom of Page)"/>
        <w:docPartUnique/>
      </w:docPartObj>
    </w:sdtPr>
    <w:sdtEndPr/>
    <w:sdtContent>
      <w:p w14:paraId="0E419C52" w14:textId="32B961BC" w:rsidR="0072137C" w:rsidRDefault="0072137C">
        <w:pPr>
          <w:pStyle w:val="Stopka"/>
          <w:jc w:val="center"/>
        </w:pPr>
        <w:r>
          <w:fldChar w:fldCharType="begin"/>
        </w:r>
        <w:r>
          <w:instrText>PAGE   \* MERGEFORMAT</w:instrText>
        </w:r>
        <w:r>
          <w:fldChar w:fldCharType="separate"/>
        </w:r>
        <w:r w:rsidR="00634D96">
          <w:rPr>
            <w:noProof/>
          </w:rPr>
          <w:t>153</w:t>
        </w:r>
        <w:r>
          <w:fldChar w:fldCharType="end"/>
        </w:r>
      </w:p>
    </w:sdtContent>
  </w:sdt>
  <w:p w14:paraId="0616B33C" w14:textId="77777777" w:rsidR="0072137C" w:rsidRDefault="0072137C">
    <w:pPr>
      <w:pStyle w:val="Stopka"/>
    </w:pPr>
  </w:p>
  <w:p w14:paraId="59C3736C" w14:textId="77777777" w:rsidR="0072137C" w:rsidRDefault="0072137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995AF" w14:textId="77777777" w:rsidR="00E26E07" w:rsidRDefault="00E26E07" w:rsidP="00ED2AD4">
      <w:pPr>
        <w:spacing w:after="0" w:line="240" w:lineRule="auto"/>
      </w:pPr>
      <w:r>
        <w:separator/>
      </w:r>
    </w:p>
  </w:footnote>
  <w:footnote w:type="continuationSeparator" w:id="0">
    <w:p w14:paraId="5F488062" w14:textId="77777777" w:rsidR="00E26E07" w:rsidRDefault="00E26E07" w:rsidP="00ED2AD4">
      <w:pPr>
        <w:spacing w:after="0" w:line="240" w:lineRule="auto"/>
      </w:pPr>
      <w:r>
        <w:continuationSeparator/>
      </w:r>
    </w:p>
  </w:footnote>
  <w:footnote w:id="1">
    <w:p w14:paraId="415655C4" w14:textId="70E3DE84" w:rsidR="000A5F8E" w:rsidRDefault="000A5F8E">
      <w:pPr>
        <w:pStyle w:val="Tekstprzypisudolnego"/>
      </w:pPr>
      <w:r>
        <w:rPr>
          <w:rStyle w:val="Odwoanieprzypisudolnego"/>
        </w:rPr>
        <w:footnoteRef/>
      </w:r>
      <w:r>
        <w:t xml:space="preserve"> </w:t>
      </w:r>
      <w:r w:rsidRPr="00FA07C0">
        <w:t>Uchwała nr 67 Rady Ministrów z dnia 16 lipca 2019 r. w sprawie przyjęcia "Polityki ekologicznej państwa 2030</w:t>
      </w:r>
      <w:r>
        <w:br/>
      </w:r>
      <w:r w:rsidRPr="00FA07C0">
        <w:t xml:space="preserve"> - strategii rozwoju w obszarze środowiska i gospodarki wodnej"</w:t>
      </w:r>
      <w:r>
        <w:t xml:space="preserve"> (</w:t>
      </w:r>
      <w:r w:rsidRPr="00FA07C0">
        <w:t>M. P. 2019 poz. 794)</w:t>
      </w:r>
    </w:p>
  </w:footnote>
  <w:footnote w:id="2">
    <w:p w14:paraId="3988F4A4" w14:textId="77777777" w:rsidR="0072137C" w:rsidRPr="00490F44" w:rsidRDefault="0072137C" w:rsidP="00CD3F46">
      <w:pPr>
        <w:pStyle w:val="Tekstprzypisudolnego"/>
        <w:rPr>
          <w:sz w:val="18"/>
          <w:szCs w:val="18"/>
        </w:rPr>
      </w:pPr>
      <w:r w:rsidRPr="00490F44">
        <w:rPr>
          <w:rStyle w:val="Odwoanieprzypisudolnego"/>
          <w:sz w:val="18"/>
          <w:szCs w:val="18"/>
        </w:rPr>
        <w:footnoteRef/>
      </w:r>
      <w:r>
        <w:rPr>
          <w:sz w:val="18"/>
          <w:szCs w:val="18"/>
          <w:vertAlign w:val="superscript"/>
        </w:rPr>
        <w:t>)</w:t>
      </w:r>
      <w:r w:rsidRPr="00490F44">
        <w:rPr>
          <w:sz w:val="18"/>
          <w:szCs w:val="18"/>
        </w:rPr>
        <w:t>Protokół z 1999 r. w sprawie przeciwdziałania zakwaszenia, eutrofizacji i powstawaniu ozonu w warstwie przyziemnej, zmienionego w 2012 r. (zwanego dalej „zmienionym Protokołem z Göteborga”)</w:t>
      </w:r>
      <w:r>
        <w:rPr>
          <w:sz w:val="18"/>
          <w:szCs w:val="18"/>
        </w:rPr>
        <w:t>.</w:t>
      </w:r>
      <w:r w:rsidRPr="00490F44">
        <w:rPr>
          <w:sz w:val="18"/>
          <w:szCs w:val="18"/>
        </w:rPr>
        <w:t xml:space="preserve"> </w:t>
      </w:r>
    </w:p>
  </w:footnote>
  <w:footnote w:id="3">
    <w:p w14:paraId="671E8F91" w14:textId="0D429BF0" w:rsidR="0072137C" w:rsidRPr="00D328E5" w:rsidRDefault="0072137C" w:rsidP="003260AB">
      <w:pPr>
        <w:pStyle w:val="Tekstprzypisudolnego"/>
        <w:rPr>
          <w:color w:val="000000" w:themeColor="text1"/>
        </w:rPr>
      </w:pPr>
      <w:r w:rsidRPr="003260AB">
        <w:rPr>
          <w:rStyle w:val="Odwoanieprzypisudolnego"/>
          <w:color w:val="000000" w:themeColor="text1"/>
        </w:rPr>
        <w:footnoteRef/>
      </w:r>
      <w:r w:rsidRPr="003260AB">
        <w:rPr>
          <w:color w:val="000000" w:themeColor="text1"/>
        </w:rPr>
        <w:t xml:space="preserve"> </w:t>
      </w:r>
      <w:r w:rsidR="00131C71" w:rsidRPr="00FA2BB3">
        <w:rPr>
          <w:color w:val="000000" w:themeColor="text1"/>
          <w:sz w:val="18"/>
          <w:szCs w:val="18"/>
        </w:rPr>
        <w:t>Opracowa</w:t>
      </w:r>
      <w:r w:rsidR="00131C71">
        <w:rPr>
          <w:color w:val="000000" w:themeColor="text1"/>
          <w:sz w:val="18"/>
          <w:szCs w:val="18"/>
        </w:rPr>
        <w:t>no</w:t>
      </w:r>
      <w:r w:rsidR="00131C71" w:rsidRPr="00FA2BB3">
        <w:rPr>
          <w:color w:val="000000" w:themeColor="text1"/>
          <w:sz w:val="18"/>
          <w:szCs w:val="18"/>
        </w:rPr>
        <w:t xml:space="preserve"> </w:t>
      </w:r>
      <w:r w:rsidRPr="00FA2BB3">
        <w:rPr>
          <w:color w:val="000000" w:themeColor="text1"/>
          <w:sz w:val="18"/>
          <w:szCs w:val="18"/>
        </w:rPr>
        <w:t>na podstawie materiału Departamentu Monitoringu Środowiska w Głównym Inspektoracie Ochrony Środowiska</w:t>
      </w:r>
    </w:p>
  </w:footnote>
  <w:footnote w:id="4">
    <w:p w14:paraId="3ECDBA29" w14:textId="1DC055C1" w:rsidR="0072137C" w:rsidRPr="00DF6F72" w:rsidRDefault="0072137C" w:rsidP="004942C1">
      <w:pPr>
        <w:pStyle w:val="Tekstprzypisudolnego"/>
        <w:spacing w:after="40"/>
        <w:rPr>
          <w:rFonts w:cs="Times New Roman"/>
          <w:sz w:val="18"/>
          <w:szCs w:val="18"/>
        </w:rPr>
      </w:pPr>
      <w:r w:rsidRPr="00DF6F72">
        <w:rPr>
          <w:rStyle w:val="Odwoanieprzypisudolnego"/>
          <w:sz w:val="18"/>
          <w:szCs w:val="18"/>
        </w:rPr>
        <w:footnoteRef/>
      </w:r>
      <w:r w:rsidRPr="00DF6F72">
        <w:rPr>
          <w:sz w:val="18"/>
          <w:szCs w:val="18"/>
        </w:rPr>
        <w:t xml:space="preserve"> </w:t>
      </w:r>
      <w:r w:rsidRPr="00DF6F72">
        <w:rPr>
          <w:rFonts w:ascii="Calibri" w:hAnsi="Calibri" w:cs="Calibri"/>
          <w:sz w:val="18"/>
          <w:szCs w:val="18"/>
        </w:rPr>
        <w:t xml:space="preserve">Dz. U. </w:t>
      </w:r>
      <w:r>
        <w:rPr>
          <w:rFonts w:ascii="Calibri" w:hAnsi="Calibri" w:cs="Calibri"/>
          <w:sz w:val="18"/>
          <w:szCs w:val="18"/>
        </w:rPr>
        <w:t xml:space="preserve">t.j. </w:t>
      </w:r>
      <w:r w:rsidRPr="00DF6F72">
        <w:rPr>
          <w:rFonts w:ascii="Calibri" w:hAnsi="Calibri" w:cs="Calibri"/>
          <w:sz w:val="18"/>
          <w:szCs w:val="18"/>
        </w:rPr>
        <w:t xml:space="preserve">z 2020 r. poz. </w:t>
      </w:r>
      <w:r>
        <w:rPr>
          <w:rFonts w:ascii="Calibri" w:hAnsi="Calibri" w:cs="Calibri"/>
          <w:sz w:val="18"/>
          <w:szCs w:val="18"/>
        </w:rPr>
        <w:t>995 z późn. zm.</w:t>
      </w:r>
    </w:p>
  </w:footnote>
  <w:footnote w:id="5">
    <w:p w14:paraId="6D38172F" w14:textId="6E68807A" w:rsidR="0072137C" w:rsidRPr="00406A2E" w:rsidRDefault="0072137C" w:rsidP="00406A2E">
      <w:pPr>
        <w:pStyle w:val="Tekstprzypisudolnego"/>
        <w:spacing w:after="40"/>
        <w:ind w:left="142" w:hanging="142"/>
        <w:rPr>
          <w:sz w:val="18"/>
          <w:szCs w:val="18"/>
        </w:rPr>
      </w:pPr>
      <w:r>
        <w:rPr>
          <w:rStyle w:val="Odwoanieprzypisudolnego"/>
        </w:rPr>
        <w:footnoteRef/>
      </w:r>
      <w:r>
        <w:t xml:space="preserve"> </w:t>
      </w:r>
      <w:r w:rsidRPr="00406A2E">
        <w:rPr>
          <w:sz w:val="18"/>
          <w:szCs w:val="18"/>
        </w:rPr>
        <w:t>Dyrektywa Komisji (UE) 2015/1480 z dnia 28 sierpnia 2015 r. zmieniająca niektóre załączniki do dyrektyw Parlamentu Europejskiego i Rady 2004/107/WE i 2008/50/WE ustanawiających przepisy dotyczące metod referencyjnych, zatwierdzania danych i lokalizacji punktów pomiarowych do oceny jakości powietrza</w:t>
      </w:r>
      <w:r w:rsidRPr="00406A2E">
        <w:t xml:space="preserve"> </w:t>
      </w:r>
      <w:r w:rsidRPr="00DB01EA">
        <w:rPr>
          <w:sz w:val="18"/>
          <w:szCs w:val="18"/>
        </w:rPr>
        <w:t>(Dz. Urz. UE L</w:t>
      </w:r>
      <w:r>
        <w:rPr>
          <w:sz w:val="18"/>
          <w:szCs w:val="18"/>
        </w:rPr>
        <w:t xml:space="preserve"> </w:t>
      </w:r>
      <w:r w:rsidRPr="00406A2E">
        <w:rPr>
          <w:sz w:val="18"/>
          <w:szCs w:val="18"/>
        </w:rPr>
        <w:t>26</w:t>
      </w:r>
      <w:r>
        <w:rPr>
          <w:sz w:val="18"/>
          <w:szCs w:val="18"/>
        </w:rPr>
        <w:t xml:space="preserve"> z </w:t>
      </w:r>
      <w:r w:rsidRPr="00406A2E">
        <w:rPr>
          <w:sz w:val="18"/>
          <w:szCs w:val="18"/>
        </w:rPr>
        <w:t>29.8.2015, p. 4–11</w:t>
      </w:r>
      <w:r>
        <w:rPr>
          <w:sz w:val="18"/>
          <w:szCs w:val="18"/>
        </w:rPr>
        <w:t>).</w:t>
      </w:r>
    </w:p>
  </w:footnote>
  <w:footnote w:id="6">
    <w:p w14:paraId="095B2DA8" w14:textId="2AF4C172" w:rsidR="0072137C" w:rsidRDefault="0072137C" w:rsidP="003E153D">
      <w:pPr>
        <w:pStyle w:val="Tekstprzypisudolnego"/>
        <w:ind w:left="142" w:hanging="142"/>
      </w:pPr>
      <w:r>
        <w:rPr>
          <w:rStyle w:val="Odwoanieprzypisudolnego"/>
        </w:rPr>
        <w:footnoteRef/>
      </w:r>
      <w:r>
        <w:t xml:space="preserve"> </w:t>
      </w:r>
      <w:r>
        <w:rPr>
          <w:sz w:val="18"/>
          <w:szCs w:val="18"/>
        </w:rPr>
        <w:t>Decyzja</w:t>
      </w:r>
      <w:r w:rsidRPr="00DB01EA">
        <w:rPr>
          <w:sz w:val="18"/>
          <w:szCs w:val="18"/>
        </w:rPr>
        <w:t xml:space="preserve"> wykonawcza Komisji </w:t>
      </w:r>
      <w:bookmarkStart w:id="20" w:name="_Hlk76049016"/>
      <w:r w:rsidRPr="00DB01EA">
        <w:rPr>
          <w:sz w:val="18"/>
          <w:szCs w:val="18"/>
        </w:rPr>
        <w:t xml:space="preserve">2011/850/WE </w:t>
      </w:r>
      <w:bookmarkEnd w:id="20"/>
      <w:r w:rsidRPr="00DB01EA">
        <w:rPr>
          <w:sz w:val="18"/>
          <w:szCs w:val="18"/>
        </w:rPr>
        <w:t xml:space="preserve">ustanawiająca zasady stosowania dyrektyw 2004/107/WE i 2008/50/WE Parlamentu Europejskiego i Rady w odniesieniu do systemu wzajemnej wymiany informacji oraz sprawozdań dotyczących jakości otaczającego powietrza </w:t>
      </w:r>
      <w:bookmarkStart w:id="21" w:name="_Hlk76049095"/>
      <w:r w:rsidRPr="00DB01EA">
        <w:rPr>
          <w:sz w:val="18"/>
          <w:szCs w:val="18"/>
        </w:rPr>
        <w:t xml:space="preserve">(Dz. Urz. UE L </w:t>
      </w:r>
      <w:bookmarkEnd w:id="21"/>
      <w:r w:rsidRPr="00DB01EA">
        <w:rPr>
          <w:sz w:val="18"/>
          <w:szCs w:val="18"/>
        </w:rPr>
        <w:t>335 z 17.12.2011, str. 86 oraz Dz. Urz. UE L 156 z 20.06.2017, str. 36).</w:t>
      </w:r>
    </w:p>
  </w:footnote>
  <w:footnote w:id="7">
    <w:p w14:paraId="2B4CFCED" w14:textId="76A68EAC" w:rsidR="0072137C" w:rsidRDefault="0072137C" w:rsidP="00406A2E">
      <w:pPr>
        <w:pStyle w:val="Tekstprzypisudolnego"/>
        <w:rPr>
          <w:rFonts w:ascii="Times New Roman" w:hAnsi="Times New Roman" w:cs="Times New Roman"/>
        </w:rPr>
      </w:pPr>
      <w:r w:rsidRPr="00DF6F72">
        <w:rPr>
          <w:rStyle w:val="Odwoanieprzypisudolnego"/>
          <w:sz w:val="18"/>
          <w:szCs w:val="18"/>
        </w:rPr>
        <w:footnoteRef/>
      </w:r>
      <w:r w:rsidRPr="00DF6F72">
        <w:rPr>
          <w:sz w:val="18"/>
          <w:szCs w:val="18"/>
        </w:rPr>
        <w:t xml:space="preserve"> </w:t>
      </w:r>
      <w:r w:rsidR="00E63882" w:rsidRPr="00F75DC5">
        <w:rPr>
          <w:sz w:val="18"/>
          <w:szCs w:val="18"/>
        </w:rPr>
        <w:t>rozporządzeni</w:t>
      </w:r>
      <w:r w:rsidR="00E63882">
        <w:rPr>
          <w:sz w:val="18"/>
          <w:szCs w:val="18"/>
        </w:rPr>
        <w:t>e</w:t>
      </w:r>
      <w:r w:rsidR="00E63882" w:rsidRPr="00F75DC5">
        <w:rPr>
          <w:sz w:val="18"/>
          <w:szCs w:val="18"/>
        </w:rPr>
        <w:t xml:space="preserve"> Ministra Środowiska z dnia 2 sierpnia 2012 r. w sprawie stref, w których dokonuje się oceny jakości powietrza </w:t>
      </w:r>
      <w:r w:rsidRPr="00DF6F72">
        <w:rPr>
          <w:sz w:val="18"/>
          <w:szCs w:val="18"/>
        </w:rPr>
        <w:t>(Dz. U. z 2012 r. poz. 914)</w:t>
      </w:r>
    </w:p>
  </w:footnote>
  <w:footnote w:id="8">
    <w:p w14:paraId="00E17545" w14:textId="77777777" w:rsidR="0072137C" w:rsidRPr="00AF7DB8" w:rsidRDefault="0072137C" w:rsidP="00537CE1">
      <w:pPr>
        <w:pStyle w:val="Tekstprzypisudolnego"/>
        <w:ind w:left="142" w:hanging="142"/>
        <w:rPr>
          <w:sz w:val="18"/>
          <w:szCs w:val="18"/>
        </w:rPr>
      </w:pPr>
      <w:r w:rsidRPr="004951E8">
        <w:rPr>
          <w:rStyle w:val="Odwoanieprzypisudolnego"/>
        </w:rPr>
        <w:footnoteRef/>
      </w:r>
      <w:r w:rsidRPr="004951E8">
        <w:t xml:space="preserve"> </w:t>
      </w:r>
      <w:r w:rsidRPr="00AF7DB8">
        <w:rPr>
          <w:sz w:val="18"/>
          <w:szCs w:val="18"/>
        </w:rPr>
        <w:t>decyzja wykonawcza Komisji 2011/850/UE z dnia 12 grudnia 2011 r. ustanawiająca zasady stosowania dyrektyw 2004/107/WE i</w:t>
      </w:r>
      <w:r>
        <w:rPr>
          <w:sz w:val="18"/>
          <w:szCs w:val="18"/>
        </w:rPr>
        <w:t> </w:t>
      </w:r>
      <w:r w:rsidRPr="00AF7DB8">
        <w:rPr>
          <w:sz w:val="18"/>
          <w:szCs w:val="18"/>
        </w:rPr>
        <w:t>2008/50/WE Parlamentu Europejskiego i Rady w odniesieniu do systemu wzajemnej wymiany informacji oraz sprawozdań dotyczących jakości otaczającego powietrza (Dz. Urz. UE L 335 z 17.12.2011, str. 86 oraz Dz. Urz. UE L 156 z 20.06.2017, str. 36).</w:t>
      </w:r>
    </w:p>
  </w:footnote>
  <w:footnote w:id="9">
    <w:p w14:paraId="645C979B" w14:textId="77777777" w:rsidR="0072137C" w:rsidRPr="00AF7DB8" w:rsidRDefault="0072137C" w:rsidP="00537CE1">
      <w:pPr>
        <w:pStyle w:val="Tekstprzypisudolnego"/>
        <w:ind w:left="142" w:hanging="142"/>
        <w:rPr>
          <w:sz w:val="18"/>
          <w:szCs w:val="18"/>
          <w:lang w:val="en-GB"/>
        </w:rPr>
      </w:pPr>
      <w:r w:rsidRPr="00AF7DB8">
        <w:rPr>
          <w:rStyle w:val="Odwoanieprzypisudolnego"/>
          <w:sz w:val="18"/>
          <w:szCs w:val="18"/>
        </w:rPr>
        <w:footnoteRef/>
      </w:r>
      <w:r w:rsidRPr="00AF7DB8">
        <w:rPr>
          <w:sz w:val="18"/>
          <w:szCs w:val="18"/>
          <w:lang w:val="en-GB"/>
        </w:rPr>
        <w:t xml:space="preserve"> </w:t>
      </w:r>
      <w:r w:rsidRPr="00AF7DB8">
        <w:rPr>
          <w:rStyle w:val="Numerstrony"/>
          <w:sz w:val="18"/>
          <w:szCs w:val="18"/>
          <w:lang w:val="en-US"/>
        </w:rPr>
        <w:t>Guidance on the Commission IPR Decision (</w:t>
      </w:r>
      <w:r w:rsidRPr="00AF7DB8">
        <w:rPr>
          <w:rStyle w:val="Numerstrony"/>
          <w:sz w:val="18"/>
          <w:szCs w:val="18"/>
          <w:u w:val="single"/>
          <w:lang w:val="en-US"/>
        </w:rPr>
        <w:t>https://aqportal.discomap.eea.europa.eu/toolbox-for-e-reporting/guidance-on-the-commision-ipr-decision/</w:t>
      </w:r>
      <w:r w:rsidRPr="00AF7DB8">
        <w:rPr>
          <w:rStyle w:val="Numerstrony"/>
          <w:sz w:val="18"/>
          <w:szCs w:val="18"/>
          <w:lang w:val="en-US"/>
        </w:rPr>
        <w:t>).</w:t>
      </w:r>
    </w:p>
    <w:p w14:paraId="4F30F059" w14:textId="77777777" w:rsidR="0072137C" w:rsidRPr="0073554A" w:rsidRDefault="0072137C" w:rsidP="00537CE1">
      <w:pPr>
        <w:pStyle w:val="Tekstprzypisudolnego"/>
        <w:rPr>
          <w:lang w:val="en-GB"/>
        </w:rPr>
      </w:pPr>
    </w:p>
  </w:footnote>
  <w:footnote w:id="10">
    <w:p w14:paraId="458F0EDC" w14:textId="77777777" w:rsidR="0072137C" w:rsidRPr="00C830BB" w:rsidRDefault="0072137C" w:rsidP="00EB7E25">
      <w:pPr>
        <w:pStyle w:val="Tekstprzypisudolnego"/>
        <w:rPr>
          <w:rFonts w:cstheme="minorHAnsi"/>
          <w:sz w:val="18"/>
          <w:szCs w:val="18"/>
        </w:rPr>
      </w:pPr>
      <w:r w:rsidRPr="00C830BB">
        <w:rPr>
          <w:rStyle w:val="Odwoanieprzypisudolnego"/>
          <w:rFonts w:cstheme="minorHAnsi"/>
          <w:sz w:val="18"/>
          <w:szCs w:val="18"/>
        </w:rPr>
        <w:footnoteRef/>
      </w:r>
      <w:r w:rsidRPr="00C830BB">
        <w:rPr>
          <w:rFonts w:cstheme="minorHAnsi"/>
          <w:sz w:val="18"/>
          <w:szCs w:val="18"/>
        </w:rPr>
        <w:t xml:space="preserve"> wg GUS na koniec 2019 r. liczba mieszkańców Legnicy wynosiła 99 350, a strefa miasto Legnica stała się częścią strefy dolnośląskiej</w:t>
      </w:r>
    </w:p>
  </w:footnote>
  <w:footnote w:id="11">
    <w:p w14:paraId="1C39F853" w14:textId="334BDB5A" w:rsidR="0072137C" w:rsidRPr="00723BC0" w:rsidRDefault="0072137C" w:rsidP="00EB7E25">
      <w:pPr>
        <w:pStyle w:val="Tekstprzypisudolnego"/>
        <w:rPr>
          <w:rFonts w:cstheme="minorHAnsi"/>
          <w:sz w:val="18"/>
          <w:szCs w:val="18"/>
        </w:rPr>
      </w:pPr>
      <w:r w:rsidRPr="00723BC0">
        <w:rPr>
          <w:rStyle w:val="Odwoanieprzypisudolnego"/>
          <w:rFonts w:cstheme="minorHAnsi"/>
          <w:sz w:val="18"/>
          <w:szCs w:val="18"/>
        </w:rPr>
        <w:footnoteRef/>
      </w:r>
      <w:r w:rsidRPr="00723BC0">
        <w:rPr>
          <w:rFonts w:cstheme="minorHAnsi"/>
          <w:sz w:val="18"/>
          <w:szCs w:val="18"/>
        </w:rPr>
        <w:t xml:space="preserve"> Zgodnie z rozporządzeniem Ministra Środowiska z dnia 13 września 2012 r. w sprawie sposobu obliczania wskaźników średniego narażenia oraz sposobu oceny dotrzymania pułapu stężenia ekspozycji, wskaźniki dla 2011 r. obliczano na podstawie wyników pomiarów stężeń pyłu zawieszonego PM2,5 z dwóch lat (2010 i 2011), a wskaźniki dla 2010 r. obliczano na podstawie wyników pomiarów z jednego roku (2010 r.). Dla pozostałych lat wskaźniki obliczano na podstawie wyników pomiarów z trzech lat</w:t>
      </w:r>
    </w:p>
  </w:footnote>
  <w:footnote w:id="12">
    <w:p w14:paraId="76F838ED" w14:textId="77777777" w:rsidR="0072137C" w:rsidRPr="00723BC0" w:rsidRDefault="0072137C" w:rsidP="00EB7E25">
      <w:pPr>
        <w:pStyle w:val="Tekstprzypisudolnego"/>
        <w:rPr>
          <w:sz w:val="18"/>
          <w:szCs w:val="18"/>
        </w:rPr>
      </w:pPr>
      <w:r w:rsidRPr="00723BC0">
        <w:rPr>
          <w:rStyle w:val="Odwoanieprzypisudolnego"/>
          <w:rFonts w:eastAsia="Times New Roman"/>
          <w:sz w:val="18"/>
          <w:szCs w:val="18"/>
        </w:rPr>
        <w:footnoteRef/>
      </w:r>
      <w:r w:rsidRPr="00723BC0">
        <w:rPr>
          <w:sz w:val="18"/>
          <w:szCs w:val="18"/>
        </w:rPr>
        <w:t xml:space="preserve"> Ustawa z dnia 28 lipca 2005 r. o lecznictwie uzdrowiskowym, uzdrowiskach i obszarach ochrony uzdrowiskowej oraz </w:t>
      </w:r>
      <w:r>
        <w:rPr>
          <w:sz w:val="18"/>
          <w:szCs w:val="18"/>
        </w:rPr>
        <w:br/>
      </w:r>
      <w:r w:rsidRPr="00723BC0">
        <w:rPr>
          <w:sz w:val="18"/>
          <w:szCs w:val="18"/>
        </w:rPr>
        <w:t>o gminach uzdrowiskowych (Dz. U. z 2020 r. poz. 1662, z późn. zm.)</w:t>
      </w:r>
    </w:p>
  </w:footnote>
  <w:footnote w:id="13">
    <w:p w14:paraId="7F7F5424" w14:textId="4F64F372" w:rsidR="0072137C" w:rsidRPr="00C830BB" w:rsidRDefault="0072137C" w:rsidP="00EB7E25">
      <w:pPr>
        <w:pStyle w:val="Tekstprzypisudolnego"/>
        <w:rPr>
          <w:sz w:val="18"/>
          <w:szCs w:val="18"/>
        </w:rPr>
      </w:pPr>
      <w:r w:rsidRPr="00C830BB">
        <w:rPr>
          <w:rStyle w:val="Odwoanieprzypisudolnego"/>
          <w:sz w:val="18"/>
          <w:szCs w:val="18"/>
        </w:rPr>
        <w:footnoteRef/>
      </w:r>
      <w:r w:rsidRPr="00C830BB">
        <w:rPr>
          <w:sz w:val="18"/>
          <w:szCs w:val="18"/>
        </w:rPr>
        <w:t xml:space="preserve"> Strategiczny Program Państwowego Monitoringu Środowiska na lata 2020-2025. G</w:t>
      </w:r>
      <w:r w:rsidR="00D90941">
        <w:rPr>
          <w:sz w:val="18"/>
          <w:szCs w:val="18"/>
        </w:rPr>
        <w:t>IOŚ</w:t>
      </w:r>
      <w:r w:rsidRPr="00C830BB">
        <w:rPr>
          <w:sz w:val="18"/>
          <w:szCs w:val="18"/>
        </w:rPr>
        <w:t>, Warszawa, 2020</w:t>
      </w:r>
    </w:p>
  </w:footnote>
  <w:footnote w:id="14">
    <w:p w14:paraId="7B830341" w14:textId="75541BF1" w:rsidR="0072137C" w:rsidRPr="00055765" w:rsidRDefault="0072137C" w:rsidP="00055765">
      <w:pPr>
        <w:pStyle w:val="Tekstpodstawowy"/>
        <w:spacing w:line="240" w:lineRule="auto"/>
        <w:ind w:left="142" w:hanging="142"/>
        <w:jc w:val="both"/>
        <w:rPr>
          <w:rFonts w:cs="Calibri"/>
          <w:sz w:val="20"/>
          <w:szCs w:val="20"/>
        </w:rPr>
      </w:pPr>
      <w:r>
        <w:rPr>
          <w:rStyle w:val="Odwoanieprzypisudolnego"/>
        </w:rPr>
        <w:footnoteRef/>
      </w:r>
      <w:r>
        <w:t xml:space="preserve"> </w:t>
      </w:r>
      <w:bookmarkStart w:id="49" w:name="_Hlk76073864"/>
      <w:r w:rsidRPr="004C1B36">
        <w:rPr>
          <w:sz w:val="20"/>
          <w:szCs w:val="20"/>
        </w:rPr>
        <w:t>„</w:t>
      </w:r>
      <w:r w:rsidRPr="004C1B36">
        <w:rPr>
          <w:rFonts w:cs="Calibri"/>
          <w:b/>
          <w:bCs/>
          <w:sz w:val="20"/>
          <w:szCs w:val="20"/>
        </w:rPr>
        <w:t>Krajowy bilans emisji SO</w:t>
      </w:r>
      <w:r w:rsidRPr="004C1B36">
        <w:rPr>
          <w:rFonts w:cs="Calibri"/>
          <w:b/>
          <w:bCs/>
          <w:sz w:val="20"/>
          <w:szCs w:val="20"/>
          <w:vertAlign w:val="subscript"/>
        </w:rPr>
        <w:t>2</w:t>
      </w:r>
      <w:r w:rsidRPr="004C1B36">
        <w:rPr>
          <w:rFonts w:cs="Calibri"/>
          <w:b/>
          <w:bCs/>
          <w:sz w:val="20"/>
          <w:szCs w:val="20"/>
        </w:rPr>
        <w:t>, NO</w:t>
      </w:r>
      <w:r w:rsidRPr="004C1B36">
        <w:rPr>
          <w:rFonts w:cs="Calibri"/>
          <w:b/>
          <w:bCs/>
          <w:sz w:val="20"/>
          <w:szCs w:val="20"/>
          <w:vertAlign w:val="subscript"/>
        </w:rPr>
        <w:t>X</w:t>
      </w:r>
      <w:r w:rsidRPr="004C1B36">
        <w:rPr>
          <w:rFonts w:cs="Calibri"/>
          <w:b/>
          <w:bCs/>
          <w:sz w:val="20"/>
          <w:szCs w:val="20"/>
        </w:rPr>
        <w:t>, CO, NH</w:t>
      </w:r>
      <w:r w:rsidRPr="004C1B36">
        <w:rPr>
          <w:rFonts w:cs="Calibri"/>
          <w:b/>
          <w:bCs/>
          <w:sz w:val="20"/>
          <w:szCs w:val="20"/>
          <w:vertAlign w:val="subscript"/>
        </w:rPr>
        <w:t>3</w:t>
      </w:r>
      <w:r w:rsidRPr="004C1B36">
        <w:rPr>
          <w:rFonts w:cs="Calibri"/>
          <w:b/>
          <w:bCs/>
          <w:sz w:val="20"/>
          <w:szCs w:val="20"/>
        </w:rPr>
        <w:t xml:space="preserve">, NMLZO, pyłów, metali ciężkich i TZO za lata 1990 </w:t>
      </w:r>
      <w:r w:rsidRPr="004C1B36">
        <w:rPr>
          <w:rFonts w:cs="Calibri"/>
          <w:b/>
          <w:sz w:val="20"/>
          <w:szCs w:val="20"/>
        </w:rPr>
        <w:sym w:font="Symbol" w:char="F02D"/>
      </w:r>
      <w:r w:rsidRPr="004C1B36">
        <w:rPr>
          <w:rFonts w:cs="Calibri"/>
          <w:b/>
          <w:bCs/>
          <w:sz w:val="20"/>
          <w:szCs w:val="20"/>
        </w:rPr>
        <w:t xml:space="preserve"> 2019. Raport syntetyczny”</w:t>
      </w:r>
      <w:bookmarkEnd w:id="49"/>
      <w:r w:rsidRPr="004C1B36">
        <w:rPr>
          <w:rFonts w:cs="Calibri"/>
          <w:b/>
          <w:bCs/>
          <w:sz w:val="20"/>
          <w:szCs w:val="20"/>
        </w:rPr>
        <w:t xml:space="preserve">. </w:t>
      </w:r>
      <w:r w:rsidR="00055765" w:rsidRPr="00055765">
        <w:rPr>
          <w:rFonts w:cs="Calibri"/>
          <w:sz w:val="20"/>
          <w:szCs w:val="20"/>
        </w:rPr>
        <w:t>Raport przygotowano w</w:t>
      </w:r>
      <w:r w:rsidR="00055765">
        <w:rPr>
          <w:rFonts w:cs="Calibri"/>
          <w:sz w:val="20"/>
          <w:szCs w:val="20"/>
        </w:rPr>
        <w:t xml:space="preserve"> </w:t>
      </w:r>
      <w:r w:rsidR="00055765" w:rsidRPr="00055765">
        <w:rPr>
          <w:rFonts w:cs="Calibri"/>
          <w:sz w:val="20"/>
          <w:szCs w:val="20"/>
        </w:rPr>
        <w:t>Krajowym Ośrodku Inwentaryzacji i</w:t>
      </w:r>
      <w:r w:rsidR="00055765">
        <w:rPr>
          <w:rFonts w:cs="Calibri"/>
          <w:sz w:val="20"/>
          <w:szCs w:val="20"/>
        </w:rPr>
        <w:t xml:space="preserve"> </w:t>
      </w:r>
      <w:r w:rsidR="00055765" w:rsidRPr="00055765">
        <w:rPr>
          <w:rFonts w:cs="Calibri"/>
          <w:sz w:val="20"/>
          <w:szCs w:val="20"/>
        </w:rPr>
        <w:t>Raportowania Emisji, w</w:t>
      </w:r>
      <w:r w:rsidR="00055765">
        <w:rPr>
          <w:rFonts w:cs="Calibri"/>
          <w:sz w:val="20"/>
          <w:szCs w:val="20"/>
        </w:rPr>
        <w:t xml:space="preserve"> </w:t>
      </w:r>
      <w:r w:rsidR="00055765" w:rsidRPr="00055765">
        <w:rPr>
          <w:rFonts w:cs="Calibri"/>
          <w:sz w:val="20"/>
          <w:szCs w:val="20"/>
        </w:rPr>
        <w:t xml:space="preserve">Instytucie Ochrony Środowiska – Państwowym Instytucie Badawczym </w:t>
      </w:r>
    </w:p>
    <w:p w14:paraId="3AE64574" w14:textId="6C20DDCE" w:rsidR="0072137C" w:rsidRDefault="0072137C">
      <w:pPr>
        <w:pStyle w:val="Tekstprzypisudolnego"/>
      </w:pPr>
    </w:p>
  </w:footnote>
  <w:footnote w:id="15">
    <w:p w14:paraId="57802414" w14:textId="0F70C06E" w:rsidR="0072137C" w:rsidRPr="006C0E3B" w:rsidRDefault="0072137C" w:rsidP="00DD0E4C">
      <w:pPr>
        <w:pStyle w:val="Tekstprzypisudolnego"/>
        <w:ind w:left="284" w:hanging="284"/>
        <w:rPr>
          <w:rFonts w:cstheme="minorHAnsi"/>
        </w:rPr>
      </w:pPr>
      <w:r>
        <w:rPr>
          <w:rStyle w:val="Odwoanieprzypisudolnego"/>
        </w:rPr>
        <w:footnoteRef/>
      </w:r>
      <w:r>
        <w:t xml:space="preserve"> </w:t>
      </w:r>
      <w:r w:rsidRPr="00DD0E4C">
        <w:rPr>
          <w:rFonts w:cstheme="minorHAnsi"/>
        </w:rPr>
        <w:t>Rozporządzenie Ministra Spraw Wewnętrznych i Administracji z dnia 17 listopada 2003 r. w sprawie wykroczeń, za które strażnicy straży gminnych są uprawnieni do nakładania grzywien w drodze mandatu karnego (Dz. U. poz. 2026, z późn. zm.).</w:t>
      </w:r>
    </w:p>
  </w:footnote>
  <w:footnote w:id="16">
    <w:p w14:paraId="191C5654" w14:textId="77777777" w:rsidR="0072137C" w:rsidRPr="00095B1A" w:rsidRDefault="0072137C" w:rsidP="00D375AE">
      <w:pPr>
        <w:pStyle w:val="Tekstprzypisudolnego"/>
        <w:rPr>
          <w:sz w:val="16"/>
          <w:szCs w:val="16"/>
        </w:rPr>
      </w:pPr>
      <w:r w:rsidRPr="00095B1A">
        <w:rPr>
          <w:rStyle w:val="Odwoanieprzypisudolnego"/>
          <w:sz w:val="16"/>
          <w:szCs w:val="16"/>
        </w:rPr>
        <w:footnoteRef/>
      </w:r>
      <w:r w:rsidRPr="00D375AE">
        <w:rPr>
          <w:rFonts w:cs="Calibri"/>
          <w:sz w:val="16"/>
          <w:szCs w:val="16"/>
        </w:rPr>
        <w:t>Ocena jakości powietrza w strefach w Polsce za rok 2019. Zbiorczy raport krajowy z rocznej oceny jakości powietrza w strefach wykonanej przez GIOŚ według zasad określonych w art. 89 ustawy - Prawo ochrony środowiska, https://powietrze.gios.gov.pl/pjp/maps/air/quality/type/R</w:t>
      </w:r>
    </w:p>
  </w:footnote>
  <w:footnote w:id="17">
    <w:p w14:paraId="020700AA" w14:textId="1D20C087" w:rsidR="0072137C" w:rsidRPr="003A6C6A" w:rsidRDefault="0072137C" w:rsidP="00D375AE">
      <w:pPr>
        <w:pStyle w:val="Tekstprzypisudolnego"/>
        <w:rPr>
          <w:sz w:val="16"/>
          <w:szCs w:val="16"/>
        </w:rPr>
      </w:pPr>
      <w:r w:rsidRPr="00204C0F">
        <w:rPr>
          <w:rStyle w:val="Odwoanieprzypisudolnego"/>
          <w:sz w:val="16"/>
          <w:szCs w:val="16"/>
        </w:rPr>
        <w:footnoteRef/>
      </w:r>
      <w:r w:rsidRPr="00204C0F">
        <w:rPr>
          <w:sz w:val="16"/>
          <w:szCs w:val="16"/>
        </w:rPr>
        <w:t xml:space="preserve"> Pięciole</w:t>
      </w:r>
      <w:r w:rsidRPr="00AE5AD4">
        <w:rPr>
          <w:sz w:val="16"/>
          <w:szCs w:val="16"/>
        </w:rPr>
        <w:t>tnia ocena jakości powietrza w strefach w Polsce wykonana za lata 2014-2018 według zasad</w:t>
      </w:r>
      <w:r>
        <w:rPr>
          <w:sz w:val="16"/>
          <w:szCs w:val="16"/>
        </w:rPr>
        <w:t xml:space="preserve"> </w:t>
      </w:r>
      <w:r w:rsidRPr="003A6C6A">
        <w:rPr>
          <w:sz w:val="16"/>
          <w:szCs w:val="16"/>
        </w:rPr>
        <w:t xml:space="preserve">określonych w art. 88 ust. 2 ustawy – Prawo ochrony środowiska, </w:t>
      </w:r>
      <w:r w:rsidRPr="00D375AE">
        <w:rPr>
          <w:rFonts w:eastAsia="Yu Gothic UI Semilight" w:cs="Calibri"/>
          <w:sz w:val="16"/>
          <w:szCs w:val="16"/>
        </w:rPr>
        <w:t>Główny Inspektorat Ochrony Środowiska</w:t>
      </w:r>
      <w:r w:rsidRPr="003A6C6A">
        <w:rPr>
          <w:sz w:val="16"/>
          <w:szCs w:val="16"/>
        </w:rPr>
        <w:t>, Warszawa 2019</w:t>
      </w:r>
    </w:p>
  </w:footnote>
  <w:footnote w:id="18">
    <w:p w14:paraId="63E4F6B2" w14:textId="45076693" w:rsidR="0072137C" w:rsidRPr="00D375AE" w:rsidRDefault="0072137C" w:rsidP="00D375AE">
      <w:pPr>
        <w:pStyle w:val="Tekstprzypisudolnego"/>
        <w:ind w:left="142" w:hanging="142"/>
        <w:rPr>
          <w:rFonts w:cs="Calibri"/>
        </w:rPr>
      </w:pPr>
      <w:r w:rsidRPr="00D375AE">
        <w:rPr>
          <w:rStyle w:val="Odwoanieprzypisudolnego"/>
          <w:rFonts w:cs="Calibri"/>
        </w:rPr>
        <w:footnoteRef/>
      </w:r>
      <w:r w:rsidRPr="00D375AE">
        <w:rPr>
          <w:rFonts w:cs="Calibri"/>
        </w:rPr>
        <w:t xml:space="preserve"> Ustawa z dnia 20 kwietnia 2021 r. </w:t>
      </w:r>
      <w:r w:rsidRPr="00D375AE">
        <w:rPr>
          <w:rFonts w:cs="Calibri"/>
          <w:i/>
        </w:rPr>
        <w:t>o zmianie ustawy o efektywności energetycznej oraz niektórych innych ustaw</w:t>
      </w:r>
      <w:r w:rsidRPr="00D375AE">
        <w:rPr>
          <w:rFonts w:cs="Calibri"/>
        </w:rPr>
        <w:t xml:space="preserve"> (Dz. U. poz. 868). </w:t>
      </w:r>
    </w:p>
  </w:footnote>
  <w:footnote w:id="19">
    <w:p w14:paraId="5C02A695" w14:textId="77777777" w:rsidR="0072137C" w:rsidRPr="00B91399" w:rsidRDefault="0072137C" w:rsidP="00E212F5">
      <w:pPr>
        <w:pStyle w:val="Tekstprzypisudolnego"/>
        <w:ind w:left="142" w:hanging="142"/>
        <w:rPr>
          <w:rFonts w:cstheme="minorHAnsi"/>
        </w:rPr>
      </w:pPr>
      <w:r w:rsidRPr="00B91399">
        <w:rPr>
          <w:rStyle w:val="Odwoanieprzypisudolnego"/>
          <w:rFonts w:cstheme="minorHAnsi"/>
        </w:rPr>
        <w:footnoteRef/>
      </w:r>
      <w:r w:rsidRPr="00B91399">
        <w:rPr>
          <w:rFonts w:cstheme="minorHAnsi"/>
        </w:rPr>
        <w:t xml:space="preserve"> Aktualnie trwają prace nad przygotowaniem aktualizacji Krajowej Polityki Miejskiej. W związku z powyższym, pkt 3 tego rozdziału zostanie odpowiednio zaktualizowany w tym zakresie. </w:t>
      </w:r>
    </w:p>
  </w:footnote>
  <w:footnote w:id="20">
    <w:p w14:paraId="357B6789" w14:textId="77777777" w:rsidR="0072137C" w:rsidRPr="00C50E6D" w:rsidRDefault="0072137C" w:rsidP="009F5080">
      <w:pPr>
        <w:pStyle w:val="Tekstprzypisudolnego"/>
      </w:pPr>
      <w:r>
        <w:rPr>
          <w:rStyle w:val="Odwoanieprzypisudolnego"/>
        </w:rPr>
        <w:footnoteRef/>
      </w:r>
      <w:r>
        <w:t xml:space="preserve"> </w:t>
      </w:r>
      <w:r w:rsidRPr="00AA66C9">
        <w:t>Protokół z Kioto do Ramowej konwencji Narodów Zjednoczonych w sprawie zmian klimatu, sporządzony w Kioto dnia 11 grudnia 1997 r. (Dz.U. 2005 r. nr 203 poz. 1684)</w:t>
      </w:r>
      <w:r>
        <w:t xml:space="preserve">; Decyzja Rady </w:t>
      </w:r>
      <w:r w:rsidRPr="00AA66C9">
        <w:t>2</w:t>
      </w:r>
      <w:r>
        <w:t xml:space="preserve">002/358/WE z 25 kwietnia 2002 r. </w:t>
      </w:r>
      <w:r w:rsidRPr="001F5352">
        <w:t>dotycząca zatwierdzenia przez Wspólnotę Europejską Protokołu z Kioto do Ramowej Konwencji Narodów Zjednoczonych w sprawie Zmian Klimatu i wspólnej realizacji wynikających z niego zobowiązań</w:t>
      </w:r>
      <w:r>
        <w:t xml:space="preserve"> (Dz.U. L 130 z 15.5.2002 r., s.1-3).</w:t>
      </w:r>
    </w:p>
  </w:footnote>
  <w:footnote w:id="21">
    <w:p w14:paraId="5A3FBB86" w14:textId="77777777" w:rsidR="0072137C" w:rsidRDefault="0072137C" w:rsidP="009F5080">
      <w:pPr>
        <w:pStyle w:val="Tekstprzypisudolnego"/>
      </w:pPr>
      <w:r>
        <w:rPr>
          <w:rStyle w:val="Odwoanieprzypisudolnego"/>
        </w:rPr>
        <w:footnoteRef/>
      </w:r>
      <w:r>
        <w:t xml:space="preserve"> </w:t>
      </w:r>
      <w:r w:rsidRPr="004A3401">
        <w:t>Konkluzje Rady Europejskiej z 8-9 marca 2007 r.</w:t>
      </w:r>
      <w:r>
        <w:t>; konkluzje zawierały zobowiązania określane później jako „3</w:t>
      </w:r>
      <w:r>
        <w:rPr>
          <w:rFonts w:cstheme="minorHAnsi"/>
        </w:rPr>
        <w:t>×20”.</w:t>
      </w:r>
      <w:r>
        <w:t xml:space="preserve"> </w:t>
      </w:r>
    </w:p>
  </w:footnote>
  <w:footnote w:id="22">
    <w:p w14:paraId="5A09EBD4" w14:textId="77777777" w:rsidR="0072137C" w:rsidRDefault="0072137C" w:rsidP="009F5080">
      <w:pPr>
        <w:pStyle w:val="Tekstprzypisudolnego"/>
      </w:pPr>
      <w:r>
        <w:rPr>
          <w:rStyle w:val="Odwoanieprzypisudolnego"/>
        </w:rPr>
        <w:footnoteRef/>
      </w:r>
      <w:r>
        <w:t xml:space="preserve"> Szczegółowa informacja dot. propozycji Komisji „</w:t>
      </w:r>
      <w:r w:rsidRPr="00006A74">
        <w:t>2020 climate &amp; energy package</w:t>
      </w:r>
      <w:r>
        <w:t xml:space="preserve">”: </w:t>
      </w:r>
      <w:hyperlink r:id="rId1" w:history="1">
        <w:r w:rsidRPr="00C519C0">
          <w:rPr>
            <w:rStyle w:val="Hipercze"/>
          </w:rPr>
          <w:t>https://ec.europa.eu/clima/policies/strategies/2020_en</w:t>
        </w:r>
      </w:hyperlink>
      <w:r>
        <w:t xml:space="preserve"> (pobranie 27.1.2021)</w:t>
      </w:r>
    </w:p>
  </w:footnote>
  <w:footnote w:id="23">
    <w:p w14:paraId="49A91049" w14:textId="77777777" w:rsidR="0072137C" w:rsidRPr="00CC1B77" w:rsidRDefault="0072137C" w:rsidP="009F5080">
      <w:pPr>
        <w:spacing w:after="0"/>
        <w:contextualSpacing/>
        <w:jc w:val="both"/>
        <w:rPr>
          <w:sz w:val="20"/>
        </w:rPr>
      </w:pPr>
      <w:r>
        <w:rPr>
          <w:rStyle w:val="Odwoanieprzypisudolnego"/>
        </w:rPr>
        <w:footnoteRef/>
      </w:r>
      <w:r>
        <w:t xml:space="preserve"> </w:t>
      </w:r>
      <w:hyperlink r:id="rId2" w:history="1">
        <w:r w:rsidRPr="00CC1B77">
          <w:rPr>
            <w:rStyle w:val="Hipercze"/>
            <w:sz w:val="20"/>
          </w:rPr>
          <w:t>Dyrektywa Parlamentu Europejskiego i Rady 2009/28/WE z 23</w:t>
        </w:r>
        <w:r>
          <w:rPr>
            <w:rStyle w:val="Hipercze"/>
            <w:sz w:val="20"/>
          </w:rPr>
          <w:t>.4.</w:t>
        </w:r>
        <w:r w:rsidRPr="00CC1B77">
          <w:rPr>
            <w:rStyle w:val="Hipercze"/>
            <w:sz w:val="20"/>
          </w:rPr>
          <w:t>2009 r. w sprawie promowania stosowania energii ze źródeł odnawialnych zmieniająca i w następstwie uchylająca dyrektywy 2001/77/WE oraz 2003/30/WE</w:t>
        </w:r>
      </w:hyperlink>
      <w:r>
        <w:rPr>
          <w:sz w:val="20"/>
        </w:rPr>
        <w:t xml:space="preserve">, Dz. U. L 140 z 5.6.2009 r., s. 16-62; tzw. dyrektywa OZE; ang. </w:t>
      </w:r>
      <w:r>
        <w:rPr>
          <w:i/>
          <w:sz w:val="20"/>
        </w:rPr>
        <w:t xml:space="preserve">Renewable Energy Directive </w:t>
      </w:r>
      <w:r>
        <w:rPr>
          <w:sz w:val="20"/>
        </w:rPr>
        <w:t>(RED)</w:t>
      </w:r>
    </w:p>
  </w:footnote>
  <w:footnote w:id="24">
    <w:p w14:paraId="75E2AC6A" w14:textId="77777777" w:rsidR="0072137C" w:rsidRPr="00BE2988" w:rsidRDefault="0072137C" w:rsidP="009F5080">
      <w:pPr>
        <w:pStyle w:val="Tekstprzypisudolnego"/>
        <w:rPr>
          <w:b/>
        </w:rPr>
      </w:pPr>
      <w:r w:rsidRPr="006D781F">
        <w:rPr>
          <w:rStyle w:val="Odwoanieprzypisudolnego"/>
        </w:rPr>
        <w:footnoteRef/>
      </w:r>
      <w:r w:rsidRPr="006D781F">
        <w:rPr>
          <w:rStyle w:val="Odwoanieprzypisudolnego"/>
        </w:rPr>
        <w:t xml:space="preserve"> </w:t>
      </w:r>
      <w:r w:rsidRPr="00CF7D5C">
        <w:t>Porozumienie paryskie do Ramowej konwencji Narodów Zjednoczonych w sprawie zmian klimatu, sporządzonej w Nowym Jorku dnia 9 maja 1992 r., przyjęte w Paryżu dnia 12 grudnia 2015 r. (Dz. U. z 2017 r. poz. 36)</w:t>
      </w:r>
      <w:r>
        <w:t>;</w:t>
      </w:r>
    </w:p>
  </w:footnote>
  <w:footnote w:id="25">
    <w:p w14:paraId="13FD4DEE" w14:textId="77777777" w:rsidR="0072137C" w:rsidRDefault="0072137C" w:rsidP="009F5080">
      <w:pPr>
        <w:pStyle w:val="Tekstprzypisudolnego"/>
      </w:pPr>
      <w:r>
        <w:rPr>
          <w:rStyle w:val="Odwoanieprzypisudolnego"/>
        </w:rPr>
        <w:footnoteRef/>
      </w:r>
      <w:r>
        <w:t xml:space="preserve"> Skrótowa nazwa dla corocznych szczytów Konferencji Stron Ramowej konwencji NZ ws. zmian klimatu (ang. Conference of the Parties – COP)</w:t>
      </w:r>
    </w:p>
  </w:footnote>
  <w:footnote w:id="26">
    <w:p w14:paraId="77A35AD4" w14:textId="77777777" w:rsidR="0072137C" w:rsidRDefault="0072137C" w:rsidP="009F5080">
      <w:pPr>
        <w:pStyle w:val="Tekstprzypisudolnego"/>
      </w:pPr>
      <w:r>
        <w:rPr>
          <w:rStyle w:val="Odwoanieprzypisudolnego"/>
        </w:rPr>
        <w:footnoteRef/>
      </w:r>
      <w:r>
        <w:t xml:space="preserve"> Zestaw decyzji podjętych w czasie szczytu COP24/CMP14/CMA1 w Katowicach odbywającego się w dniach 2-15 grudnia 2018 r. nazywany również „Katowice </w:t>
      </w:r>
      <w:r w:rsidRPr="000A1C58">
        <w:t>Climate Package</w:t>
      </w:r>
      <w:r>
        <w:t xml:space="preserve">”. </w:t>
      </w:r>
    </w:p>
  </w:footnote>
  <w:footnote w:id="27">
    <w:p w14:paraId="50E08022" w14:textId="77777777" w:rsidR="0072137C" w:rsidRDefault="0072137C" w:rsidP="009F5080">
      <w:pPr>
        <w:pStyle w:val="Tekstprzypisudolnego"/>
      </w:pPr>
      <w:r>
        <w:rPr>
          <w:rStyle w:val="Odwoanieprzypisudolnego"/>
        </w:rPr>
        <w:footnoteRef/>
      </w:r>
      <w:r>
        <w:t xml:space="preserve"> Konkluzje Rady Europejskiej z 12 grudnia 2019 r. </w:t>
      </w:r>
    </w:p>
  </w:footnote>
  <w:footnote w:id="28">
    <w:p w14:paraId="4FA081C6" w14:textId="77777777" w:rsidR="0072137C" w:rsidRPr="007B007A" w:rsidRDefault="0072137C" w:rsidP="009F5080">
      <w:pPr>
        <w:pStyle w:val="Tekstprzypisudolnego"/>
      </w:pPr>
      <w:r>
        <w:rPr>
          <w:rStyle w:val="Odwoanieprzypisudolnego"/>
        </w:rPr>
        <w:footnoteRef/>
      </w:r>
      <w:r>
        <w:t xml:space="preserve"> Komunikat Komisji COM(2019)640_final z 11 grudnia 2019 r. </w:t>
      </w:r>
      <w:r>
        <w:rPr>
          <w:i/>
        </w:rPr>
        <w:t>Europejski Zielony Ład</w:t>
      </w:r>
      <w:r>
        <w:t>.</w:t>
      </w:r>
    </w:p>
  </w:footnote>
  <w:footnote w:id="29">
    <w:p w14:paraId="5B9F7892" w14:textId="77777777" w:rsidR="0072137C" w:rsidRDefault="0072137C" w:rsidP="009F5080">
      <w:pPr>
        <w:pStyle w:val="Tekstprzypisudolnego"/>
      </w:pPr>
      <w:r>
        <w:rPr>
          <w:rStyle w:val="Odwoanieprzypisudolnego"/>
        </w:rPr>
        <w:footnoteRef/>
      </w:r>
      <w:r>
        <w:t xml:space="preserve"> </w:t>
      </w:r>
      <w:r w:rsidRPr="00CC6995">
        <w:t>Konkluzje Rady Europejskiej z 10-11 grudnia 2020</w:t>
      </w:r>
      <w:r>
        <w:t xml:space="preserve"> r. </w:t>
      </w:r>
    </w:p>
  </w:footnote>
  <w:footnote w:id="30">
    <w:p w14:paraId="7FA6F535" w14:textId="77777777" w:rsidR="0072137C" w:rsidRDefault="0072137C" w:rsidP="009F5080">
      <w:pPr>
        <w:pStyle w:val="Tekstprzypisudolnego"/>
      </w:pPr>
      <w:r w:rsidRPr="00F96982">
        <w:rPr>
          <w:rStyle w:val="Odwoanieprzypisudolnego"/>
          <w:sz w:val="18"/>
          <w:szCs w:val="18"/>
        </w:rPr>
        <w:footnoteRef/>
      </w:r>
      <w:r w:rsidRPr="00F96982">
        <w:rPr>
          <w:sz w:val="18"/>
          <w:szCs w:val="18"/>
        </w:rPr>
        <w:t xml:space="preserve"> Dyrektywa Parlamentu Europejskiego i Rady 2010/31/UE z dnia 19 maja 2010 r. w sprawie charakterystyki energetycznej budynków</w:t>
      </w:r>
      <w:r>
        <w:rPr>
          <w:sz w:val="18"/>
          <w:szCs w:val="18"/>
        </w:rPr>
        <w:t xml:space="preserve"> </w:t>
      </w:r>
      <w:r w:rsidRPr="00DF0285">
        <w:rPr>
          <w:sz w:val="18"/>
          <w:szCs w:val="18"/>
        </w:rPr>
        <w:t>(</w:t>
      </w:r>
      <w:r>
        <w:rPr>
          <w:sz w:val="18"/>
          <w:szCs w:val="18"/>
        </w:rPr>
        <w:t>z późniejszymi zmianami</w:t>
      </w:r>
      <w:r w:rsidRPr="00DF0285">
        <w:rPr>
          <w:sz w:val="18"/>
          <w:szCs w:val="18"/>
        </w:rPr>
        <w:t>)</w:t>
      </w:r>
    </w:p>
  </w:footnote>
  <w:footnote w:id="31">
    <w:p w14:paraId="5BE99DF4" w14:textId="52847210" w:rsidR="0072137C" w:rsidRPr="004715E9" w:rsidRDefault="0072137C" w:rsidP="004715E9">
      <w:pPr>
        <w:pStyle w:val="Tekstprzypisudolnego"/>
        <w:ind w:left="284" w:hanging="284"/>
        <w:rPr>
          <w:rFonts w:cstheme="minorHAnsi"/>
        </w:rPr>
      </w:pPr>
      <w:r>
        <w:rPr>
          <w:rStyle w:val="Odwoanieprzypisudolnego"/>
        </w:rPr>
        <w:footnoteRef/>
      </w:r>
      <w:r>
        <w:t xml:space="preserve"> </w:t>
      </w:r>
      <w:r w:rsidRPr="004715E9">
        <w:rPr>
          <w:rFonts w:cstheme="minorHAnsi"/>
        </w:rPr>
        <w:t xml:space="preserve">Raport Polskiego Instytutu Ekonomicznego pn. </w:t>
      </w:r>
      <w:r w:rsidRPr="004715E9">
        <w:rPr>
          <w:rFonts w:cstheme="minorHAnsi"/>
          <w:i/>
          <w:iCs/>
        </w:rPr>
        <w:t>„Polacy i ochrona powietrza. Normy społeczne jako źródło zmiany?”</w:t>
      </w:r>
      <w:r w:rsidRPr="004715E9">
        <w:rPr>
          <w:rFonts w:cstheme="minorHAnsi"/>
        </w:rPr>
        <w:t xml:space="preserve">, maj 2020 r. </w:t>
      </w:r>
    </w:p>
  </w:footnote>
  <w:footnote w:id="32">
    <w:p w14:paraId="0FA829E4" w14:textId="78DEB060" w:rsidR="0072137C" w:rsidRPr="005D7D78" w:rsidRDefault="0072137C" w:rsidP="004715E9">
      <w:pPr>
        <w:pStyle w:val="Tekstprzypisudolnego"/>
        <w:ind w:left="284" w:hanging="284"/>
        <w:rPr>
          <w:rFonts w:ascii="Times New Roman" w:hAnsi="Times New Roman" w:cs="Times New Roman"/>
        </w:rPr>
      </w:pPr>
      <w:r w:rsidRPr="004715E9">
        <w:rPr>
          <w:rStyle w:val="Odwoanieprzypisudolnego"/>
          <w:rFonts w:cstheme="minorHAnsi"/>
        </w:rPr>
        <w:footnoteRef/>
      </w:r>
      <w:r w:rsidRPr="004715E9">
        <w:rPr>
          <w:rFonts w:cstheme="minorHAnsi"/>
        </w:rPr>
        <w:t xml:space="preserve"> </w:t>
      </w:r>
      <w:r w:rsidRPr="00BC74E0">
        <w:rPr>
          <w:rFonts w:cstheme="minorHAnsi"/>
        </w:rPr>
        <w:t>PBS sp. z o. o.</w:t>
      </w:r>
      <w:r w:rsidRPr="004715E9">
        <w:rPr>
          <w:rFonts w:cstheme="minorHAnsi"/>
        </w:rPr>
        <w:t xml:space="preserve">, </w:t>
      </w:r>
      <w:r w:rsidRPr="004715E9">
        <w:rPr>
          <w:rStyle w:val="object"/>
          <w:rFonts w:cstheme="minorHAnsi"/>
        </w:rPr>
        <w:t>20</w:t>
      </w:r>
      <w:r>
        <w:rPr>
          <w:rStyle w:val="object"/>
          <w:rFonts w:cstheme="minorHAnsi"/>
        </w:rPr>
        <w:t>20</w:t>
      </w:r>
      <w:r w:rsidRPr="004715E9">
        <w:rPr>
          <w:rFonts w:cstheme="minorHAnsi"/>
        </w:rPr>
        <w:t xml:space="preserve"> r</w:t>
      </w:r>
      <w:r w:rsidRPr="004715E9">
        <w:rPr>
          <w:rFonts w:cstheme="minorHAnsi"/>
          <w:i/>
          <w:iCs/>
        </w:rPr>
        <w:t>. „Badanie świadomości i zachowań ekologicznych mieszkańców Polski”</w:t>
      </w:r>
      <w:r w:rsidRPr="004715E9">
        <w:rPr>
          <w:rFonts w:cstheme="minorHAnsi"/>
        </w:rPr>
        <w:t>.</w:t>
      </w:r>
    </w:p>
  </w:footnote>
  <w:footnote w:id="33">
    <w:p w14:paraId="343F5E71" w14:textId="77777777" w:rsidR="0072137C" w:rsidRDefault="0072137C" w:rsidP="002D6DCF">
      <w:pPr>
        <w:pStyle w:val="Tekstprzypisudolnego"/>
      </w:pPr>
      <w:r>
        <w:rPr>
          <w:rStyle w:val="Odwoanieprzypisudolnego"/>
        </w:rPr>
        <w:footnoteRef/>
      </w:r>
      <w:r>
        <w:t xml:space="preserve"> W części dotacyjnej</w:t>
      </w:r>
    </w:p>
  </w:footnote>
  <w:footnote w:id="34">
    <w:p w14:paraId="7E16D530" w14:textId="77777777" w:rsidR="0072137C" w:rsidRDefault="0072137C" w:rsidP="002D6DCF">
      <w:pPr>
        <w:pStyle w:val="Tekstprzypisudolnego"/>
      </w:pPr>
      <w:r>
        <w:rPr>
          <w:rStyle w:val="Odwoanieprzypisudolnego"/>
        </w:rPr>
        <w:footnoteRef/>
      </w:r>
      <w:r>
        <w:t xml:space="preserve"> W części dotacyjnej</w:t>
      </w:r>
    </w:p>
  </w:footnote>
  <w:footnote w:id="35">
    <w:p w14:paraId="68EFB163" w14:textId="5A5363D3" w:rsidR="00E0671B" w:rsidRDefault="00E0671B">
      <w:pPr>
        <w:pStyle w:val="Tekstprzypisudolnego"/>
      </w:pPr>
      <w:r>
        <w:rPr>
          <w:rStyle w:val="Odwoanieprzypisudolnego"/>
        </w:rPr>
        <w:footnoteRef/>
      </w:r>
      <w:r>
        <w:t xml:space="preserve"> D</w:t>
      </w:r>
      <w:r w:rsidRPr="00255EE9">
        <w:t xml:space="preserve">ziałanie </w:t>
      </w:r>
      <w:r>
        <w:t>zostanie z</w:t>
      </w:r>
      <w:r w:rsidRPr="00255EE9">
        <w:t>realizowan</w:t>
      </w:r>
      <w:r>
        <w:t>e</w:t>
      </w:r>
      <w:r w:rsidRPr="00255EE9">
        <w:t xml:space="preserve"> pod warunkiem zapewnienia niezbędnych środków finansowych na zakup, eksploatację i obsługę, w tym środki </w:t>
      </w:r>
      <w:r>
        <w:t xml:space="preserve">finansowe </w:t>
      </w:r>
      <w:r w:rsidRPr="00255EE9">
        <w:t>na wynagrodzenia dodatkowych specjalistów do stałej obsługi powiększonej sieci pomiarowej</w:t>
      </w:r>
      <w:r>
        <w:t xml:space="preserve"> w GIOŚ. </w:t>
      </w:r>
    </w:p>
  </w:footnote>
  <w:footnote w:id="36">
    <w:p w14:paraId="5F18BD3F" w14:textId="42C99B2A" w:rsidR="00E0671B" w:rsidRDefault="00E0671B">
      <w:pPr>
        <w:pStyle w:val="Tekstprzypisudolnego"/>
      </w:pPr>
      <w:r>
        <w:rPr>
          <w:rStyle w:val="Odwoanieprzypisudolnego"/>
        </w:rPr>
        <w:footnoteRef/>
      </w:r>
      <w:r>
        <w:t xml:space="preserve"> </w:t>
      </w:r>
      <w:bookmarkStart w:id="94" w:name="_Hlk78142809"/>
      <w:r>
        <w:t>D</w:t>
      </w:r>
      <w:r w:rsidRPr="00255EE9">
        <w:t xml:space="preserve">ziałanie </w:t>
      </w:r>
      <w:r>
        <w:t>zostanie z</w:t>
      </w:r>
      <w:r w:rsidRPr="00255EE9">
        <w:t>realizowan</w:t>
      </w:r>
      <w:r>
        <w:t>e</w:t>
      </w:r>
      <w:r w:rsidRPr="00255EE9">
        <w:t xml:space="preserve"> pod warunkiem zapewnienia niezbędnych środków finansowych </w:t>
      </w:r>
      <w:bookmarkEnd w:id="94"/>
      <w:r w:rsidRPr="00255EE9">
        <w:t xml:space="preserve">na zakup, </w:t>
      </w:r>
      <w:r>
        <w:t xml:space="preserve">instalację, </w:t>
      </w:r>
      <w:r w:rsidRPr="00255EE9">
        <w:t>eksploatację i obsługę</w:t>
      </w:r>
      <w:r>
        <w:t xml:space="preserve"> urządzeń komputerowych</w:t>
      </w:r>
      <w:r w:rsidRPr="00255EE9">
        <w:t xml:space="preserve">, w tym środki </w:t>
      </w:r>
      <w:r>
        <w:t xml:space="preserve">finansowe </w:t>
      </w:r>
      <w:r w:rsidRPr="00255EE9">
        <w:t>na wynagrodzenia dodatkowy</w:t>
      </w:r>
      <w:r>
        <w:t>ch specjalistów wykonujących modelowanie.</w:t>
      </w:r>
    </w:p>
  </w:footnote>
  <w:footnote w:id="37">
    <w:p w14:paraId="1B920AEC" w14:textId="2AB1952F" w:rsidR="00E0671B" w:rsidRDefault="00E0671B">
      <w:pPr>
        <w:pStyle w:val="Tekstprzypisudolnego"/>
      </w:pPr>
      <w:r>
        <w:rPr>
          <w:rStyle w:val="Odwoanieprzypisudolnego"/>
        </w:rPr>
        <w:footnoteRef/>
      </w:r>
      <w:r>
        <w:t xml:space="preserve"> D</w:t>
      </w:r>
      <w:r w:rsidRPr="00255EE9">
        <w:t xml:space="preserve">ziałanie </w:t>
      </w:r>
      <w:r>
        <w:t>zostanie z</w:t>
      </w:r>
      <w:r w:rsidRPr="00255EE9">
        <w:t>realizowan</w:t>
      </w:r>
      <w:r>
        <w:t>e</w:t>
      </w:r>
      <w:r w:rsidRPr="00255EE9">
        <w:t xml:space="preserve"> pod warunkiem zapewnienia niezbędnych środków finansowych</w:t>
      </w:r>
      <w:r>
        <w:t>.</w:t>
      </w:r>
    </w:p>
  </w:footnote>
  <w:footnote w:id="38">
    <w:p w14:paraId="38FD81AC" w14:textId="377F5376" w:rsidR="0072137C" w:rsidRDefault="0072137C">
      <w:pPr>
        <w:pStyle w:val="Tekstprzypisudolnego"/>
      </w:pPr>
      <w:r>
        <w:rPr>
          <w:rStyle w:val="Odwoanieprzypisudolnego"/>
        </w:rPr>
        <w:footnoteRef/>
      </w:r>
      <w:r>
        <w:t xml:space="preserve"> Działanie dotyczące funkcjonowania i rozwoju bazy SI JPOAT będzie możliwe do zrealizowania pod warunkiem </w:t>
      </w:r>
      <w:r w:rsidRPr="00412A5D">
        <w:rPr>
          <w:bCs/>
        </w:rPr>
        <w:t>zapewnieni</w:t>
      </w:r>
      <w:r>
        <w:rPr>
          <w:bCs/>
        </w:rPr>
        <w:t>a</w:t>
      </w:r>
      <w:r w:rsidRPr="00412A5D">
        <w:rPr>
          <w:bCs/>
        </w:rPr>
        <w:t xml:space="preserve"> finansowania w latach 2023-2030</w:t>
      </w:r>
      <w:r w:rsidR="003B2050">
        <w:rPr>
          <w:bCs/>
        </w:rPr>
        <w:t>.</w:t>
      </w:r>
    </w:p>
  </w:footnote>
  <w:footnote w:id="39">
    <w:p w14:paraId="285A3242" w14:textId="1D9F1046" w:rsidR="0072137C" w:rsidRDefault="0072137C">
      <w:pPr>
        <w:pStyle w:val="Tekstprzypisudolnego"/>
      </w:pPr>
      <w:r>
        <w:rPr>
          <w:rStyle w:val="Odwoanieprzypisudolnego"/>
        </w:rPr>
        <w:footnoteRef/>
      </w:r>
      <w:r>
        <w:t xml:space="preserve"> </w:t>
      </w:r>
      <w:r w:rsidR="003B2050">
        <w:t xml:space="preserve">Działanie wynikające z przyjętych przez Ministra Klimatu i Środowiska rekomendacji, przygotowanych i </w:t>
      </w:r>
      <w:r>
        <w:t>przekazanych w dniu 30 czerwca 2021 r. przez Zespół ds. przeglądu paliw stałych.</w:t>
      </w:r>
    </w:p>
  </w:footnote>
  <w:footnote w:id="40">
    <w:p w14:paraId="24BA2EA1" w14:textId="79B4F234" w:rsidR="0072137C" w:rsidRDefault="0072137C">
      <w:pPr>
        <w:pStyle w:val="Tekstprzypisudolnego"/>
      </w:pPr>
      <w:r>
        <w:rPr>
          <w:rStyle w:val="Odwoanieprzypisudolnego"/>
        </w:rPr>
        <w:footnoteRef/>
      </w:r>
      <w:r>
        <w:t xml:space="preserve"> </w:t>
      </w:r>
      <w:r w:rsidRPr="00D33357">
        <w:t>Działanie rekomendowane przez Komisję Europejską i określone w Krajowym Planie Odbudowy</w:t>
      </w:r>
      <w:r w:rsidR="003B2050">
        <w:t>.</w:t>
      </w:r>
    </w:p>
  </w:footnote>
  <w:footnote w:id="41">
    <w:p w14:paraId="12D9FA5D" w14:textId="77777777" w:rsidR="0072137C" w:rsidRDefault="0072137C" w:rsidP="00F81987">
      <w:pPr>
        <w:pStyle w:val="Tekstprzypisudolnego"/>
      </w:pPr>
      <w:r>
        <w:rPr>
          <w:rStyle w:val="Odwoanieprzypisudolnego"/>
        </w:rPr>
        <w:footnoteRef/>
      </w:r>
      <w:r>
        <w:t xml:space="preserve"> Działanie rekomendowane przez Komisję Europejską i określone w Krajowym Planie Odbudowy</w:t>
      </w:r>
    </w:p>
    <w:p w14:paraId="1C771BAB" w14:textId="4F666A9F" w:rsidR="0072137C" w:rsidRDefault="0072137C">
      <w:pPr>
        <w:pStyle w:val="Tekstprzypisudolnego"/>
      </w:pPr>
    </w:p>
  </w:footnote>
  <w:footnote w:id="42">
    <w:p w14:paraId="5B626A16" w14:textId="56E685B5" w:rsidR="0072137C" w:rsidRDefault="0072137C">
      <w:pPr>
        <w:pStyle w:val="Tekstprzypisudolnego"/>
      </w:pPr>
      <w:r>
        <w:rPr>
          <w:rStyle w:val="Odwoanieprzypisudolnego"/>
        </w:rPr>
        <w:footnoteRef/>
      </w:r>
      <w:r>
        <w:t xml:space="preserve"> Działanie rekomendowane przez Komisję Europejską i określone w Krajowym Planie Odbudowy</w:t>
      </w:r>
    </w:p>
  </w:footnote>
  <w:footnote w:id="43">
    <w:p w14:paraId="7FE9A6D1" w14:textId="75DDC56A" w:rsidR="002B20A8" w:rsidRPr="00DD0E4C" w:rsidRDefault="002B20A8" w:rsidP="00EC490C">
      <w:pPr>
        <w:pStyle w:val="pf0"/>
        <w:rPr>
          <w:rFonts w:asciiTheme="minorHAnsi" w:hAnsiTheme="minorHAnsi" w:cstheme="minorHAnsi"/>
          <w:sz w:val="20"/>
          <w:szCs w:val="20"/>
        </w:rPr>
      </w:pPr>
      <w:r w:rsidRPr="00DD0E4C">
        <w:rPr>
          <w:rStyle w:val="Odwoanieprzypisudolnego"/>
          <w:rFonts w:asciiTheme="minorHAnsi" w:hAnsiTheme="minorHAnsi" w:cstheme="minorHAnsi"/>
          <w:sz w:val="20"/>
          <w:szCs w:val="20"/>
        </w:rPr>
        <w:footnoteRef/>
      </w:r>
      <w:r w:rsidRPr="00DD0E4C">
        <w:rPr>
          <w:rFonts w:asciiTheme="minorHAnsi" w:hAnsiTheme="minorHAnsi" w:cstheme="minorHAnsi"/>
          <w:sz w:val="20"/>
          <w:szCs w:val="20"/>
        </w:rPr>
        <w:t xml:space="preserve"> Konieczność zatwierdzenia </w:t>
      </w:r>
      <w:r w:rsidRPr="00DD0E4C">
        <w:rPr>
          <w:rStyle w:val="cf01"/>
          <w:rFonts w:asciiTheme="minorHAnsi" w:eastAsiaTheme="majorEastAsia" w:hAnsiTheme="minorHAnsi" w:cstheme="minorHAnsi"/>
          <w:sz w:val="20"/>
          <w:szCs w:val="20"/>
        </w:rPr>
        <w:t xml:space="preserve">propozycji działania przez MEiN. </w:t>
      </w:r>
    </w:p>
    <w:p w14:paraId="261A7A4E" w14:textId="41B1A706" w:rsidR="002B20A8" w:rsidRDefault="002B20A8">
      <w:pPr>
        <w:pStyle w:val="Tekstprzypisudolnego"/>
      </w:pPr>
    </w:p>
  </w:footnote>
  <w:footnote w:id="44">
    <w:p w14:paraId="6192F73A" w14:textId="53773C27" w:rsidR="0072137C" w:rsidRDefault="0072137C">
      <w:pPr>
        <w:pStyle w:val="Tekstprzypisudolnego"/>
      </w:pPr>
      <w:r>
        <w:rPr>
          <w:rStyle w:val="Odwoanieprzypisudolnego"/>
        </w:rPr>
        <w:footnoteRef/>
      </w:r>
      <w:r>
        <w:t xml:space="preserve"> Działanie rekomendowane przez Komisję Europejską i określone w Krajowym Planie Odbudowy </w:t>
      </w:r>
    </w:p>
  </w:footnote>
  <w:footnote w:id="45">
    <w:p w14:paraId="0B8705A5" w14:textId="017CDD00" w:rsidR="00A84E16" w:rsidRDefault="00A84E16" w:rsidP="00A84E16">
      <w:pPr>
        <w:pStyle w:val="Tekstprzypisudolnego"/>
      </w:pPr>
      <w:r>
        <w:rPr>
          <w:rStyle w:val="Odwoanieprzypisudolnego"/>
        </w:rPr>
        <w:footnoteRef/>
      </w:r>
      <w:r>
        <w:t xml:space="preserve"> Działanie zostanie zrealizowane pod warunkiem zapewnienia niezbędnych środków finansowych na zakup, instalację, eksploatację i obsługę urządzeń komputerowych, w tym środki finansowe na wynagrodzenia dodatkowych specjalistów wykonujących modelowanie. Działanie wymaga zaangażowania KOBIZE-IOŚ-PIB w opracowanie wielkości emisji na podstawie podjętych działań w poszczególnych sektorach.</w:t>
      </w:r>
    </w:p>
  </w:footnote>
  <w:footnote w:id="46">
    <w:p w14:paraId="49AFAF8C" w14:textId="7A4013B6" w:rsidR="0072137C" w:rsidRPr="00987103" w:rsidRDefault="0072137C" w:rsidP="006516B5">
      <w:pPr>
        <w:pStyle w:val="Tekstprzypisudolnego"/>
      </w:pPr>
      <w:r>
        <w:rPr>
          <w:rStyle w:val="Odwoanieprzypisudolnego"/>
        </w:rPr>
        <w:footnoteRef/>
      </w:r>
      <w:r w:rsidRPr="00987103">
        <w:rPr>
          <w:vertAlign w:val="superscript"/>
        </w:rPr>
        <w:t>)</w:t>
      </w:r>
      <w:r>
        <w:t xml:space="preserve"> </w:t>
      </w:r>
      <w:r w:rsidRPr="00987103">
        <w:rPr>
          <w:bCs/>
        </w:rPr>
        <w:t xml:space="preserve">Źródło danych: </w:t>
      </w:r>
      <w:r w:rsidR="00DF2675">
        <w:rPr>
          <w:bCs/>
        </w:rPr>
        <w:t>PMŚ</w:t>
      </w:r>
      <w:r w:rsidRPr="00987103">
        <w:rPr>
          <w:bCs/>
        </w:rPr>
        <w:t xml:space="preserve"> – Inspekcja Ochrony Środowiska, Warszawa 20</w:t>
      </w:r>
      <w:r>
        <w:rPr>
          <w:bCs/>
        </w:rPr>
        <w:t>20</w:t>
      </w:r>
      <w:r w:rsidRPr="00987103">
        <w:rPr>
          <w:bCs/>
        </w:rPr>
        <w:t xml:space="preserve"> r.</w:t>
      </w:r>
    </w:p>
  </w:footnote>
  <w:footnote w:id="47">
    <w:p w14:paraId="73EE636D" w14:textId="0741157F" w:rsidR="0072137C" w:rsidRPr="00BD321B" w:rsidRDefault="0072137C" w:rsidP="006516B5">
      <w:pPr>
        <w:pStyle w:val="Tekstprzypisudolnego"/>
      </w:pPr>
      <w:r>
        <w:rPr>
          <w:rStyle w:val="Odwoanieprzypisudolnego"/>
        </w:rPr>
        <w:footnoteRef/>
      </w:r>
      <w:r>
        <w:t xml:space="preserve"> </w:t>
      </w:r>
      <w:r w:rsidRPr="00BD321B">
        <w:rPr>
          <w:bCs/>
        </w:rPr>
        <w:t xml:space="preserve">Źródło danych: </w:t>
      </w:r>
      <w:r w:rsidR="00DF2675">
        <w:rPr>
          <w:bCs/>
        </w:rPr>
        <w:t>PMŚ</w:t>
      </w:r>
      <w:r w:rsidRPr="00BD321B">
        <w:rPr>
          <w:bCs/>
        </w:rPr>
        <w:t xml:space="preserve"> – Inspekcja Ochrony Środowiska, Warszawa 2020 r.</w:t>
      </w:r>
    </w:p>
  </w:footnote>
  <w:footnote w:id="48">
    <w:p w14:paraId="1B693713" w14:textId="12DE35E9" w:rsidR="0072137C" w:rsidRPr="00D037B5" w:rsidRDefault="0072137C" w:rsidP="006516B5">
      <w:pPr>
        <w:pStyle w:val="Tekstprzypisudolnego"/>
        <w:ind w:left="1418" w:hanging="1418"/>
        <w:rPr>
          <w:sz w:val="18"/>
          <w:szCs w:val="18"/>
        </w:rPr>
      </w:pPr>
      <w:r w:rsidRPr="00D037B5">
        <w:rPr>
          <w:rStyle w:val="Odwoanieprzypisudolnego"/>
          <w:sz w:val="18"/>
          <w:szCs w:val="18"/>
        </w:rPr>
        <w:footnoteRef/>
      </w:r>
      <w:r w:rsidRPr="00D037B5">
        <w:rPr>
          <w:sz w:val="18"/>
          <w:szCs w:val="18"/>
        </w:rPr>
        <w:t xml:space="preserve"> Źródło danych: Obwieszczenie Ministra Środowiska z dnia 8 września 2020 r. </w:t>
      </w:r>
      <w:r w:rsidRPr="00D037B5">
        <w:rPr>
          <w:i/>
          <w:sz w:val="18"/>
          <w:szCs w:val="18"/>
        </w:rPr>
        <w:t xml:space="preserve">w sprawie wykazu miast o liczbie mieszkańców większej niż 100 tysięcy i aglomeracji, w których wartość wskaźnika średniego narażenia dla miasta o liczbie mieszkańców większej niż 100 tysięcy i aglomeracji przekracza wartość pułapu stężenia ekspozycji, oraz wykazu miast o liczbie mieszkańców większej niż 100 tysięcy i aglomeracji, w których wartość wskaźnika średniego narażenia dla miasta o liczbie mieszkańców większej niż 100 tysięcy i aglomeracji nie przekracza wartości pułapu stężenia ekspozycji </w:t>
      </w:r>
      <w:r w:rsidRPr="00D037B5">
        <w:rPr>
          <w:sz w:val="18"/>
          <w:szCs w:val="18"/>
        </w:rPr>
        <w:t>(M.P. 2020 poz. 799)</w:t>
      </w:r>
    </w:p>
  </w:footnote>
  <w:footnote w:id="49">
    <w:p w14:paraId="2E728BBA" w14:textId="77777777" w:rsidR="0072137C" w:rsidRPr="00BD321B" w:rsidRDefault="0072137C" w:rsidP="006516B5">
      <w:pPr>
        <w:pStyle w:val="Tekstprzypisudolnego"/>
      </w:pPr>
      <w:r w:rsidRPr="00D037B5">
        <w:rPr>
          <w:rStyle w:val="Odwoanieprzypisudolnego"/>
          <w:sz w:val="18"/>
          <w:szCs w:val="18"/>
        </w:rPr>
        <w:footnoteRef/>
      </w:r>
      <w:r w:rsidRPr="00D037B5">
        <w:rPr>
          <w:sz w:val="18"/>
          <w:szCs w:val="18"/>
        </w:rPr>
        <w:t xml:space="preserve"> https://powietrze.gios.gov.pl/pjp/content/exposure_dust_pm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69DE"/>
    <w:multiLevelType w:val="hybridMultilevel"/>
    <w:tmpl w:val="F9107D1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612AF5"/>
    <w:multiLevelType w:val="hybridMultilevel"/>
    <w:tmpl w:val="43904E16"/>
    <w:lvl w:ilvl="0" w:tplc="5876FE1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1E456A"/>
    <w:multiLevelType w:val="hybridMultilevel"/>
    <w:tmpl w:val="8A92AEFC"/>
    <w:lvl w:ilvl="0" w:tplc="4D868A9E">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8B6E52"/>
    <w:multiLevelType w:val="hybridMultilevel"/>
    <w:tmpl w:val="423A39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60F28BE"/>
    <w:multiLevelType w:val="hybridMultilevel"/>
    <w:tmpl w:val="7F903B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79938D5"/>
    <w:multiLevelType w:val="hybridMultilevel"/>
    <w:tmpl w:val="F1805D0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8CF28C5"/>
    <w:multiLevelType w:val="hybridMultilevel"/>
    <w:tmpl w:val="B7BC1B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A133D43"/>
    <w:multiLevelType w:val="hybridMultilevel"/>
    <w:tmpl w:val="D2DCB7BA"/>
    <w:lvl w:ilvl="0" w:tplc="E72624A4">
      <w:start w:val="1"/>
      <w:numFmt w:val="decimal"/>
      <w:lvlText w:val="%1."/>
      <w:lvlJc w:val="left"/>
      <w:pPr>
        <w:ind w:left="84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C111435"/>
    <w:multiLevelType w:val="hybridMultilevel"/>
    <w:tmpl w:val="E0A6BB1C"/>
    <w:lvl w:ilvl="0" w:tplc="14AEDD44">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11A461B7"/>
    <w:multiLevelType w:val="hybridMultilevel"/>
    <w:tmpl w:val="E8189D0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11C44085"/>
    <w:multiLevelType w:val="hybridMultilevel"/>
    <w:tmpl w:val="01AEE0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21C5F77"/>
    <w:multiLevelType w:val="hybridMultilevel"/>
    <w:tmpl w:val="303236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2B56CCA"/>
    <w:multiLevelType w:val="hybridMultilevel"/>
    <w:tmpl w:val="9E1C01DA"/>
    <w:lvl w:ilvl="0" w:tplc="E4DA108C">
      <w:start w:val="1"/>
      <w:numFmt w:val="decimal"/>
      <w:lvlText w:val="%1."/>
      <w:lvlJc w:val="left"/>
      <w:pPr>
        <w:ind w:left="84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2FA4649"/>
    <w:multiLevelType w:val="hybridMultilevel"/>
    <w:tmpl w:val="23BC4C3A"/>
    <w:lvl w:ilvl="0" w:tplc="A220429A">
      <w:start w:val="1"/>
      <w:numFmt w:val="bullet"/>
      <w:lvlText w:val="•"/>
      <w:lvlJc w:val="left"/>
      <w:pPr>
        <w:tabs>
          <w:tab w:val="num" w:pos="720"/>
        </w:tabs>
        <w:ind w:left="720" w:hanging="360"/>
      </w:pPr>
      <w:rPr>
        <w:rFonts w:ascii="Arial" w:hAnsi="Arial" w:hint="default"/>
      </w:rPr>
    </w:lvl>
    <w:lvl w:ilvl="1" w:tplc="598A70B2" w:tentative="1">
      <w:start w:val="1"/>
      <w:numFmt w:val="bullet"/>
      <w:lvlText w:val="•"/>
      <w:lvlJc w:val="left"/>
      <w:pPr>
        <w:tabs>
          <w:tab w:val="num" w:pos="1440"/>
        </w:tabs>
        <w:ind w:left="1440" w:hanging="360"/>
      </w:pPr>
      <w:rPr>
        <w:rFonts w:ascii="Arial" w:hAnsi="Arial" w:hint="default"/>
      </w:rPr>
    </w:lvl>
    <w:lvl w:ilvl="2" w:tplc="F4BA452A" w:tentative="1">
      <w:start w:val="1"/>
      <w:numFmt w:val="bullet"/>
      <w:lvlText w:val="•"/>
      <w:lvlJc w:val="left"/>
      <w:pPr>
        <w:tabs>
          <w:tab w:val="num" w:pos="2160"/>
        </w:tabs>
        <w:ind w:left="2160" w:hanging="360"/>
      </w:pPr>
      <w:rPr>
        <w:rFonts w:ascii="Arial" w:hAnsi="Arial" w:hint="default"/>
      </w:rPr>
    </w:lvl>
    <w:lvl w:ilvl="3" w:tplc="E654AD4C" w:tentative="1">
      <w:start w:val="1"/>
      <w:numFmt w:val="bullet"/>
      <w:lvlText w:val="•"/>
      <w:lvlJc w:val="left"/>
      <w:pPr>
        <w:tabs>
          <w:tab w:val="num" w:pos="2880"/>
        </w:tabs>
        <w:ind w:left="2880" w:hanging="360"/>
      </w:pPr>
      <w:rPr>
        <w:rFonts w:ascii="Arial" w:hAnsi="Arial" w:hint="default"/>
      </w:rPr>
    </w:lvl>
    <w:lvl w:ilvl="4" w:tplc="D30045BC" w:tentative="1">
      <w:start w:val="1"/>
      <w:numFmt w:val="bullet"/>
      <w:lvlText w:val="•"/>
      <w:lvlJc w:val="left"/>
      <w:pPr>
        <w:tabs>
          <w:tab w:val="num" w:pos="3600"/>
        </w:tabs>
        <w:ind w:left="3600" w:hanging="360"/>
      </w:pPr>
      <w:rPr>
        <w:rFonts w:ascii="Arial" w:hAnsi="Arial" w:hint="default"/>
      </w:rPr>
    </w:lvl>
    <w:lvl w:ilvl="5" w:tplc="8F88F20A" w:tentative="1">
      <w:start w:val="1"/>
      <w:numFmt w:val="bullet"/>
      <w:lvlText w:val="•"/>
      <w:lvlJc w:val="left"/>
      <w:pPr>
        <w:tabs>
          <w:tab w:val="num" w:pos="4320"/>
        </w:tabs>
        <w:ind w:left="4320" w:hanging="360"/>
      </w:pPr>
      <w:rPr>
        <w:rFonts w:ascii="Arial" w:hAnsi="Arial" w:hint="default"/>
      </w:rPr>
    </w:lvl>
    <w:lvl w:ilvl="6" w:tplc="240A1FC8" w:tentative="1">
      <w:start w:val="1"/>
      <w:numFmt w:val="bullet"/>
      <w:lvlText w:val="•"/>
      <w:lvlJc w:val="left"/>
      <w:pPr>
        <w:tabs>
          <w:tab w:val="num" w:pos="5040"/>
        </w:tabs>
        <w:ind w:left="5040" w:hanging="360"/>
      </w:pPr>
      <w:rPr>
        <w:rFonts w:ascii="Arial" w:hAnsi="Arial" w:hint="default"/>
      </w:rPr>
    </w:lvl>
    <w:lvl w:ilvl="7" w:tplc="940864F6" w:tentative="1">
      <w:start w:val="1"/>
      <w:numFmt w:val="bullet"/>
      <w:lvlText w:val="•"/>
      <w:lvlJc w:val="left"/>
      <w:pPr>
        <w:tabs>
          <w:tab w:val="num" w:pos="5760"/>
        </w:tabs>
        <w:ind w:left="5760" w:hanging="360"/>
      </w:pPr>
      <w:rPr>
        <w:rFonts w:ascii="Arial" w:hAnsi="Arial" w:hint="default"/>
      </w:rPr>
    </w:lvl>
    <w:lvl w:ilvl="8" w:tplc="B712AFD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45248A4"/>
    <w:multiLevelType w:val="hybridMultilevel"/>
    <w:tmpl w:val="EE84BC50"/>
    <w:lvl w:ilvl="0" w:tplc="0415000D">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51F0997"/>
    <w:multiLevelType w:val="hybridMultilevel"/>
    <w:tmpl w:val="198EC9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5E6491E"/>
    <w:multiLevelType w:val="hybridMultilevel"/>
    <w:tmpl w:val="977CEC7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7" w15:restartNumberingAfterBreak="0">
    <w:nsid w:val="163E7F7C"/>
    <w:multiLevelType w:val="hybridMultilevel"/>
    <w:tmpl w:val="2DAEBB82"/>
    <w:lvl w:ilvl="0" w:tplc="04150003">
      <w:start w:val="1"/>
      <w:numFmt w:val="bullet"/>
      <w:lvlText w:val="o"/>
      <w:lvlJc w:val="left"/>
      <w:pPr>
        <w:ind w:left="767" w:hanging="360"/>
      </w:pPr>
      <w:rPr>
        <w:rFonts w:ascii="Courier New" w:hAnsi="Courier New" w:cs="Courier New" w:hint="default"/>
      </w:rPr>
    </w:lvl>
    <w:lvl w:ilvl="1" w:tplc="04150003" w:tentative="1">
      <w:start w:val="1"/>
      <w:numFmt w:val="bullet"/>
      <w:lvlText w:val="o"/>
      <w:lvlJc w:val="left"/>
      <w:pPr>
        <w:ind w:left="1487" w:hanging="360"/>
      </w:pPr>
      <w:rPr>
        <w:rFonts w:ascii="Courier New" w:hAnsi="Courier New" w:cs="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cs="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cs="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18" w15:restartNumberingAfterBreak="0">
    <w:nsid w:val="16AD1A2A"/>
    <w:multiLevelType w:val="hybridMultilevel"/>
    <w:tmpl w:val="C55CE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7AB1DBE"/>
    <w:multiLevelType w:val="hybridMultilevel"/>
    <w:tmpl w:val="673E1190"/>
    <w:lvl w:ilvl="0" w:tplc="8AC8A0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A881C1C"/>
    <w:multiLevelType w:val="hybridMultilevel"/>
    <w:tmpl w:val="4FE45B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ADE7A08"/>
    <w:multiLevelType w:val="hybridMultilevel"/>
    <w:tmpl w:val="9C5E6F6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 w15:restartNumberingAfterBreak="0">
    <w:nsid w:val="1BC8721D"/>
    <w:multiLevelType w:val="hybridMultilevel"/>
    <w:tmpl w:val="441659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ED469D2"/>
    <w:multiLevelType w:val="hybridMultilevel"/>
    <w:tmpl w:val="E3B648C2"/>
    <w:lvl w:ilvl="0" w:tplc="FC6A077A">
      <w:start w:val="1"/>
      <w:numFmt w:val="decimal"/>
      <w:lvlText w:val="%1."/>
      <w:lvlJc w:val="left"/>
      <w:pPr>
        <w:ind w:left="84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F291188"/>
    <w:multiLevelType w:val="hybridMultilevel"/>
    <w:tmpl w:val="835279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22061F8"/>
    <w:multiLevelType w:val="hybridMultilevel"/>
    <w:tmpl w:val="866655A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3790915"/>
    <w:multiLevelType w:val="hybridMultilevel"/>
    <w:tmpl w:val="10CE27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3DE39F4"/>
    <w:multiLevelType w:val="hybridMultilevel"/>
    <w:tmpl w:val="121AC73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4131868"/>
    <w:multiLevelType w:val="hybridMultilevel"/>
    <w:tmpl w:val="F448165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4574CAD"/>
    <w:multiLevelType w:val="hybridMultilevel"/>
    <w:tmpl w:val="900C9A4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54634A2"/>
    <w:multiLevelType w:val="hybridMultilevel"/>
    <w:tmpl w:val="D3A044B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744204F"/>
    <w:multiLevelType w:val="hybridMultilevel"/>
    <w:tmpl w:val="17462DA2"/>
    <w:lvl w:ilvl="0" w:tplc="22AEB29C">
      <w:start w:val="1"/>
      <w:numFmt w:val="decimal"/>
      <w:lvlText w:val="%1)"/>
      <w:lvlJc w:val="left"/>
      <w:pPr>
        <w:ind w:left="720" w:hanging="360"/>
      </w:pPr>
      <w:rPr>
        <w:rFonts w:hint="default"/>
        <w:b/>
        <w:bCs/>
        <w:color w:val="2F5496" w:themeColor="accent1" w:themeShade="B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79C5477"/>
    <w:multiLevelType w:val="hybridMultilevel"/>
    <w:tmpl w:val="27ECF142"/>
    <w:lvl w:ilvl="0" w:tplc="8AC8A0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C8360A7"/>
    <w:multiLevelType w:val="hybridMultilevel"/>
    <w:tmpl w:val="7ECAB218"/>
    <w:lvl w:ilvl="0" w:tplc="644662F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15:restartNumberingAfterBreak="0">
    <w:nsid w:val="30334228"/>
    <w:multiLevelType w:val="hybridMultilevel"/>
    <w:tmpl w:val="6980EB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0980596"/>
    <w:multiLevelType w:val="hybridMultilevel"/>
    <w:tmpl w:val="6A9A351E"/>
    <w:lvl w:ilvl="0" w:tplc="D8CA3E74">
      <w:start w:val="3"/>
      <w:numFmt w:val="decimal"/>
      <w:lvlText w:val="%1."/>
      <w:lvlJc w:val="left"/>
      <w:pPr>
        <w:ind w:left="791" w:hanging="360"/>
      </w:pPr>
      <w:rPr>
        <w:rFonts w:hint="default"/>
      </w:rPr>
    </w:lvl>
    <w:lvl w:ilvl="1" w:tplc="04150019" w:tentative="1">
      <w:start w:val="1"/>
      <w:numFmt w:val="lowerLetter"/>
      <w:lvlText w:val="%2."/>
      <w:lvlJc w:val="left"/>
      <w:pPr>
        <w:ind w:left="1511" w:hanging="360"/>
      </w:pPr>
    </w:lvl>
    <w:lvl w:ilvl="2" w:tplc="0415001B" w:tentative="1">
      <w:start w:val="1"/>
      <w:numFmt w:val="lowerRoman"/>
      <w:lvlText w:val="%3."/>
      <w:lvlJc w:val="right"/>
      <w:pPr>
        <w:ind w:left="2231" w:hanging="180"/>
      </w:pPr>
    </w:lvl>
    <w:lvl w:ilvl="3" w:tplc="0415000F" w:tentative="1">
      <w:start w:val="1"/>
      <w:numFmt w:val="decimal"/>
      <w:lvlText w:val="%4."/>
      <w:lvlJc w:val="left"/>
      <w:pPr>
        <w:ind w:left="2951" w:hanging="360"/>
      </w:pPr>
    </w:lvl>
    <w:lvl w:ilvl="4" w:tplc="04150019" w:tentative="1">
      <w:start w:val="1"/>
      <w:numFmt w:val="lowerLetter"/>
      <w:lvlText w:val="%5."/>
      <w:lvlJc w:val="left"/>
      <w:pPr>
        <w:ind w:left="3671" w:hanging="360"/>
      </w:pPr>
    </w:lvl>
    <w:lvl w:ilvl="5" w:tplc="0415001B" w:tentative="1">
      <w:start w:val="1"/>
      <w:numFmt w:val="lowerRoman"/>
      <w:lvlText w:val="%6."/>
      <w:lvlJc w:val="right"/>
      <w:pPr>
        <w:ind w:left="4391" w:hanging="180"/>
      </w:pPr>
    </w:lvl>
    <w:lvl w:ilvl="6" w:tplc="0415000F" w:tentative="1">
      <w:start w:val="1"/>
      <w:numFmt w:val="decimal"/>
      <w:lvlText w:val="%7."/>
      <w:lvlJc w:val="left"/>
      <w:pPr>
        <w:ind w:left="5111" w:hanging="360"/>
      </w:pPr>
    </w:lvl>
    <w:lvl w:ilvl="7" w:tplc="04150019" w:tentative="1">
      <w:start w:val="1"/>
      <w:numFmt w:val="lowerLetter"/>
      <w:lvlText w:val="%8."/>
      <w:lvlJc w:val="left"/>
      <w:pPr>
        <w:ind w:left="5831" w:hanging="360"/>
      </w:pPr>
    </w:lvl>
    <w:lvl w:ilvl="8" w:tplc="0415001B" w:tentative="1">
      <w:start w:val="1"/>
      <w:numFmt w:val="lowerRoman"/>
      <w:lvlText w:val="%9."/>
      <w:lvlJc w:val="right"/>
      <w:pPr>
        <w:ind w:left="6551" w:hanging="180"/>
      </w:pPr>
    </w:lvl>
  </w:abstractNum>
  <w:abstractNum w:abstractNumId="36" w15:restartNumberingAfterBreak="0">
    <w:nsid w:val="3148596A"/>
    <w:multiLevelType w:val="hybridMultilevel"/>
    <w:tmpl w:val="06DED6B0"/>
    <w:lvl w:ilvl="0" w:tplc="ACD0523C">
      <w:start w:val="1"/>
      <w:numFmt w:val="decimal"/>
      <w:lvlText w:val="%1."/>
      <w:lvlJc w:val="left"/>
      <w:pPr>
        <w:ind w:left="84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1A11F88"/>
    <w:multiLevelType w:val="hybridMultilevel"/>
    <w:tmpl w:val="D272EDC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1AD7E9D"/>
    <w:multiLevelType w:val="hybridMultilevel"/>
    <w:tmpl w:val="3D30AD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4526F4D"/>
    <w:multiLevelType w:val="multilevel"/>
    <w:tmpl w:val="385EC2C6"/>
    <w:lvl w:ilvl="0">
      <w:start w:val="1"/>
      <w:numFmt w:val="decimal"/>
      <w:pStyle w:val="Nagwek1"/>
      <w:lvlText w:val="%1"/>
      <w:lvlJc w:val="left"/>
      <w:pPr>
        <w:ind w:left="432" w:hanging="432"/>
      </w:pPr>
      <w:rPr>
        <w:b/>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gwek2"/>
      <w:lvlText w:val="%1.%2"/>
      <w:lvlJc w:val="left"/>
      <w:pPr>
        <w:ind w:left="576" w:hanging="576"/>
      </w:pPr>
      <w:rPr>
        <w:b w:val="0"/>
        <w:bCs w:val="0"/>
        <w:i w:val="0"/>
        <w:iCs w:val="0"/>
        <w:caps w:val="0"/>
        <w:smallCaps w:val="0"/>
        <w:strike w:val="0"/>
        <w:dstrike w:val="0"/>
        <w:noProof w:val="0"/>
        <w:vanish w:val="0"/>
        <w:color w:val="2F5496" w:themeColor="accent1" w:themeShade="BF"/>
        <w:spacing w:val="0"/>
        <w:kern w:val="0"/>
        <w:position w:val="0"/>
        <w:u w:val="none"/>
        <w:effect w:val="none"/>
        <w:vertAlign w:val="baseline"/>
        <w:em w:val="none"/>
        <w:specVanish w:val="0"/>
      </w:rPr>
    </w:lvl>
    <w:lvl w:ilvl="2">
      <w:start w:val="1"/>
      <w:numFmt w:val="decimal"/>
      <w:pStyle w:val="Nagwek3"/>
      <w:lvlText w:val="%1.%2.%3"/>
      <w:lvlJc w:val="left"/>
      <w:pPr>
        <w:ind w:left="720" w:hanging="720"/>
      </w:pPr>
      <w:rPr>
        <w:b/>
        <w:bCs w:val="0"/>
        <w:i w:val="0"/>
        <w:iCs w:val="0"/>
        <w:caps w:val="0"/>
        <w:smallCaps w:val="0"/>
        <w:strike w:val="0"/>
        <w:dstrike w:val="0"/>
        <w:noProof w:val="0"/>
        <w:vanish w:val="0"/>
        <w:color w:val="2F5496" w:themeColor="accent1" w:themeShade="BF"/>
        <w:spacing w:val="0"/>
        <w:kern w:val="0"/>
        <w:position w:val="0"/>
        <w:u w:val="none"/>
        <w:effect w:val="none"/>
        <w:vertAlign w:val="baseline"/>
        <w:em w:val="none"/>
        <w:specVanish w:val="0"/>
      </w:r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40" w15:restartNumberingAfterBreak="0">
    <w:nsid w:val="34572E2C"/>
    <w:multiLevelType w:val="hybridMultilevel"/>
    <w:tmpl w:val="2CA2A840"/>
    <w:lvl w:ilvl="0" w:tplc="77567A1E">
      <w:start w:val="1"/>
      <w:numFmt w:val="decimal"/>
      <w:lvlText w:val="%1."/>
      <w:lvlJc w:val="left"/>
      <w:pPr>
        <w:ind w:left="84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78D5E52"/>
    <w:multiLevelType w:val="hybridMultilevel"/>
    <w:tmpl w:val="56A2F2C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A1F696C"/>
    <w:multiLevelType w:val="hybridMultilevel"/>
    <w:tmpl w:val="42BEFF2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C140354"/>
    <w:multiLevelType w:val="hybridMultilevel"/>
    <w:tmpl w:val="BE5AFC2C"/>
    <w:lvl w:ilvl="0" w:tplc="0415000D">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44" w15:restartNumberingAfterBreak="0">
    <w:nsid w:val="3EBB405F"/>
    <w:multiLevelType w:val="hybridMultilevel"/>
    <w:tmpl w:val="9EAE2138"/>
    <w:lvl w:ilvl="0" w:tplc="8AC8A0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3457B3D"/>
    <w:multiLevelType w:val="hybridMultilevel"/>
    <w:tmpl w:val="69928462"/>
    <w:lvl w:ilvl="0" w:tplc="8AC8A0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3B77565"/>
    <w:multiLevelType w:val="hybridMultilevel"/>
    <w:tmpl w:val="C1B247E8"/>
    <w:lvl w:ilvl="0" w:tplc="4EB29C1E">
      <w:start w:val="1"/>
      <w:numFmt w:val="bullet"/>
      <w:lvlText w:val="−"/>
      <w:lvlJc w:val="left"/>
      <w:pPr>
        <w:ind w:left="833" w:hanging="360"/>
      </w:pPr>
      <w:rPr>
        <w:rFonts w:ascii="Arial Narrow" w:hAnsi="Arial Narrow" w:hint="default"/>
        <w:b w:val="0"/>
        <w:i w:val="0"/>
        <w:sz w:val="20"/>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47" w15:restartNumberingAfterBreak="0">
    <w:nsid w:val="43EB5A6C"/>
    <w:multiLevelType w:val="hybridMultilevel"/>
    <w:tmpl w:val="60F653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4640152"/>
    <w:multiLevelType w:val="hybridMultilevel"/>
    <w:tmpl w:val="BDAA97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54E1779"/>
    <w:multiLevelType w:val="hybridMultilevel"/>
    <w:tmpl w:val="61BA7FE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6561CBC"/>
    <w:multiLevelType w:val="hybridMultilevel"/>
    <w:tmpl w:val="174E6DA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A600E87"/>
    <w:multiLevelType w:val="hybridMultilevel"/>
    <w:tmpl w:val="001462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A9E4EE3"/>
    <w:multiLevelType w:val="hybridMultilevel"/>
    <w:tmpl w:val="4E1E5B84"/>
    <w:lvl w:ilvl="0" w:tplc="D56E7E24">
      <w:start w:val="1"/>
      <w:numFmt w:val="decimal"/>
      <w:lvlText w:val="%1."/>
      <w:lvlJc w:val="left"/>
      <w:pPr>
        <w:ind w:left="84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B7B7335"/>
    <w:multiLevelType w:val="hybridMultilevel"/>
    <w:tmpl w:val="09B6DED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4" w15:restartNumberingAfterBreak="0">
    <w:nsid w:val="4CDB3272"/>
    <w:multiLevelType w:val="hybridMultilevel"/>
    <w:tmpl w:val="FE76B4F6"/>
    <w:lvl w:ilvl="0" w:tplc="8AC8A0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DA45B74"/>
    <w:multiLevelType w:val="hybridMultilevel"/>
    <w:tmpl w:val="7F28B2FC"/>
    <w:lvl w:ilvl="0" w:tplc="B46882C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 w15:restartNumberingAfterBreak="0">
    <w:nsid w:val="4E5568D3"/>
    <w:multiLevelType w:val="hybridMultilevel"/>
    <w:tmpl w:val="59989C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FFC302C"/>
    <w:multiLevelType w:val="hybridMultilevel"/>
    <w:tmpl w:val="80BC4658"/>
    <w:lvl w:ilvl="0" w:tplc="4D868A9E">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18E79FB"/>
    <w:multiLevelType w:val="hybridMultilevel"/>
    <w:tmpl w:val="D4D23E1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20E39DB"/>
    <w:multiLevelType w:val="hybridMultilevel"/>
    <w:tmpl w:val="C6BA8136"/>
    <w:lvl w:ilvl="0" w:tplc="0000000C">
      <w:start w:val="1"/>
      <w:numFmt w:val="bullet"/>
      <w:lvlText w:val=""/>
      <w:lvlJc w:val="left"/>
      <w:pPr>
        <w:ind w:left="778" w:hanging="360"/>
      </w:pPr>
      <w:rPr>
        <w:rFonts w:ascii="Symbol" w:hAnsi="Symbol" w:hint="default"/>
      </w:rPr>
    </w:lvl>
    <w:lvl w:ilvl="1" w:tplc="0000000C">
      <w:start w:val="1"/>
      <w:numFmt w:val="bullet"/>
      <w:lvlText w:val=""/>
      <w:lvlJc w:val="left"/>
      <w:pPr>
        <w:ind w:left="1498" w:hanging="360"/>
      </w:pPr>
      <w:rPr>
        <w:rFonts w:ascii="Symbol" w:hAnsi="Symbol" w:hint="default"/>
      </w:rPr>
    </w:lvl>
    <w:lvl w:ilvl="2" w:tplc="04150003">
      <w:start w:val="1"/>
      <w:numFmt w:val="bullet"/>
      <w:lvlText w:val="o"/>
      <w:lvlJc w:val="left"/>
      <w:pPr>
        <w:ind w:left="2218" w:hanging="360"/>
      </w:pPr>
      <w:rPr>
        <w:rFonts w:ascii="Courier New" w:hAnsi="Courier New" w:cs="Courier New"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60" w15:restartNumberingAfterBreak="0">
    <w:nsid w:val="522A6157"/>
    <w:multiLevelType w:val="hybridMultilevel"/>
    <w:tmpl w:val="D7161EA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3506DFC"/>
    <w:multiLevelType w:val="hybridMultilevel"/>
    <w:tmpl w:val="4AE23610"/>
    <w:lvl w:ilvl="0" w:tplc="B46882C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2" w15:restartNumberingAfterBreak="0">
    <w:nsid w:val="563F7ACB"/>
    <w:multiLevelType w:val="hybridMultilevel"/>
    <w:tmpl w:val="16CA8FF4"/>
    <w:lvl w:ilvl="0" w:tplc="4F528FB8">
      <w:start w:val="1"/>
      <w:numFmt w:val="decimal"/>
      <w:lvlText w:val="%1."/>
      <w:lvlJc w:val="left"/>
      <w:pPr>
        <w:ind w:left="720" w:hanging="360"/>
      </w:pPr>
      <w:rPr>
        <w:rFonts w:eastAsia="Times New Roman" w:cs="Calibri"/>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3" w15:restartNumberingAfterBreak="0">
    <w:nsid w:val="58E80334"/>
    <w:multiLevelType w:val="hybridMultilevel"/>
    <w:tmpl w:val="247042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99E42B6"/>
    <w:multiLevelType w:val="hybridMultilevel"/>
    <w:tmpl w:val="F5AA18E8"/>
    <w:lvl w:ilvl="0" w:tplc="28C42ED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5" w15:restartNumberingAfterBreak="0">
    <w:nsid w:val="5A4002BB"/>
    <w:multiLevelType w:val="hybridMultilevel"/>
    <w:tmpl w:val="F3BAA9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A647ADB"/>
    <w:multiLevelType w:val="hybridMultilevel"/>
    <w:tmpl w:val="CACA49B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AEB24D0"/>
    <w:multiLevelType w:val="hybridMultilevel"/>
    <w:tmpl w:val="044E94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B993B60"/>
    <w:multiLevelType w:val="hybridMultilevel"/>
    <w:tmpl w:val="3C4A2F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CBC7416"/>
    <w:multiLevelType w:val="hybridMultilevel"/>
    <w:tmpl w:val="86F879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E9D6B8E"/>
    <w:multiLevelType w:val="hybridMultilevel"/>
    <w:tmpl w:val="DF0EC6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5EE71309"/>
    <w:multiLevelType w:val="hybridMultilevel"/>
    <w:tmpl w:val="2CF29AA4"/>
    <w:lvl w:ilvl="0" w:tplc="05F27922">
      <w:start w:val="1"/>
      <w:numFmt w:val="decimal"/>
      <w:lvlText w:val="%1)"/>
      <w:lvlJc w:val="left"/>
      <w:pPr>
        <w:ind w:left="720" w:hanging="360"/>
      </w:pPr>
      <w:rPr>
        <w:rFonts w:asciiTheme="minorHAnsi" w:hAnsiTheme="minorHAnsi" w:cs="Times New Roman" w:hint="default"/>
        <w:b/>
        <w:color w:val="2F5496" w:themeColor="accent1" w:themeShade="B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2C26893"/>
    <w:multiLevelType w:val="hybridMultilevel"/>
    <w:tmpl w:val="28D491CC"/>
    <w:lvl w:ilvl="0" w:tplc="B1E428E0">
      <w:start w:val="1"/>
      <w:numFmt w:val="bullet"/>
      <w:lvlText w:val=""/>
      <w:lvlJc w:val="left"/>
      <w:pPr>
        <w:ind w:left="644" w:hanging="360"/>
      </w:pPr>
      <w:rPr>
        <w:rFonts w:ascii="Symbol" w:hAnsi="Symbol" w:hint="default"/>
        <w:color w:val="2F5496" w:themeColor="accent1" w:themeShade="BF"/>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73" w15:restartNumberingAfterBreak="0">
    <w:nsid w:val="63F87F11"/>
    <w:multiLevelType w:val="hybridMultilevel"/>
    <w:tmpl w:val="19B23A06"/>
    <w:lvl w:ilvl="0" w:tplc="14C07D5C">
      <w:start w:val="1"/>
      <w:numFmt w:val="bullet"/>
      <w:lvlText w:val="-"/>
      <w:lvlJc w:val="left"/>
      <w:pPr>
        <w:tabs>
          <w:tab w:val="num" w:pos="720"/>
        </w:tabs>
        <w:ind w:left="720" w:hanging="360"/>
      </w:pPr>
      <w:rPr>
        <w:rFonts w:ascii="Times New Roman" w:hAnsi="Times New Roman" w:cs="Times New Roman" w:hint="default"/>
      </w:rPr>
    </w:lvl>
    <w:lvl w:ilvl="1" w:tplc="B022940C">
      <w:start w:val="1"/>
      <w:numFmt w:val="bullet"/>
      <w:lvlText w:val="-"/>
      <w:lvlJc w:val="left"/>
      <w:pPr>
        <w:tabs>
          <w:tab w:val="num" w:pos="1440"/>
        </w:tabs>
        <w:ind w:left="1440" w:hanging="360"/>
      </w:pPr>
      <w:rPr>
        <w:rFonts w:ascii="Times New Roman" w:hAnsi="Times New Roman" w:cs="Times New Roman" w:hint="default"/>
      </w:rPr>
    </w:lvl>
    <w:lvl w:ilvl="2" w:tplc="239CA50C">
      <w:start w:val="1"/>
      <w:numFmt w:val="bullet"/>
      <w:lvlText w:val="-"/>
      <w:lvlJc w:val="left"/>
      <w:pPr>
        <w:tabs>
          <w:tab w:val="num" w:pos="2160"/>
        </w:tabs>
        <w:ind w:left="2160" w:hanging="360"/>
      </w:pPr>
      <w:rPr>
        <w:rFonts w:ascii="Times New Roman" w:hAnsi="Times New Roman" w:cs="Times New Roman" w:hint="default"/>
      </w:rPr>
    </w:lvl>
    <w:lvl w:ilvl="3" w:tplc="5B9836A4">
      <w:start w:val="1"/>
      <w:numFmt w:val="bullet"/>
      <w:lvlText w:val="-"/>
      <w:lvlJc w:val="left"/>
      <w:pPr>
        <w:tabs>
          <w:tab w:val="num" w:pos="2880"/>
        </w:tabs>
        <w:ind w:left="2880" w:hanging="360"/>
      </w:pPr>
      <w:rPr>
        <w:rFonts w:ascii="Times New Roman" w:hAnsi="Times New Roman" w:cs="Times New Roman" w:hint="default"/>
      </w:rPr>
    </w:lvl>
    <w:lvl w:ilvl="4" w:tplc="84009448">
      <w:start w:val="1"/>
      <w:numFmt w:val="bullet"/>
      <w:lvlText w:val="-"/>
      <w:lvlJc w:val="left"/>
      <w:pPr>
        <w:tabs>
          <w:tab w:val="num" w:pos="3600"/>
        </w:tabs>
        <w:ind w:left="3600" w:hanging="360"/>
      </w:pPr>
      <w:rPr>
        <w:rFonts w:ascii="Times New Roman" w:hAnsi="Times New Roman" w:cs="Times New Roman" w:hint="default"/>
      </w:rPr>
    </w:lvl>
    <w:lvl w:ilvl="5" w:tplc="FD1EFA8A">
      <w:start w:val="1"/>
      <w:numFmt w:val="bullet"/>
      <w:lvlText w:val="-"/>
      <w:lvlJc w:val="left"/>
      <w:pPr>
        <w:tabs>
          <w:tab w:val="num" w:pos="4320"/>
        </w:tabs>
        <w:ind w:left="4320" w:hanging="360"/>
      </w:pPr>
      <w:rPr>
        <w:rFonts w:ascii="Times New Roman" w:hAnsi="Times New Roman" w:cs="Times New Roman" w:hint="default"/>
      </w:rPr>
    </w:lvl>
    <w:lvl w:ilvl="6" w:tplc="3B8012F8">
      <w:start w:val="1"/>
      <w:numFmt w:val="bullet"/>
      <w:lvlText w:val="-"/>
      <w:lvlJc w:val="left"/>
      <w:pPr>
        <w:tabs>
          <w:tab w:val="num" w:pos="5040"/>
        </w:tabs>
        <w:ind w:left="5040" w:hanging="360"/>
      </w:pPr>
      <w:rPr>
        <w:rFonts w:ascii="Times New Roman" w:hAnsi="Times New Roman" w:cs="Times New Roman" w:hint="default"/>
      </w:rPr>
    </w:lvl>
    <w:lvl w:ilvl="7" w:tplc="1CCAEE92">
      <w:start w:val="1"/>
      <w:numFmt w:val="bullet"/>
      <w:lvlText w:val="-"/>
      <w:lvlJc w:val="left"/>
      <w:pPr>
        <w:tabs>
          <w:tab w:val="num" w:pos="5760"/>
        </w:tabs>
        <w:ind w:left="5760" w:hanging="360"/>
      </w:pPr>
      <w:rPr>
        <w:rFonts w:ascii="Times New Roman" w:hAnsi="Times New Roman" w:cs="Times New Roman" w:hint="default"/>
      </w:rPr>
    </w:lvl>
    <w:lvl w:ilvl="8" w:tplc="E0FCD7DC">
      <w:start w:val="1"/>
      <w:numFmt w:val="bullet"/>
      <w:lvlText w:val="-"/>
      <w:lvlJc w:val="left"/>
      <w:pPr>
        <w:tabs>
          <w:tab w:val="num" w:pos="6480"/>
        </w:tabs>
        <w:ind w:left="6480" w:hanging="360"/>
      </w:pPr>
      <w:rPr>
        <w:rFonts w:ascii="Times New Roman" w:hAnsi="Times New Roman" w:cs="Times New Roman" w:hint="default"/>
      </w:rPr>
    </w:lvl>
  </w:abstractNum>
  <w:abstractNum w:abstractNumId="74" w15:restartNumberingAfterBreak="0">
    <w:nsid w:val="653B488A"/>
    <w:multiLevelType w:val="hybridMultilevel"/>
    <w:tmpl w:val="1E8A147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6D53445"/>
    <w:multiLevelType w:val="hybridMultilevel"/>
    <w:tmpl w:val="11A686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871100F"/>
    <w:multiLevelType w:val="hybridMultilevel"/>
    <w:tmpl w:val="7540B7E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94C4AB1"/>
    <w:multiLevelType w:val="hybridMultilevel"/>
    <w:tmpl w:val="5CAA44D0"/>
    <w:lvl w:ilvl="0" w:tplc="8AC8A0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A2D0B28"/>
    <w:multiLevelType w:val="hybridMultilevel"/>
    <w:tmpl w:val="3A24C1AC"/>
    <w:lvl w:ilvl="0" w:tplc="28C42ED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9" w15:restartNumberingAfterBreak="0">
    <w:nsid w:val="6B2C4205"/>
    <w:multiLevelType w:val="hybridMultilevel"/>
    <w:tmpl w:val="0332160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0" w15:restartNumberingAfterBreak="0">
    <w:nsid w:val="6CEB34C9"/>
    <w:multiLevelType w:val="hybridMultilevel"/>
    <w:tmpl w:val="16204A86"/>
    <w:lvl w:ilvl="0" w:tplc="8A16F77C">
      <w:start w:val="11"/>
      <w:numFmt w:val="decimal"/>
      <w:lvlText w:val="%1."/>
      <w:lvlJc w:val="left"/>
      <w:pPr>
        <w:ind w:left="720" w:hanging="360"/>
      </w:pPr>
      <w:rPr>
        <w:rFonts w:hint="default"/>
        <w:b/>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6FEC0220"/>
    <w:multiLevelType w:val="hybridMultilevel"/>
    <w:tmpl w:val="6980EB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0EB3417"/>
    <w:multiLevelType w:val="hybridMultilevel"/>
    <w:tmpl w:val="474E03AE"/>
    <w:lvl w:ilvl="0" w:tplc="B6962A22">
      <w:start w:val="1"/>
      <w:numFmt w:val="decimal"/>
      <w:lvlText w:val="%1."/>
      <w:lvlJc w:val="left"/>
      <w:pPr>
        <w:ind w:left="84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26E3316"/>
    <w:multiLevelType w:val="hybridMultilevel"/>
    <w:tmpl w:val="EB500216"/>
    <w:lvl w:ilvl="0" w:tplc="8AC8A0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6C66BC6"/>
    <w:multiLevelType w:val="hybridMultilevel"/>
    <w:tmpl w:val="C78CC842"/>
    <w:lvl w:ilvl="0" w:tplc="8AC8A0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768280B"/>
    <w:multiLevelType w:val="hybridMultilevel"/>
    <w:tmpl w:val="E6E6BF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82C03A4"/>
    <w:multiLevelType w:val="hybridMultilevel"/>
    <w:tmpl w:val="A45CCF04"/>
    <w:lvl w:ilvl="0" w:tplc="8AC8A0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B15233A"/>
    <w:multiLevelType w:val="hybridMultilevel"/>
    <w:tmpl w:val="64629A74"/>
    <w:lvl w:ilvl="0" w:tplc="8AC8A03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8" w15:restartNumberingAfterBreak="0">
    <w:nsid w:val="7B153727"/>
    <w:multiLevelType w:val="hybridMultilevel"/>
    <w:tmpl w:val="062AB9F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E402A43"/>
    <w:multiLevelType w:val="hybridMultilevel"/>
    <w:tmpl w:val="F0489A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7EF4348E"/>
    <w:multiLevelType w:val="hybridMultilevel"/>
    <w:tmpl w:val="6980EB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7F2168E8"/>
    <w:multiLevelType w:val="hybridMultilevel"/>
    <w:tmpl w:val="9946B38A"/>
    <w:lvl w:ilvl="0" w:tplc="EEE2FE00">
      <w:start w:val="1"/>
      <w:numFmt w:val="decimal"/>
      <w:lvlText w:val="%1."/>
      <w:lvlJc w:val="left"/>
      <w:pPr>
        <w:ind w:left="84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7F407CA4"/>
    <w:multiLevelType w:val="hybridMultilevel"/>
    <w:tmpl w:val="DE504C50"/>
    <w:lvl w:ilvl="0" w:tplc="8AC8A0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9"/>
  </w:num>
  <w:num w:numId="2">
    <w:abstractNumId w:val="5"/>
  </w:num>
  <w:num w:numId="3">
    <w:abstractNumId w:val="17"/>
  </w:num>
  <w:num w:numId="4">
    <w:abstractNumId w:val="87"/>
  </w:num>
  <w:num w:numId="5">
    <w:abstractNumId w:val="53"/>
  </w:num>
  <w:num w:numId="6">
    <w:abstractNumId w:val="8"/>
  </w:num>
  <w:num w:numId="7">
    <w:abstractNumId w:val="46"/>
  </w:num>
  <w:num w:numId="8">
    <w:abstractNumId w:val="59"/>
  </w:num>
  <w:num w:numId="9">
    <w:abstractNumId w:val="65"/>
  </w:num>
  <w:num w:numId="10">
    <w:abstractNumId w:val="51"/>
  </w:num>
  <w:num w:numId="11">
    <w:abstractNumId w:val="3"/>
  </w:num>
  <w:num w:numId="12">
    <w:abstractNumId w:val="40"/>
  </w:num>
  <w:num w:numId="13">
    <w:abstractNumId w:val="7"/>
  </w:num>
  <w:num w:numId="14">
    <w:abstractNumId w:val="12"/>
  </w:num>
  <w:num w:numId="15">
    <w:abstractNumId w:val="82"/>
  </w:num>
  <w:num w:numId="16">
    <w:abstractNumId w:val="91"/>
  </w:num>
  <w:num w:numId="17">
    <w:abstractNumId w:val="52"/>
  </w:num>
  <w:num w:numId="18">
    <w:abstractNumId w:val="23"/>
  </w:num>
  <w:num w:numId="19">
    <w:abstractNumId w:val="36"/>
  </w:num>
  <w:num w:numId="20">
    <w:abstractNumId w:val="85"/>
  </w:num>
  <w:num w:numId="21">
    <w:abstractNumId w:val="18"/>
  </w:num>
  <w:num w:numId="22">
    <w:abstractNumId w:val="6"/>
  </w:num>
  <w:num w:numId="23">
    <w:abstractNumId w:val="16"/>
  </w:num>
  <w:num w:numId="24">
    <w:abstractNumId w:val="33"/>
  </w:num>
  <w:num w:numId="25">
    <w:abstractNumId w:val="73"/>
  </w:num>
  <w:num w:numId="26">
    <w:abstractNumId w:val="69"/>
  </w:num>
  <w:num w:numId="27">
    <w:abstractNumId w:val="38"/>
  </w:num>
  <w:num w:numId="28">
    <w:abstractNumId w:val="24"/>
  </w:num>
  <w:num w:numId="29">
    <w:abstractNumId w:val="10"/>
  </w:num>
  <w:num w:numId="30">
    <w:abstractNumId w:val="48"/>
  </w:num>
  <w:num w:numId="31">
    <w:abstractNumId w:val="21"/>
  </w:num>
  <w:num w:numId="32">
    <w:abstractNumId w:val="67"/>
  </w:num>
  <w:num w:numId="33">
    <w:abstractNumId w:val="72"/>
  </w:num>
  <w:num w:numId="34">
    <w:abstractNumId w:val="90"/>
  </w:num>
  <w:num w:numId="35">
    <w:abstractNumId w:val="34"/>
  </w:num>
  <w:num w:numId="36">
    <w:abstractNumId w:val="81"/>
  </w:num>
  <w:num w:numId="3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1"/>
  </w:num>
  <w:num w:numId="39">
    <w:abstractNumId w:val="89"/>
  </w:num>
  <w:num w:numId="40">
    <w:abstractNumId w:val="20"/>
  </w:num>
  <w:num w:numId="41">
    <w:abstractNumId w:val="70"/>
  </w:num>
  <w:num w:numId="42">
    <w:abstractNumId w:val="37"/>
  </w:num>
  <w:num w:numId="43">
    <w:abstractNumId w:val="57"/>
  </w:num>
  <w:num w:numId="44">
    <w:abstractNumId w:val="2"/>
  </w:num>
  <w:num w:numId="45">
    <w:abstractNumId w:val="88"/>
  </w:num>
  <w:num w:numId="46">
    <w:abstractNumId w:val="74"/>
  </w:num>
  <w:num w:numId="47">
    <w:abstractNumId w:val="41"/>
  </w:num>
  <w:num w:numId="48">
    <w:abstractNumId w:val="25"/>
  </w:num>
  <w:num w:numId="49">
    <w:abstractNumId w:val="29"/>
  </w:num>
  <w:num w:numId="50">
    <w:abstractNumId w:val="30"/>
  </w:num>
  <w:num w:numId="51">
    <w:abstractNumId w:val="26"/>
  </w:num>
  <w:num w:numId="52">
    <w:abstractNumId w:val="1"/>
  </w:num>
  <w:num w:numId="53">
    <w:abstractNumId w:val="4"/>
  </w:num>
  <w:num w:numId="54">
    <w:abstractNumId w:val="63"/>
  </w:num>
  <w:num w:numId="55">
    <w:abstractNumId w:val="22"/>
  </w:num>
  <w:num w:numId="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8"/>
  </w:num>
  <w:num w:numId="58">
    <w:abstractNumId w:val="64"/>
  </w:num>
  <w:num w:numId="59">
    <w:abstractNumId w:val="68"/>
  </w:num>
  <w:num w:numId="60">
    <w:abstractNumId w:val="56"/>
  </w:num>
  <w:num w:numId="61">
    <w:abstractNumId w:val="75"/>
  </w:num>
  <w:num w:numId="62">
    <w:abstractNumId w:val="47"/>
  </w:num>
  <w:num w:numId="63">
    <w:abstractNumId w:val="28"/>
  </w:num>
  <w:num w:numId="64">
    <w:abstractNumId w:val="27"/>
  </w:num>
  <w:num w:numId="65">
    <w:abstractNumId w:val="58"/>
  </w:num>
  <w:num w:numId="66">
    <w:abstractNumId w:val="50"/>
  </w:num>
  <w:num w:numId="67">
    <w:abstractNumId w:val="49"/>
  </w:num>
  <w:num w:numId="68">
    <w:abstractNumId w:val="60"/>
  </w:num>
  <w:num w:numId="69">
    <w:abstractNumId w:val="11"/>
  </w:num>
  <w:num w:numId="70">
    <w:abstractNumId w:val="35"/>
  </w:num>
  <w:num w:numId="71">
    <w:abstractNumId w:val="80"/>
  </w:num>
  <w:num w:numId="72">
    <w:abstractNumId w:val="55"/>
  </w:num>
  <w:num w:numId="73">
    <w:abstractNumId w:val="61"/>
  </w:num>
  <w:num w:numId="74">
    <w:abstractNumId w:val="43"/>
  </w:num>
  <w:num w:numId="75">
    <w:abstractNumId w:val="31"/>
  </w:num>
  <w:num w:numId="76">
    <w:abstractNumId w:val="76"/>
  </w:num>
  <w:num w:numId="77">
    <w:abstractNumId w:val="14"/>
  </w:num>
  <w:num w:numId="78">
    <w:abstractNumId w:val="66"/>
  </w:num>
  <w:num w:numId="79">
    <w:abstractNumId w:val="42"/>
  </w:num>
  <w:num w:numId="80">
    <w:abstractNumId w:val="9"/>
  </w:num>
  <w:num w:numId="81">
    <w:abstractNumId w:val="79"/>
  </w:num>
  <w:num w:numId="82">
    <w:abstractNumId w:val="13"/>
  </w:num>
  <w:num w:numId="83">
    <w:abstractNumId w:val="0"/>
  </w:num>
  <w:num w:numId="84">
    <w:abstractNumId w:val="45"/>
  </w:num>
  <w:num w:numId="85">
    <w:abstractNumId w:val="19"/>
  </w:num>
  <w:num w:numId="86">
    <w:abstractNumId w:val="77"/>
  </w:num>
  <w:num w:numId="87">
    <w:abstractNumId w:val="44"/>
  </w:num>
  <w:num w:numId="88">
    <w:abstractNumId w:val="32"/>
  </w:num>
  <w:num w:numId="89">
    <w:abstractNumId w:val="86"/>
  </w:num>
  <w:num w:numId="90">
    <w:abstractNumId w:val="54"/>
  </w:num>
  <w:num w:numId="91">
    <w:abstractNumId w:val="15"/>
  </w:num>
  <w:num w:numId="92">
    <w:abstractNumId w:val="92"/>
  </w:num>
  <w:num w:numId="93">
    <w:abstractNumId w:val="83"/>
  </w:num>
  <w:num w:numId="94">
    <w:abstractNumId w:val="84"/>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E44"/>
    <w:rsid w:val="00001F03"/>
    <w:rsid w:val="00004166"/>
    <w:rsid w:val="000061FE"/>
    <w:rsid w:val="00007245"/>
    <w:rsid w:val="0001222A"/>
    <w:rsid w:val="00014E57"/>
    <w:rsid w:val="000165D6"/>
    <w:rsid w:val="000237C5"/>
    <w:rsid w:val="00023D32"/>
    <w:rsid w:val="00026246"/>
    <w:rsid w:val="00027AA3"/>
    <w:rsid w:val="000310A9"/>
    <w:rsid w:val="000311DB"/>
    <w:rsid w:val="00034849"/>
    <w:rsid w:val="00034B68"/>
    <w:rsid w:val="00036673"/>
    <w:rsid w:val="000428DD"/>
    <w:rsid w:val="00052B9C"/>
    <w:rsid w:val="00054AD2"/>
    <w:rsid w:val="00055765"/>
    <w:rsid w:val="00061812"/>
    <w:rsid w:val="00061B0D"/>
    <w:rsid w:val="00063984"/>
    <w:rsid w:val="0006553F"/>
    <w:rsid w:val="0007194D"/>
    <w:rsid w:val="00071B27"/>
    <w:rsid w:val="00076FF3"/>
    <w:rsid w:val="0008343D"/>
    <w:rsid w:val="000837F6"/>
    <w:rsid w:val="00086189"/>
    <w:rsid w:val="00087FB7"/>
    <w:rsid w:val="00096130"/>
    <w:rsid w:val="000A0265"/>
    <w:rsid w:val="000A0D1A"/>
    <w:rsid w:val="000A3E44"/>
    <w:rsid w:val="000A4972"/>
    <w:rsid w:val="000A5F8E"/>
    <w:rsid w:val="000A6181"/>
    <w:rsid w:val="000B2F8A"/>
    <w:rsid w:val="000B3A1B"/>
    <w:rsid w:val="000B7C32"/>
    <w:rsid w:val="000D0D38"/>
    <w:rsid w:val="000D0F9E"/>
    <w:rsid w:val="000D1C1C"/>
    <w:rsid w:val="000E09E6"/>
    <w:rsid w:val="000E1370"/>
    <w:rsid w:val="000E6A7F"/>
    <w:rsid w:val="000F1229"/>
    <w:rsid w:val="000F34BC"/>
    <w:rsid w:val="000F7F46"/>
    <w:rsid w:val="00103284"/>
    <w:rsid w:val="001158AA"/>
    <w:rsid w:val="00115C10"/>
    <w:rsid w:val="00123E3F"/>
    <w:rsid w:val="00125482"/>
    <w:rsid w:val="001263E6"/>
    <w:rsid w:val="00126CCC"/>
    <w:rsid w:val="00127DA3"/>
    <w:rsid w:val="001314A8"/>
    <w:rsid w:val="00131C71"/>
    <w:rsid w:val="00133B9D"/>
    <w:rsid w:val="0013741E"/>
    <w:rsid w:val="00143F1F"/>
    <w:rsid w:val="00145184"/>
    <w:rsid w:val="00146485"/>
    <w:rsid w:val="00146E11"/>
    <w:rsid w:val="0015104A"/>
    <w:rsid w:val="00151603"/>
    <w:rsid w:val="00154A16"/>
    <w:rsid w:val="001620A5"/>
    <w:rsid w:val="00165CDC"/>
    <w:rsid w:val="0017192D"/>
    <w:rsid w:val="00171B72"/>
    <w:rsid w:val="00173C6D"/>
    <w:rsid w:val="001858AC"/>
    <w:rsid w:val="001A02E3"/>
    <w:rsid w:val="001A0573"/>
    <w:rsid w:val="001A2E7B"/>
    <w:rsid w:val="001A5931"/>
    <w:rsid w:val="001A6318"/>
    <w:rsid w:val="001B24B7"/>
    <w:rsid w:val="001B5670"/>
    <w:rsid w:val="001B6192"/>
    <w:rsid w:val="001B6B44"/>
    <w:rsid w:val="001C1058"/>
    <w:rsid w:val="001C10EB"/>
    <w:rsid w:val="001C1ABF"/>
    <w:rsid w:val="001C6035"/>
    <w:rsid w:val="001C6BED"/>
    <w:rsid w:val="001C78DF"/>
    <w:rsid w:val="001D18F1"/>
    <w:rsid w:val="001D2651"/>
    <w:rsid w:val="001E133F"/>
    <w:rsid w:val="001E4DA0"/>
    <w:rsid w:val="001F009D"/>
    <w:rsid w:val="001F27F6"/>
    <w:rsid w:val="001F50D6"/>
    <w:rsid w:val="001F5E1C"/>
    <w:rsid w:val="00200C38"/>
    <w:rsid w:val="00204EF5"/>
    <w:rsid w:val="00207C56"/>
    <w:rsid w:val="00210D88"/>
    <w:rsid w:val="0021115B"/>
    <w:rsid w:val="00211DCA"/>
    <w:rsid w:val="00215939"/>
    <w:rsid w:val="002166D7"/>
    <w:rsid w:val="002172CB"/>
    <w:rsid w:val="0021736A"/>
    <w:rsid w:val="00226D9D"/>
    <w:rsid w:val="002278E6"/>
    <w:rsid w:val="00231AE5"/>
    <w:rsid w:val="00236B55"/>
    <w:rsid w:val="00243057"/>
    <w:rsid w:val="00244B72"/>
    <w:rsid w:val="00247AE1"/>
    <w:rsid w:val="00253A87"/>
    <w:rsid w:val="00255EE9"/>
    <w:rsid w:val="00256A32"/>
    <w:rsid w:val="00263293"/>
    <w:rsid w:val="002637ED"/>
    <w:rsid w:val="00266F41"/>
    <w:rsid w:val="002679B8"/>
    <w:rsid w:val="00267AA5"/>
    <w:rsid w:val="0027091A"/>
    <w:rsid w:val="00270F78"/>
    <w:rsid w:val="00282106"/>
    <w:rsid w:val="00284A3D"/>
    <w:rsid w:val="00287C61"/>
    <w:rsid w:val="00287DF0"/>
    <w:rsid w:val="00290287"/>
    <w:rsid w:val="002932AD"/>
    <w:rsid w:val="0029557A"/>
    <w:rsid w:val="002959F3"/>
    <w:rsid w:val="002A5C20"/>
    <w:rsid w:val="002A7330"/>
    <w:rsid w:val="002B20A8"/>
    <w:rsid w:val="002B59E1"/>
    <w:rsid w:val="002B785C"/>
    <w:rsid w:val="002B7E88"/>
    <w:rsid w:val="002C38C8"/>
    <w:rsid w:val="002C4A11"/>
    <w:rsid w:val="002D59CB"/>
    <w:rsid w:val="002D6DCF"/>
    <w:rsid w:val="002E1E77"/>
    <w:rsid w:val="002E2D94"/>
    <w:rsid w:val="002F1A54"/>
    <w:rsid w:val="002F4F5A"/>
    <w:rsid w:val="00300A1B"/>
    <w:rsid w:val="00303278"/>
    <w:rsid w:val="0030338E"/>
    <w:rsid w:val="00304514"/>
    <w:rsid w:val="0030678A"/>
    <w:rsid w:val="00311F57"/>
    <w:rsid w:val="00312F91"/>
    <w:rsid w:val="0031609F"/>
    <w:rsid w:val="003174A1"/>
    <w:rsid w:val="00317A8D"/>
    <w:rsid w:val="0032047C"/>
    <w:rsid w:val="0032268D"/>
    <w:rsid w:val="00323160"/>
    <w:rsid w:val="003260AB"/>
    <w:rsid w:val="00332FF0"/>
    <w:rsid w:val="003342FA"/>
    <w:rsid w:val="0033727D"/>
    <w:rsid w:val="003405EF"/>
    <w:rsid w:val="00342D76"/>
    <w:rsid w:val="00345706"/>
    <w:rsid w:val="003467A8"/>
    <w:rsid w:val="0035160C"/>
    <w:rsid w:val="00353557"/>
    <w:rsid w:val="003563F1"/>
    <w:rsid w:val="00360AD4"/>
    <w:rsid w:val="0036301F"/>
    <w:rsid w:val="0036637B"/>
    <w:rsid w:val="00366C75"/>
    <w:rsid w:val="0037495D"/>
    <w:rsid w:val="0037666D"/>
    <w:rsid w:val="00380A93"/>
    <w:rsid w:val="00380BAC"/>
    <w:rsid w:val="00382611"/>
    <w:rsid w:val="00382FD5"/>
    <w:rsid w:val="00384CC1"/>
    <w:rsid w:val="00390E4B"/>
    <w:rsid w:val="00391BD3"/>
    <w:rsid w:val="00392137"/>
    <w:rsid w:val="00396D6A"/>
    <w:rsid w:val="00397D91"/>
    <w:rsid w:val="003A3129"/>
    <w:rsid w:val="003A55E4"/>
    <w:rsid w:val="003B2050"/>
    <w:rsid w:val="003B78D9"/>
    <w:rsid w:val="003C2804"/>
    <w:rsid w:val="003C75C8"/>
    <w:rsid w:val="003D020E"/>
    <w:rsid w:val="003D092F"/>
    <w:rsid w:val="003D72AF"/>
    <w:rsid w:val="003E153D"/>
    <w:rsid w:val="003E156F"/>
    <w:rsid w:val="003E17F7"/>
    <w:rsid w:val="003E2AF4"/>
    <w:rsid w:val="003E2CD9"/>
    <w:rsid w:val="003E305A"/>
    <w:rsid w:val="003E5617"/>
    <w:rsid w:val="003F0D93"/>
    <w:rsid w:val="003F13F6"/>
    <w:rsid w:val="003F2A2E"/>
    <w:rsid w:val="004056BD"/>
    <w:rsid w:val="004062A4"/>
    <w:rsid w:val="00406A2E"/>
    <w:rsid w:val="00410647"/>
    <w:rsid w:val="00410A14"/>
    <w:rsid w:val="0041182B"/>
    <w:rsid w:val="00411C90"/>
    <w:rsid w:val="00412A5D"/>
    <w:rsid w:val="00413188"/>
    <w:rsid w:val="004216AA"/>
    <w:rsid w:val="0042487F"/>
    <w:rsid w:val="00425119"/>
    <w:rsid w:val="00454FD1"/>
    <w:rsid w:val="00462A0D"/>
    <w:rsid w:val="00463B42"/>
    <w:rsid w:val="004653A3"/>
    <w:rsid w:val="0046576F"/>
    <w:rsid w:val="00466509"/>
    <w:rsid w:val="004715E9"/>
    <w:rsid w:val="004715FC"/>
    <w:rsid w:val="004769FE"/>
    <w:rsid w:val="00481448"/>
    <w:rsid w:val="00483278"/>
    <w:rsid w:val="004833FD"/>
    <w:rsid w:val="004839FF"/>
    <w:rsid w:val="004942C1"/>
    <w:rsid w:val="004947BB"/>
    <w:rsid w:val="004A3126"/>
    <w:rsid w:val="004A6EA3"/>
    <w:rsid w:val="004A7582"/>
    <w:rsid w:val="004B2ED3"/>
    <w:rsid w:val="004B3F1A"/>
    <w:rsid w:val="004C1B36"/>
    <w:rsid w:val="004D0B39"/>
    <w:rsid w:val="004D0F53"/>
    <w:rsid w:val="004D340E"/>
    <w:rsid w:val="004D4DF7"/>
    <w:rsid w:val="004E0276"/>
    <w:rsid w:val="004E0E1E"/>
    <w:rsid w:val="004E13E9"/>
    <w:rsid w:val="004E5926"/>
    <w:rsid w:val="004E7DCF"/>
    <w:rsid w:val="004F0F02"/>
    <w:rsid w:val="00500AB5"/>
    <w:rsid w:val="00502693"/>
    <w:rsid w:val="00502D53"/>
    <w:rsid w:val="00502EBB"/>
    <w:rsid w:val="0051191F"/>
    <w:rsid w:val="00513013"/>
    <w:rsid w:val="00532EF9"/>
    <w:rsid w:val="00534907"/>
    <w:rsid w:val="00536B41"/>
    <w:rsid w:val="00537CE1"/>
    <w:rsid w:val="00541BCE"/>
    <w:rsid w:val="00543EE3"/>
    <w:rsid w:val="005444D9"/>
    <w:rsid w:val="00545040"/>
    <w:rsid w:val="00546B82"/>
    <w:rsid w:val="00546FAC"/>
    <w:rsid w:val="00547FE4"/>
    <w:rsid w:val="00550313"/>
    <w:rsid w:val="00551272"/>
    <w:rsid w:val="00553BD2"/>
    <w:rsid w:val="00553C42"/>
    <w:rsid w:val="005553E4"/>
    <w:rsid w:val="00557485"/>
    <w:rsid w:val="00557A39"/>
    <w:rsid w:val="005609B6"/>
    <w:rsid w:val="00561822"/>
    <w:rsid w:val="005620FE"/>
    <w:rsid w:val="00562C16"/>
    <w:rsid w:val="0057102A"/>
    <w:rsid w:val="005733D6"/>
    <w:rsid w:val="0057381B"/>
    <w:rsid w:val="005749C4"/>
    <w:rsid w:val="00577752"/>
    <w:rsid w:val="00577D58"/>
    <w:rsid w:val="00585D4A"/>
    <w:rsid w:val="00585FC0"/>
    <w:rsid w:val="00586109"/>
    <w:rsid w:val="00587550"/>
    <w:rsid w:val="00590A06"/>
    <w:rsid w:val="00596BB7"/>
    <w:rsid w:val="005A0054"/>
    <w:rsid w:val="005A1228"/>
    <w:rsid w:val="005A139B"/>
    <w:rsid w:val="005B2DED"/>
    <w:rsid w:val="005B4C90"/>
    <w:rsid w:val="005B7431"/>
    <w:rsid w:val="005C14D4"/>
    <w:rsid w:val="005C2A47"/>
    <w:rsid w:val="005D4806"/>
    <w:rsid w:val="005D5805"/>
    <w:rsid w:val="005D6911"/>
    <w:rsid w:val="005E0AD9"/>
    <w:rsid w:val="005E1512"/>
    <w:rsid w:val="005E44D7"/>
    <w:rsid w:val="005E5CFE"/>
    <w:rsid w:val="005F08B5"/>
    <w:rsid w:val="005F3BEE"/>
    <w:rsid w:val="005F7836"/>
    <w:rsid w:val="006018BA"/>
    <w:rsid w:val="00602E79"/>
    <w:rsid w:val="0060643E"/>
    <w:rsid w:val="00606929"/>
    <w:rsid w:val="00607411"/>
    <w:rsid w:val="00610BA6"/>
    <w:rsid w:val="00612777"/>
    <w:rsid w:val="00616104"/>
    <w:rsid w:val="006171F2"/>
    <w:rsid w:val="00617A4A"/>
    <w:rsid w:val="006202D2"/>
    <w:rsid w:val="00620517"/>
    <w:rsid w:val="00621F2B"/>
    <w:rsid w:val="00630858"/>
    <w:rsid w:val="00630B08"/>
    <w:rsid w:val="00634D96"/>
    <w:rsid w:val="0064110D"/>
    <w:rsid w:val="00641A5A"/>
    <w:rsid w:val="006424CE"/>
    <w:rsid w:val="006429C9"/>
    <w:rsid w:val="00642C34"/>
    <w:rsid w:val="006516B5"/>
    <w:rsid w:val="006518C0"/>
    <w:rsid w:val="00651B7A"/>
    <w:rsid w:val="006552B0"/>
    <w:rsid w:val="00656E0F"/>
    <w:rsid w:val="00663A74"/>
    <w:rsid w:val="00665D02"/>
    <w:rsid w:val="00673CC6"/>
    <w:rsid w:val="00675098"/>
    <w:rsid w:val="00676FB1"/>
    <w:rsid w:val="006805DF"/>
    <w:rsid w:val="00680807"/>
    <w:rsid w:val="006812A8"/>
    <w:rsid w:val="00684812"/>
    <w:rsid w:val="00685445"/>
    <w:rsid w:val="006858E3"/>
    <w:rsid w:val="0068696E"/>
    <w:rsid w:val="006875F5"/>
    <w:rsid w:val="00690FE3"/>
    <w:rsid w:val="0069104D"/>
    <w:rsid w:val="00691E40"/>
    <w:rsid w:val="00693AD8"/>
    <w:rsid w:val="00693D2A"/>
    <w:rsid w:val="006B3352"/>
    <w:rsid w:val="006C0E3B"/>
    <w:rsid w:val="006C1936"/>
    <w:rsid w:val="006C1E42"/>
    <w:rsid w:val="006C3C59"/>
    <w:rsid w:val="006C7E51"/>
    <w:rsid w:val="006D080B"/>
    <w:rsid w:val="006D2D2A"/>
    <w:rsid w:val="006D567C"/>
    <w:rsid w:val="006D6FBE"/>
    <w:rsid w:val="006D7504"/>
    <w:rsid w:val="006E6DEB"/>
    <w:rsid w:val="006E73D9"/>
    <w:rsid w:val="006F453A"/>
    <w:rsid w:val="006F5665"/>
    <w:rsid w:val="006F7F0A"/>
    <w:rsid w:val="007071D9"/>
    <w:rsid w:val="00710110"/>
    <w:rsid w:val="00715C83"/>
    <w:rsid w:val="007172B9"/>
    <w:rsid w:val="0072137C"/>
    <w:rsid w:val="00723306"/>
    <w:rsid w:val="0072713B"/>
    <w:rsid w:val="007309FE"/>
    <w:rsid w:val="00730EE3"/>
    <w:rsid w:val="00730F1D"/>
    <w:rsid w:val="00732ADE"/>
    <w:rsid w:val="00734945"/>
    <w:rsid w:val="00737102"/>
    <w:rsid w:val="007451D7"/>
    <w:rsid w:val="00745D42"/>
    <w:rsid w:val="00746CD6"/>
    <w:rsid w:val="00747194"/>
    <w:rsid w:val="0075035F"/>
    <w:rsid w:val="007509D2"/>
    <w:rsid w:val="007514AA"/>
    <w:rsid w:val="00751660"/>
    <w:rsid w:val="007520DF"/>
    <w:rsid w:val="00752622"/>
    <w:rsid w:val="00752F18"/>
    <w:rsid w:val="00753CAE"/>
    <w:rsid w:val="00754F07"/>
    <w:rsid w:val="007562B8"/>
    <w:rsid w:val="00756D73"/>
    <w:rsid w:val="007614C9"/>
    <w:rsid w:val="00761C4C"/>
    <w:rsid w:val="00762E72"/>
    <w:rsid w:val="007725FD"/>
    <w:rsid w:val="00773095"/>
    <w:rsid w:val="007748FE"/>
    <w:rsid w:val="00774BE0"/>
    <w:rsid w:val="00776757"/>
    <w:rsid w:val="007769F1"/>
    <w:rsid w:val="00777E59"/>
    <w:rsid w:val="00782F4D"/>
    <w:rsid w:val="00785C58"/>
    <w:rsid w:val="007911BF"/>
    <w:rsid w:val="0079257C"/>
    <w:rsid w:val="007956B6"/>
    <w:rsid w:val="00797FCE"/>
    <w:rsid w:val="007A02C0"/>
    <w:rsid w:val="007A3D10"/>
    <w:rsid w:val="007B075B"/>
    <w:rsid w:val="007B1314"/>
    <w:rsid w:val="007B2960"/>
    <w:rsid w:val="007C4410"/>
    <w:rsid w:val="007C4B63"/>
    <w:rsid w:val="007C6A6F"/>
    <w:rsid w:val="007C6AAC"/>
    <w:rsid w:val="007C79BE"/>
    <w:rsid w:val="007D337D"/>
    <w:rsid w:val="007D438F"/>
    <w:rsid w:val="007E070E"/>
    <w:rsid w:val="007E2285"/>
    <w:rsid w:val="007E5356"/>
    <w:rsid w:val="007E7CAF"/>
    <w:rsid w:val="007F1C3F"/>
    <w:rsid w:val="007F38CA"/>
    <w:rsid w:val="007F4053"/>
    <w:rsid w:val="007F5153"/>
    <w:rsid w:val="00801193"/>
    <w:rsid w:val="0080183F"/>
    <w:rsid w:val="008028C4"/>
    <w:rsid w:val="00802E12"/>
    <w:rsid w:val="0081782B"/>
    <w:rsid w:val="00826CF1"/>
    <w:rsid w:val="00830BC0"/>
    <w:rsid w:val="00834A16"/>
    <w:rsid w:val="008367A0"/>
    <w:rsid w:val="0084303D"/>
    <w:rsid w:val="00853AF5"/>
    <w:rsid w:val="00855DA7"/>
    <w:rsid w:val="00862E8E"/>
    <w:rsid w:val="00863191"/>
    <w:rsid w:val="00863C6D"/>
    <w:rsid w:val="00872873"/>
    <w:rsid w:val="00873003"/>
    <w:rsid w:val="0087327E"/>
    <w:rsid w:val="0087329A"/>
    <w:rsid w:val="00875DC1"/>
    <w:rsid w:val="00877FE8"/>
    <w:rsid w:val="00884EFE"/>
    <w:rsid w:val="00885863"/>
    <w:rsid w:val="008900E0"/>
    <w:rsid w:val="00897482"/>
    <w:rsid w:val="008977D2"/>
    <w:rsid w:val="008A23A1"/>
    <w:rsid w:val="008A311B"/>
    <w:rsid w:val="008A4997"/>
    <w:rsid w:val="008A7028"/>
    <w:rsid w:val="008A750E"/>
    <w:rsid w:val="008B4B2E"/>
    <w:rsid w:val="008C3236"/>
    <w:rsid w:val="008C63AF"/>
    <w:rsid w:val="008C7636"/>
    <w:rsid w:val="008C7D99"/>
    <w:rsid w:val="008D1765"/>
    <w:rsid w:val="008D2B6C"/>
    <w:rsid w:val="008D75BB"/>
    <w:rsid w:val="008E042B"/>
    <w:rsid w:val="008E1BF6"/>
    <w:rsid w:val="008F1051"/>
    <w:rsid w:val="008F139C"/>
    <w:rsid w:val="008F2642"/>
    <w:rsid w:val="008F3C48"/>
    <w:rsid w:val="008F633E"/>
    <w:rsid w:val="009051A5"/>
    <w:rsid w:val="00910CEF"/>
    <w:rsid w:val="00911C72"/>
    <w:rsid w:val="00921BE8"/>
    <w:rsid w:val="00921CE1"/>
    <w:rsid w:val="009227B9"/>
    <w:rsid w:val="00923C3C"/>
    <w:rsid w:val="00924F39"/>
    <w:rsid w:val="00925548"/>
    <w:rsid w:val="0092560D"/>
    <w:rsid w:val="00926AA3"/>
    <w:rsid w:val="00931420"/>
    <w:rsid w:val="00931503"/>
    <w:rsid w:val="00933B31"/>
    <w:rsid w:val="00933F32"/>
    <w:rsid w:val="0093559E"/>
    <w:rsid w:val="00937D31"/>
    <w:rsid w:val="009426C2"/>
    <w:rsid w:val="0094296F"/>
    <w:rsid w:val="0094415D"/>
    <w:rsid w:val="009464CD"/>
    <w:rsid w:val="00950778"/>
    <w:rsid w:val="00954269"/>
    <w:rsid w:val="0095477C"/>
    <w:rsid w:val="00964B08"/>
    <w:rsid w:val="00970A31"/>
    <w:rsid w:val="00973175"/>
    <w:rsid w:val="0097774E"/>
    <w:rsid w:val="00983255"/>
    <w:rsid w:val="009840A3"/>
    <w:rsid w:val="009845EC"/>
    <w:rsid w:val="00985A6D"/>
    <w:rsid w:val="00985ABC"/>
    <w:rsid w:val="00996E3C"/>
    <w:rsid w:val="009A500A"/>
    <w:rsid w:val="009A7EF1"/>
    <w:rsid w:val="009B2052"/>
    <w:rsid w:val="009B35C7"/>
    <w:rsid w:val="009B4367"/>
    <w:rsid w:val="009B4835"/>
    <w:rsid w:val="009C1B46"/>
    <w:rsid w:val="009C32E9"/>
    <w:rsid w:val="009D093A"/>
    <w:rsid w:val="009D0A0C"/>
    <w:rsid w:val="009E499E"/>
    <w:rsid w:val="009E5E98"/>
    <w:rsid w:val="009F34CD"/>
    <w:rsid w:val="009F4E1E"/>
    <w:rsid w:val="009F5080"/>
    <w:rsid w:val="009F5708"/>
    <w:rsid w:val="00A06137"/>
    <w:rsid w:val="00A07D76"/>
    <w:rsid w:val="00A07EC1"/>
    <w:rsid w:val="00A135F0"/>
    <w:rsid w:val="00A15514"/>
    <w:rsid w:val="00A16082"/>
    <w:rsid w:val="00A2081A"/>
    <w:rsid w:val="00A25D5C"/>
    <w:rsid w:val="00A272F8"/>
    <w:rsid w:val="00A30793"/>
    <w:rsid w:val="00A33EFC"/>
    <w:rsid w:val="00A34D99"/>
    <w:rsid w:val="00A35E3A"/>
    <w:rsid w:val="00A374B7"/>
    <w:rsid w:val="00A468A6"/>
    <w:rsid w:val="00A46D2D"/>
    <w:rsid w:val="00A62246"/>
    <w:rsid w:val="00A62680"/>
    <w:rsid w:val="00A652D0"/>
    <w:rsid w:val="00A6723F"/>
    <w:rsid w:val="00A6760D"/>
    <w:rsid w:val="00A71725"/>
    <w:rsid w:val="00A77206"/>
    <w:rsid w:val="00A77FE9"/>
    <w:rsid w:val="00A80966"/>
    <w:rsid w:val="00A81286"/>
    <w:rsid w:val="00A81E82"/>
    <w:rsid w:val="00A84A81"/>
    <w:rsid w:val="00A84B0F"/>
    <w:rsid w:val="00A84E16"/>
    <w:rsid w:val="00A94E00"/>
    <w:rsid w:val="00A955EF"/>
    <w:rsid w:val="00A9707A"/>
    <w:rsid w:val="00AA2772"/>
    <w:rsid w:val="00AA27BB"/>
    <w:rsid w:val="00AA351D"/>
    <w:rsid w:val="00AA66D6"/>
    <w:rsid w:val="00AB068E"/>
    <w:rsid w:val="00AC0450"/>
    <w:rsid w:val="00AC3FF4"/>
    <w:rsid w:val="00AC7242"/>
    <w:rsid w:val="00AD04BD"/>
    <w:rsid w:val="00AD6EAD"/>
    <w:rsid w:val="00AD718D"/>
    <w:rsid w:val="00AE0524"/>
    <w:rsid w:val="00AE0B6E"/>
    <w:rsid w:val="00AE695F"/>
    <w:rsid w:val="00AE6AB2"/>
    <w:rsid w:val="00AE6D9A"/>
    <w:rsid w:val="00AF2943"/>
    <w:rsid w:val="00AF2E47"/>
    <w:rsid w:val="00AF4102"/>
    <w:rsid w:val="00AF50FC"/>
    <w:rsid w:val="00AF5DB2"/>
    <w:rsid w:val="00B00288"/>
    <w:rsid w:val="00B0347B"/>
    <w:rsid w:val="00B0649B"/>
    <w:rsid w:val="00B1328A"/>
    <w:rsid w:val="00B13364"/>
    <w:rsid w:val="00B13C6E"/>
    <w:rsid w:val="00B166CF"/>
    <w:rsid w:val="00B20F28"/>
    <w:rsid w:val="00B22B5B"/>
    <w:rsid w:val="00B300A0"/>
    <w:rsid w:val="00B35950"/>
    <w:rsid w:val="00B4047E"/>
    <w:rsid w:val="00B42E49"/>
    <w:rsid w:val="00B46095"/>
    <w:rsid w:val="00B53946"/>
    <w:rsid w:val="00B56EF8"/>
    <w:rsid w:val="00B60A25"/>
    <w:rsid w:val="00B63546"/>
    <w:rsid w:val="00B666DE"/>
    <w:rsid w:val="00B701F3"/>
    <w:rsid w:val="00B70FC9"/>
    <w:rsid w:val="00B71110"/>
    <w:rsid w:val="00B723FA"/>
    <w:rsid w:val="00B72F7E"/>
    <w:rsid w:val="00B81570"/>
    <w:rsid w:val="00B82C51"/>
    <w:rsid w:val="00B8359C"/>
    <w:rsid w:val="00B91399"/>
    <w:rsid w:val="00B92334"/>
    <w:rsid w:val="00B93CC2"/>
    <w:rsid w:val="00B946A9"/>
    <w:rsid w:val="00B96406"/>
    <w:rsid w:val="00BB322B"/>
    <w:rsid w:val="00BB3FB9"/>
    <w:rsid w:val="00BB5621"/>
    <w:rsid w:val="00BC536E"/>
    <w:rsid w:val="00BC74E0"/>
    <w:rsid w:val="00BC79CE"/>
    <w:rsid w:val="00BC7F8C"/>
    <w:rsid w:val="00BC7FF5"/>
    <w:rsid w:val="00BD509A"/>
    <w:rsid w:val="00BD70A0"/>
    <w:rsid w:val="00BD7513"/>
    <w:rsid w:val="00BD7D4B"/>
    <w:rsid w:val="00BE5EBE"/>
    <w:rsid w:val="00BE6C81"/>
    <w:rsid w:val="00BE7D52"/>
    <w:rsid w:val="00BF0231"/>
    <w:rsid w:val="00BF3ED5"/>
    <w:rsid w:val="00BF4C8D"/>
    <w:rsid w:val="00C0194F"/>
    <w:rsid w:val="00C02205"/>
    <w:rsid w:val="00C0372D"/>
    <w:rsid w:val="00C04669"/>
    <w:rsid w:val="00C1297F"/>
    <w:rsid w:val="00C14A6F"/>
    <w:rsid w:val="00C16EC6"/>
    <w:rsid w:val="00C21F77"/>
    <w:rsid w:val="00C245A9"/>
    <w:rsid w:val="00C320E4"/>
    <w:rsid w:val="00C37202"/>
    <w:rsid w:val="00C4031A"/>
    <w:rsid w:val="00C407A0"/>
    <w:rsid w:val="00C428CD"/>
    <w:rsid w:val="00C50883"/>
    <w:rsid w:val="00C63533"/>
    <w:rsid w:val="00C66496"/>
    <w:rsid w:val="00C67BDF"/>
    <w:rsid w:val="00C71031"/>
    <w:rsid w:val="00C71C95"/>
    <w:rsid w:val="00C73642"/>
    <w:rsid w:val="00C7441B"/>
    <w:rsid w:val="00C74FFC"/>
    <w:rsid w:val="00C75766"/>
    <w:rsid w:val="00C7689B"/>
    <w:rsid w:val="00C76C52"/>
    <w:rsid w:val="00C865CB"/>
    <w:rsid w:val="00C870F1"/>
    <w:rsid w:val="00C90B78"/>
    <w:rsid w:val="00C90BC1"/>
    <w:rsid w:val="00C97CC3"/>
    <w:rsid w:val="00CA0FD5"/>
    <w:rsid w:val="00CA19EF"/>
    <w:rsid w:val="00CA3017"/>
    <w:rsid w:val="00CA30F3"/>
    <w:rsid w:val="00CA33DF"/>
    <w:rsid w:val="00CA3BB7"/>
    <w:rsid w:val="00CA419D"/>
    <w:rsid w:val="00CA5A67"/>
    <w:rsid w:val="00CA5CF3"/>
    <w:rsid w:val="00CA5FE4"/>
    <w:rsid w:val="00CA7C5A"/>
    <w:rsid w:val="00CB0990"/>
    <w:rsid w:val="00CB2F1B"/>
    <w:rsid w:val="00CB302E"/>
    <w:rsid w:val="00CC78E8"/>
    <w:rsid w:val="00CC7B22"/>
    <w:rsid w:val="00CD17B3"/>
    <w:rsid w:val="00CD2297"/>
    <w:rsid w:val="00CD3F46"/>
    <w:rsid w:val="00CD6712"/>
    <w:rsid w:val="00CD6FB1"/>
    <w:rsid w:val="00CD758B"/>
    <w:rsid w:val="00CE0F8B"/>
    <w:rsid w:val="00CE253B"/>
    <w:rsid w:val="00CE43E3"/>
    <w:rsid w:val="00CE7703"/>
    <w:rsid w:val="00CF7429"/>
    <w:rsid w:val="00D01747"/>
    <w:rsid w:val="00D037B5"/>
    <w:rsid w:val="00D03A97"/>
    <w:rsid w:val="00D03E9C"/>
    <w:rsid w:val="00D048DE"/>
    <w:rsid w:val="00D05410"/>
    <w:rsid w:val="00D05B55"/>
    <w:rsid w:val="00D05D71"/>
    <w:rsid w:val="00D22DDA"/>
    <w:rsid w:val="00D25C34"/>
    <w:rsid w:val="00D300D8"/>
    <w:rsid w:val="00D316E4"/>
    <w:rsid w:val="00D328E5"/>
    <w:rsid w:val="00D33357"/>
    <w:rsid w:val="00D362BA"/>
    <w:rsid w:val="00D375AE"/>
    <w:rsid w:val="00D40E05"/>
    <w:rsid w:val="00D41223"/>
    <w:rsid w:val="00D41AC9"/>
    <w:rsid w:val="00D4496E"/>
    <w:rsid w:val="00D5279F"/>
    <w:rsid w:val="00D537DC"/>
    <w:rsid w:val="00D538C2"/>
    <w:rsid w:val="00D568CE"/>
    <w:rsid w:val="00D57736"/>
    <w:rsid w:val="00D61EF4"/>
    <w:rsid w:val="00D62BEE"/>
    <w:rsid w:val="00D62F0C"/>
    <w:rsid w:val="00D646B8"/>
    <w:rsid w:val="00D65DF1"/>
    <w:rsid w:val="00D72551"/>
    <w:rsid w:val="00D733F2"/>
    <w:rsid w:val="00D73FF0"/>
    <w:rsid w:val="00D77B37"/>
    <w:rsid w:val="00D80A87"/>
    <w:rsid w:val="00D81CF8"/>
    <w:rsid w:val="00D81DA6"/>
    <w:rsid w:val="00D83DFC"/>
    <w:rsid w:val="00D84EC3"/>
    <w:rsid w:val="00D84ED0"/>
    <w:rsid w:val="00D84EF4"/>
    <w:rsid w:val="00D90941"/>
    <w:rsid w:val="00D91219"/>
    <w:rsid w:val="00D91920"/>
    <w:rsid w:val="00D91BFB"/>
    <w:rsid w:val="00D92BE4"/>
    <w:rsid w:val="00DA66FB"/>
    <w:rsid w:val="00DA6994"/>
    <w:rsid w:val="00DB0802"/>
    <w:rsid w:val="00DB64F7"/>
    <w:rsid w:val="00DC0847"/>
    <w:rsid w:val="00DC2C5E"/>
    <w:rsid w:val="00DC4749"/>
    <w:rsid w:val="00DD0683"/>
    <w:rsid w:val="00DD0BA0"/>
    <w:rsid w:val="00DD0E4C"/>
    <w:rsid w:val="00DD25EF"/>
    <w:rsid w:val="00DD2EE9"/>
    <w:rsid w:val="00DD5A9A"/>
    <w:rsid w:val="00DF1A96"/>
    <w:rsid w:val="00DF2675"/>
    <w:rsid w:val="00DF2C73"/>
    <w:rsid w:val="00DF38C7"/>
    <w:rsid w:val="00DF7805"/>
    <w:rsid w:val="00E01488"/>
    <w:rsid w:val="00E0671B"/>
    <w:rsid w:val="00E12476"/>
    <w:rsid w:val="00E1263E"/>
    <w:rsid w:val="00E135D9"/>
    <w:rsid w:val="00E16790"/>
    <w:rsid w:val="00E1717B"/>
    <w:rsid w:val="00E204B1"/>
    <w:rsid w:val="00E20D8C"/>
    <w:rsid w:val="00E212F5"/>
    <w:rsid w:val="00E22FAF"/>
    <w:rsid w:val="00E26E07"/>
    <w:rsid w:val="00E27166"/>
    <w:rsid w:val="00E343EE"/>
    <w:rsid w:val="00E415DF"/>
    <w:rsid w:val="00E421EE"/>
    <w:rsid w:val="00E4561B"/>
    <w:rsid w:val="00E539A5"/>
    <w:rsid w:val="00E63882"/>
    <w:rsid w:val="00E6753F"/>
    <w:rsid w:val="00E746A9"/>
    <w:rsid w:val="00E74A18"/>
    <w:rsid w:val="00E7774E"/>
    <w:rsid w:val="00E82789"/>
    <w:rsid w:val="00E83218"/>
    <w:rsid w:val="00E83716"/>
    <w:rsid w:val="00E86323"/>
    <w:rsid w:val="00E941E5"/>
    <w:rsid w:val="00E94854"/>
    <w:rsid w:val="00E94FA6"/>
    <w:rsid w:val="00E965DC"/>
    <w:rsid w:val="00EA50B8"/>
    <w:rsid w:val="00EA5E79"/>
    <w:rsid w:val="00EA6482"/>
    <w:rsid w:val="00EA68AD"/>
    <w:rsid w:val="00EA7969"/>
    <w:rsid w:val="00EB1F99"/>
    <w:rsid w:val="00EB5311"/>
    <w:rsid w:val="00EB7E25"/>
    <w:rsid w:val="00EC23DE"/>
    <w:rsid w:val="00EC31AC"/>
    <w:rsid w:val="00EC490C"/>
    <w:rsid w:val="00EC625B"/>
    <w:rsid w:val="00ED03A2"/>
    <w:rsid w:val="00ED22CB"/>
    <w:rsid w:val="00ED2AD4"/>
    <w:rsid w:val="00EE1451"/>
    <w:rsid w:val="00EE2C84"/>
    <w:rsid w:val="00EE4A6B"/>
    <w:rsid w:val="00EE4FF9"/>
    <w:rsid w:val="00EF39A0"/>
    <w:rsid w:val="00EF3CBE"/>
    <w:rsid w:val="00EF6A83"/>
    <w:rsid w:val="00F018C3"/>
    <w:rsid w:val="00F01D34"/>
    <w:rsid w:val="00F02D91"/>
    <w:rsid w:val="00F03C94"/>
    <w:rsid w:val="00F04B84"/>
    <w:rsid w:val="00F07091"/>
    <w:rsid w:val="00F23E66"/>
    <w:rsid w:val="00F3168E"/>
    <w:rsid w:val="00F31EB8"/>
    <w:rsid w:val="00F33A42"/>
    <w:rsid w:val="00F36BB9"/>
    <w:rsid w:val="00F40FB7"/>
    <w:rsid w:val="00F4439F"/>
    <w:rsid w:val="00F51BCA"/>
    <w:rsid w:val="00F52723"/>
    <w:rsid w:val="00F53550"/>
    <w:rsid w:val="00F546FF"/>
    <w:rsid w:val="00F62A02"/>
    <w:rsid w:val="00F63ABB"/>
    <w:rsid w:val="00F75DC5"/>
    <w:rsid w:val="00F761C7"/>
    <w:rsid w:val="00F76566"/>
    <w:rsid w:val="00F80960"/>
    <w:rsid w:val="00F81318"/>
    <w:rsid w:val="00F81987"/>
    <w:rsid w:val="00F81DD6"/>
    <w:rsid w:val="00F82390"/>
    <w:rsid w:val="00F87116"/>
    <w:rsid w:val="00F916E4"/>
    <w:rsid w:val="00F93B57"/>
    <w:rsid w:val="00FA071E"/>
    <w:rsid w:val="00FA07C0"/>
    <w:rsid w:val="00FA243A"/>
    <w:rsid w:val="00FA2BB3"/>
    <w:rsid w:val="00FA4684"/>
    <w:rsid w:val="00FA5B08"/>
    <w:rsid w:val="00FB1BC3"/>
    <w:rsid w:val="00FB39CA"/>
    <w:rsid w:val="00FB3EBA"/>
    <w:rsid w:val="00FB6A53"/>
    <w:rsid w:val="00FC6B27"/>
    <w:rsid w:val="00FD1A64"/>
    <w:rsid w:val="00FD70DF"/>
    <w:rsid w:val="00FE12C7"/>
    <w:rsid w:val="00FE397B"/>
    <w:rsid w:val="00FE41AE"/>
    <w:rsid w:val="00FE4205"/>
    <w:rsid w:val="00FE5F61"/>
    <w:rsid w:val="00FE68B4"/>
    <w:rsid w:val="00FF2D7D"/>
    <w:rsid w:val="00FF36E6"/>
    <w:rsid w:val="00FF402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908E9"/>
  <w15:chartTrackingRefBased/>
  <w15:docId w15:val="{30F52C29-C22D-4BAF-99AE-FAA62C1F1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C3FF4"/>
  </w:style>
  <w:style w:type="paragraph" w:styleId="Nagwek1">
    <w:name w:val="heading 1"/>
    <w:basedOn w:val="Normalny"/>
    <w:next w:val="Normalny"/>
    <w:link w:val="Nagwek1Znak"/>
    <w:qFormat/>
    <w:rsid w:val="00CD17B3"/>
    <w:pPr>
      <w:keepNext/>
      <w:keepLines/>
      <w:numPr>
        <w:numId w:val="1"/>
      </w:numPr>
      <w:spacing w:before="360" w:after="240" w:line="240" w:lineRule="auto"/>
      <w:ind w:left="431" w:hanging="431"/>
      <w:jc w:val="both"/>
      <w:outlineLvl w:val="0"/>
    </w:pPr>
    <w:rPr>
      <w:rFonts w:eastAsiaTheme="majorEastAsia" w:cstheme="majorBidi"/>
      <w:bCs/>
      <w:color w:val="2F5496" w:themeColor="accent1" w:themeShade="BF"/>
      <w:sz w:val="32"/>
      <w:szCs w:val="28"/>
    </w:rPr>
  </w:style>
  <w:style w:type="paragraph" w:styleId="Nagwek2">
    <w:name w:val="heading 2"/>
    <w:basedOn w:val="Normalny"/>
    <w:next w:val="Normalny"/>
    <w:link w:val="Nagwek2Znak"/>
    <w:uiPriority w:val="9"/>
    <w:unhideWhenUsed/>
    <w:qFormat/>
    <w:rsid w:val="00CD17B3"/>
    <w:pPr>
      <w:keepNext/>
      <w:keepLines/>
      <w:numPr>
        <w:ilvl w:val="1"/>
        <w:numId w:val="1"/>
      </w:numPr>
      <w:spacing w:before="240" w:after="120" w:line="240" w:lineRule="auto"/>
      <w:ind w:left="1088" w:hanging="578"/>
      <w:jc w:val="both"/>
      <w:outlineLvl w:val="1"/>
    </w:pPr>
    <w:rPr>
      <w:rFonts w:eastAsiaTheme="majorEastAsia" w:cstheme="majorBidi"/>
      <w:color w:val="2F5496" w:themeColor="accent1" w:themeShade="BF"/>
      <w:sz w:val="28"/>
      <w:szCs w:val="26"/>
    </w:rPr>
  </w:style>
  <w:style w:type="paragraph" w:styleId="Nagwek3">
    <w:name w:val="heading 3"/>
    <w:basedOn w:val="Normalny"/>
    <w:next w:val="Normalny"/>
    <w:link w:val="Nagwek3Znak"/>
    <w:qFormat/>
    <w:rsid w:val="00CD17B3"/>
    <w:pPr>
      <w:keepNext/>
      <w:numPr>
        <w:ilvl w:val="2"/>
        <w:numId w:val="1"/>
      </w:numPr>
      <w:spacing w:before="240" w:after="120" w:line="240" w:lineRule="auto"/>
      <w:ind w:left="1304" w:hanging="567"/>
      <w:jc w:val="both"/>
      <w:outlineLvl w:val="2"/>
    </w:pPr>
    <w:rPr>
      <w:rFonts w:eastAsia="Times New Roman" w:cs="Times New Roman"/>
      <w:bCs/>
      <w:color w:val="2F5496" w:themeColor="accent1" w:themeShade="BF"/>
      <w:sz w:val="24"/>
      <w:szCs w:val="24"/>
    </w:rPr>
  </w:style>
  <w:style w:type="paragraph" w:styleId="Nagwek4">
    <w:name w:val="heading 4"/>
    <w:basedOn w:val="Normalny"/>
    <w:next w:val="Normalny"/>
    <w:link w:val="Nagwek4Znak"/>
    <w:qFormat/>
    <w:rsid w:val="00CD17B3"/>
    <w:pPr>
      <w:keepNext/>
      <w:numPr>
        <w:ilvl w:val="3"/>
        <w:numId w:val="1"/>
      </w:numPr>
      <w:spacing w:before="120" w:after="120" w:line="240" w:lineRule="auto"/>
      <w:ind w:left="1713" w:hanging="862"/>
      <w:jc w:val="both"/>
      <w:outlineLvl w:val="3"/>
    </w:pPr>
    <w:rPr>
      <w:rFonts w:eastAsia="Times New Roman" w:cs="Times New Roman"/>
      <w:bCs/>
      <w:color w:val="2F5496" w:themeColor="accent1" w:themeShade="BF"/>
      <w:szCs w:val="28"/>
    </w:rPr>
  </w:style>
  <w:style w:type="paragraph" w:styleId="Nagwek5">
    <w:name w:val="heading 5"/>
    <w:basedOn w:val="Normalny"/>
    <w:next w:val="Normalny"/>
    <w:link w:val="Nagwek5Znak"/>
    <w:uiPriority w:val="9"/>
    <w:semiHidden/>
    <w:unhideWhenUsed/>
    <w:qFormat/>
    <w:rsid w:val="00CD17B3"/>
    <w:pPr>
      <w:numPr>
        <w:ilvl w:val="4"/>
        <w:numId w:val="1"/>
      </w:numPr>
      <w:spacing w:before="200" w:after="0" w:line="276" w:lineRule="auto"/>
      <w:jc w:val="both"/>
      <w:outlineLvl w:val="4"/>
    </w:pPr>
    <w:rPr>
      <w:rFonts w:ascii="Cambria" w:eastAsia="Times New Roman" w:hAnsi="Cambria" w:cs="Times New Roman"/>
      <w:b/>
      <w:bCs/>
      <w:color w:val="7F7F7F"/>
      <w:lang w:eastAsia="pl-PL" w:bidi="pl-PL"/>
    </w:rPr>
  </w:style>
  <w:style w:type="paragraph" w:styleId="Nagwek6">
    <w:name w:val="heading 6"/>
    <w:basedOn w:val="Normalny"/>
    <w:next w:val="Normalny"/>
    <w:link w:val="Nagwek6Znak"/>
    <w:uiPriority w:val="9"/>
    <w:semiHidden/>
    <w:unhideWhenUsed/>
    <w:qFormat/>
    <w:rsid w:val="00CD17B3"/>
    <w:pPr>
      <w:keepNext/>
      <w:keepLines/>
      <w:numPr>
        <w:ilvl w:val="5"/>
        <w:numId w:val="1"/>
      </w:numPr>
      <w:spacing w:before="40" w:after="0" w:line="240" w:lineRule="auto"/>
      <w:jc w:val="both"/>
      <w:outlineLvl w:val="5"/>
    </w:pPr>
    <w:rPr>
      <w:rFonts w:asciiTheme="majorHAnsi" w:eastAsiaTheme="majorEastAsia" w:hAnsiTheme="majorHAnsi" w:cstheme="majorBidi"/>
      <w:color w:val="1F3763" w:themeColor="accent1" w:themeShade="7F"/>
      <w:sz w:val="24"/>
      <w:szCs w:val="24"/>
      <w:lang w:eastAsia="pl-PL"/>
    </w:rPr>
  </w:style>
  <w:style w:type="paragraph" w:styleId="Nagwek7">
    <w:name w:val="heading 7"/>
    <w:basedOn w:val="Normalny"/>
    <w:next w:val="Normalny"/>
    <w:link w:val="Nagwek7Znak"/>
    <w:uiPriority w:val="9"/>
    <w:semiHidden/>
    <w:unhideWhenUsed/>
    <w:qFormat/>
    <w:rsid w:val="00CD17B3"/>
    <w:pPr>
      <w:keepNext/>
      <w:keepLines/>
      <w:numPr>
        <w:ilvl w:val="6"/>
        <w:numId w:val="1"/>
      </w:numPr>
      <w:spacing w:before="40" w:after="0" w:line="240" w:lineRule="auto"/>
      <w:jc w:val="both"/>
      <w:outlineLvl w:val="6"/>
    </w:pPr>
    <w:rPr>
      <w:rFonts w:asciiTheme="majorHAnsi" w:eastAsiaTheme="majorEastAsia" w:hAnsiTheme="majorHAnsi" w:cstheme="majorBidi"/>
      <w:i/>
      <w:iCs/>
      <w:color w:val="1F3763" w:themeColor="accent1" w:themeShade="7F"/>
      <w:sz w:val="24"/>
      <w:szCs w:val="24"/>
      <w:lang w:eastAsia="pl-PL"/>
    </w:rPr>
  </w:style>
  <w:style w:type="paragraph" w:styleId="Nagwek8">
    <w:name w:val="heading 8"/>
    <w:basedOn w:val="Normalny"/>
    <w:next w:val="Normalny"/>
    <w:link w:val="Nagwek8Znak"/>
    <w:uiPriority w:val="9"/>
    <w:semiHidden/>
    <w:unhideWhenUsed/>
    <w:qFormat/>
    <w:rsid w:val="00CD17B3"/>
    <w:pPr>
      <w:keepNext/>
      <w:keepLines/>
      <w:numPr>
        <w:ilvl w:val="7"/>
        <w:numId w:val="1"/>
      </w:numPr>
      <w:spacing w:before="40" w:after="0" w:line="240" w:lineRule="auto"/>
      <w:jc w:val="both"/>
      <w:outlineLvl w:val="7"/>
    </w:pPr>
    <w:rPr>
      <w:rFonts w:asciiTheme="majorHAnsi" w:eastAsiaTheme="majorEastAsia" w:hAnsiTheme="majorHAnsi" w:cstheme="majorBidi"/>
      <w:color w:val="272727" w:themeColor="text1" w:themeTint="D8"/>
      <w:sz w:val="21"/>
      <w:szCs w:val="21"/>
      <w:lang w:eastAsia="pl-PL"/>
    </w:rPr>
  </w:style>
  <w:style w:type="paragraph" w:styleId="Nagwek9">
    <w:name w:val="heading 9"/>
    <w:basedOn w:val="Normalny"/>
    <w:next w:val="Normalny"/>
    <w:link w:val="Nagwek9Znak"/>
    <w:uiPriority w:val="9"/>
    <w:semiHidden/>
    <w:unhideWhenUsed/>
    <w:qFormat/>
    <w:rsid w:val="00CD17B3"/>
    <w:pPr>
      <w:keepNext/>
      <w:keepLines/>
      <w:numPr>
        <w:ilvl w:val="8"/>
        <w:numId w:val="1"/>
      </w:numPr>
      <w:spacing w:before="40" w:after="0" w:line="240" w:lineRule="auto"/>
      <w:jc w:val="both"/>
      <w:outlineLvl w:val="8"/>
    </w:pPr>
    <w:rPr>
      <w:rFonts w:asciiTheme="majorHAnsi" w:eastAsiaTheme="majorEastAsia" w:hAnsiTheme="majorHAnsi" w:cstheme="majorBidi"/>
      <w:i/>
      <w:iCs/>
      <w:color w:val="272727" w:themeColor="text1" w:themeTint="D8"/>
      <w:sz w:val="21"/>
      <w:szCs w:val="21"/>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3D020E"/>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3D020E"/>
    <w:rPr>
      <w:rFonts w:eastAsiaTheme="minorEastAsia"/>
      <w:lang w:eastAsia="pl-PL"/>
    </w:rPr>
  </w:style>
  <w:style w:type="paragraph" w:styleId="Akapitzlist">
    <w:name w:val="List Paragraph"/>
    <w:aliases w:val="Recommendation,List Paragraph11,Kolorowa lista — akcent 11,Numerowanie,Listaszerű bekezdés1,List Paragraph à moi,Numbered Para 1,No Spacing1,Indicator Text,Bullet 1,List Paragraph Char Char Char,2,Akapit z list¹1,Akapit z listą11,Styl 1"/>
    <w:basedOn w:val="Normalny"/>
    <w:link w:val="AkapitzlistZnak"/>
    <w:uiPriority w:val="34"/>
    <w:qFormat/>
    <w:rsid w:val="007A02C0"/>
    <w:pPr>
      <w:ind w:left="720"/>
      <w:contextualSpacing/>
    </w:pPr>
  </w:style>
  <w:style w:type="character" w:customStyle="1" w:styleId="Nagwek1Znak">
    <w:name w:val="Nagłówek 1 Znak"/>
    <w:basedOn w:val="Domylnaczcionkaakapitu"/>
    <w:link w:val="Nagwek1"/>
    <w:rsid w:val="00CD17B3"/>
    <w:rPr>
      <w:rFonts w:eastAsiaTheme="majorEastAsia" w:cstheme="majorBidi"/>
      <w:bCs/>
      <w:color w:val="2F5496" w:themeColor="accent1" w:themeShade="BF"/>
      <w:sz w:val="32"/>
      <w:szCs w:val="28"/>
    </w:rPr>
  </w:style>
  <w:style w:type="character" w:customStyle="1" w:styleId="Nagwek2Znak">
    <w:name w:val="Nagłówek 2 Znak"/>
    <w:basedOn w:val="Domylnaczcionkaakapitu"/>
    <w:link w:val="Nagwek2"/>
    <w:uiPriority w:val="9"/>
    <w:rsid w:val="00CD17B3"/>
    <w:rPr>
      <w:rFonts w:eastAsiaTheme="majorEastAsia" w:cstheme="majorBidi"/>
      <w:color w:val="2F5496" w:themeColor="accent1" w:themeShade="BF"/>
      <w:sz w:val="28"/>
      <w:szCs w:val="26"/>
    </w:rPr>
  </w:style>
  <w:style w:type="character" w:customStyle="1" w:styleId="Nagwek3Znak">
    <w:name w:val="Nagłówek 3 Znak"/>
    <w:basedOn w:val="Domylnaczcionkaakapitu"/>
    <w:link w:val="Nagwek3"/>
    <w:rsid w:val="00CD17B3"/>
    <w:rPr>
      <w:rFonts w:eastAsia="Times New Roman" w:cs="Times New Roman"/>
      <w:bCs/>
      <w:color w:val="2F5496" w:themeColor="accent1" w:themeShade="BF"/>
      <w:sz w:val="24"/>
      <w:szCs w:val="24"/>
    </w:rPr>
  </w:style>
  <w:style w:type="character" w:customStyle="1" w:styleId="Nagwek4Znak">
    <w:name w:val="Nagłówek 4 Znak"/>
    <w:basedOn w:val="Domylnaczcionkaakapitu"/>
    <w:link w:val="Nagwek4"/>
    <w:rsid w:val="00CD17B3"/>
    <w:rPr>
      <w:rFonts w:eastAsia="Times New Roman" w:cs="Times New Roman"/>
      <w:bCs/>
      <w:color w:val="2F5496" w:themeColor="accent1" w:themeShade="BF"/>
      <w:szCs w:val="28"/>
    </w:rPr>
  </w:style>
  <w:style w:type="character" w:customStyle="1" w:styleId="Nagwek5Znak">
    <w:name w:val="Nagłówek 5 Znak"/>
    <w:basedOn w:val="Domylnaczcionkaakapitu"/>
    <w:link w:val="Nagwek5"/>
    <w:uiPriority w:val="9"/>
    <w:semiHidden/>
    <w:rsid w:val="00CD17B3"/>
    <w:rPr>
      <w:rFonts w:ascii="Cambria" w:eastAsia="Times New Roman" w:hAnsi="Cambria" w:cs="Times New Roman"/>
      <w:b/>
      <w:bCs/>
      <w:color w:val="7F7F7F"/>
      <w:lang w:eastAsia="pl-PL" w:bidi="pl-PL"/>
    </w:rPr>
  </w:style>
  <w:style w:type="character" w:customStyle="1" w:styleId="Nagwek6Znak">
    <w:name w:val="Nagłówek 6 Znak"/>
    <w:basedOn w:val="Domylnaczcionkaakapitu"/>
    <w:link w:val="Nagwek6"/>
    <w:uiPriority w:val="9"/>
    <w:semiHidden/>
    <w:rsid w:val="00CD17B3"/>
    <w:rPr>
      <w:rFonts w:asciiTheme="majorHAnsi" w:eastAsiaTheme="majorEastAsia" w:hAnsiTheme="majorHAnsi" w:cstheme="majorBidi"/>
      <w:color w:val="1F3763" w:themeColor="accent1" w:themeShade="7F"/>
      <w:sz w:val="24"/>
      <w:szCs w:val="24"/>
      <w:lang w:eastAsia="pl-PL"/>
    </w:rPr>
  </w:style>
  <w:style w:type="character" w:customStyle="1" w:styleId="Nagwek7Znak">
    <w:name w:val="Nagłówek 7 Znak"/>
    <w:basedOn w:val="Domylnaczcionkaakapitu"/>
    <w:link w:val="Nagwek7"/>
    <w:uiPriority w:val="9"/>
    <w:semiHidden/>
    <w:rsid w:val="00CD17B3"/>
    <w:rPr>
      <w:rFonts w:asciiTheme="majorHAnsi" w:eastAsiaTheme="majorEastAsia" w:hAnsiTheme="majorHAnsi" w:cstheme="majorBidi"/>
      <w:i/>
      <w:iCs/>
      <w:color w:val="1F3763" w:themeColor="accent1" w:themeShade="7F"/>
      <w:sz w:val="24"/>
      <w:szCs w:val="24"/>
      <w:lang w:eastAsia="pl-PL"/>
    </w:rPr>
  </w:style>
  <w:style w:type="character" w:customStyle="1" w:styleId="Nagwek8Znak">
    <w:name w:val="Nagłówek 8 Znak"/>
    <w:basedOn w:val="Domylnaczcionkaakapitu"/>
    <w:link w:val="Nagwek8"/>
    <w:uiPriority w:val="9"/>
    <w:semiHidden/>
    <w:rsid w:val="00CD17B3"/>
    <w:rPr>
      <w:rFonts w:asciiTheme="majorHAnsi" w:eastAsiaTheme="majorEastAsia" w:hAnsiTheme="majorHAnsi" w:cstheme="majorBidi"/>
      <w:color w:val="272727" w:themeColor="text1" w:themeTint="D8"/>
      <w:sz w:val="21"/>
      <w:szCs w:val="21"/>
      <w:lang w:eastAsia="pl-PL"/>
    </w:rPr>
  </w:style>
  <w:style w:type="character" w:customStyle="1" w:styleId="Nagwek9Znak">
    <w:name w:val="Nagłówek 9 Znak"/>
    <w:basedOn w:val="Domylnaczcionkaakapitu"/>
    <w:link w:val="Nagwek9"/>
    <w:uiPriority w:val="9"/>
    <w:semiHidden/>
    <w:rsid w:val="00CD17B3"/>
    <w:rPr>
      <w:rFonts w:asciiTheme="majorHAnsi" w:eastAsiaTheme="majorEastAsia" w:hAnsiTheme="majorHAnsi" w:cstheme="majorBidi"/>
      <w:i/>
      <w:iCs/>
      <w:color w:val="272727" w:themeColor="text1" w:themeTint="D8"/>
      <w:sz w:val="21"/>
      <w:szCs w:val="21"/>
      <w:lang w:eastAsia="pl-PL"/>
    </w:rPr>
  </w:style>
  <w:style w:type="table" w:styleId="Tabela-Siatka">
    <w:name w:val="Table Grid"/>
    <w:basedOn w:val="Standardowy"/>
    <w:uiPriority w:val="39"/>
    <w:rsid w:val="00CD17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ks1">
    <w:name w:val="index 1"/>
    <w:basedOn w:val="Normalny"/>
    <w:next w:val="Normalny"/>
    <w:autoRedefine/>
    <w:uiPriority w:val="99"/>
    <w:unhideWhenUsed/>
    <w:rsid w:val="00CD17B3"/>
    <w:pPr>
      <w:tabs>
        <w:tab w:val="right" w:leader="dot" w:pos="9060"/>
      </w:tabs>
      <w:spacing w:after="0" w:line="240" w:lineRule="auto"/>
    </w:pPr>
  </w:style>
  <w:style w:type="paragraph" w:styleId="Tekstdymka">
    <w:name w:val="Balloon Text"/>
    <w:basedOn w:val="Normalny"/>
    <w:link w:val="TekstdymkaZnak"/>
    <w:uiPriority w:val="99"/>
    <w:semiHidden/>
    <w:unhideWhenUsed/>
    <w:rsid w:val="00AE0B6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E0B6E"/>
    <w:rPr>
      <w:rFonts w:ascii="Segoe UI" w:hAnsi="Segoe UI" w:cs="Segoe UI"/>
      <w:sz w:val="18"/>
      <w:szCs w:val="18"/>
    </w:rPr>
  </w:style>
  <w:style w:type="paragraph" w:styleId="Tekstprzypisudolnego">
    <w:name w:val="footnote text"/>
    <w:aliases w:val="-E Fuﬂnotentext,Fuﬂnotentext Ursprung,footnote text,Fußnotentext Ursprung,-E Fußnotentext,Podrozdział,Tekst przypisu,Przypis,Footnote,Podrozdzia3,Podrozdzia³,voetnoot,voetnoot1,voetno,voetnoot2,voetnoot3,voetnoot4,voetnoot5"/>
    <w:basedOn w:val="Normalny"/>
    <w:link w:val="TekstprzypisudolnegoZnak"/>
    <w:uiPriority w:val="99"/>
    <w:unhideWhenUsed/>
    <w:rsid w:val="00ED2AD4"/>
    <w:pPr>
      <w:spacing w:after="0" w:line="240" w:lineRule="auto"/>
      <w:jc w:val="both"/>
    </w:pPr>
    <w:rPr>
      <w:sz w:val="20"/>
      <w:szCs w:val="20"/>
    </w:rPr>
  </w:style>
  <w:style w:type="character" w:customStyle="1" w:styleId="TekstprzypisudolnegoZnak">
    <w:name w:val="Tekst przypisu dolnego Znak"/>
    <w:aliases w:val="-E Fuﬂnotentext Znak,Fuﬂnotentext Ursprung Znak,footnote text Znak,Fußnotentext Ursprung Znak,-E Fußnotentext Znak,Podrozdział Znak,Tekst przypisu Znak,Przypis Znak,Footnote Znak,Podrozdzia3 Znak,Podrozdzia³ Znak,voetno Znak"/>
    <w:basedOn w:val="Domylnaczcionkaakapitu"/>
    <w:link w:val="Tekstprzypisudolnego"/>
    <w:uiPriority w:val="99"/>
    <w:rsid w:val="00ED2AD4"/>
    <w:rPr>
      <w:sz w:val="20"/>
      <w:szCs w:val="20"/>
    </w:rPr>
  </w:style>
  <w:style w:type="character" w:styleId="Odwoanieprzypisudolnego">
    <w:name w:val="footnote reference"/>
    <w:aliases w:val="Footnote number,-E Fußnotenzeichen,SUPERS,Footnote reference number,Footnote symbol,note TESI,number,Footnote Reference Number,EN Footnote Reference,Appel note de bas de p,Nota,Footnote Reference/,Ref,de nota al pie,16 Point"/>
    <w:basedOn w:val="Domylnaczcionkaakapitu"/>
    <w:uiPriority w:val="99"/>
    <w:unhideWhenUsed/>
    <w:qFormat/>
    <w:rsid w:val="00ED2AD4"/>
    <w:rPr>
      <w:vertAlign w:val="superscript"/>
    </w:rPr>
  </w:style>
  <w:style w:type="paragraph" w:customStyle="1" w:styleId="Pa5">
    <w:name w:val="Pa5"/>
    <w:basedOn w:val="Normalny"/>
    <w:next w:val="Normalny"/>
    <w:uiPriority w:val="99"/>
    <w:rsid w:val="00154A16"/>
    <w:pPr>
      <w:autoSpaceDE w:val="0"/>
      <w:autoSpaceDN w:val="0"/>
      <w:adjustRightInd w:val="0"/>
      <w:spacing w:after="0" w:line="241" w:lineRule="atLeast"/>
    </w:pPr>
    <w:rPr>
      <w:rFonts w:ascii="Palatino Linotype" w:hAnsi="Palatino Linotype"/>
      <w:sz w:val="24"/>
      <w:szCs w:val="24"/>
    </w:rPr>
  </w:style>
  <w:style w:type="character" w:customStyle="1" w:styleId="A10">
    <w:name w:val="A10"/>
    <w:uiPriority w:val="99"/>
    <w:rsid w:val="00154A16"/>
    <w:rPr>
      <w:rFonts w:cs="Palatino Linotype"/>
      <w:color w:val="000000"/>
      <w:sz w:val="110"/>
      <w:szCs w:val="110"/>
    </w:rPr>
  </w:style>
  <w:style w:type="character" w:customStyle="1" w:styleId="A11">
    <w:name w:val="A11"/>
    <w:uiPriority w:val="99"/>
    <w:rsid w:val="00154A16"/>
    <w:rPr>
      <w:rFonts w:cs="Palatino Linotype"/>
      <w:color w:val="000000"/>
      <w:sz w:val="14"/>
      <w:szCs w:val="14"/>
    </w:rPr>
  </w:style>
  <w:style w:type="paragraph" w:customStyle="1" w:styleId="Default">
    <w:name w:val="Default"/>
    <w:rsid w:val="00154A16"/>
    <w:pPr>
      <w:autoSpaceDE w:val="0"/>
      <w:autoSpaceDN w:val="0"/>
      <w:adjustRightInd w:val="0"/>
      <w:spacing w:after="0" w:line="240" w:lineRule="auto"/>
    </w:pPr>
    <w:rPr>
      <w:rFonts w:ascii="Calibri" w:hAnsi="Calibri" w:cs="Calibri"/>
      <w:color w:val="000000"/>
      <w:sz w:val="24"/>
      <w:szCs w:val="24"/>
    </w:rPr>
  </w:style>
  <w:style w:type="character" w:styleId="Hipercze">
    <w:name w:val="Hyperlink"/>
    <w:uiPriority w:val="99"/>
    <w:unhideWhenUsed/>
    <w:rsid w:val="007725FD"/>
    <w:rPr>
      <w:color w:val="0563C1"/>
      <w:u w:val="single"/>
    </w:rPr>
  </w:style>
  <w:style w:type="character" w:styleId="Odwoaniedokomentarza">
    <w:name w:val="annotation reference"/>
    <w:basedOn w:val="Domylnaczcionkaakapitu"/>
    <w:uiPriority w:val="99"/>
    <w:unhideWhenUsed/>
    <w:rsid w:val="001C10EB"/>
    <w:rPr>
      <w:sz w:val="16"/>
      <w:szCs w:val="16"/>
    </w:rPr>
  </w:style>
  <w:style w:type="paragraph" w:styleId="Tekstkomentarza">
    <w:name w:val="annotation text"/>
    <w:basedOn w:val="Normalny"/>
    <w:link w:val="TekstkomentarzaZnak"/>
    <w:uiPriority w:val="99"/>
    <w:unhideWhenUsed/>
    <w:rsid w:val="001C10EB"/>
    <w:pPr>
      <w:spacing w:line="240" w:lineRule="auto"/>
    </w:pPr>
    <w:rPr>
      <w:sz w:val="20"/>
      <w:szCs w:val="20"/>
    </w:rPr>
  </w:style>
  <w:style w:type="character" w:customStyle="1" w:styleId="TekstkomentarzaZnak">
    <w:name w:val="Tekst komentarza Znak"/>
    <w:basedOn w:val="Domylnaczcionkaakapitu"/>
    <w:link w:val="Tekstkomentarza"/>
    <w:uiPriority w:val="99"/>
    <w:rsid w:val="001C10EB"/>
    <w:rPr>
      <w:sz w:val="20"/>
      <w:szCs w:val="20"/>
    </w:rPr>
  </w:style>
  <w:style w:type="paragraph" w:styleId="Tematkomentarza">
    <w:name w:val="annotation subject"/>
    <w:basedOn w:val="Tekstkomentarza"/>
    <w:next w:val="Tekstkomentarza"/>
    <w:link w:val="TematkomentarzaZnak"/>
    <w:uiPriority w:val="99"/>
    <w:semiHidden/>
    <w:unhideWhenUsed/>
    <w:rsid w:val="001C10EB"/>
    <w:rPr>
      <w:b/>
      <w:bCs/>
    </w:rPr>
  </w:style>
  <w:style w:type="character" w:customStyle="1" w:styleId="TematkomentarzaZnak">
    <w:name w:val="Temat komentarza Znak"/>
    <w:basedOn w:val="TekstkomentarzaZnak"/>
    <w:link w:val="Tematkomentarza"/>
    <w:uiPriority w:val="99"/>
    <w:semiHidden/>
    <w:rsid w:val="001C10EB"/>
    <w:rPr>
      <w:b/>
      <w:bCs/>
      <w:sz w:val="20"/>
      <w:szCs w:val="20"/>
    </w:rPr>
  </w:style>
  <w:style w:type="paragraph" w:styleId="Stopka">
    <w:name w:val="footer"/>
    <w:basedOn w:val="Normalny"/>
    <w:link w:val="StopkaZnak"/>
    <w:unhideWhenUsed/>
    <w:rsid w:val="00CB2F1B"/>
    <w:pPr>
      <w:tabs>
        <w:tab w:val="center" w:pos="4536"/>
        <w:tab w:val="right" w:pos="9072"/>
      </w:tabs>
      <w:spacing w:after="0" w:line="240" w:lineRule="auto"/>
    </w:pPr>
  </w:style>
  <w:style w:type="character" w:customStyle="1" w:styleId="StopkaZnak">
    <w:name w:val="Stopka Znak"/>
    <w:basedOn w:val="Domylnaczcionkaakapitu"/>
    <w:link w:val="Stopka"/>
    <w:rsid w:val="00CB2F1B"/>
  </w:style>
  <w:style w:type="character" w:styleId="Numerstrony">
    <w:name w:val="page number"/>
    <w:basedOn w:val="Domylnaczcionkaakapitu"/>
    <w:rsid w:val="00CB2F1B"/>
  </w:style>
  <w:style w:type="character" w:customStyle="1" w:styleId="Nierozpoznanawzmianka1">
    <w:name w:val="Nierozpoznana wzmianka1"/>
    <w:basedOn w:val="Domylnaczcionkaakapitu"/>
    <w:uiPriority w:val="99"/>
    <w:semiHidden/>
    <w:unhideWhenUsed/>
    <w:rsid w:val="001263E6"/>
    <w:rPr>
      <w:color w:val="605E5C"/>
      <w:shd w:val="clear" w:color="auto" w:fill="E1DFDD"/>
    </w:rPr>
  </w:style>
  <w:style w:type="character" w:customStyle="1" w:styleId="object">
    <w:name w:val="object"/>
    <w:basedOn w:val="Domylnaczcionkaakapitu"/>
    <w:rsid w:val="00FE41AE"/>
  </w:style>
  <w:style w:type="table" w:customStyle="1" w:styleId="TableNormal">
    <w:name w:val="Table Normal"/>
    <w:uiPriority w:val="2"/>
    <w:semiHidden/>
    <w:unhideWhenUsed/>
    <w:qFormat/>
    <w:rsid w:val="002F4F5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link w:val="TableParagraphZnak"/>
    <w:uiPriority w:val="1"/>
    <w:qFormat/>
    <w:rsid w:val="002F4F5A"/>
    <w:pPr>
      <w:widowControl w:val="0"/>
      <w:autoSpaceDE w:val="0"/>
      <w:autoSpaceDN w:val="0"/>
      <w:spacing w:after="0" w:line="240" w:lineRule="auto"/>
      <w:ind w:left="159" w:right="113"/>
      <w:jc w:val="both"/>
    </w:pPr>
    <w:rPr>
      <w:rFonts w:ascii="Montserrat Light" w:eastAsia="Montserrat Light" w:hAnsi="Montserrat Light" w:cs="Montserrat Light"/>
      <w:sz w:val="20"/>
    </w:rPr>
  </w:style>
  <w:style w:type="character" w:customStyle="1" w:styleId="TableParagraphZnak">
    <w:name w:val="Table Paragraph Znak"/>
    <w:basedOn w:val="Domylnaczcionkaakapitu"/>
    <w:link w:val="TableParagraph"/>
    <w:uiPriority w:val="1"/>
    <w:rsid w:val="002F4F5A"/>
    <w:rPr>
      <w:rFonts w:ascii="Montserrat Light" w:eastAsia="Montserrat Light" w:hAnsi="Montserrat Light" w:cs="Montserrat Light"/>
      <w:sz w:val="20"/>
    </w:rPr>
  </w:style>
  <w:style w:type="character" w:customStyle="1" w:styleId="AkapitzlistZnak">
    <w:name w:val="Akapit z listą Znak"/>
    <w:aliases w:val="Recommendation Znak,List Paragraph11 Znak,Kolorowa lista — akcent 11 Znak,Numerowanie Znak,Listaszerű bekezdés1 Znak,List Paragraph à moi Znak,Numbered Para 1 Znak,No Spacing1 Znak,Indicator Text Znak,Bullet 1 Znak,2 Znak,Styl 1 Znak"/>
    <w:basedOn w:val="Domylnaczcionkaakapitu"/>
    <w:link w:val="Akapitzlist"/>
    <w:uiPriority w:val="34"/>
    <w:qFormat/>
    <w:locked/>
    <w:rsid w:val="002F4F5A"/>
  </w:style>
  <w:style w:type="paragraph" w:styleId="NormalnyWeb">
    <w:name w:val="Normal (Web)"/>
    <w:basedOn w:val="Normalny"/>
    <w:uiPriority w:val="99"/>
    <w:semiHidden/>
    <w:unhideWhenUsed/>
    <w:rsid w:val="00EA7969"/>
    <w:rPr>
      <w:rFonts w:ascii="Times New Roman" w:hAnsi="Times New Roman" w:cs="Times New Roman"/>
      <w:sz w:val="24"/>
      <w:szCs w:val="24"/>
    </w:rPr>
  </w:style>
  <w:style w:type="paragraph" w:styleId="Nagwekspisutreci">
    <w:name w:val="TOC Heading"/>
    <w:basedOn w:val="Nagwek1"/>
    <w:next w:val="Normalny"/>
    <w:uiPriority w:val="39"/>
    <w:unhideWhenUsed/>
    <w:qFormat/>
    <w:rsid w:val="001C78DF"/>
    <w:pPr>
      <w:numPr>
        <w:numId w:val="0"/>
      </w:numPr>
      <w:spacing w:before="240" w:after="0" w:line="259" w:lineRule="auto"/>
      <w:jc w:val="left"/>
      <w:outlineLvl w:val="9"/>
    </w:pPr>
    <w:rPr>
      <w:rFonts w:asciiTheme="majorHAnsi" w:hAnsiTheme="majorHAnsi"/>
      <w:bCs w:val="0"/>
      <w:szCs w:val="32"/>
      <w:lang w:eastAsia="pl-PL"/>
    </w:rPr>
  </w:style>
  <w:style w:type="paragraph" w:styleId="Spistreci1">
    <w:name w:val="toc 1"/>
    <w:basedOn w:val="Normalny"/>
    <w:next w:val="Normalny"/>
    <w:autoRedefine/>
    <w:uiPriority w:val="39"/>
    <w:unhideWhenUsed/>
    <w:rsid w:val="001C78DF"/>
    <w:pPr>
      <w:spacing w:after="100"/>
    </w:pPr>
  </w:style>
  <w:style w:type="paragraph" w:styleId="Spistreci2">
    <w:name w:val="toc 2"/>
    <w:basedOn w:val="Normalny"/>
    <w:next w:val="Normalny"/>
    <w:autoRedefine/>
    <w:uiPriority w:val="39"/>
    <w:unhideWhenUsed/>
    <w:rsid w:val="001C78DF"/>
    <w:pPr>
      <w:spacing w:after="100"/>
      <w:ind w:left="220"/>
    </w:pPr>
  </w:style>
  <w:style w:type="paragraph" w:styleId="Spistreci3">
    <w:name w:val="toc 3"/>
    <w:basedOn w:val="Normalny"/>
    <w:next w:val="Normalny"/>
    <w:autoRedefine/>
    <w:uiPriority w:val="39"/>
    <w:unhideWhenUsed/>
    <w:rsid w:val="00DF2C73"/>
    <w:pPr>
      <w:spacing w:after="100"/>
      <w:ind w:left="440"/>
    </w:pPr>
  </w:style>
  <w:style w:type="character" w:customStyle="1" w:styleId="Nierozpoznanawzmianka2">
    <w:name w:val="Nierozpoznana wzmianka2"/>
    <w:basedOn w:val="Domylnaczcionkaakapitu"/>
    <w:uiPriority w:val="99"/>
    <w:semiHidden/>
    <w:unhideWhenUsed/>
    <w:rsid w:val="0046576F"/>
    <w:rPr>
      <w:color w:val="605E5C"/>
      <w:shd w:val="clear" w:color="auto" w:fill="E1DFDD"/>
    </w:rPr>
  </w:style>
  <w:style w:type="paragraph" w:styleId="Tekstpodstawowy">
    <w:name w:val="Body Text"/>
    <w:basedOn w:val="Normalny"/>
    <w:link w:val="TekstpodstawowyZnak"/>
    <w:uiPriority w:val="99"/>
    <w:semiHidden/>
    <w:unhideWhenUsed/>
    <w:rsid w:val="00656E0F"/>
    <w:pPr>
      <w:spacing w:after="120"/>
    </w:pPr>
  </w:style>
  <w:style w:type="character" w:customStyle="1" w:styleId="TekstpodstawowyZnak">
    <w:name w:val="Tekst podstawowy Znak"/>
    <w:basedOn w:val="Domylnaczcionkaakapitu"/>
    <w:link w:val="Tekstpodstawowy"/>
    <w:uiPriority w:val="99"/>
    <w:semiHidden/>
    <w:rsid w:val="00656E0F"/>
  </w:style>
  <w:style w:type="paragraph" w:styleId="Tekstpodstawowy3">
    <w:name w:val="Body Text 3"/>
    <w:basedOn w:val="Normalny"/>
    <w:link w:val="Tekstpodstawowy3Znak"/>
    <w:unhideWhenUsed/>
    <w:rsid w:val="004C1B36"/>
    <w:pPr>
      <w:spacing w:after="120" w:line="240" w:lineRule="auto"/>
      <w:jc w:val="both"/>
    </w:pPr>
    <w:rPr>
      <w:rFonts w:ascii="Calibri" w:eastAsia="Times New Roman" w:hAnsi="Calibri" w:cs="Times New Roman"/>
      <w:sz w:val="16"/>
      <w:szCs w:val="16"/>
      <w:lang w:eastAsia="pl-PL"/>
    </w:rPr>
  </w:style>
  <w:style w:type="character" w:customStyle="1" w:styleId="Tekstpodstawowy3Znak">
    <w:name w:val="Tekst podstawowy 3 Znak"/>
    <w:basedOn w:val="Domylnaczcionkaakapitu"/>
    <w:link w:val="Tekstpodstawowy3"/>
    <w:rsid w:val="004C1B36"/>
    <w:rPr>
      <w:rFonts w:ascii="Calibri" w:eastAsia="Times New Roman" w:hAnsi="Calibri" w:cs="Times New Roman"/>
      <w:sz w:val="16"/>
      <w:szCs w:val="16"/>
      <w:lang w:eastAsia="pl-PL"/>
    </w:rPr>
  </w:style>
  <w:style w:type="character" w:customStyle="1" w:styleId="Przypisdolny">
    <w:name w:val="Przypis dolny"/>
    <w:qFormat/>
    <w:rsid w:val="004C1B36"/>
    <w:rPr>
      <w:rFonts w:ascii="Calibri" w:hAnsi="Calibri"/>
      <w:sz w:val="18"/>
      <w:vertAlign w:val="baseline"/>
    </w:rPr>
  </w:style>
  <w:style w:type="character" w:customStyle="1" w:styleId="Bodytext2">
    <w:name w:val="Body text (2)_"/>
    <w:basedOn w:val="Domylnaczcionkaakapitu"/>
    <w:link w:val="Bodytext20"/>
    <w:rsid w:val="006805DF"/>
    <w:rPr>
      <w:rFonts w:ascii="Arial" w:eastAsia="Arial" w:hAnsi="Arial" w:cs="Arial"/>
      <w:color w:val="000000"/>
      <w:sz w:val="18"/>
      <w:szCs w:val="18"/>
      <w:shd w:val="clear" w:color="auto" w:fill="FFFFFF"/>
      <w:lang w:bidi="pl-PL"/>
    </w:rPr>
  </w:style>
  <w:style w:type="paragraph" w:customStyle="1" w:styleId="Bodytext20">
    <w:name w:val="Body text (2)"/>
    <w:basedOn w:val="Normalny"/>
    <w:link w:val="Bodytext2"/>
    <w:rsid w:val="006805DF"/>
    <w:pPr>
      <w:widowControl w:val="0"/>
      <w:shd w:val="clear" w:color="auto" w:fill="FFFFFF"/>
      <w:spacing w:after="0" w:line="250" w:lineRule="exact"/>
      <w:jc w:val="both"/>
    </w:pPr>
    <w:rPr>
      <w:rFonts w:ascii="Arial" w:eastAsia="Arial" w:hAnsi="Arial" w:cs="Arial"/>
      <w:color w:val="000000"/>
      <w:sz w:val="18"/>
      <w:szCs w:val="18"/>
      <w:lang w:bidi="pl-PL"/>
    </w:rPr>
  </w:style>
  <w:style w:type="character" w:customStyle="1" w:styleId="articletitle">
    <w:name w:val="articletitle"/>
    <w:basedOn w:val="Domylnaczcionkaakapitu"/>
    <w:rsid w:val="00616104"/>
  </w:style>
  <w:style w:type="character" w:customStyle="1" w:styleId="jlqj4b">
    <w:name w:val="jlqj4b"/>
    <w:basedOn w:val="Domylnaczcionkaakapitu"/>
    <w:rsid w:val="00A77FE9"/>
  </w:style>
  <w:style w:type="paragraph" w:styleId="Poprawka">
    <w:name w:val="Revision"/>
    <w:hidden/>
    <w:uiPriority w:val="99"/>
    <w:semiHidden/>
    <w:rsid w:val="008E1BF6"/>
    <w:pPr>
      <w:spacing w:after="0" w:line="240" w:lineRule="auto"/>
    </w:pPr>
  </w:style>
  <w:style w:type="paragraph" w:styleId="Tekstprzypisukocowego">
    <w:name w:val="endnote text"/>
    <w:basedOn w:val="Normalny"/>
    <w:link w:val="TekstprzypisukocowegoZnak"/>
    <w:uiPriority w:val="99"/>
    <w:semiHidden/>
    <w:unhideWhenUsed/>
    <w:rsid w:val="007B075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B075B"/>
    <w:rPr>
      <w:sz w:val="20"/>
      <w:szCs w:val="20"/>
    </w:rPr>
  </w:style>
  <w:style w:type="character" w:styleId="Odwoanieprzypisukocowego">
    <w:name w:val="endnote reference"/>
    <w:basedOn w:val="Domylnaczcionkaakapitu"/>
    <w:uiPriority w:val="99"/>
    <w:semiHidden/>
    <w:unhideWhenUsed/>
    <w:rsid w:val="007B075B"/>
    <w:rPr>
      <w:vertAlign w:val="superscript"/>
    </w:rPr>
  </w:style>
  <w:style w:type="paragraph" w:customStyle="1" w:styleId="pf0">
    <w:name w:val="pf0"/>
    <w:basedOn w:val="Normalny"/>
    <w:rsid w:val="00EC490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cf01">
    <w:name w:val="cf01"/>
    <w:basedOn w:val="Domylnaczcionkaakapitu"/>
    <w:rsid w:val="00EC490C"/>
    <w:rPr>
      <w:rFonts w:ascii="Segoe UI" w:hAnsi="Segoe UI" w:cs="Segoe UI" w:hint="default"/>
      <w:sz w:val="18"/>
      <w:szCs w:val="18"/>
    </w:rPr>
  </w:style>
  <w:style w:type="paragraph" w:styleId="Spistreci8">
    <w:name w:val="toc 8"/>
    <w:basedOn w:val="Normalny"/>
    <w:next w:val="Normalny"/>
    <w:autoRedefine/>
    <w:uiPriority w:val="39"/>
    <w:semiHidden/>
    <w:unhideWhenUsed/>
    <w:rsid w:val="00055765"/>
    <w:pPr>
      <w:spacing w:after="100"/>
      <w:ind w:left="15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637746">
      <w:bodyDiv w:val="1"/>
      <w:marLeft w:val="0"/>
      <w:marRight w:val="0"/>
      <w:marTop w:val="0"/>
      <w:marBottom w:val="0"/>
      <w:divBdr>
        <w:top w:val="none" w:sz="0" w:space="0" w:color="auto"/>
        <w:left w:val="none" w:sz="0" w:space="0" w:color="auto"/>
        <w:bottom w:val="none" w:sz="0" w:space="0" w:color="auto"/>
        <w:right w:val="none" w:sz="0" w:space="0" w:color="auto"/>
      </w:divBdr>
    </w:div>
    <w:div w:id="647561358">
      <w:bodyDiv w:val="1"/>
      <w:marLeft w:val="0"/>
      <w:marRight w:val="0"/>
      <w:marTop w:val="0"/>
      <w:marBottom w:val="0"/>
      <w:divBdr>
        <w:top w:val="none" w:sz="0" w:space="0" w:color="auto"/>
        <w:left w:val="none" w:sz="0" w:space="0" w:color="auto"/>
        <w:bottom w:val="none" w:sz="0" w:space="0" w:color="auto"/>
        <w:right w:val="none" w:sz="0" w:space="0" w:color="auto"/>
      </w:divBdr>
    </w:div>
    <w:div w:id="1134829702">
      <w:bodyDiv w:val="1"/>
      <w:marLeft w:val="0"/>
      <w:marRight w:val="0"/>
      <w:marTop w:val="0"/>
      <w:marBottom w:val="0"/>
      <w:divBdr>
        <w:top w:val="none" w:sz="0" w:space="0" w:color="auto"/>
        <w:left w:val="none" w:sz="0" w:space="0" w:color="auto"/>
        <w:bottom w:val="none" w:sz="0" w:space="0" w:color="auto"/>
        <w:right w:val="none" w:sz="0" w:space="0" w:color="auto"/>
      </w:divBdr>
    </w:div>
    <w:div w:id="1224364463">
      <w:bodyDiv w:val="1"/>
      <w:marLeft w:val="0"/>
      <w:marRight w:val="0"/>
      <w:marTop w:val="0"/>
      <w:marBottom w:val="0"/>
      <w:divBdr>
        <w:top w:val="none" w:sz="0" w:space="0" w:color="auto"/>
        <w:left w:val="none" w:sz="0" w:space="0" w:color="auto"/>
        <w:bottom w:val="none" w:sz="0" w:space="0" w:color="auto"/>
        <w:right w:val="none" w:sz="0" w:space="0" w:color="auto"/>
      </w:divBdr>
      <w:divsChild>
        <w:div w:id="769664128">
          <w:marLeft w:val="0"/>
          <w:marRight w:val="0"/>
          <w:marTop w:val="0"/>
          <w:marBottom w:val="0"/>
          <w:divBdr>
            <w:top w:val="none" w:sz="0" w:space="0" w:color="auto"/>
            <w:left w:val="none" w:sz="0" w:space="0" w:color="auto"/>
            <w:bottom w:val="none" w:sz="0" w:space="0" w:color="auto"/>
            <w:right w:val="none" w:sz="0" w:space="0" w:color="auto"/>
          </w:divBdr>
          <w:divsChild>
            <w:div w:id="1545748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28096430">
      <w:bodyDiv w:val="1"/>
      <w:marLeft w:val="0"/>
      <w:marRight w:val="0"/>
      <w:marTop w:val="0"/>
      <w:marBottom w:val="0"/>
      <w:divBdr>
        <w:top w:val="none" w:sz="0" w:space="0" w:color="auto"/>
        <w:left w:val="none" w:sz="0" w:space="0" w:color="auto"/>
        <w:bottom w:val="none" w:sz="0" w:space="0" w:color="auto"/>
        <w:right w:val="none" w:sz="0" w:space="0" w:color="auto"/>
      </w:divBdr>
      <w:divsChild>
        <w:div w:id="1575973371">
          <w:marLeft w:val="0"/>
          <w:marRight w:val="0"/>
          <w:marTop w:val="0"/>
          <w:marBottom w:val="0"/>
          <w:divBdr>
            <w:top w:val="none" w:sz="0" w:space="0" w:color="auto"/>
            <w:left w:val="none" w:sz="0" w:space="0" w:color="auto"/>
            <w:bottom w:val="none" w:sz="0" w:space="0" w:color="auto"/>
            <w:right w:val="none" w:sz="0" w:space="0" w:color="auto"/>
          </w:divBdr>
          <w:divsChild>
            <w:div w:id="31307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000380">
      <w:bodyDiv w:val="1"/>
      <w:marLeft w:val="0"/>
      <w:marRight w:val="0"/>
      <w:marTop w:val="0"/>
      <w:marBottom w:val="0"/>
      <w:divBdr>
        <w:top w:val="none" w:sz="0" w:space="0" w:color="auto"/>
        <w:left w:val="none" w:sz="0" w:space="0" w:color="auto"/>
        <w:bottom w:val="none" w:sz="0" w:space="0" w:color="auto"/>
        <w:right w:val="none" w:sz="0" w:space="0" w:color="auto"/>
      </w:divBdr>
    </w:div>
    <w:div w:id="1434783289">
      <w:bodyDiv w:val="1"/>
      <w:marLeft w:val="0"/>
      <w:marRight w:val="0"/>
      <w:marTop w:val="0"/>
      <w:marBottom w:val="0"/>
      <w:divBdr>
        <w:top w:val="none" w:sz="0" w:space="0" w:color="auto"/>
        <w:left w:val="none" w:sz="0" w:space="0" w:color="auto"/>
        <w:bottom w:val="none" w:sz="0" w:space="0" w:color="auto"/>
        <w:right w:val="none" w:sz="0" w:space="0" w:color="auto"/>
      </w:divBdr>
      <w:divsChild>
        <w:div w:id="2144346427">
          <w:marLeft w:val="0"/>
          <w:marRight w:val="0"/>
          <w:marTop w:val="0"/>
          <w:marBottom w:val="0"/>
          <w:divBdr>
            <w:top w:val="none" w:sz="0" w:space="0" w:color="auto"/>
            <w:left w:val="none" w:sz="0" w:space="0" w:color="auto"/>
            <w:bottom w:val="none" w:sz="0" w:space="0" w:color="auto"/>
            <w:right w:val="none" w:sz="0" w:space="0" w:color="auto"/>
          </w:divBdr>
        </w:div>
      </w:divsChild>
    </w:div>
    <w:div w:id="1507600493">
      <w:bodyDiv w:val="1"/>
      <w:marLeft w:val="0"/>
      <w:marRight w:val="0"/>
      <w:marTop w:val="0"/>
      <w:marBottom w:val="0"/>
      <w:divBdr>
        <w:top w:val="none" w:sz="0" w:space="0" w:color="auto"/>
        <w:left w:val="none" w:sz="0" w:space="0" w:color="auto"/>
        <w:bottom w:val="none" w:sz="0" w:space="0" w:color="auto"/>
        <w:right w:val="none" w:sz="0" w:space="0" w:color="auto"/>
      </w:divBdr>
    </w:div>
    <w:div w:id="1622567520">
      <w:bodyDiv w:val="1"/>
      <w:marLeft w:val="0"/>
      <w:marRight w:val="0"/>
      <w:marTop w:val="0"/>
      <w:marBottom w:val="0"/>
      <w:divBdr>
        <w:top w:val="none" w:sz="0" w:space="0" w:color="auto"/>
        <w:left w:val="none" w:sz="0" w:space="0" w:color="auto"/>
        <w:bottom w:val="none" w:sz="0" w:space="0" w:color="auto"/>
        <w:right w:val="none" w:sz="0" w:space="0" w:color="auto"/>
      </w:divBdr>
    </w:div>
    <w:div w:id="1732383788">
      <w:bodyDiv w:val="1"/>
      <w:marLeft w:val="0"/>
      <w:marRight w:val="0"/>
      <w:marTop w:val="0"/>
      <w:marBottom w:val="0"/>
      <w:divBdr>
        <w:top w:val="none" w:sz="0" w:space="0" w:color="auto"/>
        <w:left w:val="none" w:sz="0" w:space="0" w:color="auto"/>
        <w:bottom w:val="none" w:sz="0" w:space="0" w:color="auto"/>
        <w:right w:val="none" w:sz="0" w:space="0" w:color="auto"/>
      </w:divBdr>
    </w:div>
    <w:div w:id="2033994935">
      <w:bodyDiv w:val="1"/>
      <w:marLeft w:val="0"/>
      <w:marRight w:val="0"/>
      <w:marTop w:val="0"/>
      <w:marBottom w:val="0"/>
      <w:divBdr>
        <w:top w:val="none" w:sz="0" w:space="0" w:color="auto"/>
        <w:left w:val="none" w:sz="0" w:space="0" w:color="auto"/>
        <w:bottom w:val="none" w:sz="0" w:space="0" w:color="auto"/>
        <w:right w:val="none" w:sz="0" w:space="0" w:color="auto"/>
      </w:divBdr>
    </w:div>
    <w:div w:id="2090958418">
      <w:bodyDiv w:val="1"/>
      <w:marLeft w:val="0"/>
      <w:marRight w:val="0"/>
      <w:marTop w:val="0"/>
      <w:marBottom w:val="0"/>
      <w:divBdr>
        <w:top w:val="none" w:sz="0" w:space="0" w:color="auto"/>
        <w:left w:val="none" w:sz="0" w:space="0" w:color="auto"/>
        <w:bottom w:val="none" w:sz="0" w:space="0" w:color="auto"/>
        <w:right w:val="none" w:sz="0" w:space="0" w:color="auto"/>
      </w:divBdr>
    </w:div>
    <w:div w:id="211944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footer" Target="footer1.xml"/><Relationship Id="rId21" Type="http://schemas.openxmlformats.org/officeDocument/2006/relationships/image" Target="media/image5.png"/><Relationship Id="rId42" Type="http://schemas.openxmlformats.org/officeDocument/2006/relationships/image" Target="media/image22.jpe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chart" Target="charts/chart13.xml"/><Relationship Id="rId89" Type="http://schemas.openxmlformats.org/officeDocument/2006/relationships/chart" Target="charts/chart18.xml"/><Relationship Id="rId112" Type="http://schemas.openxmlformats.org/officeDocument/2006/relationships/image" Target="media/image63.png"/><Relationship Id="rId107" Type="http://schemas.openxmlformats.org/officeDocument/2006/relationships/hyperlink" Target="https://www.eea.europa.eu/ds_resolveuid/DAT-116-en" TargetMode="Externa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chart" Target="charts/chart8.xml"/><Relationship Id="rId87" Type="http://schemas.openxmlformats.org/officeDocument/2006/relationships/chart" Target="charts/chart16.xml"/><Relationship Id="rId102" Type="http://schemas.openxmlformats.org/officeDocument/2006/relationships/hyperlink" Target="https://www.eea.europa.eu/pl/themes/climate" TargetMode="External"/><Relationship Id="rId110" Type="http://schemas.openxmlformats.org/officeDocument/2006/relationships/image" Target="media/image62.png"/><Relationship Id="rId115" Type="http://schemas.openxmlformats.org/officeDocument/2006/relationships/chart" Target="charts/chart29.xml"/><Relationship Id="rId5" Type="http://schemas.openxmlformats.org/officeDocument/2006/relationships/webSettings" Target="webSettings.xml"/><Relationship Id="rId61" Type="http://schemas.openxmlformats.org/officeDocument/2006/relationships/image" Target="media/image41.png"/><Relationship Id="rId82" Type="http://schemas.openxmlformats.org/officeDocument/2006/relationships/chart" Target="charts/chart11.xml"/><Relationship Id="rId90" Type="http://schemas.openxmlformats.org/officeDocument/2006/relationships/chart" Target="charts/chart19.xml"/><Relationship Id="rId95" Type="http://schemas.openxmlformats.org/officeDocument/2006/relationships/chart" Target="charts/chart24.xml"/><Relationship Id="rId19" Type="http://schemas.openxmlformats.org/officeDocument/2006/relationships/image" Target="media/image6.jpeg"/><Relationship Id="rId22" Type="http://schemas.openxmlformats.org/officeDocument/2006/relationships/hyperlink" Target="http://powietrze.gios.gov.pl/pjp/content/monitoring" TargetMode="Externa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chart" Target="charts/chart6.xml"/><Relationship Id="rId100" Type="http://schemas.openxmlformats.org/officeDocument/2006/relationships/image" Target="media/image59.emf"/><Relationship Id="rId105" Type="http://schemas.openxmlformats.org/officeDocument/2006/relationships/hyperlink" Target="https://www.eea.europa.eu/pl/themes/air" TargetMode="External"/><Relationship Id="rId113" Type="http://schemas.openxmlformats.org/officeDocument/2006/relationships/chart" Target="charts/chart28.xml"/><Relationship Id="rId11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52.png"/><Relationship Id="rId80" Type="http://schemas.openxmlformats.org/officeDocument/2006/relationships/chart" Target="charts/chart9.xml"/><Relationship Id="rId85" Type="http://schemas.openxmlformats.org/officeDocument/2006/relationships/chart" Target="charts/chart14.xml"/><Relationship Id="rId93" Type="http://schemas.openxmlformats.org/officeDocument/2006/relationships/chart" Target="charts/chart22.xml"/><Relationship Id="rId98" Type="http://schemas.openxmlformats.org/officeDocument/2006/relationships/image" Target="media/image57.emf"/><Relationship Id="rId3" Type="http://schemas.openxmlformats.org/officeDocument/2006/relationships/styles" Target="styles.xml"/><Relationship Id="rId12" Type="http://schemas.openxmlformats.org/officeDocument/2006/relationships/image" Target="media/image3.jpeg"/><Relationship Id="rId25" Type="http://schemas.openxmlformats.org/officeDocument/2006/relationships/image" Target="media/image10.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103" Type="http://schemas.openxmlformats.org/officeDocument/2006/relationships/hyperlink" Target="https://www.eea.europa.eu/pl/themes/energy" TargetMode="External"/><Relationship Id="rId108" Type="http://schemas.openxmlformats.org/officeDocument/2006/relationships/hyperlink" Target="https://www.eea.europa.eu/ds_resolveuid/DAT-130-en" TargetMode="External"/><Relationship Id="rId116" Type="http://schemas.openxmlformats.org/officeDocument/2006/relationships/image" Target="media/image65.png"/><Relationship Id="rId20" Type="http://schemas.openxmlformats.org/officeDocument/2006/relationships/image" Target="media/image7.jpe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chart" Target="charts/chart12.xml"/><Relationship Id="rId88" Type="http://schemas.openxmlformats.org/officeDocument/2006/relationships/chart" Target="charts/chart17.xml"/><Relationship Id="rId91" Type="http://schemas.openxmlformats.org/officeDocument/2006/relationships/chart" Target="charts/chart20.xml"/><Relationship Id="rId96" Type="http://schemas.openxmlformats.org/officeDocument/2006/relationships/chart" Target="charts/chart25.xml"/><Relationship Id="rId111" Type="http://schemas.openxmlformats.org/officeDocument/2006/relationships/chart" Target="charts/chart27.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jpeg"/><Relationship Id="rId28" Type="http://schemas.openxmlformats.org/officeDocument/2006/relationships/chart" Target="charts/chart2.xml"/><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6" Type="http://schemas.openxmlformats.org/officeDocument/2006/relationships/hyperlink" Target="https://www.eea.europa.eu/policy-documents/a-european-strategy-for-low" TargetMode="External"/><Relationship Id="rId114" Type="http://schemas.openxmlformats.org/officeDocument/2006/relationships/image" Target="media/image64.png"/><Relationship Id="rId119" Type="http://schemas.openxmlformats.org/officeDocument/2006/relationships/theme" Target="theme/theme1.xml"/><Relationship Id="rId10" Type="http://schemas.openxmlformats.org/officeDocument/2006/relationships/hyperlink" Target="file:///\\nero2.mos.gov.pl\dpm\1.%20WJP\0.%20AKTUALIZACJA%20KPOP\AKPOP%20-%20wersja%20ostateczna\2.%20Za&#322;&#261;cznik%20do%20AKPOP_24.06.2021.docx" TargetMode="External"/><Relationship Id="rId31" Type="http://schemas.openxmlformats.org/officeDocument/2006/relationships/chart" Target="charts/chart5.xml"/><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chart" Target="charts/chart7.xml"/><Relationship Id="rId81" Type="http://schemas.openxmlformats.org/officeDocument/2006/relationships/chart" Target="charts/chart10.xml"/><Relationship Id="rId86" Type="http://schemas.openxmlformats.org/officeDocument/2006/relationships/chart" Target="charts/chart15.xml"/><Relationship Id="rId94" Type="http://schemas.openxmlformats.org/officeDocument/2006/relationships/chart" Target="charts/chart23.xml"/><Relationship Id="rId99" Type="http://schemas.openxmlformats.org/officeDocument/2006/relationships/image" Target="media/image58.emf"/><Relationship Id="rId101" Type="http://schemas.openxmlformats.org/officeDocument/2006/relationships/image" Target="media/image60.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5.jpeg"/><Relationship Id="rId39" Type="http://schemas.openxmlformats.org/officeDocument/2006/relationships/image" Target="media/image19.png"/><Relationship Id="rId109" Type="http://schemas.openxmlformats.org/officeDocument/2006/relationships/image" Target="media/image61.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chart" Target="charts/chart26.xml"/><Relationship Id="rId104" Type="http://schemas.openxmlformats.org/officeDocument/2006/relationships/hyperlink" Target="https://www.eea.europa.eu/pl/themes/industry" TargetMode="Externa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chart" Target="charts/chart21.xml"/><Relationship Id="rId2" Type="http://schemas.openxmlformats.org/officeDocument/2006/relationships/numbering" Target="numbering.xml"/><Relationship Id="rId29" Type="http://schemas.openxmlformats.org/officeDocument/2006/relationships/chart" Target="charts/chart3.xml"/></Relationships>
</file>

<file path=word/_rels/footnotes.xml.rels><?xml version="1.0" encoding="UTF-8" standalone="yes"?>
<Relationships xmlns="http://schemas.openxmlformats.org/package/2006/relationships"><Relationship Id="rId2" Type="http://schemas.openxmlformats.org/officeDocument/2006/relationships/hyperlink" Target="http://eur-lex.europa.eu/LexUriServ/LexUriServ.do?uri=OJ:L:2009:140:0114:0135:PL:PDF" TargetMode="External"/><Relationship Id="rId1" Type="http://schemas.openxmlformats.org/officeDocument/2006/relationships/hyperlink" Target="https://ec.europa.eu/clima/policies/strategies/2020_en"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4.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1.xml"/><Relationship Id="rId4" Type="http://schemas.openxmlformats.org/officeDocument/2006/relationships/oleObject" Target="file:///C:\Users\e.brakoniecka\Desktop\8_2_2021\statystyki_roczne_PM10(8).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chartUserShapes" Target="../drawings/drawing2.xml"/><Relationship Id="rId4" Type="http://schemas.openxmlformats.org/officeDocument/2006/relationships/oleObject" Target="file:///F:\8_2_2021\statystyki_roczne_PM2_5(6).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5.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5" Type="http://schemas.openxmlformats.org/officeDocument/2006/relationships/chartUserShapes" Target="../drawings/drawing3.xml"/><Relationship Id="rId4" Type="http://schemas.openxmlformats.org/officeDocument/2006/relationships/oleObject" Target="file:///C:\Users\e.brakoniecka\Desktop\8_2_2021\statystyki_roczne_BaP(1).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5" Type="http://schemas.openxmlformats.org/officeDocument/2006/relationships/chartUserShapes" Target="../drawings/drawing4.xml"/><Relationship Id="rId4" Type="http://schemas.openxmlformats.org/officeDocument/2006/relationships/oleObject" Target="../embeddings/oleObject6.bin"/></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embeddings/oleObject7.bin"/></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embeddings/oleObject8.bin"/></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embeddings/oleObject9.bin"/></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5" Type="http://schemas.openxmlformats.org/officeDocument/2006/relationships/chartUserShapes" Target="../drawings/drawing5.xml"/><Relationship Id="rId4" Type="http://schemas.openxmlformats.org/officeDocument/2006/relationships/oleObject" Target="../embeddings/oleObject10.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C:\Users\p.dlugosz\Desktop\Raporty\Aktualizacja%20KPOP\Wykresy.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C:\Users\p.dlugosz\Desktop\Raporty\Aktualizacja%20KPOP\St&#281;&#380;enia%20PM10,%20PM2,5,%20B(a)P,%20NO2%20i%20O3.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5" Type="http://schemas.openxmlformats.org/officeDocument/2006/relationships/chartUserShapes" Target="../drawings/drawing6.xml"/><Relationship Id="rId4" Type="http://schemas.openxmlformats.org/officeDocument/2006/relationships/oleObject" Target="file:///C:\Users\p.dlugosz\Desktop\Raporty\Aktualizacja%20KPOP\St&#281;&#380;enia%20PM10,%20PM2,5,%20B(a)P,%20NO2%20i%20O3.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C:\Users\p.dlugosz\Desktop\Raporty\Aktualizacja%20KPOP\St&#281;&#380;enia%20PM10,%20PM2,5,%20B(a)P,%20NO2%20i%20O3.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C:\Users\p.dlugosz\Desktop\Raporty\Aktualizacja%20KPOP\St&#281;&#380;enia%20PM10,%20PM2,5,%20B(a)P,%20NO2%20i%20O3.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5" Type="http://schemas.openxmlformats.org/officeDocument/2006/relationships/chartUserShapes" Target="../drawings/drawing7.xml"/><Relationship Id="rId4" Type="http://schemas.openxmlformats.org/officeDocument/2006/relationships/oleObject" Target="file:///C:\Users\e.brakoniecka\Downloads\statystyki%20Ciechocinek%20PM10%202010-2020_3.03.2021.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5" Type="http://schemas.openxmlformats.org/officeDocument/2006/relationships/chartUserShapes" Target="../drawings/drawing8.xml"/><Relationship Id="rId4" Type="http://schemas.openxmlformats.org/officeDocument/2006/relationships/oleObject" Target="file:///C:\Users\e.brakoniecka\Downloads\statystyki%20Ciechocinek%20PM10%202010-2020_3.03.2021.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embeddings/oleObject11.bin"/></Relationships>
</file>

<file path=word/charts/_rels/chart29.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4.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5.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2.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'liczba stacji 2017-2021'!$B$1</c:f>
              <c:strCache>
                <c:ptCount val="1"/>
                <c:pt idx="0">
                  <c:v>liczba stacji</c:v>
                </c:pt>
              </c:strCache>
            </c:strRef>
          </c:tx>
          <c:spPr>
            <a:solidFill>
              <a:srgbClr val="0070C0"/>
            </a:solidFill>
            <a:ln>
              <a:solidFill>
                <a:schemeClr val="accent1"/>
              </a:solidFill>
            </a:ln>
            <a:effectLst/>
          </c:spPr>
          <c:invertIfNegative val="0"/>
          <c:cat>
            <c:numRef>
              <c:f>'liczba stacji 2017-2021'!$A$2:$A$6</c:f>
              <c:numCache>
                <c:formatCode>General</c:formatCode>
                <c:ptCount val="5"/>
                <c:pt idx="0">
                  <c:v>2017</c:v>
                </c:pt>
                <c:pt idx="1">
                  <c:v>2018</c:v>
                </c:pt>
                <c:pt idx="2">
                  <c:v>2019</c:v>
                </c:pt>
                <c:pt idx="3">
                  <c:v>2020</c:v>
                </c:pt>
                <c:pt idx="4">
                  <c:v>2021</c:v>
                </c:pt>
              </c:numCache>
            </c:numRef>
          </c:cat>
          <c:val>
            <c:numRef>
              <c:f>'liczba stacji 2017-2021'!$B$2:$B$6</c:f>
              <c:numCache>
                <c:formatCode>General</c:formatCode>
                <c:ptCount val="5"/>
                <c:pt idx="0">
                  <c:v>261</c:v>
                </c:pt>
                <c:pt idx="1">
                  <c:v>260</c:v>
                </c:pt>
                <c:pt idx="2">
                  <c:v>278</c:v>
                </c:pt>
                <c:pt idx="3">
                  <c:v>281</c:v>
                </c:pt>
                <c:pt idx="4">
                  <c:v>286</c:v>
                </c:pt>
              </c:numCache>
            </c:numRef>
          </c:val>
          <c:extLst>
            <c:ext xmlns:c16="http://schemas.microsoft.com/office/drawing/2014/chart" uri="{C3380CC4-5D6E-409C-BE32-E72D297353CC}">
              <c16:uniqueId val="{00000000-CD69-4D8C-B5D1-02DC9B55AA69}"/>
            </c:ext>
          </c:extLst>
        </c:ser>
        <c:dLbls>
          <c:showLegendKey val="0"/>
          <c:showVal val="0"/>
          <c:showCatName val="0"/>
          <c:showSerName val="0"/>
          <c:showPercent val="0"/>
          <c:showBubbleSize val="0"/>
        </c:dLbls>
        <c:gapWidth val="219"/>
        <c:overlap val="-27"/>
        <c:axId val="287288736"/>
        <c:axId val="250419792"/>
      </c:barChart>
      <c:catAx>
        <c:axId val="28728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50419792"/>
        <c:crosses val="autoZero"/>
        <c:auto val="1"/>
        <c:lblAlgn val="ctr"/>
        <c:lblOffset val="100"/>
        <c:noMultiLvlLbl val="0"/>
      </c:catAx>
      <c:valAx>
        <c:axId val="250419792"/>
        <c:scaling>
          <c:orientation val="minMax"/>
          <c:max val="3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87288736"/>
        <c:crosses val="autoZero"/>
        <c:crossBetween val="between"/>
        <c:majorUnit val="5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86763516564211"/>
          <c:y val="5.5555555555555552E-2"/>
          <c:w val="0.8703545043637031"/>
          <c:h val="0.8228616877435776"/>
        </c:manualLayout>
      </c:layout>
      <c:lineChart>
        <c:grouping val="standard"/>
        <c:varyColors val="0"/>
        <c:ser>
          <c:idx val="0"/>
          <c:order val="0"/>
          <c:tx>
            <c:strRef>
              <c:f>'O3'!$B$1</c:f>
              <c:strCache>
                <c:ptCount val="1"/>
                <c:pt idx="0">
                  <c:v>S93,2</c:v>
                </c:pt>
              </c:strCache>
            </c:strRef>
          </c:tx>
          <c:spPr>
            <a:ln w="28575" cap="rnd">
              <a:solidFill>
                <a:schemeClr val="accent1">
                  <a:lumMod val="75000"/>
                </a:schemeClr>
              </a:solidFill>
              <a:round/>
            </a:ln>
            <a:effectLst/>
          </c:spPr>
          <c:marker>
            <c:symbol val="circle"/>
            <c:size val="5"/>
            <c:spPr>
              <a:solidFill>
                <a:srgbClr val="FF3300"/>
              </a:solidFill>
              <a:ln w="114300">
                <a:solidFill>
                  <a:schemeClr val="accent1">
                    <a:lumMod val="7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'PM10'!$A$2:$A$12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'O3'!$B$2:$B$12</c:f>
              <c:numCache>
                <c:formatCode>General</c:formatCode>
                <c:ptCount val="11"/>
                <c:pt idx="0">
                  <c:v>108</c:v>
                </c:pt>
                <c:pt idx="1">
                  <c:v>111</c:v>
                </c:pt>
                <c:pt idx="2">
                  <c:v>112</c:v>
                </c:pt>
                <c:pt idx="3">
                  <c:v>109</c:v>
                </c:pt>
                <c:pt idx="4">
                  <c:v>107</c:v>
                </c:pt>
                <c:pt idx="5">
                  <c:v>120</c:v>
                </c:pt>
                <c:pt idx="6">
                  <c:v>110</c:v>
                </c:pt>
                <c:pt idx="7">
                  <c:v>104</c:v>
                </c:pt>
                <c:pt idx="8">
                  <c:v>117</c:v>
                </c:pt>
                <c:pt idx="9">
                  <c:v>113</c:v>
                </c:pt>
                <c:pt idx="10">
                  <c:v>104</c:v>
                </c:pt>
              </c:numCache>
            </c:numRef>
          </c:val>
          <c:smooth val="0"/>
          <c:extLst>
            <c:ext xmlns:c16="http://schemas.microsoft.com/office/drawing/2014/chart" uri="{C3380CC4-5D6E-409C-BE32-E72D297353CC}">
              <c16:uniqueId val="{00000000-EF1C-4D31-9506-A3CA7C5CCC54}"/>
            </c:ext>
          </c:extLst>
        </c:ser>
        <c:dLbls>
          <c:dLblPos val="ctr"/>
          <c:showLegendKey val="0"/>
          <c:showVal val="1"/>
          <c:showCatName val="0"/>
          <c:showSerName val="0"/>
          <c:showPercent val="0"/>
          <c:showBubbleSize val="0"/>
        </c:dLbls>
        <c:marker val="1"/>
        <c:smooth val="0"/>
        <c:axId val="399789824"/>
        <c:axId val="399790216"/>
      </c:lineChart>
      <c:catAx>
        <c:axId val="399789824"/>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399790216"/>
        <c:crosses val="autoZero"/>
        <c:auto val="1"/>
        <c:lblAlgn val="ctr"/>
        <c:lblOffset val="100"/>
        <c:noMultiLvlLbl val="0"/>
      </c:catAx>
      <c:valAx>
        <c:axId val="399790216"/>
        <c:scaling>
          <c:orientation val="minMax"/>
          <c:max val="120"/>
          <c:min val="9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pl-PL">
                    <a:solidFill>
                      <a:sysClr val="windowText" lastClr="000000"/>
                    </a:solidFill>
                    <a:latin typeface="+mn-lt"/>
                    <a:cs typeface="Times New Roman" panose="02020603050405020304" pitchFamily="18" charset="0"/>
                  </a:rPr>
                  <a:t>µg/m</a:t>
                </a:r>
                <a:r>
                  <a:rPr lang="pl-PL" baseline="30000">
                    <a:solidFill>
                      <a:sysClr val="windowText" lastClr="000000"/>
                    </a:solidFill>
                    <a:latin typeface="+mn-lt"/>
                    <a:cs typeface="Times New Roman" panose="02020603050405020304" pitchFamily="18" charset="0"/>
                  </a:rPr>
                  <a:t>3</a:t>
                </a:r>
                <a:endParaRPr lang="pl-PL">
                  <a:solidFill>
                    <a:sysClr val="windowText" lastClr="000000"/>
                  </a:solidFill>
                  <a:latin typeface="+mn-l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3997898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tx>
            <c:strRef>
              <c:f>średnia!$B$2</c:f>
              <c:strCache>
                <c:ptCount val="1"/>
                <c:pt idx="0">
                  <c:v>DsLegAlRzecz</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cat>
            <c:numRef>
              <c:f>średnia!$A$4:$A$14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średnia!$B$4:$B$14</c:f>
              <c:numCache>
                <c:formatCode>0.0</c:formatCode>
                <c:ptCount val="11"/>
                <c:pt idx="0">
                  <c:v>44.622023810000002</c:v>
                </c:pt>
                <c:pt idx="1">
                  <c:v>41.912429379000002</c:v>
                </c:pt>
                <c:pt idx="2">
                  <c:v>38.241666666999997</c:v>
                </c:pt>
                <c:pt idx="3">
                  <c:v>37.997118155999999</c:v>
                </c:pt>
                <c:pt idx="4">
                  <c:v>37.451895043999997</c:v>
                </c:pt>
                <c:pt idx="5">
                  <c:v>35.080446926999997</c:v>
                </c:pt>
                <c:pt idx="6">
                  <c:v>35.687272727</c:v>
                </c:pt>
                <c:pt idx="7">
                  <c:v>32.514109589</c:v>
                </c:pt>
                <c:pt idx="8">
                  <c:v>34.634821918</c:v>
                </c:pt>
                <c:pt idx="9">
                  <c:v>28.527753425</c:v>
                </c:pt>
                <c:pt idx="10">
                  <c:v>26.370969529</c:v>
                </c:pt>
              </c:numCache>
            </c:numRef>
          </c:val>
          <c:smooth val="0"/>
          <c:extLst>
            <c:ext xmlns:c16="http://schemas.microsoft.com/office/drawing/2014/chart" uri="{C3380CC4-5D6E-409C-BE32-E72D297353CC}">
              <c16:uniqueId val="{00000000-A986-4151-B2F0-34F408A48B83}"/>
            </c:ext>
          </c:extLst>
        </c:ser>
        <c:ser>
          <c:idx val="2"/>
          <c:order val="1"/>
          <c:tx>
            <c:strRef>
              <c:f>średnia!$D$2</c:f>
              <c:strCache>
                <c:ptCount val="1"/>
                <c:pt idx="0">
                  <c:v>LbZamoHrubie</c:v>
                </c:pt>
              </c:strCache>
            </c:strRef>
          </c:tx>
          <c:spPr>
            <a:ln w="28575" cap="rnd">
              <a:solidFill>
                <a:srgbClr val="FF3399"/>
              </a:solidFill>
              <a:round/>
            </a:ln>
            <a:effectLst/>
          </c:spPr>
          <c:marker>
            <c:symbol val="circle"/>
            <c:size val="5"/>
            <c:spPr>
              <a:solidFill>
                <a:srgbClr val="FF3399"/>
              </a:solidFill>
              <a:ln w="9525">
                <a:solidFill>
                  <a:srgbClr val="FF3399"/>
                </a:solidFill>
              </a:ln>
              <a:effectLst/>
            </c:spPr>
          </c:marker>
          <c:val>
            <c:numRef>
              <c:f>średnia!$D$4:$D$14</c:f>
              <c:numCache>
                <c:formatCode>0.0</c:formatCode>
                <c:ptCount val="11"/>
                <c:pt idx="0">
                  <c:v>33.112759644</c:v>
                </c:pt>
                <c:pt idx="1">
                  <c:v>36.287397259999999</c:v>
                </c:pt>
                <c:pt idx="2">
                  <c:v>32.014655171999998</c:v>
                </c:pt>
                <c:pt idx="3">
                  <c:v>31.211538462</c:v>
                </c:pt>
                <c:pt idx="4">
                  <c:v>30.920547944999999</c:v>
                </c:pt>
                <c:pt idx="5">
                  <c:v>31.964187328000001</c:v>
                </c:pt>
                <c:pt idx="6">
                  <c:v>29.176502731999999</c:v>
                </c:pt>
                <c:pt idx="7">
                  <c:v>30.582191780999999</c:v>
                </c:pt>
                <c:pt idx="8">
                  <c:v>30.975616437999999</c:v>
                </c:pt>
                <c:pt idx="9">
                  <c:v>26.382438356000002</c:v>
                </c:pt>
                <c:pt idx="10">
                  <c:v>23.747540984</c:v>
                </c:pt>
              </c:numCache>
            </c:numRef>
          </c:val>
          <c:smooth val="0"/>
          <c:extLst>
            <c:ext xmlns:c16="http://schemas.microsoft.com/office/drawing/2014/chart" uri="{C3380CC4-5D6E-409C-BE32-E72D297353CC}">
              <c16:uniqueId val="{00000001-A986-4151-B2F0-34F408A48B83}"/>
            </c:ext>
          </c:extLst>
        </c:ser>
        <c:ser>
          <c:idx val="3"/>
          <c:order val="2"/>
          <c:tx>
            <c:strRef>
              <c:f>średnia!$E$2</c:f>
              <c:strCache>
                <c:ptCount val="1"/>
                <c:pt idx="0">
                  <c:v>LdLodzRudzka</c:v>
                </c:pt>
              </c:strCache>
            </c:strRef>
          </c:tx>
          <c:spPr>
            <a:ln w="28575" cap="rnd">
              <a:solidFill>
                <a:srgbClr val="F67B00"/>
              </a:solidFill>
              <a:round/>
            </a:ln>
            <a:effectLst/>
          </c:spPr>
          <c:marker>
            <c:symbol val="circle"/>
            <c:size val="5"/>
            <c:spPr>
              <a:solidFill>
                <a:srgbClr val="F67B00"/>
              </a:solidFill>
              <a:ln w="9525">
                <a:solidFill>
                  <a:srgbClr val="F67B00"/>
                </a:solidFill>
              </a:ln>
              <a:effectLst/>
            </c:spPr>
          </c:marker>
          <c:val>
            <c:numRef>
              <c:f>średnia!$E$4:$E$14</c:f>
              <c:numCache>
                <c:formatCode>0.0</c:formatCode>
                <c:ptCount val="11"/>
                <c:pt idx="0">
                  <c:v>50.759642857000003</c:v>
                </c:pt>
                <c:pt idx="1">
                  <c:v>48.874848485000001</c:v>
                </c:pt>
                <c:pt idx="2">
                  <c:v>45.682336182</c:v>
                </c:pt>
                <c:pt idx="3">
                  <c:v>41.741782729999997</c:v>
                </c:pt>
                <c:pt idx="4">
                  <c:v>42.755616437999997</c:v>
                </c:pt>
                <c:pt idx="5">
                  <c:v>39.905322128999998</c:v>
                </c:pt>
                <c:pt idx="6">
                  <c:v>37.580821917999998</c:v>
                </c:pt>
                <c:pt idx="7">
                  <c:v>39.596478521000002</c:v>
                </c:pt>
                <c:pt idx="8">
                  <c:v>37.265279917999997</c:v>
                </c:pt>
                <c:pt idx="9">
                  <c:v>31.694283555999998</c:v>
                </c:pt>
                <c:pt idx="10">
                  <c:v>29.554047322999999</c:v>
                </c:pt>
              </c:numCache>
            </c:numRef>
          </c:val>
          <c:smooth val="0"/>
          <c:extLst>
            <c:ext xmlns:c16="http://schemas.microsoft.com/office/drawing/2014/chart" uri="{C3380CC4-5D6E-409C-BE32-E72D297353CC}">
              <c16:uniqueId val="{00000002-A986-4151-B2F0-34F408A48B83}"/>
            </c:ext>
          </c:extLst>
        </c:ser>
        <c:ser>
          <c:idx val="5"/>
          <c:order val="3"/>
          <c:tx>
            <c:strRef>
              <c:f>średnia!$G$2</c:f>
              <c:strCache>
                <c:ptCount val="1"/>
                <c:pt idx="0">
                  <c:v>MpGorlKrasin</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val>
            <c:numRef>
              <c:f>średnia!$G$4:$G$14</c:f>
              <c:numCache>
                <c:formatCode>0.0</c:formatCode>
                <c:ptCount val="11"/>
                <c:pt idx="0">
                  <c:v>39.29305136</c:v>
                </c:pt>
                <c:pt idx="1">
                  <c:v>34.5</c:v>
                </c:pt>
                <c:pt idx="2">
                  <c:v>33.963855422000002</c:v>
                </c:pt>
                <c:pt idx="3">
                  <c:v>30.826330532</c:v>
                </c:pt>
                <c:pt idx="4">
                  <c:v>30.790368271999998</c:v>
                </c:pt>
                <c:pt idx="5">
                  <c:v>29.455307263000002</c:v>
                </c:pt>
                <c:pt idx="6">
                  <c:v>26.146317191000001</c:v>
                </c:pt>
                <c:pt idx="7">
                  <c:v>27.267205479000001</c:v>
                </c:pt>
                <c:pt idx="8">
                  <c:v>28.533117978</c:v>
                </c:pt>
                <c:pt idx="9">
                  <c:v>23.396565934000002</c:v>
                </c:pt>
                <c:pt idx="10">
                  <c:v>19.246267409000001</c:v>
                </c:pt>
              </c:numCache>
            </c:numRef>
          </c:val>
          <c:smooth val="0"/>
          <c:extLst>
            <c:ext xmlns:c16="http://schemas.microsoft.com/office/drawing/2014/chart" uri="{C3380CC4-5D6E-409C-BE32-E72D297353CC}">
              <c16:uniqueId val="{00000003-A986-4151-B2F0-34F408A48B83}"/>
            </c:ext>
          </c:extLst>
        </c:ser>
        <c:ser>
          <c:idx val="6"/>
          <c:order val="4"/>
          <c:tx>
            <c:strRef>
              <c:f>średnia!$H$2</c:f>
              <c:strCache>
                <c:ptCount val="1"/>
                <c:pt idx="0">
                  <c:v>MzPiasPulask</c:v>
                </c:pt>
              </c:strCache>
            </c:strRef>
          </c:tx>
          <c:spPr>
            <a:ln w="28575"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val>
            <c:numRef>
              <c:f>średnia!$H$4:$H$14</c:f>
              <c:numCache>
                <c:formatCode>0.0</c:formatCode>
                <c:ptCount val="11"/>
                <c:pt idx="0">
                  <c:v>41.016828478999997</c:v>
                </c:pt>
                <c:pt idx="1">
                  <c:v>37.789944134000002</c:v>
                </c:pt>
                <c:pt idx="2">
                  <c:v>33.164954682999998</c:v>
                </c:pt>
                <c:pt idx="3">
                  <c:v>35.462941176000001</c:v>
                </c:pt>
                <c:pt idx="4">
                  <c:v>36.192103658999997</c:v>
                </c:pt>
                <c:pt idx="5">
                  <c:v>34.015621469000003</c:v>
                </c:pt>
                <c:pt idx="6">
                  <c:v>30.921813187000001</c:v>
                </c:pt>
                <c:pt idx="7">
                  <c:v>32.363833333000002</c:v>
                </c:pt>
                <c:pt idx="8">
                  <c:v>33.251994302</c:v>
                </c:pt>
                <c:pt idx="9">
                  <c:v>26.411632653000002</c:v>
                </c:pt>
                <c:pt idx="10">
                  <c:v>24.297491379</c:v>
                </c:pt>
              </c:numCache>
            </c:numRef>
          </c:val>
          <c:smooth val="0"/>
          <c:extLst>
            <c:ext xmlns:c16="http://schemas.microsoft.com/office/drawing/2014/chart" uri="{C3380CC4-5D6E-409C-BE32-E72D297353CC}">
              <c16:uniqueId val="{00000004-A986-4151-B2F0-34F408A48B83}"/>
            </c:ext>
          </c:extLst>
        </c:ser>
        <c:ser>
          <c:idx val="7"/>
          <c:order val="5"/>
          <c:tx>
            <c:strRef>
              <c:f>średnia!$I$2</c:f>
              <c:strCache>
                <c:ptCount val="1"/>
                <c:pt idx="0">
                  <c:v>OpOpoleOsAKr</c:v>
                </c:pt>
              </c:strCache>
            </c:strRef>
          </c:tx>
          <c:spPr>
            <a:ln w="28575" cap="rnd">
              <a:solidFill>
                <a:srgbClr val="00B0F0"/>
              </a:solidFill>
              <a:round/>
            </a:ln>
            <a:effectLst/>
          </c:spPr>
          <c:marker>
            <c:symbol val="circle"/>
            <c:size val="5"/>
            <c:spPr>
              <a:solidFill>
                <a:srgbClr val="00B0F0"/>
              </a:solidFill>
              <a:ln w="9525">
                <a:solidFill>
                  <a:srgbClr val="00B0F0"/>
                </a:solidFill>
              </a:ln>
              <a:effectLst/>
            </c:spPr>
          </c:marker>
          <c:val>
            <c:numRef>
              <c:f>średnia!$I$4:$I$14</c:f>
              <c:numCache>
                <c:formatCode>0.0</c:formatCode>
                <c:ptCount val="11"/>
                <c:pt idx="0">
                  <c:v>35.228169014000002</c:v>
                </c:pt>
                <c:pt idx="1">
                  <c:v>38.883561643999997</c:v>
                </c:pt>
                <c:pt idx="2">
                  <c:v>32.366279069999997</c:v>
                </c:pt>
                <c:pt idx="3">
                  <c:v>33.276098900999997</c:v>
                </c:pt>
                <c:pt idx="4">
                  <c:v>32.249299720000003</c:v>
                </c:pt>
                <c:pt idx="5">
                  <c:v>30.746438745999999</c:v>
                </c:pt>
                <c:pt idx="6">
                  <c:v>30.897360704</c:v>
                </c:pt>
                <c:pt idx="7">
                  <c:v>33.137829912000001</c:v>
                </c:pt>
                <c:pt idx="8">
                  <c:v>30.668587895999998</c:v>
                </c:pt>
                <c:pt idx="9">
                  <c:v>26.901098901000001</c:v>
                </c:pt>
                <c:pt idx="10">
                  <c:v>24.56284153</c:v>
                </c:pt>
              </c:numCache>
            </c:numRef>
          </c:val>
          <c:smooth val="0"/>
          <c:extLst>
            <c:ext xmlns:c16="http://schemas.microsoft.com/office/drawing/2014/chart" uri="{C3380CC4-5D6E-409C-BE32-E72D297353CC}">
              <c16:uniqueId val="{00000005-A986-4151-B2F0-34F408A48B83}"/>
            </c:ext>
          </c:extLst>
        </c:ser>
        <c:ser>
          <c:idx val="11"/>
          <c:order val="6"/>
          <c:tx>
            <c:strRef>
              <c:f>średnia!$K$2</c:f>
              <c:strCache>
                <c:ptCount val="1"/>
                <c:pt idx="0">
                  <c:v>PkKrosKletow</c:v>
                </c:pt>
              </c:strCache>
            </c:strRef>
          </c:tx>
          <c:spPr>
            <a:ln w="28575" cap="rnd">
              <a:solidFill>
                <a:srgbClr val="2D55D3"/>
              </a:solidFill>
              <a:round/>
            </a:ln>
            <a:effectLst/>
          </c:spPr>
          <c:marker>
            <c:symbol val="circle"/>
            <c:size val="5"/>
            <c:spPr>
              <a:solidFill>
                <a:srgbClr val="2D55D3"/>
              </a:solidFill>
              <a:ln w="9525">
                <a:solidFill>
                  <a:srgbClr val="2D55D3"/>
                </a:solidFill>
              </a:ln>
              <a:effectLst/>
            </c:spPr>
          </c:marker>
          <c:val>
            <c:numRef>
              <c:f>średnia!$K$4:$K$14</c:f>
              <c:numCache>
                <c:formatCode>0.0</c:formatCode>
                <c:ptCount val="11"/>
                <c:pt idx="0">
                  <c:v>39.999361022000002</c:v>
                </c:pt>
                <c:pt idx="1">
                  <c:v>41.432967032999997</c:v>
                </c:pt>
                <c:pt idx="2">
                  <c:v>36.375900277</c:v>
                </c:pt>
                <c:pt idx="3">
                  <c:v>33.596978022000002</c:v>
                </c:pt>
                <c:pt idx="4">
                  <c:v>31.176446990999999</c:v>
                </c:pt>
                <c:pt idx="5">
                  <c:v>33.075561798000003</c:v>
                </c:pt>
                <c:pt idx="6">
                  <c:v>29.185261707999999</c:v>
                </c:pt>
                <c:pt idx="7">
                  <c:v>31.659279777999998</c:v>
                </c:pt>
                <c:pt idx="8">
                  <c:v>31.363491620000001</c:v>
                </c:pt>
                <c:pt idx="9">
                  <c:v>27.027679557999999</c:v>
                </c:pt>
                <c:pt idx="10">
                  <c:v>22.313983516</c:v>
                </c:pt>
              </c:numCache>
            </c:numRef>
          </c:val>
          <c:smooth val="0"/>
          <c:extLst>
            <c:ext xmlns:c16="http://schemas.microsoft.com/office/drawing/2014/chart" uri="{C3380CC4-5D6E-409C-BE32-E72D297353CC}">
              <c16:uniqueId val="{00000006-A986-4151-B2F0-34F408A48B83}"/>
            </c:ext>
          </c:extLst>
        </c:ser>
        <c:ser>
          <c:idx val="13"/>
          <c:order val="7"/>
          <c:tx>
            <c:strRef>
              <c:f>średnia!$M$2</c:f>
              <c:strCache>
                <c:ptCount val="1"/>
                <c:pt idx="0">
                  <c:v>SkBuskRokosz</c:v>
                </c:pt>
              </c:strCache>
            </c:strRef>
          </c:tx>
          <c:spPr>
            <a:ln w="28575" cap="rnd">
              <a:solidFill>
                <a:schemeClr val="tx1">
                  <a:lumMod val="95000"/>
                  <a:lumOff val="5000"/>
                </a:schemeClr>
              </a:solidFill>
              <a:round/>
            </a:ln>
            <a:effectLst/>
          </c:spPr>
          <c:marker>
            <c:symbol val="circle"/>
            <c:size val="5"/>
            <c:spPr>
              <a:solidFill>
                <a:schemeClr val="tx1">
                  <a:lumMod val="95000"/>
                  <a:lumOff val="5000"/>
                </a:schemeClr>
              </a:solidFill>
              <a:ln w="9525">
                <a:solidFill>
                  <a:schemeClr val="tx1">
                    <a:lumMod val="95000"/>
                    <a:lumOff val="5000"/>
                  </a:schemeClr>
                </a:solidFill>
              </a:ln>
              <a:effectLst/>
            </c:spPr>
          </c:marker>
          <c:val>
            <c:numRef>
              <c:f>średnia!$M$4:$M$14</c:f>
              <c:numCache>
                <c:formatCode>0.0</c:formatCode>
                <c:ptCount val="11"/>
                <c:pt idx="0">
                  <c:v>33.451269885999999</c:v>
                </c:pt>
                <c:pt idx="1">
                  <c:v>39.142140468000001</c:v>
                </c:pt>
                <c:pt idx="2">
                  <c:v>33.032398753999999</c:v>
                </c:pt>
                <c:pt idx="3">
                  <c:v>30.917799352999999</c:v>
                </c:pt>
                <c:pt idx="4">
                  <c:v>30.067732285999998</c:v>
                </c:pt>
                <c:pt idx="5">
                  <c:v>27.395792308000001</c:v>
                </c:pt>
                <c:pt idx="6">
                  <c:v>27.024791381</c:v>
                </c:pt>
                <c:pt idx="7">
                  <c:v>30.859439713</c:v>
                </c:pt>
                <c:pt idx="8">
                  <c:v>29.537260830000001</c:v>
                </c:pt>
                <c:pt idx="9">
                  <c:v>25.699434956000001</c:v>
                </c:pt>
                <c:pt idx="10">
                  <c:v>23.887722754999999</c:v>
                </c:pt>
              </c:numCache>
            </c:numRef>
          </c:val>
          <c:smooth val="0"/>
          <c:extLst>
            <c:ext xmlns:c16="http://schemas.microsoft.com/office/drawing/2014/chart" uri="{C3380CC4-5D6E-409C-BE32-E72D297353CC}">
              <c16:uniqueId val="{00000007-A986-4151-B2F0-34F408A48B83}"/>
            </c:ext>
          </c:extLst>
        </c:ser>
        <c:ser>
          <c:idx val="14"/>
          <c:order val="8"/>
          <c:tx>
            <c:strRef>
              <c:f>średnia!$N$2</c:f>
              <c:strCache>
                <c:ptCount val="1"/>
                <c:pt idx="0">
                  <c:v>SlTychyTolst</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val>
            <c:numRef>
              <c:f>średnia!$N$4:$N$14</c:f>
              <c:numCache>
                <c:formatCode>0.0</c:formatCode>
                <c:ptCount val="11"/>
                <c:pt idx="0">
                  <c:v>44.516819194</c:v>
                </c:pt>
                <c:pt idx="1">
                  <c:v>47.563199238000003</c:v>
                </c:pt>
                <c:pt idx="2">
                  <c:v>45.194237051000002</c:v>
                </c:pt>
                <c:pt idx="3">
                  <c:v>42.811772918000003</c:v>
                </c:pt>
                <c:pt idx="4">
                  <c:v>44.854947613999997</c:v>
                </c:pt>
                <c:pt idx="5">
                  <c:v>38.965359886999998</c:v>
                </c:pt>
                <c:pt idx="6">
                  <c:v>35.943507457000003</c:v>
                </c:pt>
                <c:pt idx="7">
                  <c:v>40.891001261</c:v>
                </c:pt>
                <c:pt idx="8">
                  <c:v>37.933476958999996</c:v>
                </c:pt>
                <c:pt idx="9">
                  <c:v>31.611592131999998</c:v>
                </c:pt>
                <c:pt idx="10">
                  <c:v>26.284597479999999</c:v>
                </c:pt>
              </c:numCache>
            </c:numRef>
          </c:val>
          <c:smooth val="0"/>
          <c:extLst>
            <c:ext xmlns:c16="http://schemas.microsoft.com/office/drawing/2014/chart" uri="{C3380CC4-5D6E-409C-BE32-E72D297353CC}">
              <c16:uniqueId val="{00000008-A986-4151-B2F0-34F408A48B83}"/>
            </c:ext>
          </c:extLst>
        </c:ser>
        <c:dLbls>
          <c:showLegendKey val="0"/>
          <c:showVal val="0"/>
          <c:showCatName val="0"/>
          <c:showSerName val="0"/>
          <c:showPercent val="0"/>
          <c:showBubbleSize val="0"/>
        </c:dLbls>
        <c:marker val="1"/>
        <c:smooth val="0"/>
        <c:axId val="400404400"/>
        <c:axId val="400405968"/>
      </c:lineChart>
      <c:catAx>
        <c:axId val="40040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400405968"/>
        <c:crosses val="autoZero"/>
        <c:auto val="1"/>
        <c:lblAlgn val="ctr"/>
        <c:lblOffset val="100"/>
        <c:noMultiLvlLbl val="0"/>
      </c:catAx>
      <c:valAx>
        <c:axId val="400405968"/>
        <c:scaling>
          <c:orientation val="minMax"/>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pl-PL" sz="1000" b="0" i="0" u="none" strike="noStrike" baseline="0">
                    <a:solidFill>
                      <a:sysClr val="windowText" lastClr="000000"/>
                    </a:solidFill>
                    <a:effectLst/>
                  </a:rPr>
                  <a:t>Średnie stężenie roczne PM10, [µg/m</a:t>
                </a:r>
                <a:r>
                  <a:rPr lang="pl-PL" sz="1000" b="0" i="0" u="none" strike="noStrike" baseline="30000">
                    <a:solidFill>
                      <a:sysClr val="windowText" lastClr="000000"/>
                    </a:solidFill>
                    <a:effectLst/>
                  </a:rPr>
                  <a:t>3</a:t>
                </a:r>
                <a:r>
                  <a:rPr lang="pl-PL" sz="1000" b="0" i="0" u="none" strike="noStrike" baseline="0">
                    <a:solidFill>
                      <a:sysClr val="windowText" lastClr="000000"/>
                    </a:solidFill>
                    <a:effectLst/>
                  </a:rPr>
                  <a:t>]</a:t>
                </a:r>
                <a:endParaRPr lang="pl-PL" sz="1000" b="0">
                  <a:solidFill>
                    <a:sysClr val="windowText" lastClr="000000"/>
                  </a:solidFill>
                </a:endParaRPr>
              </a:p>
            </c:rich>
          </c:tx>
          <c:layout>
            <c:manualLayout>
              <c:xMode val="edge"/>
              <c:yMode val="edge"/>
              <c:x val="1.6835016835016835E-2"/>
              <c:y val="0.104528721884448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4004044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tx>
            <c:strRef>
              <c:f>staty!$B$2</c:f>
              <c:strCache>
                <c:ptCount val="1"/>
                <c:pt idx="0">
                  <c:v>DsLegAlRzecz</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staty!$A$4:$A$14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staty!$B$4:$B$14</c:f>
              <c:numCache>
                <c:formatCode>0.0</c:formatCode>
                <c:ptCount val="11"/>
                <c:pt idx="0">
                  <c:v>30.791925465999999</c:v>
                </c:pt>
                <c:pt idx="1">
                  <c:v>29.865546217999999</c:v>
                </c:pt>
                <c:pt idx="2">
                  <c:v>25.554858933999999</c:v>
                </c:pt>
                <c:pt idx="3">
                  <c:v>26.68258427</c:v>
                </c:pt>
                <c:pt idx="4">
                  <c:v>26.628985506999999</c:v>
                </c:pt>
                <c:pt idx="5">
                  <c:v>22.905817174999999</c:v>
                </c:pt>
                <c:pt idx="6">
                  <c:v>25.201789773000002</c:v>
                </c:pt>
                <c:pt idx="7">
                  <c:v>23.883972603</c:v>
                </c:pt>
                <c:pt idx="8">
                  <c:v>24.981593406999998</c:v>
                </c:pt>
                <c:pt idx="9">
                  <c:v>17.006746988</c:v>
                </c:pt>
                <c:pt idx="10">
                  <c:v>16.166071428999999</c:v>
                </c:pt>
              </c:numCache>
            </c:numRef>
          </c:val>
          <c:smooth val="0"/>
          <c:extLst>
            <c:ext xmlns:c16="http://schemas.microsoft.com/office/drawing/2014/chart" uri="{C3380CC4-5D6E-409C-BE32-E72D297353CC}">
              <c16:uniqueId val="{00000000-4F04-4E18-BBCC-B5528B0233A8}"/>
            </c:ext>
          </c:extLst>
        </c:ser>
        <c:ser>
          <c:idx val="0"/>
          <c:order val="1"/>
          <c:tx>
            <c:strRef>
              <c:f>staty!$D$2</c:f>
              <c:strCache>
                <c:ptCount val="1"/>
                <c:pt idx="0">
                  <c:v>KpBydBerling</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val>
            <c:numRef>
              <c:f>staty!$D$4:$D$14</c:f>
              <c:numCache>
                <c:formatCode>0.0</c:formatCode>
                <c:ptCount val="11"/>
                <c:pt idx="0">
                  <c:v>19.852401746999998</c:v>
                </c:pt>
                <c:pt idx="1">
                  <c:v>17.381303116000002</c:v>
                </c:pt>
                <c:pt idx="2">
                  <c:v>18.614506172999999</c:v>
                </c:pt>
                <c:pt idx="3">
                  <c:v>18.336164384</c:v>
                </c:pt>
                <c:pt idx="4">
                  <c:v>19.321951219999999</c:v>
                </c:pt>
                <c:pt idx="5">
                  <c:v>15.837606472999999</c:v>
                </c:pt>
                <c:pt idx="6">
                  <c:v>14.755755912</c:v>
                </c:pt>
                <c:pt idx="7">
                  <c:v>15.751094423</c:v>
                </c:pt>
                <c:pt idx="8">
                  <c:v>18.696882910999999</c:v>
                </c:pt>
                <c:pt idx="9">
                  <c:v>14.552660848</c:v>
                </c:pt>
                <c:pt idx="10">
                  <c:v>12.100346289999999</c:v>
                </c:pt>
              </c:numCache>
            </c:numRef>
          </c:val>
          <c:smooth val="0"/>
          <c:extLst>
            <c:ext xmlns:c16="http://schemas.microsoft.com/office/drawing/2014/chart" uri="{C3380CC4-5D6E-409C-BE32-E72D297353CC}">
              <c16:uniqueId val="{00000001-4F04-4E18-BBCC-B5528B0233A8}"/>
            </c:ext>
          </c:extLst>
        </c:ser>
        <c:ser>
          <c:idx val="2"/>
          <c:order val="2"/>
          <c:tx>
            <c:strRef>
              <c:f>staty!$E$2</c:f>
              <c:strCache>
                <c:ptCount val="1"/>
                <c:pt idx="0">
                  <c:v>LbZamoHrubie</c:v>
                </c:pt>
              </c:strCache>
            </c:strRef>
          </c:tx>
          <c:spPr>
            <a:ln w="28575" cap="rnd">
              <a:solidFill>
                <a:srgbClr val="E7C7DC"/>
              </a:solidFill>
              <a:round/>
            </a:ln>
            <a:effectLst/>
          </c:spPr>
          <c:marker>
            <c:symbol val="circle"/>
            <c:size val="5"/>
            <c:spPr>
              <a:solidFill>
                <a:srgbClr val="E7C7DC"/>
              </a:solidFill>
              <a:ln w="9525">
                <a:solidFill>
                  <a:srgbClr val="E7C7DC"/>
                </a:solidFill>
              </a:ln>
              <a:effectLst/>
            </c:spPr>
          </c:marker>
          <c:val>
            <c:numRef>
              <c:f>staty!$E$4:$E$14</c:f>
              <c:numCache>
                <c:formatCode>0.0</c:formatCode>
                <c:ptCount val="11"/>
                <c:pt idx="0">
                  <c:v>25.882172701999998</c:v>
                </c:pt>
                <c:pt idx="1">
                  <c:v>25.714640884000001</c:v>
                </c:pt>
                <c:pt idx="2">
                  <c:v>20.857377049</c:v>
                </c:pt>
                <c:pt idx="3">
                  <c:v>22.430136986000001</c:v>
                </c:pt>
                <c:pt idx="4">
                  <c:v>22.864265927999998</c:v>
                </c:pt>
                <c:pt idx="5">
                  <c:v>23.956164384000001</c:v>
                </c:pt>
                <c:pt idx="6">
                  <c:v>21.691944444000001</c:v>
                </c:pt>
                <c:pt idx="7">
                  <c:v>23.135890410999998</c:v>
                </c:pt>
                <c:pt idx="8">
                  <c:v>22.679178082</c:v>
                </c:pt>
                <c:pt idx="9">
                  <c:v>18.401928375000001</c:v>
                </c:pt>
                <c:pt idx="10">
                  <c:v>17.493169398999999</c:v>
                </c:pt>
              </c:numCache>
            </c:numRef>
          </c:val>
          <c:smooth val="0"/>
          <c:extLst>
            <c:ext xmlns:c16="http://schemas.microsoft.com/office/drawing/2014/chart" uri="{C3380CC4-5D6E-409C-BE32-E72D297353CC}">
              <c16:uniqueId val="{00000002-4F04-4E18-BBCC-B5528B0233A8}"/>
            </c:ext>
          </c:extLst>
        </c:ser>
        <c:ser>
          <c:idx val="4"/>
          <c:order val="3"/>
          <c:tx>
            <c:strRef>
              <c:f>staty!$G$2</c:f>
              <c:strCache>
                <c:ptCount val="1"/>
                <c:pt idx="0">
                  <c:v>LuGorzPilsud</c:v>
                </c:pt>
              </c:strCache>
            </c:strRef>
          </c:tx>
          <c:spPr>
            <a:ln w="28575" cap="rnd">
              <a:solidFill>
                <a:srgbClr val="3DEF4E"/>
              </a:solidFill>
              <a:round/>
            </a:ln>
            <a:effectLst/>
          </c:spPr>
          <c:marker>
            <c:symbol val="circle"/>
            <c:size val="5"/>
            <c:spPr>
              <a:solidFill>
                <a:srgbClr val="3DEF4E"/>
              </a:solidFill>
              <a:ln w="9525">
                <a:solidFill>
                  <a:srgbClr val="3DEF4E"/>
                </a:solidFill>
              </a:ln>
              <a:effectLst/>
            </c:spPr>
          </c:marker>
          <c:val>
            <c:numRef>
              <c:f>staty!$G$4:$G$14</c:f>
              <c:numCache>
                <c:formatCode>0.0</c:formatCode>
                <c:ptCount val="11"/>
                <c:pt idx="0">
                  <c:v>18.798882681999999</c:v>
                </c:pt>
                <c:pt idx="1">
                  <c:v>17.326207951000001</c:v>
                </c:pt>
                <c:pt idx="2">
                  <c:v>16.869126214000001</c:v>
                </c:pt>
                <c:pt idx="3">
                  <c:v>16.358622753999999</c:v>
                </c:pt>
                <c:pt idx="4">
                  <c:v>14.758974359</c:v>
                </c:pt>
                <c:pt idx="5">
                  <c:v>16.646648044999999</c:v>
                </c:pt>
                <c:pt idx="6">
                  <c:v>18.211363636000002</c:v>
                </c:pt>
                <c:pt idx="7">
                  <c:v>19.057227138999998</c:v>
                </c:pt>
                <c:pt idx="8">
                  <c:v>16.959779613999999</c:v>
                </c:pt>
                <c:pt idx="9">
                  <c:v>14.780056180000001</c:v>
                </c:pt>
                <c:pt idx="10">
                  <c:v>13.916939891</c:v>
                </c:pt>
              </c:numCache>
            </c:numRef>
          </c:val>
          <c:smooth val="0"/>
          <c:extLst>
            <c:ext xmlns:c16="http://schemas.microsoft.com/office/drawing/2014/chart" uri="{C3380CC4-5D6E-409C-BE32-E72D297353CC}">
              <c16:uniqueId val="{00000003-4F04-4E18-BBCC-B5528B0233A8}"/>
            </c:ext>
          </c:extLst>
        </c:ser>
        <c:ser>
          <c:idx val="8"/>
          <c:order val="4"/>
          <c:tx>
            <c:strRef>
              <c:f>staty!$M$2</c:f>
              <c:strCache>
                <c:ptCount val="1"/>
                <c:pt idx="0">
                  <c:v>PkKrosKletow</c:v>
                </c:pt>
              </c:strCache>
            </c:strRef>
          </c:tx>
          <c:spPr>
            <a:ln w="28575" cap="rnd">
              <a:solidFill>
                <a:schemeClr val="tx1">
                  <a:lumMod val="95000"/>
                  <a:lumOff val="5000"/>
                </a:schemeClr>
              </a:solidFill>
              <a:round/>
            </a:ln>
            <a:effectLst/>
          </c:spPr>
          <c:marker>
            <c:symbol val="circle"/>
            <c:size val="5"/>
            <c:spPr>
              <a:solidFill>
                <a:schemeClr val="tx1">
                  <a:lumMod val="95000"/>
                  <a:lumOff val="5000"/>
                </a:schemeClr>
              </a:solidFill>
              <a:ln w="9525">
                <a:solidFill>
                  <a:schemeClr val="tx1">
                    <a:lumMod val="95000"/>
                    <a:lumOff val="5000"/>
                  </a:schemeClr>
                </a:solidFill>
              </a:ln>
              <a:effectLst/>
            </c:spPr>
          </c:marker>
          <c:val>
            <c:numRef>
              <c:f>staty!$M$4:$M$14</c:f>
              <c:numCache>
                <c:formatCode>0.0</c:formatCode>
                <c:ptCount val="11"/>
                <c:pt idx="0">
                  <c:v>29.65</c:v>
                </c:pt>
                <c:pt idx="1">
                  <c:v>31.591369048000001</c:v>
                </c:pt>
                <c:pt idx="2">
                  <c:v>32.349056603999998</c:v>
                </c:pt>
                <c:pt idx="3">
                  <c:v>27.574365782000001</c:v>
                </c:pt>
                <c:pt idx="4">
                  <c:v>24.741592919999999</c:v>
                </c:pt>
                <c:pt idx="5">
                  <c:v>24.474444444</c:v>
                </c:pt>
                <c:pt idx="6">
                  <c:v>24.328660969000001</c:v>
                </c:pt>
                <c:pt idx="7">
                  <c:v>26.421831831999999</c:v>
                </c:pt>
                <c:pt idx="8">
                  <c:v>25.080581717000001</c:v>
                </c:pt>
                <c:pt idx="9">
                  <c:v>20.491132597</c:v>
                </c:pt>
                <c:pt idx="10">
                  <c:v>14.582949853000001</c:v>
                </c:pt>
              </c:numCache>
            </c:numRef>
          </c:val>
          <c:smooth val="0"/>
          <c:extLst>
            <c:ext xmlns:c16="http://schemas.microsoft.com/office/drawing/2014/chart" uri="{C3380CC4-5D6E-409C-BE32-E72D297353CC}">
              <c16:uniqueId val="{00000004-4F04-4E18-BBCC-B5528B0233A8}"/>
            </c:ext>
          </c:extLst>
        </c:ser>
        <c:ser>
          <c:idx val="9"/>
          <c:order val="5"/>
          <c:tx>
            <c:strRef>
              <c:f>staty!$N$2</c:f>
              <c:strCache>
                <c:ptCount val="1"/>
                <c:pt idx="0">
                  <c:v>PmGdaPowWiel</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val>
            <c:numRef>
              <c:f>staty!$N$4:$N$14</c:f>
              <c:numCache>
                <c:formatCode>0.0</c:formatCode>
                <c:ptCount val="11"/>
                <c:pt idx="0">
                  <c:v>19.983870968000002</c:v>
                </c:pt>
                <c:pt idx="1">
                  <c:v>17.301169591000001</c:v>
                </c:pt>
                <c:pt idx="2">
                  <c:v>16.152542372999999</c:v>
                </c:pt>
                <c:pt idx="3">
                  <c:v>13.820224719</c:v>
                </c:pt>
                <c:pt idx="4">
                  <c:v>17.566037735999998</c:v>
                </c:pt>
                <c:pt idx="5">
                  <c:v>14.212885154</c:v>
                </c:pt>
                <c:pt idx="6">
                  <c:v>12.8</c:v>
                </c:pt>
                <c:pt idx="7">
                  <c:v>13.862745098</c:v>
                </c:pt>
                <c:pt idx="8">
                  <c:v>15.052785924</c:v>
                </c:pt>
                <c:pt idx="9">
                  <c:v>12.382445141</c:v>
                </c:pt>
                <c:pt idx="10">
                  <c:v>10.415300545999999</c:v>
                </c:pt>
              </c:numCache>
            </c:numRef>
          </c:val>
          <c:smooth val="0"/>
          <c:extLst>
            <c:ext xmlns:c16="http://schemas.microsoft.com/office/drawing/2014/chart" uri="{C3380CC4-5D6E-409C-BE32-E72D297353CC}">
              <c16:uniqueId val="{00000005-4F04-4E18-BBCC-B5528B0233A8}"/>
            </c:ext>
          </c:extLst>
        </c:ser>
        <c:ser>
          <c:idx val="10"/>
          <c:order val="6"/>
          <c:tx>
            <c:strRef>
              <c:f>staty!$O$2</c:f>
              <c:strCache>
                <c:ptCount val="1"/>
                <c:pt idx="0">
                  <c:v>SkBuskRokosz</c:v>
                </c:pt>
              </c:strCache>
            </c:strRef>
          </c:tx>
          <c:spPr>
            <a:ln w="28575" cap="rnd">
              <a:solidFill>
                <a:srgbClr val="FFC000"/>
              </a:solidFill>
              <a:round/>
            </a:ln>
            <a:effectLst/>
          </c:spPr>
          <c:marker>
            <c:symbol val="circle"/>
            <c:size val="5"/>
            <c:spPr>
              <a:solidFill>
                <a:srgbClr val="FFC000"/>
              </a:solidFill>
              <a:ln w="9525">
                <a:solidFill>
                  <a:srgbClr val="FFC000"/>
                </a:solidFill>
              </a:ln>
              <a:effectLst/>
            </c:spPr>
          </c:marker>
          <c:val>
            <c:numRef>
              <c:f>staty!$O$4:$O$14</c:f>
              <c:numCache>
                <c:formatCode>0.0</c:formatCode>
                <c:ptCount val="11"/>
                <c:pt idx="0">
                  <c:v>28.351176331000001</c:v>
                </c:pt>
                <c:pt idx="1">
                  <c:v>29.7846875</c:v>
                </c:pt>
                <c:pt idx="2">
                  <c:v>26.138016529000001</c:v>
                </c:pt>
                <c:pt idx="3">
                  <c:v>24.357894736999999</c:v>
                </c:pt>
                <c:pt idx="4">
                  <c:v>23.477715493000002</c:v>
                </c:pt>
                <c:pt idx="5">
                  <c:v>21.007444789000001</c:v>
                </c:pt>
                <c:pt idx="6">
                  <c:v>20.345722352999999</c:v>
                </c:pt>
                <c:pt idx="7">
                  <c:v>19.231272141000002</c:v>
                </c:pt>
                <c:pt idx="8">
                  <c:v>21.597391799</c:v>
                </c:pt>
                <c:pt idx="9">
                  <c:v>19.756698274000001</c:v>
                </c:pt>
                <c:pt idx="10">
                  <c:v>18.668949908999998</c:v>
                </c:pt>
              </c:numCache>
            </c:numRef>
          </c:val>
          <c:smooth val="0"/>
          <c:extLst>
            <c:ext xmlns:c16="http://schemas.microsoft.com/office/drawing/2014/chart" uri="{C3380CC4-5D6E-409C-BE32-E72D297353CC}">
              <c16:uniqueId val="{00000006-4F04-4E18-BBCC-B5528B0233A8}"/>
            </c:ext>
          </c:extLst>
        </c:ser>
        <c:ser>
          <c:idx val="11"/>
          <c:order val="7"/>
          <c:tx>
            <c:strRef>
              <c:f>staty!$P$2</c:f>
              <c:strCache>
                <c:ptCount val="1"/>
                <c:pt idx="0">
                  <c:v>WmOlsPuszkin</c:v>
                </c:pt>
              </c:strCache>
            </c:strRef>
          </c:tx>
          <c:spPr>
            <a:ln w="28575" cap="rnd">
              <a:solidFill>
                <a:srgbClr val="2D55D3"/>
              </a:solidFill>
              <a:round/>
            </a:ln>
            <a:effectLst/>
          </c:spPr>
          <c:marker>
            <c:symbol val="circle"/>
            <c:size val="5"/>
            <c:spPr>
              <a:solidFill>
                <a:srgbClr val="2D55D3"/>
              </a:solidFill>
              <a:ln w="9525">
                <a:solidFill>
                  <a:srgbClr val="2D55D3"/>
                </a:solidFill>
              </a:ln>
              <a:effectLst/>
            </c:spPr>
          </c:marker>
          <c:val>
            <c:numRef>
              <c:f>staty!$P$4:$P$14</c:f>
              <c:numCache>
                <c:formatCode>0.0</c:formatCode>
                <c:ptCount val="11"/>
                <c:pt idx="0">
                  <c:v>18.412655366999999</c:v>
                </c:pt>
                <c:pt idx="1">
                  <c:v>19.698126801000001</c:v>
                </c:pt>
                <c:pt idx="2">
                  <c:v>18.201990475999999</c:v>
                </c:pt>
                <c:pt idx="3">
                  <c:v>16.218135593</c:v>
                </c:pt>
                <c:pt idx="4">
                  <c:v>16.525437491000002</c:v>
                </c:pt>
                <c:pt idx="5">
                  <c:v>16.745363128000001</c:v>
                </c:pt>
                <c:pt idx="6">
                  <c:v>15.684480874</c:v>
                </c:pt>
                <c:pt idx="7">
                  <c:v>16.940804598</c:v>
                </c:pt>
                <c:pt idx="8">
                  <c:v>17.702205882000001</c:v>
                </c:pt>
                <c:pt idx="9">
                  <c:v>14.97684507</c:v>
                </c:pt>
                <c:pt idx="10">
                  <c:v>13.15738292</c:v>
                </c:pt>
              </c:numCache>
            </c:numRef>
          </c:val>
          <c:smooth val="0"/>
          <c:extLst>
            <c:ext xmlns:c16="http://schemas.microsoft.com/office/drawing/2014/chart" uri="{C3380CC4-5D6E-409C-BE32-E72D297353CC}">
              <c16:uniqueId val="{00000007-4F04-4E18-BBCC-B5528B0233A8}"/>
            </c:ext>
          </c:extLst>
        </c:ser>
        <c:ser>
          <c:idx val="12"/>
          <c:order val="8"/>
          <c:tx>
            <c:strRef>
              <c:f>staty!$Q$2</c:f>
              <c:strCache>
                <c:ptCount val="1"/>
                <c:pt idx="0">
                  <c:v>WpKaliSawick</c:v>
                </c:pt>
              </c:strCache>
            </c:strRef>
          </c:tx>
          <c:spPr>
            <a:ln w="28575" cap="rnd">
              <a:solidFill>
                <a:srgbClr val="4BF3FB"/>
              </a:solidFill>
              <a:round/>
            </a:ln>
            <a:effectLst/>
          </c:spPr>
          <c:marker>
            <c:symbol val="circle"/>
            <c:size val="5"/>
            <c:spPr>
              <a:solidFill>
                <a:srgbClr val="4BF3FB"/>
              </a:solidFill>
              <a:ln w="9525">
                <a:solidFill>
                  <a:srgbClr val="4BF3FB"/>
                </a:solidFill>
              </a:ln>
              <a:effectLst/>
            </c:spPr>
          </c:marker>
          <c:val>
            <c:numRef>
              <c:f>staty!$Q$4:$Q$14</c:f>
              <c:numCache>
                <c:formatCode>0.0</c:formatCode>
                <c:ptCount val="11"/>
                <c:pt idx="0">
                  <c:v>32.893669850000002</c:v>
                </c:pt>
                <c:pt idx="1">
                  <c:v>33.441151685000001</c:v>
                </c:pt>
                <c:pt idx="2">
                  <c:v>31.916857414999999</c:v>
                </c:pt>
                <c:pt idx="3">
                  <c:v>32.251509054000003</c:v>
                </c:pt>
                <c:pt idx="4">
                  <c:v>32.524615765999997</c:v>
                </c:pt>
                <c:pt idx="5">
                  <c:v>28.587571079</c:v>
                </c:pt>
                <c:pt idx="6">
                  <c:v>27.479508384999999</c:v>
                </c:pt>
                <c:pt idx="7">
                  <c:v>26.443351281999998</c:v>
                </c:pt>
                <c:pt idx="8">
                  <c:v>23.223438594000001</c:v>
                </c:pt>
                <c:pt idx="9">
                  <c:v>19.877657182</c:v>
                </c:pt>
                <c:pt idx="10">
                  <c:v>18.882022581000001</c:v>
                </c:pt>
              </c:numCache>
            </c:numRef>
          </c:val>
          <c:smooth val="0"/>
          <c:extLst>
            <c:ext xmlns:c16="http://schemas.microsoft.com/office/drawing/2014/chart" uri="{C3380CC4-5D6E-409C-BE32-E72D297353CC}">
              <c16:uniqueId val="{00000008-4F04-4E18-BBCC-B5528B0233A8}"/>
            </c:ext>
          </c:extLst>
        </c:ser>
        <c:ser>
          <c:idx val="13"/>
          <c:order val="9"/>
          <c:tx>
            <c:strRef>
              <c:f>staty!$R$2</c:f>
              <c:strCache>
                <c:ptCount val="1"/>
                <c:pt idx="0">
                  <c:v>ZpSzczec1Maj</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val>
            <c:numRef>
              <c:f>staty!$R$4:$R$14</c:f>
              <c:numCache>
                <c:formatCode>0.0</c:formatCode>
                <c:ptCount val="11"/>
                <c:pt idx="0">
                  <c:v>22.993290734999999</c:v>
                </c:pt>
                <c:pt idx="1">
                  <c:v>17.736000000000001</c:v>
                </c:pt>
                <c:pt idx="2">
                  <c:v>14.653825137</c:v>
                </c:pt>
                <c:pt idx="3">
                  <c:v>14.388186813000001</c:v>
                </c:pt>
                <c:pt idx="4">
                  <c:v>17.135413105000001</c:v>
                </c:pt>
                <c:pt idx="5">
                  <c:v>14.334493151</c:v>
                </c:pt>
                <c:pt idx="6">
                  <c:v>14.404535519</c:v>
                </c:pt>
                <c:pt idx="7">
                  <c:v>15.494581006000001</c:v>
                </c:pt>
                <c:pt idx="8">
                  <c:v>16.210029070000001</c:v>
                </c:pt>
                <c:pt idx="9">
                  <c:v>12.750877193000001</c:v>
                </c:pt>
                <c:pt idx="10">
                  <c:v>9.7670473540000007</c:v>
                </c:pt>
              </c:numCache>
            </c:numRef>
          </c:val>
          <c:smooth val="0"/>
          <c:extLst>
            <c:ext xmlns:c16="http://schemas.microsoft.com/office/drawing/2014/chart" uri="{C3380CC4-5D6E-409C-BE32-E72D297353CC}">
              <c16:uniqueId val="{00000009-4F04-4E18-BBCC-B5528B0233A8}"/>
            </c:ext>
          </c:extLst>
        </c:ser>
        <c:dLbls>
          <c:showLegendKey val="0"/>
          <c:showVal val="0"/>
          <c:showCatName val="0"/>
          <c:showSerName val="0"/>
          <c:showPercent val="0"/>
          <c:showBubbleSize val="0"/>
        </c:dLbls>
        <c:marker val="1"/>
        <c:smooth val="0"/>
        <c:axId val="400405576"/>
        <c:axId val="400405184"/>
      </c:lineChart>
      <c:catAx>
        <c:axId val="400405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400405184"/>
        <c:crosses val="autoZero"/>
        <c:auto val="1"/>
        <c:lblAlgn val="ctr"/>
        <c:lblOffset val="100"/>
        <c:noMultiLvlLbl val="0"/>
      </c:catAx>
      <c:valAx>
        <c:axId val="400405184"/>
        <c:scaling>
          <c:orientation val="minMax"/>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pl-PL" sz="1000" b="0" i="0" u="none" strike="noStrike" baseline="0">
                    <a:solidFill>
                      <a:sysClr val="windowText" lastClr="000000"/>
                    </a:solidFill>
                    <a:effectLst/>
                  </a:rPr>
                  <a:t>Średnie stężenie roczne PM2,5, [µg/m</a:t>
                </a:r>
                <a:r>
                  <a:rPr lang="pl-PL" sz="1000" b="0" i="0" u="none" strike="noStrike" baseline="30000">
                    <a:solidFill>
                      <a:sysClr val="windowText" lastClr="000000"/>
                    </a:solidFill>
                    <a:effectLst/>
                  </a:rPr>
                  <a:t>3</a:t>
                </a:r>
                <a:r>
                  <a:rPr lang="pl-PL" sz="1000" b="0" i="0" u="none" strike="noStrike" baseline="0">
                    <a:solidFill>
                      <a:sysClr val="windowText" lastClr="000000"/>
                    </a:solidFill>
                    <a:effectLst/>
                  </a:rPr>
                  <a:t>]</a:t>
                </a:r>
                <a:endParaRPr lang="pl-PL" sz="1000" b="0">
                  <a:solidFill>
                    <a:sysClr val="windowText" lastClr="000000"/>
                  </a:solidFill>
                </a:endParaRPr>
              </a:p>
            </c:rich>
          </c:tx>
          <c:layout>
            <c:manualLayout>
              <c:xMode val="edge"/>
              <c:yMode val="edge"/>
              <c:x val="1.4164305949008499E-2"/>
              <c:y val="5.9051438663625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4004055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'Benzen - 3 stacje - wykres'!$C$2</c:f>
              <c:strCache>
                <c:ptCount val="1"/>
                <c:pt idx="0">
                  <c:v>Nowa Ruda woj.dolnośląskie</c:v>
                </c:pt>
              </c:strCache>
            </c:strRef>
          </c:tx>
          <c:spPr>
            <a:solidFill>
              <a:schemeClr val="accent5"/>
            </a:solidFill>
            <a:ln w="9525" cap="flat" cmpd="sng" algn="ctr">
              <a:solidFill>
                <a:srgbClr val="0070C0"/>
              </a:solidFill>
              <a:round/>
            </a:ln>
            <a:effectLst/>
          </c:spPr>
          <c:invertIfNegative val="0"/>
          <c:cat>
            <c:strRef>
              <c:f>'Benzen - 3 stacje - wykres'!$B$7:$B$372</c:f>
              <c:strCache>
                <c:ptCount val="366"/>
                <c:pt idx="0">
                  <c:v>I</c:v>
                </c:pt>
                <c:pt idx="1">
                  <c:v>I</c:v>
                </c:pt>
                <c:pt idx="2">
                  <c:v>I</c:v>
                </c:pt>
                <c:pt idx="3">
                  <c:v>I</c:v>
                </c:pt>
                <c:pt idx="4">
                  <c:v>I</c:v>
                </c:pt>
                <c:pt idx="5">
                  <c:v>I</c:v>
                </c:pt>
                <c:pt idx="6">
                  <c:v>I</c:v>
                </c:pt>
                <c:pt idx="7">
                  <c:v>I</c:v>
                </c:pt>
                <c:pt idx="8">
                  <c:v>I</c:v>
                </c:pt>
                <c:pt idx="9">
                  <c:v>I</c:v>
                </c:pt>
                <c:pt idx="10">
                  <c:v>I</c:v>
                </c:pt>
                <c:pt idx="11">
                  <c:v>I</c:v>
                </c:pt>
                <c:pt idx="12">
                  <c:v>I</c:v>
                </c:pt>
                <c:pt idx="13">
                  <c:v>I</c:v>
                </c:pt>
                <c:pt idx="14">
                  <c:v>I</c:v>
                </c:pt>
                <c:pt idx="15">
                  <c:v>I</c:v>
                </c:pt>
                <c:pt idx="16">
                  <c:v>I</c:v>
                </c:pt>
                <c:pt idx="17">
                  <c:v>I</c:v>
                </c:pt>
                <c:pt idx="18">
                  <c:v>I</c:v>
                </c:pt>
                <c:pt idx="19">
                  <c:v>I</c:v>
                </c:pt>
                <c:pt idx="20">
                  <c:v>I</c:v>
                </c:pt>
                <c:pt idx="21">
                  <c:v>I</c:v>
                </c:pt>
                <c:pt idx="22">
                  <c:v>I</c:v>
                </c:pt>
                <c:pt idx="23">
                  <c:v>I</c:v>
                </c:pt>
                <c:pt idx="24">
                  <c:v>I</c:v>
                </c:pt>
                <c:pt idx="25">
                  <c:v>I</c:v>
                </c:pt>
                <c:pt idx="26">
                  <c:v>I</c:v>
                </c:pt>
                <c:pt idx="27">
                  <c:v>I</c:v>
                </c:pt>
                <c:pt idx="28">
                  <c:v>I</c:v>
                </c:pt>
                <c:pt idx="29">
                  <c:v>I</c:v>
                </c:pt>
                <c:pt idx="30">
                  <c:v>II</c:v>
                </c:pt>
                <c:pt idx="31">
                  <c:v>II</c:v>
                </c:pt>
                <c:pt idx="32">
                  <c:v>II</c:v>
                </c:pt>
                <c:pt idx="33">
                  <c:v>II</c:v>
                </c:pt>
                <c:pt idx="34">
                  <c:v>II</c:v>
                </c:pt>
                <c:pt idx="35">
                  <c:v>II</c:v>
                </c:pt>
                <c:pt idx="36">
                  <c:v>II</c:v>
                </c:pt>
                <c:pt idx="37">
                  <c:v>II</c:v>
                </c:pt>
                <c:pt idx="38">
                  <c:v>II</c:v>
                </c:pt>
                <c:pt idx="39">
                  <c:v>II</c:v>
                </c:pt>
                <c:pt idx="40">
                  <c:v>II</c:v>
                </c:pt>
                <c:pt idx="41">
                  <c:v>II</c:v>
                </c:pt>
                <c:pt idx="42">
                  <c:v>II</c:v>
                </c:pt>
                <c:pt idx="43">
                  <c:v>II</c:v>
                </c:pt>
                <c:pt idx="44">
                  <c:v>II</c:v>
                </c:pt>
                <c:pt idx="45">
                  <c:v>II</c:v>
                </c:pt>
                <c:pt idx="46">
                  <c:v>II</c:v>
                </c:pt>
                <c:pt idx="47">
                  <c:v>II</c:v>
                </c:pt>
                <c:pt idx="48">
                  <c:v>II</c:v>
                </c:pt>
                <c:pt idx="49">
                  <c:v>II</c:v>
                </c:pt>
                <c:pt idx="50">
                  <c:v>II</c:v>
                </c:pt>
                <c:pt idx="51">
                  <c:v>II</c:v>
                </c:pt>
                <c:pt idx="52">
                  <c:v>II</c:v>
                </c:pt>
                <c:pt idx="53">
                  <c:v>II</c:v>
                </c:pt>
                <c:pt idx="54">
                  <c:v>II</c:v>
                </c:pt>
                <c:pt idx="55">
                  <c:v>II</c:v>
                </c:pt>
                <c:pt idx="56">
                  <c:v>II</c:v>
                </c:pt>
                <c:pt idx="57">
                  <c:v>II</c:v>
                </c:pt>
                <c:pt idx="58">
                  <c:v>II</c:v>
                </c:pt>
                <c:pt idx="59">
                  <c:v>II</c:v>
                </c:pt>
                <c:pt idx="60">
                  <c:v>III</c:v>
                </c:pt>
                <c:pt idx="61">
                  <c:v>III</c:v>
                </c:pt>
                <c:pt idx="62">
                  <c:v>III</c:v>
                </c:pt>
                <c:pt idx="63">
                  <c:v>III</c:v>
                </c:pt>
                <c:pt idx="64">
                  <c:v>III</c:v>
                </c:pt>
                <c:pt idx="65">
                  <c:v>III</c:v>
                </c:pt>
                <c:pt idx="66">
                  <c:v>III</c:v>
                </c:pt>
                <c:pt idx="67">
                  <c:v>III</c:v>
                </c:pt>
                <c:pt idx="68">
                  <c:v>III</c:v>
                </c:pt>
                <c:pt idx="69">
                  <c:v>III</c:v>
                </c:pt>
                <c:pt idx="70">
                  <c:v>III</c:v>
                </c:pt>
                <c:pt idx="71">
                  <c:v>III</c:v>
                </c:pt>
                <c:pt idx="72">
                  <c:v>III</c:v>
                </c:pt>
                <c:pt idx="73">
                  <c:v>III</c:v>
                </c:pt>
                <c:pt idx="74">
                  <c:v>III</c:v>
                </c:pt>
                <c:pt idx="75">
                  <c:v>III</c:v>
                </c:pt>
                <c:pt idx="76">
                  <c:v>III</c:v>
                </c:pt>
                <c:pt idx="77">
                  <c:v>III</c:v>
                </c:pt>
                <c:pt idx="78">
                  <c:v>III</c:v>
                </c:pt>
                <c:pt idx="79">
                  <c:v>III</c:v>
                </c:pt>
                <c:pt idx="80">
                  <c:v>III</c:v>
                </c:pt>
                <c:pt idx="81">
                  <c:v>III</c:v>
                </c:pt>
                <c:pt idx="82">
                  <c:v>III</c:v>
                </c:pt>
                <c:pt idx="83">
                  <c:v>III</c:v>
                </c:pt>
                <c:pt idx="84">
                  <c:v>III</c:v>
                </c:pt>
                <c:pt idx="85">
                  <c:v>III</c:v>
                </c:pt>
                <c:pt idx="86">
                  <c:v>III</c:v>
                </c:pt>
                <c:pt idx="87">
                  <c:v>III</c:v>
                </c:pt>
                <c:pt idx="88">
                  <c:v>III</c:v>
                </c:pt>
                <c:pt idx="89">
                  <c:v>III</c:v>
                </c:pt>
                <c:pt idx="90">
                  <c:v>IV</c:v>
                </c:pt>
                <c:pt idx="91">
                  <c:v>IV</c:v>
                </c:pt>
                <c:pt idx="92">
                  <c:v>IV</c:v>
                </c:pt>
                <c:pt idx="93">
                  <c:v>IV</c:v>
                </c:pt>
                <c:pt idx="94">
                  <c:v>IV</c:v>
                </c:pt>
                <c:pt idx="95">
                  <c:v>IV</c:v>
                </c:pt>
                <c:pt idx="96">
                  <c:v>IV</c:v>
                </c:pt>
                <c:pt idx="97">
                  <c:v>IV</c:v>
                </c:pt>
                <c:pt idx="98">
                  <c:v>IV</c:v>
                </c:pt>
                <c:pt idx="99">
                  <c:v>IV</c:v>
                </c:pt>
                <c:pt idx="100">
                  <c:v>IV</c:v>
                </c:pt>
                <c:pt idx="101">
                  <c:v>IV</c:v>
                </c:pt>
                <c:pt idx="102">
                  <c:v>IV</c:v>
                </c:pt>
                <c:pt idx="103">
                  <c:v>IV</c:v>
                </c:pt>
                <c:pt idx="104">
                  <c:v>IV</c:v>
                </c:pt>
                <c:pt idx="105">
                  <c:v>IV</c:v>
                </c:pt>
                <c:pt idx="106">
                  <c:v>IV</c:v>
                </c:pt>
                <c:pt idx="107">
                  <c:v>IV</c:v>
                </c:pt>
                <c:pt idx="108">
                  <c:v>IV</c:v>
                </c:pt>
                <c:pt idx="109">
                  <c:v>IV</c:v>
                </c:pt>
                <c:pt idx="110">
                  <c:v>IV</c:v>
                </c:pt>
                <c:pt idx="111">
                  <c:v>IV</c:v>
                </c:pt>
                <c:pt idx="112">
                  <c:v>IV</c:v>
                </c:pt>
                <c:pt idx="113">
                  <c:v>IV</c:v>
                </c:pt>
                <c:pt idx="114">
                  <c:v>IV</c:v>
                </c:pt>
                <c:pt idx="115">
                  <c:v>IV</c:v>
                </c:pt>
                <c:pt idx="116">
                  <c:v>IV</c:v>
                </c:pt>
                <c:pt idx="117">
                  <c:v>IV</c:v>
                </c:pt>
                <c:pt idx="118">
                  <c:v>IV</c:v>
                </c:pt>
                <c:pt idx="119">
                  <c:v>IV</c:v>
                </c:pt>
                <c:pt idx="120">
                  <c:v>V</c:v>
                </c:pt>
                <c:pt idx="121">
                  <c:v>V</c:v>
                </c:pt>
                <c:pt idx="122">
                  <c:v>V</c:v>
                </c:pt>
                <c:pt idx="123">
                  <c:v>V</c:v>
                </c:pt>
                <c:pt idx="124">
                  <c:v>V</c:v>
                </c:pt>
                <c:pt idx="125">
                  <c:v>V</c:v>
                </c:pt>
                <c:pt idx="126">
                  <c:v>V</c:v>
                </c:pt>
                <c:pt idx="127">
                  <c:v>V</c:v>
                </c:pt>
                <c:pt idx="128">
                  <c:v>V</c:v>
                </c:pt>
                <c:pt idx="129">
                  <c:v>V</c:v>
                </c:pt>
                <c:pt idx="130">
                  <c:v>V</c:v>
                </c:pt>
                <c:pt idx="131">
                  <c:v>V</c:v>
                </c:pt>
                <c:pt idx="132">
                  <c:v>V</c:v>
                </c:pt>
                <c:pt idx="133">
                  <c:v>V</c:v>
                </c:pt>
                <c:pt idx="134">
                  <c:v>V</c:v>
                </c:pt>
                <c:pt idx="135">
                  <c:v>V</c:v>
                </c:pt>
                <c:pt idx="136">
                  <c:v>V</c:v>
                </c:pt>
                <c:pt idx="137">
                  <c:v>V</c:v>
                </c:pt>
                <c:pt idx="138">
                  <c:v>V</c:v>
                </c:pt>
                <c:pt idx="139">
                  <c:v>V</c:v>
                </c:pt>
                <c:pt idx="140">
                  <c:v>V</c:v>
                </c:pt>
                <c:pt idx="141">
                  <c:v>V</c:v>
                </c:pt>
                <c:pt idx="142">
                  <c:v>V</c:v>
                </c:pt>
                <c:pt idx="143">
                  <c:v>V</c:v>
                </c:pt>
                <c:pt idx="144">
                  <c:v>V</c:v>
                </c:pt>
                <c:pt idx="145">
                  <c:v>V</c:v>
                </c:pt>
                <c:pt idx="146">
                  <c:v>V</c:v>
                </c:pt>
                <c:pt idx="147">
                  <c:v>V</c:v>
                </c:pt>
                <c:pt idx="148">
                  <c:v>V</c:v>
                </c:pt>
                <c:pt idx="149">
                  <c:v>V</c:v>
                </c:pt>
                <c:pt idx="150">
                  <c:v>VI</c:v>
                </c:pt>
                <c:pt idx="151">
                  <c:v>VI</c:v>
                </c:pt>
                <c:pt idx="152">
                  <c:v>VI</c:v>
                </c:pt>
                <c:pt idx="153">
                  <c:v>VI</c:v>
                </c:pt>
                <c:pt idx="154">
                  <c:v>VI</c:v>
                </c:pt>
                <c:pt idx="155">
                  <c:v>VI</c:v>
                </c:pt>
                <c:pt idx="156">
                  <c:v>VI</c:v>
                </c:pt>
                <c:pt idx="157">
                  <c:v>VI</c:v>
                </c:pt>
                <c:pt idx="158">
                  <c:v>VI</c:v>
                </c:pt>
                <c:pt idx="159">
                  <c:v>VI</c:v>
                </c:pt>
                <c:pt idx="160">
                  <c:v>VI</c:v>
                </c:pt>
                <c:pt idx="161">
                  <c:v>VI</c:v>
                </c:pt>
                <c:pt idx="162">
                  <c:v>VI</c:v>
                </c:pt>
                <c:pt idx="163">
                  <c:v>VI</c:v>
                </c:pt>
                <c:pt idx="164">
                  <c:v>VI</c:v>
                </c:pt>
                <c:pt idx="165">
                  <c:v>VI</c:v>
                </c:pt>
                <c:pt idx="166">
                  <c:v>VI</c:v>
                </c:pt>
                <c:pt idx="167">
                  <c:v>VI</c:v>
                </c:pt>
                <c:pt idx="168">
                  <c:v>VI</c:v>
                </c:pt>
                <c:pt idx="169">
                  <c:v>VI</c:v>
                </c:pt>
                <c:pt idx="170">
                  <c:v>VI</c:v>
                </c:pt>
                <c:pt idx="171">
                  <c:v>VI</c:v>
                </c:pt>
                <c:pt idx="172">
                  <c:v>VI</c:v>
                </c:pt>
                <c:pt idx="173">
                  <c:v>VI</c:v>
                </c:pt>
                <c:pt idx="174">
                  <c:v>VI</c:v>
                </c:pt>
                <c:pt idx="175">
                  <c:v>VI</c:v>
                </c:pt>
                <c:pt idx="176">
                  <c:v>VI</c:v>
                </c:pt>
                <c:pt idx="177">
                  <c:v>VI</c:v>
                </c:pt>
                <c:pt idx="178">
                  <c:v>VI</c:v>
                </c:pt>
                <c:pt idx="179">
                  <c:v>VI</c:v>
                </c:pt>
                <c:pt idx="180">
                  <c:v>VII</c:v>
                </c:pt>
                <c:pt idx="181">
                  <c:v>VII</c:v>
                </c:pt>
                <c:pt idx="182">
                  <c:v>VII</c:v>
                </c:pt>
                <c:pt idx="183">
                  <c:v>VII</c:v>
                </c:pt>
                <c:pt idx="184">
                  <c:v>VII</c:v>
                </c:pt>
                <c:pt idx="185">
                  <c:v>VII</c:v>
                </c:pt>
                <c:pt idx="186">
                  <c:v>VII</c:v>
                </c:pt>
                <c:pt idx="187">
                  <c:v>VII</c:v>
                </c:pt>
                <c:pt idx="188">
                  <c:v>VII</c:v>
                </c:pt>
                <c:pt idx="189">
                  <c:v>VII</c:v>
                </c:pt>
                <c:pt idx="190">
                  <c:v>VII</c:v>
                </c:pt>
                <c:pt idx="191">
                  <c:v>VII</c:v>
                </c:pt>
                <c:pt idx="192">
                  <c:v>VII</c:v>
                </c:pt>
                <c:pt idx="193">
                  <c:v>VII</c:v>
                </c:pt>
                <c:pt idx="194">
                  <c:v>VII</c:v>
                </c:pt>
                <c:pt idx="195">
                  <c:v>VII</c:v>
                </c:pt>
                <c:pt idx="196">
                  <c:v>VII</c:v>
                </c:pt>
                <c:pt idx="197">
                  <c:v>VII</c:v>
                </c:pt>
                <c:pt idx="198">
                  <c:v>VII</c:v>
                </c:pt>
                <c:pt idx="199">
                  <c:v>VII</c:v>
                </c:pt>
                <c:pt idx="200">
                  <c:v>VII</c:v>
                </c:pt>
                <c:pt idx="201">
                  <c:v>VII</c:v>
                </c:pt>
                <c:pt idx="202">
                  <c:v>VII</c:v>
                </c:pt>
                <c:pt idx="203">
                  <c:v>VII</c:v>
                </c:pt>
                <c:pt idx="204">
                  <c:v>VII</c:v>
                </c:pt>
                <c:pt idx="205">
                  <c:v>VII</c:v>
                </c:pt>
                <c:pt idx="206">
                  <c:v>VII</c:v>
                </c:pt>
                <c:pt idx="207">
                  <c:v>VII</c:v>
                </c:pt>
                <c:pt idx="208">
                  <c:v>VII</c:v>
                </c:pt>
                <c:pt idx="209">
                  <c:v>VII</c:v>
                </c:pt>
                <c:pt idx="210">
                  <c:v>VIII</c:v>
                </c:pt>
                <c:pt idx="211">
                  <c:v>VIII</c:v>
                </c:pt>
                <c:pt idx="212">
                  <c:v>VIII</c:v>
                </c:pt>
                <c:pt idx="213">
                  <c:v>VIII</c:v>
                </c:pt>
                <c:pt idx="214">
                  <c:v>VIII</c:v>
                </c:pt>
                <c:pt idx="215">
                  <c:v>VIII</c:v>
                </c:pt>
                <c:pt idx="216">
                  <c:v>VIII</c:v>
                </c:pt>
                <c:pt idx="217">
                  <c:v>VIII</c:v>
                </c:pt>
                <c:pt idx="218">
                  <c:v>VIII</c:v>
                </c:pt>
                <c:pt idx="219">
                  <c:v>VIII</c:v>
                </c:pt>
                <c:pt idx="220">
                  <c:v>VIII</c:v>
                </c:pt>
                <c:pt idx="221">
                  <c:v>VIII</c:v>
                </c:pt>
                <c:pt idx="222">
                  <c:v>VIII</c:v>
                </c:pt>
                <c:pt idx="223">
                  <c:v>VIII</c:v>
                </c:pt>
                <c:pt idx="224">
                  <c:v>VIII</c:v>
                </c:pt>
                <c:pt idx="225">
                  <c:v>VIII</c:v>
                </c:pt>
                <c:pt idx="226">
                  <c:v>VIII</c:v>
                </c:pt>
                <c:pt idx="227">
                  <c:v>VIII</c:v>
                </c:pt>
                <c:pt idx="228">
                  <c:v>VIII</c:v>
                </c:pt>
                <c:pt idx="229">
                  <c:v>VIII</c:v>
                </c:pt>
                <c:pt idx="230">
                  <c:v>VIII</c:v>
                </c:pt>
                <c:pt idx="231">
                  <c:v>VIII</c:v>
                </c:pt>
                <c:pt idx="232">
                  <c:v>VIII</c:v>
                </c:pt>
                <c:pt idx="233">
                  <c:v>VIII</c:v>
                </c:pt>
                <c:pt idx="234">
                  <c:v>VIII</c:v>
                </c:pt>
                <c:pt idx="235">
                  <c:v>VIII</c:v>
                </c:pt>
                <c:pt idx="236">
                  <c:v>VIII</c:v>
                </c:pt>
                <c:pt idx="237">
                  <c:v>VIII</c:v>
                </c:pt>
                <c:pt idx="238">
                  <c:v>VIII</c:v>
                </c:pt>
                <c:pt idx="239">
                  <c:v>VIII</c:v>
                </c:pt>
                <c:pt idx="240">
                  <c:v>VIII</c:v>
                </c:pt>
                <c:pt idx="241">
                  <c:v>IX</c:v>
                </c:pt>
                <c:pt idx="242">
                  <c:v>IX</c:v>
                </c:pt>
                <c:pt idx="243">
                  <c:v>IX</c:v>
                </c:pt>
                <c:pt idx="244">
                  <c:v>IX</c:v>
                </c:pt>
                <c:pt idx="245">
                  <c:v>IX</c:v>
                </c:pt>
                <c:pt idx="246">
                  <c:v>IX</c:v>
                </c:pt>
                <c:pt idx="247">
                  <c:v>IX</c:v>
                </c:pt>
                <c:pt idx="248">
                  <c:v>IX</c:v>
                </c:pt>
                <c:pt idx="249">
                  <c:v>IX</c:v>
                </c:pt>
                <c:pt idx="250">
                  <c:v>IX</c:v>
                </c:pt>
                <c:pt idx="251">
                  <c:v>IX</c:v>
                </c:pt>
                <c:pt idx="252">
                  <c:v>IX</c:v>
                </c:pt>
                <c:pt idx="253">
                  <c:v>IX</c:v>
                </c:pt>
                <c:pt idx="254">
                  <c:v>IX</c:v>
                </c:pt>
                <c:pt idx="255">
                  <c:v>IX</c:v>
                </c:pt>
                <c:pt idx="256">
                  <c:v>IX</c:v>
                </c:pt>
                <c:pt idx="257">
                  <c:v>IX</c:v>
                </c:pt>
                <c:pt idx="258">
                  <c:v>IX</c:v>
                </c:pt>
                <c:pt idx="259">
                  <c:v>IX</c:v>
                </c:pt>
                <c:pt idx="260">
                  <c:v>IX</c:v>
                </c:pt>
                <c:pt idx="261">
                  <c:v>IX</c:v>
                </c:pt>
                <c:pt idx="262">
                  <c:v>IX</c:v>
                </c:pt>
                <c:pt idx="263">
                  <c:v>IX</c:v>
                </c:pt>
                <c:pt idx="264">
                  <c:v>IX</c:v>
                </c:pt>
                <c:pt idx="265">
                  <c:v>IX</c:v>
                </c:pt>
                <c:pt idx="266">
                  <c:v>IX</c:v>
                </c:pt>
                <c:pt idx="267">
                  <c:v>IX</c:v>
                </c:pt>
                <c:pt idx="268">
                  <c:v>IX</c:v>
                </c:pt>
                <c:pt idx="269">
                  <c:v>IX</c:v>
                </c:pt>
                <c:pt idx="270">
                  <c:v>IX</c:v>
                </c:pt>
                <c:pt idx="271">
                  <c:v>X</c:v>
                </c:pt>
                <c:pt idx="272">
                  <c:v>X</c:v>
                </c:pt>
                <c:pt idx="273">
                  <c:v>X</c:v>
                </c:pt>
                <c:pt idx="274">
                  <c:v>X</c:v>
                </c:pt>
                <c:pt idx="275">
                  <c:v>X</c:v>
                </c:pt>
                <c:pt idx="276">
                  <c:v>X</c:v>
                </c:pt>
                <c:pt idx="277">
                  <c:v>X</c:v>
                </c:pt>
                <c:pt idx="278">
                  <c:v>X</c:v>
                </c:pt>
                <c:pt idx="279">
                  <c:v>X</c:v>
                </c:pt>
                <c:pt idx="280">
                  <c:v>X</c:v>
                </c:pt>
                <c:pt idx="281">
                  <c:v>X</c:v>
                </c:pt>
                <c:pt idx="282">
                  <c:v>X</c:v>
                </c:pt>
                <c:pt idx="283">
                  <c:v>X</c:v>
                </c:pt>
                <c:pt idx="284">
                  <c:v>X</c:v>
                </c:pt>
                <c:pt idx="285">
                  <c:v>X</c:v>
                </c:pt>
                <c:pt idx="286">
                  <c:v>X</c:v>
                </c:pt>
                <c:pt idx="287">
                  <c:v>X</c:v>
                </c:pt>
                <c:pt idx="288">
                  <c:v>X</c:v>
                </c:pt>
                <c:pt idx="289">
                  <c:v>X</c:v>
                </c:pt>
                <c:pt idx="290">
                  <c:v>X</c:v>
                </c:pt>
                <c:pt idx="291">
                  <c:v>X</c:v>
                </c:pt>
                <c:pt idx="292">
                  <c:v>X</c:v>
                </c:pt>
                <c:pt idx="293">
                  <c:v>X</c:v>
                </c:pt>
                <c:pt idx="294">
                  <c:v>X</c:v>
                </c:pt>
                <c:pt idx="295">
                  <c:v>X</c:v>
                </c:pt>
                <c:pt idx="296">
                  <c:v>X</c:v>
                </c:pt>
                <c:pt idx="297">
                  <c:v>X</c:v>
                </c:pt>
                <c:pt idx="298">
                  <c:v>X</c:v>
                </c:pt>
                <c:pt idx="299">
                  <c:v>X</c:v>
                </c:pt>
                <c:pt idx="300">
                  <c:v>X</c:v>
                </c:pt>
                <c:pt idx="301">
                  <c:v>X</c:v>
                </c:pt>
                <c:pt idx="302">
                  <c:v>X</c:v>
                </c:pt>
                <c:pt idx="303">
                  <c:v>XI</c:v>
                </c:pt>
                <c:pt idx="304">
                  <c:v>XI</c:v>
                </c:pt>
                <c:pt idx="305">
                  <c:v>XI</c:v>
                </c:pt>
                <c:pt idx="306">
                  <c:v>XI</c:v>
                </c:pt>
                <c:pt idx="307">
                  <c:v>XI</c:v>
                </c:pt>
                <c:pt idx="308">
                  <c:v>XI</c:v>
                </c:pt>
                <c:pt idx="309">
                  <c:v>XI</c:v>
                </c:pt>
                <c:pt idx="310">
                  <c:v>XI</c:v>
                </c:pt>
                <c:pt idx="311">
                  <c:v>XI</c:v>
                </c:pt>
                <c:pt idx="312">
                  <c:v>XI</c:v>
                </c:pt>
                <c:pt idx="313">
                  <c:v>XI</c:v>
                </c:pt>
                <c:pt idx="314">
                  <c:v>XI</c:v>
                </c:pt>
                <c:pt idx="315">
                  <c:v>XI</c:v>
                </c:pt>
                <c:pt idx="316">
                  <c:v>XI</c:v>
                </c:pt>
                <c:pt idx="317">
                  <c:v>XI</c:v>
                </c:pt>
                <c:pt idx="318">
                  <c:v>XI</c:v>
                </c:pt>
                <c:pt idx="319">
                  <c:v>XI</c:v>
                </c:pt>
                <c:pt idx="320">
                  <c:v>XI</c:v>
                </c:pt>
                <c:pt idx="321">
                  <c:v>XI</c:v>
                </c:pt>
                <c:pt idx="322">
                  <c:v>XI</c:v>
                </c:pt>
                <c:pt idx="323">
                  <c:v>XI</c:v>
                </c:pt>
                <c:pt idx="324">
                  <c:v>XI</c:v>
                </c:pt>
                <c:pt idx="325">
                  <c:v>XI</c:v>
                </c:pt>
                <c:pt idx="326">
                  <c:v>XI</c:v>
                </c:pt>
                <c:pt idx="327">
                  <c:v>XI</c:v>
                </c:pt>
                <c:pt idx="328">
                  <c:v>XI</c:v>
                </c:pt>
                <c:pt idx="329">
                  <c:v>XI</c:v>
                </c:pt>
                <c:pt idx="330">
                  <c:v>XI</c:v>
                </c:pt>
                <c:pt idx="331">
                  <c:v>XI</c:v>
                </c:pt>
                <c:pt idx="332">
                  <c:v>XI</c:v>
                </c:pt>
                <c:pt idx="333">
                  <c:v>XI</c:v>
                </c:pt>
                <c:pt idx="334">
                  <c:v>XII</c:v>
                </c:pt>
                <c:pt idx="335">
                  <c:v>XII</c:v>
                </c:pt>
                <c:pt idx="336">
                  <c:v>XII</c:v>
                </c:pt>
                <c:pt idx="337">
                  <c:v>XII</c:v>
                </c:pt>
                <c:pt idx="338">
                  <c:v>XII</c:v>
                </c:pt>
                <c:pt idx="339">
                  <c:v>XII</c:v>
                </c:pt>
                <c:pt idx="340">
                  <c:v>XII</c:v>
                </c:pt>
                <c:pt idx="341">
                  <c:v>XII</c:v>
                </c:pt>
                <c:pt idx="342">
                  <c:v>XII</c:v>
                </c:pt>
                <c:pt idx="343">
                  <c:v>XII</c:v>
                </c:pt>
                <c:pt idx="344">
                  <c:v>XII</c:v>
                </c:pt>
                <c:pt idx="345">
                  <c:v>XII</c:v>
                </c:pt>
                <c:pt idx="346">
                  <c:v>XII</c:v>
                </c:pt>
                <c:pt idx="347">
                  <c:v>XII</c:v>
                </c:pt>
                <c:pt idx="348">
                  <c:v>XII</c:v>
                </c:pt>
                <c:pt idx="349">
                  <c:v>XII</c:v>
                </c:pt>
                <c:pt idx="350">
                  <c:v>XII</c:v>
                </c:pt>
                <c:pt idx="351">
                  <c:v>XII</c:v>
                </c:pt>
                <c:pt idx="352">
                  <c:v>XII</c:v>
                </c:pt>
                <c:pt idx="353">
                  <c:v>XII</c:v>
                </c:pt>
                <c:pt idx="354">
                  <c:v>XII</c:v>
                </c:pt>
                <c:pt idx="355">
                  <c:v>XII</c:v>
                </c:pt>
                <c:pt idx="356">
                  <c:v>XII</c:v>
                </c:pt>
                <c:pt idx="357">
                  <c:v>XII</c:v>
                </c:pt>
                <c:pt idx="358">
                  <c:v>XII</c:v>
                </c:pt>
                <c:pt idx="359">
                  <c:v>XII</c:v>
                </c:pt>
                <c:pt idx="360">
                  <c:v>XII</c:v>
                </c:pt>
                <c:pt idx="361">
                  <c:v>XII</c:v>
                </c:pt>
                <c:pt idx="362">
                  <c:v>XII</c:v>
                </c:pt>
                <c:pt idx="363">
                  <c:v>XII</c:v>
                </c:pt>
                <c:pt idx="364">
                  <c:v>XII</c:v>
                </c:pt>
                <c:pt idx="365">
                  <c:v>XII</c:v>
                </c:pt>
              </c:strCache>
            </c:strRef>
          </c:cat>
          <c:val>
            <c:numRef>
              <c:f>'Benzen - 3 stacje - wykres'!$C$7:$C$372</c:f>
              <c:numCache>
                <c:formatCode>General</c:formatCode>
                <c:ptCount val="366"/>
                <c:pt idx="0">
                  <c:v>35.640999999999998</c:v>
                </c:pt>
                <c:pt idx="1">
                  <c:v>35.640999999999998</c:v>
                </c:pt>
                <c:pt idx="2">
                  <c:v>35.640999999999998</c:v>
                </c:pt>
                <c:pt idx="3">
                  <c:v>35.640999999999998</c:v>
                </c:pt>
                <c:pt idx="4">
                  <c:v>35.640999999999998</c:v>
                </c:pt>
                <c:pt idx="5">
                  <c:v>19.635000000000002</c:v>
                </c:pt>
                <c:pt idx="6">
                  <c:v>19.635000000000002</c:v>
                </c:pt>
                <c:pt idx="7">
                  <c:v>19.635000000000002</c:v>
                </c:pt>
                <c:pt idx="8">
                  <c:v>19.635000000000002</c:v>
                </c:pt>
                <c:pt idx="9">
                  <c:v>19.635000000000002</c:v>
                </c:pt>
                <c:pt idx="10">
                  <c:v>19.635000000000002</c:v>
                </c:pt>
                <c:pt idx="11">
                  <c:v>19.635000000000002</c:v>
                </c:pt>
                <c:pt idx="12">
                  <c:v>33.994999999999997</c:v>
                </c:pt>
                <c:pt idx="13">
                  <c:v>33.994999999999997</c:v>
                </c:pt>
                <c:pt idx="14">
                  <c:v>33.994999999999997</c:v>
                </c:pt>
                <c:pt idx="15">
                  <c:v>33.994999999999997</c:v>
                </c:pt>
                <c:pt idx="16">
                  <c:v>33.994999999999997</c:v>
                </c:pt>
                <c:pt idx="17">
                  <c:v>33.994999999999997</c:v>
                </c:pt>
                <c:pt idx="18">
                  <c:v>33.994999999999997</c:v>
                </c:pt>
                <c:pt idx="19">
                  <c:v>15.500999999999999</c:v>
                </c:pt>
                <c:pt idx="20">
                  <c:v>15.500999999999999</c:v>
                </c:pt>
                <c:pt idx="21">
                  <c:v>15.500999999999999</c:v>
                </c:pt>
                <c:pt idx="22">
                  <c:v>15.500999999999999</c:v>
                </c:pt>
                <c:pt idx="23">
                  <c:v>15.500999999999999</c:v>
                </c:pt>
                <c:pt idx="24">
                  <c:v>15.500999999999999</c:v>
                </c:pt>
                <c:pt idx="25">
                  <c:v>15.500999999999999</c:v>
                </c:pt>
                <c:pt idx="26">
                  <c:v>11.971</c:v>
                </c:pt>
                <c:pt idx="27">
                  <c:v>11.971</c:v>
                </c:pt>
                <c:pt idx="28">
                  <c:v>11.971</c:v>
                </c:pt>
                <c:pt idx="29">
                  <c:v>11.971</c:v>
                </c:pt>
                <c:pt idx="30">
                  <c:v>11.971</c:v>
                </c:pt>
                <c:pt idx="31">
                  <c:v>11.971</c:v>
                </c:pt>
                <c:pt idx="33">
                  <c:v>14.268000000000001</c:v>
                </c:pt>
                <c:pt idx="34">
                  <c:v>14.268000000000001</c:v>
                </c:pt>
                <c:pt idx="35">
                  <c:v>14.268000000000001</c:v>
                </c:pt>
                <c:pt idx="36">
                  <c:v>14.268000000000001</c:v>
                </c:pt>
                <c:pt idx="37">
                  <c:v>14.268000000000001</c:v>
                </c:pt>
                <c:pt idx="38">
                  <c:v>14.268000000000001</c:v>
                </c:pt>
                <c:pt idx="39">
                  <c:v>14.268000000000001</c:v>
                </c:pt>
                <c:pt idx="40">
                  <c:v>7.1349999999999998</c:v>
                </c:pt>
                <c:pt idx="41">
                  <c:v>7.1349999999999998</c:v>
                </c:pt>
                <c:pt idx="42">
                  <c:v>7.1349999999999998</c:v>
                </c:pt>
                <c:pt idx="43">
                  <c:v>7.1349999999999998</c:v>
                </c:pt>
                <c:pt idx="44">
                  <c:v>7.1349999999999998</c:v>
                </c:pt>
                <c:pt idx="45">
                  <c:v>7.1349999999999998</c:v>
                </c:pt>
                <c:pt idx="46">
                  <c:v>7.1349999999999998</c:v>
                </c:pt>
                <c:pt idx="47">
                  <c:v>4.1559999999999997</c:v>
                </c:pt>
                <c:pt idx="48">
                  <c:v>4.1559999999999997</c:v>
                </c:pt>
                <c:pt idx="49">
                  <c:v>4.1559999999999997</c:v>
                </c:pt>
                <c:pt idx="50">
                  <c:v>4.1559999999999997</c:v>
                </c:pt>
                <c:pt idx="51">
                  <c:v>4.1559999999999997</c:v>
                </c:pt>
                <c:pt idx="52">
                  <c:v>4.1559999999999997</c:v>
                </c:pt>
                <c:pt idx="53">
                  <c:v>4.1559999999999997</c:v>
                </c:pt>
                <c:pt idx="54">
                  <c:v>6.1719999999999997</c:v>
                </c:pt>
                <c:pt idx="55">
                  <c:v>6.1719999999999997</c:v>
                </c:pt>
                <c:pt idx="56">
                  <c:v>6.1719999999999997</c:v>
                </c:pt>
                <c:pt idx="57">
                  <c:v>6.1719999999999997</c:v>
                </c:pt>
                <c:pt idx="58">
                  <c:v>6.1719999999999997</c:v>
                </c:pt>
                <c:pt idx="59">
                  <c:v>6.1719999999999997</c:v>
                </c:pt>
                <c:pt idx="60">
                  <c:v>6.1719999999999997</c:v>
                </c:pt>
                <c:pt idx="61">
                  <c:v>13.61</c:v>
                </c:pt>
                <c:pt idx="62">
                  <c:v>13.61</c:v>
                </c:pt>
                <c:pt idx="63">
                  <c:v>13.61</c:v>
                </c:pt>
                <c:pt idx="64">
                  <c:v>13.61</c:v>
                </c:pt>
                <c:pt idx="65">
                  <c:v>13.61</c:v>
                </c:pt>
                <c:pt idx="66">
                  <c:v>13.61</c:v>
                </c:pt>
                <c:pt idx="67">
                  <c:v>13.61</c:v>
                </c:pt>
                <c:pt idx="68">
                  <c:v>9.8759999999999994</c:v>
                </c:pt>
                <c:pt idx="69">
                  <c:v>9.8759999999999994</c:v>
                </c:pt>
                <c:pt idx="70">
                  <c:v>9.8759999999999994</c:v>
                </c:pt>
                <c:pt idx="71">
                  <c:v>9.8759999999999994</c:v>
                </c:pt>
                <c:pt idx="72">
                  <c:v>9.8759999999999994</c:v>
                </c:pt>
                <c:pt idx="73">
                  <c:v>9.8759999999999994</c:v>
                </c:pt>
                <c:pt idx="74">
                  <c:v>9.8759999999999994</c:v>
                </c:pt>
                <c:pt idx="75">
                  <c:v>11.416</c:v>
                </c:pt>
                <c:pt idx="76">
                  <c:v>11.416</c:v>
                </c:pt>
                <c:pt idx="77">
                  <c:v>11.416</c:v>
                </c:pt>
                <c:pt idx="78">
                  <c:v>11.416</c:v>
                </c:pt>
                <c:pt idx="79">
                  <c:v>11.416</c:v>
                </c:pt>
                <c:pt idx="80">
                  <c:v>11.416</c:v>
                </c:pt>
                <c:pt idx="81">
                  <c:v>11.416</c:v>
                </c:pt>
                <c:pt idx="82">
                  <c:v>14.047000000000001</c:v>
                </c:pt>
                <c:pt idx="83">
                  <c:v>14.047000000000001</c:v>
                </c:pt>
                <c:pt idx="84">
                  <c:v>14.047000000000001</c:v>
                </c:pt>
                <c:pt idx="85">
                  <c:v>14.047000000000001</c:v>
                </c:pt>
                <c:pt idx="86">
                  <c:v>14.047000000000001</c:v>
                </c:pt>
                <c:pt idx="87">
                  <c:v>14.047000000000001</c:v>
                </c:pt>
                <c:pt idx="88">
                  <c:v>14.047000000000001</c:v>
                </c:pt>
                <c:pt idx="89">
                  <c:v>13.523999999999999</c:v>
                </c:pt>
                <c:pt idx="90">
                  <c:v>13.523999999999999</c:v>
                </c:pt>
                <c:pt idx="91">
                  <c:v>13.523999999999999</c:v>
                </c:pt>
                <c:pt idx="92">
                  <c:v>13.523999999999999</c:v>
                </c:pt>
                <c:pt idx="93">
                  <c:v>13.523999999999999</c:v>
                </c:pt>
                <c:pt idx="94">
                  <c:v>13.523999999999999</c:v>
                </c:pt>
                <c:pt idx="95">
                  <c:v>13.523999999999999</c:v>
                </c:pt>
                <c:pt idx="96">
                  <c:v>6.9960000000000004</c:v>
                </c:pt>
                <c:pt idx="97">
                  <c:v>6.9960000000000004</c:v>
                </c:pt>
                <c:pt idx="98">
                  <c:v>6.9960000000000004</c:v>
                </c:pt>
                <c:pt idx="99">
                  <c:v>6.9960000000000004</c:v>
                </c:pt>
                <c:pt idx="100">
                  <c:v>6.9960000000000004</c:v>
                </c:pt>
                <c:pt idx="101">
                  <c:v>6.9960000000000004</c:v>
                </c:pt>
                <c:pt idx="102">
                  <c:v>6.9960000000000004</c:v>
                </c:pt>
                <c:pt idx="103">
                  <c:v>9.69</c:v>
                </c:pt>
                <c:pt idx="104">
                  <c:v>9.69</c:v>
                </c:pt>
                <c:pt idx="105">
                  <c:v>9.69</c:v>
                </c:pt>
                <c:pt idx="106">
                  <c:v>9.69</c:v>
                </c:pt>
                <c:pt idx="107">
                  <c:v>9.69</c:v>
                </c:pt>
                <c:pt idx="108">
                  <c:v>9.69</c:v>
                </c:pt>
                <c:pt idx="109">
                  <c:v>9.69</c:v>
                </c:pt>
                <c:pt idx="110">
                  <c:v>8.1180000000000003</c:v>
                </c:pt>
                <c:pt idx="111">
                  <c:v>8.1180000000000003</c:v>
                </c:pt>
                <c:pt idx="112">
                  <c:v>8.1180000000000003</c:v>
                </c:pt>
                <c:pt idx="113">
                  <c:v>8.1180000000000003</c:v>
                </c:pt>
                <c:pt idx="114">
                  <c:v>8.1180000000000003</c:v>
                </c:pt>
                <c:pt idx="115">
                  <c:v>8.1180000000000003</c:v>
                </c:pt>
                <c:pt idx="116">
                  <c:v>8.1180000000000003</c:v>
                </c:pt>
                <c:pt idx="117">
                  <c:v>7.86</c:v>
                </c:pt>
                <c:pt idx="118">
                  <c:v>7.86</c:v>
                </c:pt>
                <c:pt idx="119">
                  <c:v>7.86</c:v>
                </c:pt>
                <c:pt idx="120">
                  <c:v>7.86</c:v>
                </c:pt>
                <c:pt idx="121">
                  <c:v>7.86</c:v>
                </c:pt>
                <c:pt idx="122">
                  <c:v>7.86</c:v>
                </c:pt>
                <c:pt idx="123">
                  <c:v>7.86</c:v>
                </c:pt>
                <c:pt idx="124">
                  <c:v>3.3889999999999998</c:v>
                </c:pt>
                <c:pt idx="125">
                  <c:v>3.3889999999999998</c:v>
                </c:pt>
                <c:pt idx="126">
                  <c:v>3.3889999999999998</c:v>
                </c:pt>
                <c:pt idx="127">
                  <c:v>3.3889999999999998</c:v>
                </c:pt>
                <c:pt idx="128">
                  <c:v>3.3889999999999998</c:v>
                </c:pt>
                <c:pt idx="129">
                  <c:v>3.3889999999999998</c:v>
                </c:pt>
                <c:pt idx="130">
                  <c:v>3.3889999999999998</c:v>
                </c:pt>
                <c:pt idx="131">
                  <c:v>3.476</c:v>
                </c:pt>
                <c:pt idx="132">
                  <c:v>3.476</c:v>
                </c:pt>
                <c:pt idx="133">
                  <c:v>3.476</c:v>
                </c:pt>
                <c:pt idx="134">
                  <c:v>3.476</c:v>
                </c:pt>
                <c:pt idx="135">
                  <c:v>3.476</c:v>
                </c:pt>
                <c:pt idx="136">
                  <c:v>3.476</c:v>
                </c:pt>
                <c:pt idx="137">
                  <c:v>3.476</c:v>
                </c:pt>
                <c:pt idx="138">
                  <c:v>1.627</c:v>
                </c:pt>
                <c:pt idx="139">
                  <c:v>1.627</c:v>
                </c:pt>
                <c:pt idx="140">
                  <c:v>1.627</c:v>
                </c:pt>
                <c:pt idx="141">
                  <c:v>1.627</c:v>
                </c:pt>
                <c:pt idx="142">
                  <c:v>1.627</c:v>
                </c:pt>
                <c:pt idx="143">
                  <c:v>1.627</c:v>
                </c:pt>
                <c:pt idx="144">
                  <c:v>1.627</c:v>
                </c:pt>
                <c:pt idx="145">
                  <c:v>1.863</c:v>
                </c:pt>
                <c:pt idx="146">
                  <c:v>1.863</c:v>
                </c:pt>
                <c:pt idx="147">
                  <c:v>1.863</c:v>
                </c:pt>
                <c:pt idx="148">
                  <c:v>1.863</c:v>
                </c:pt>
                <c:pt idx="149">
                  <c:v>1.863</c:v>
                </c:pt>
                <c:pt idx="150">
                  <c:v>1.863</c:v>
                </c:pt>
                <c:pt idx="151">
                  <c:v>1.863</c:v>
                </c:pt>
                <c:pt idx="152">
                  <c:v>1.843</c:v>
                </c:pt>
                <c:pt idx="153">
                  <c:v>1.843</c:v>
                </c:pt>
                <c:pt idx="154">
                  <c:v>1.843</c:v>
                </c:pt>
                <c:pt idx="155">
                  <c:v>1.843</c:v>
                </c:pt>
                <c:pt idx="156">
                  <c:v>1.843</c:v>
                </c:pt>
                <c:pt idx="157">
                  <c:v>1.843</c:v>
                </c:pt>
                <c:pt idx="158">
                  <c:v>1.843</c:v>
                </c:pt>
                <c:pt idx="159">
                  <c:v>1.18</c:v>
                </c:pt>
                <c:pt idx="160">
                  <c:v>1.18</c:v>
                </c:pt>
                <c:pt idx="161">
                  <c:v>1.18</c:v>
                </c:pt>
                <c:pt idx="162">
                  <c:v>1.18</c:v>
                </c:pt>
                <c:pt idx="163">
                  <c:v>1.18</c:v>
                </c:pt>
                <c:pt idx="164">
                  <c:v>1.18</c:v>
                </c:pt>
                <c:pt idx="165">
                  <c:v>1.18</c:v>
                </c:pt>
                <c:pt idx="166">
                  <c:v>0.51900000000000002</c:v>
                </c:pt>
                <c:pt idx="167">
                  <c:v>0.51900000000000002</c:v>
                </c:pt>
                <c:pt idx="168">
                  <c:v>0.51900000000000002</c:v>
                </c:pt>
                <c:pt idx="169">
                  <c:v>0.51900000000000002</c:v>
                </c:pt>
                <c:pt idx="170">
                  <c:v>0.51900000000000002</c:v>
                </c:pt>
                <c:pt idx="171">
                  <c:v>0.51900000000000002</c:v>
                </c:pt>
                <c:pt idx="172">
                  <c:v>0.51900000000000002</c:v>
                </c:pt>
                <c:pt idx="173">
                  <c:v>0.54200000000000004</c:v>
                </c:pt>
                <c:pt idx="174">
                  <c:v>0.54200000000000004</c:v>
                </c:pt>
                <c:pt idx="175">
                  <c:v>0.54200000000000004</c:v>
                </c:pt>
                <c:pt idx="176">
                  <c:v>0.54200000000000004</c:v>
                </c:pt>
                <c:pt idx="177">
                  <c:v>0.54200000000000004</c:v>
                </c:pt>
                <c:pt idx="178">
                  <c:v>0.54200000000000004</c:v>
                </c:pt>
                <c:pt idx="179">
                  <c:v>0.54200000000000004</c:v>
                </c:pt>
                <c:pt idx="180">
                  <c:v>0.32700000000000001</c:v>
                </c:pt>
                <c:pt idx="181">
                  <c:v>0.32700000000000001</c:v>
                </c:pt>
                <c:pt idx="182">
                  <c:v>0.32700000000000001</c:v>
                </c:pt>
                <c:pt idx="183">
                  <c:v>0.32700000000000001</c:v>
                </c:pt>
                <c:pt idx="184">
                  <c:v>0.32700000000000001</c:v>
                </c:pt>
                <c:pt idx="185">
                  <c:v>0.32700000000000001</c:v>
                </c:pt>
                <c:pt idx="186">
                  <c:v>0.32700000000000001</c:v>
                </c:pt>
                <c:pt idx="187">
                  <c:v>0.77200000000000002</c:v>
                </c:pt>
                <c:pt idx="188">
                  <c:v>0.77200000000000002</c:v>
                </c:pt>
                <c:pt idx="189">
                  <c:v>0.77200000000000002</c:v>
                </c:pt>
                <c:pt idx="190">
                  <c:v>0.77200000000000002</c:v>
                </c:pt>
                <c:pt idx="191">
                  <c:v>0.77200000000000002</c:v>
                </c:pt>
                <c:pt idx="192">
                  <c:v>0.77200000000000002</c:v>
                </c:pt>
                <c:pt idx="193">
                  <c:v>0.77200000000000002</c:v>
                </c:pt>
                <c:pt idx="194">
                  <c:v>0.56699999999999995</c:v>
                </c:pt>
                <c:pt idx="195">
                  <c:v>0.56699999999999995</c:v>
                </c:pt>
                <c:pt idx="196">
                  <c:v>0.56699999999999995</c:v>
                </c:pt>
                <c:pt idx="197">
                  <c:v>0.56699999999999995</c:v>
                </c:pt>
                <c:pt idx="198">
                  <c:v>0.56699999999999995</c:v>
                </c:pt>
                <c:pt idx="199">
                  <c:v>0.56699999999999995</c:v>
                </c:pt>
                <c:pt idx="200">
                  <c:v>0.56699999999999995</c:v>
                </c:pt>
                <c:pt idx="201">
                  <c:v>0.623</c:v>
                </c:pt>
                <c:pt idx="202">
                  <c:v>0.623</c:v>
                </c:pt>
                <c:pt idx="203">
                  <c:v>0.623</c:v>
                </c:pt>
                <c:pt idx="204">
                  <c:v>0.623</c:v>
                </c:pt>
                <c:pt idx="205">
                  <c:v>0.623</c:v>
                </c:pt>
                <c:pt idx="206">
                  <c:v>0.623</c:v>
                </c:pt>
                <c:pt idx="207">
                  <c:v>0.623</c:v>
                </c:pt>
                <c:pt idx="208">
                  <c:v>0.54100000000000004</c:v>
                </c:pt>
                <c:pt idx="209">
                  <c:v>0.54100000000000004</c:v>
                </c:pt>
                <c:pt idx="210">
                  <c:v>0.54100000000000004</c:v>
                </c:pt>
                <c:pt idx="211">
                  <c:v>0.54100000000000004</c:v>
                </c:pt>
                <c:pt idx="212">
                  <c:v>0.54100000000000004</c:v>
                </c:pt>
                <c:pt idx="213">
                  <c:v>0.54100000000000004</c:v>
                </c:pt>
                <c:pt idx="214">
                  <c:v>0.54100000000000004</c:v>
                </c:pt>
                <c:pt idx="215">
                  <c:v>0.59599999999999997</c:v>
                </c:pt>
                <c:pt idx="216">
                  <c:v>0.59599999999999997</c:v>
                </c:pt>
                <c:pt idx="217">
                  <c:v>0.59599999999999997</c:v>
                </c:pt>
                <c:pt idx="218">
                  <c:v>0.59599999999999997</c:v>
                </c:pt>
                <c:pt idx="219">
                  <c:v>0.59599999999999997</c:v>
                </c:pt>
                <c:pt idx="220">
                  <c:v>0.59599999999999997</c:v>
                </c:pt>
                <c:pt idx="221">
                  <c:v>0.59599999999999997</c:v>
                </c:pt>
                <c:pt idx="222">
                  <c:v>0.51400000000000001</c:v>
                </c:pt>
                <c:pt idx="223">
                  <c:v>0.51400000000000001</c:v>
                </c:pt>
                <c:pt idx="224">
                  <c:v>0.51400000000000001</c:v>
                </c:pt>
                <c:pt idx="225">
                  <c:v>0.51400000000000001</c:v>
                </c:pt>
                <c:pt idx="226">
                  <c:v>0.51400000000000001</c:v>
                </c:pt>
                <c:pt idx="227">
                  <c:v>0.51400000000000001</c:v>
                </c:pt>
                <c:pt idx="228">
                  <c:v>0.51400000000000001</c:v>
                </c:pt>
                <c:pt idx="229">
                  <c:v>0.47299999999999998</c:v>
                </c:pt>
                <c:pt idx="230">
                  <c:v>0.47299999999999998</c:v>
                </c:pt>
                <c:pt idx="231">
                  <c:v>0.47299999999999998</c:v>
                </c:pt>
                <c:pt idx="232">
                  <c:v>0.47299999999999998</c:v>
                </c:pt>
                <c:pt idx="233">
                  <c:v>0.47299999999999998</c:v>
                </c:pt>
                <c:pt idx="234">
                  <c:v>0.47299999999999998</c:v>
                </c:pt>
                <c:pt idx="235">
                  <c:v>0.47299999999999998</c:v>
                </c:pt>
                <c:pt idx="236">
                  <c:v>0.91700000000000004</c:v>
                </c:pt>
                <c:pt idx="237">
                  <c:v>0.91700000000000004</c:v>
                </c:pt>
                <c:pt idx="238">
                  <c:v>0.91700000000000004</c:v>
                </c:pt>
                <c:pt idx="239">
                  <c:v>0.91700000000000004</c:v>
                </c:pt>
                <c:pt idx="240">
                  <c:v>0.91700000000000004</c:v>
                </c:pt>
                <c:pt idx="241">
                  <c:v>0.91700000000000004</c:v>
                </c:pt>
                <c:pt idx="242">
                  <c:v>0.91700000000000004</c:v>
                </c:pt>
                <c:pt idx="243">
                  <c:v>0.92300000000000004</c:v>
                </c:pt>
                <c:pt idx="244">
                  <c:v>0.92300000000000004</c:v>
                </c:pt>
                <c:pt idx="245">
                  <c:v>0.92300000000000004</c:v>
                </c:pt>
                <c:pt idx="246">
                  <c:v>0.92300000000000004</c:v>
                </c:pt>
                <c:pt idx="247">
                  <c:v>0.92300000000000004</c:v>
                </c:pt>
                <c:pt idx="248">
                  <c:v>0.92300000000000004</c:v>
                </c:pt>
                <c:pt idx="249">
                  <c:v>0.92300000000000004</c:v>
                </c:pt>
                <c:pt idx="250">
                  <c:v>2.0939999999999999</c:v>
                </c:pt>
                <c:pt idx="251">
                  <c:v>2.0939999999999999</c:v>
                </c:pt>
                <c:pt idx="252">
                  <c:v>2.0939999999999999</c:v>
                </c:pt>
                <c:pt idx="253">
                  <c:v>2.0939999999999999</c:v>
                </c:pt>
                <c:pt idx="254">
                  <c:v>2.0939999999999999</c:v>
                </c:pt>
                <c:pt idx="255">
                  <c:v>2.0939999999999999</c:v>
                </c:pt>
                <c:pt idx="256">
                  <c:v>2.0939999999999999</c:v>
                </c:pt>
                <c:pt idx="257">
                  <c:v>2.016</c:v>
                </c:pt>
                <c:pt idx="258">
                  <c:v>2.016</c:v>
                </c:pt>
                <c:pt idx="259">
                  <c:v>2.016</c:v>
                </c:pt>
                <c:pt idx="260">
                  <c:v>2.016</c:v>
                </c:pt>
                <c:pt idx="261">
                  <c:v>2.016</c:v>
                </c:pt>
                <c:pt idx="262">
                  <c:v>2.016</c:v>
                </c:pt>
                <c:pt idx="263">
                  <c:v>2.016</c:v>
                </c:pt>
                <c:pt idx="264">
                  <c:v>2.3410000000000002</c:v>
                </c:pt>
                <c:pt idx="265">
                  <c:v>2.3410000000000002</c:v>
                </c:pt>
                <c:pt idx="266">
                  <c:v>2.3410000000000002</c:v>
                </c:pt>
                <c:pt idx="267">
                  <c:v>2.3410000000000002</c:v>
                </c:pt>
                <c:pt idx="268">
                  <c:v>2.3410000000000002</c:v>
                </c:pt>
                <c:pt idx="269">
                  <c:v>2.3410000000000002</c:v>
                </c:pt>
                <c:pt idx="270">
                  <c:v>2.3410000000000002</c:v>
                </c:pt>
                <c:pt idx="271">
                  <c:v>2.3199999999999998</c:v>
                </c:pt>
                <c:pt idx="272">
                  <c:v>2.3199999999999998</c:v>
                </c:pt>
                <c:pt idx="273">
                  <c:v>2.3199999999999998</c:v>
                </c:pt>
                <c:pt idx="274">
                  <c:v>2.3199999999999998</c:v>
                </c:pt>
                <c:pt idx="275">
                  <c:v>2.3199999999999998</c:v>
                </c:pt>
                <c:pt idx="276">
                  <c:v>2.3199999999999998</c:v>
                </c:pt>
                <c:pt idx="277">
                  <c:v>2.3199999999999998</c:v>
                </c:pt>
                <c:pt idx="278">
                  <c:v>6.6689999999999996</c:v>
                </c:pt>
                <c:pt idx="279">
                  <c:v>6.6689999999999996</c:v>
                </c:pt>
                <c:pt idx="280">
                  <c:v>6.6689999999999996</c:v>
                </c:pt>
                <c:pt idx="281">
                  <c:v>6.6689999999999996</c:v>
                </c:pt>
                <c:pt idx="282">
                  <c:v>6.6689999999999996</c:v>
                </c:pt>
                <c:pt idx="283">
                  <c:v>6.6689999999999996</c:v>
                </c:pt>
                <c:pt idx="284">
                  <c:v>6.6689999999999996</c:v>
                </c:pt>
                <c:pt idx="285">
                  <c:v>5.7050000000000001</c:v>
                </c:pt>
                <c:pt idx="286">
                  <c:v>5.7050000000000001</c:v>
                </c:pt>
                <c:pt idx="287">
                  <c:v>5.7050000000000001</c:v>
                </c:pt>
                <c:pt idx="288">
                  <c:v>5.7050000000000001</c:v>
                </c:pt>
                <c:pt idx="289">
                  <c:v>5.7050000000000001</c:v>
                </c:pt>
                <c:pt idx="290">
                  <c:v>5.7050000000000001</c:v>
                </c:pt>
                <c:pt idx="291">
                  <c:v>5.7050000000000001</c:v>
                </c:pt>
                <c:pt idx="292">
                  <c:v>21.637</c:v>
                </c:pt>
                <c:pt idx="293">
                  <c:v>21.637</c:v>
                </c:pt>
                <c:pt idx="294">
                  <c:v>21.637</c:v>
                </c:pt>
                <c:pt idx="295">
                  <c:v>21.637</c:v>
                </c:pt>
                <c:pt idx="296">
                  <c:v>21.637</c:v>
                </c:pt>
                <c:pt idx="297">
                  <c:v>21.637</c:v>
                </c:pt>
                <c:pt idx="298">
                  <c:v>21.637</c:v>
                </c:pt>
                <c:pt idx="299">
                  <c:v>12.609</c:v>
                </c:pt>
                <c:pt idx="300">
                  <c:v>12.609</c:v>
                </c:pt>
                <c:pt idx="301">
                  <c:v>12.609</c:v>
                </c:pt>
                <c:pt idx="302">
                  <c:v>12.609</c:v>
                </c:pt>
                <c:pt idx="303">
                  <c:v>12.609</c:v>
                </c:pt>
                <c:pt idx="304">
                  <c:v>12.609</c:v>
                </c:pt>
                <c:pt idx="305">
                  <c:v>12.609</c:v>
                </c:pt>
                <c:pt idx="306">
                  <c:v>43.387999999999998</c:v>
                </c:pt>
                <c:pt idx="307">
                  <c:v>43.387999999999998</c:v>
                </c:pt>
                <c:pt idx="308">
                  <c:v>43.387999999999998</c:v>
                </c:pt>
                <c:pt idx="309">
                  <c:v>43.387999999999998</c:v>
                </c:pt>
                <c:pt idx="310">
                  <c:v>43.387999999999998</c:v>
                </c:pt>
                <c:pt idx="311">
                  <c:v>43.387999999999998</c:v>
                </c:pt>
                <c:pt idx="312">
                  <c:v>43.387999999999998</c:v>
                </c:pt>
                <c:pt idx="313">
                  <c:v>24.247</c:v>
                </c:pt>
                <c:pt idx="314">
                  <c:v>24.247</c:v>
                </c:pt>
                <c:pt idx="315">
                  <c:v>24.247</c:v>
                </c:pt>
                <c:pt idx="316">
                  <c:v>24.247</c:v>
                </c:pt>
                <c:pt idx="317">
                  <c:v>24.247</c:v>
                </c:pt>
                <c:pt idx="318">
                  <c:v>24.247</c:v>
                </c:pt>
                <c:pt idx="319">
                  <c:v>24.247</c:v>
                </c:pt>
                <c:pt idx="320">
                  <c:v>33.771999999999998</c:v>
                </c:pt>
                <c:pt idx="321">
                  <c:v>33.771999999999998</c:v>
                </c:pt>
                <c:pt idx="322">
                  <c:v>33.771999999999998</c:v>
                </c:pt>
                <c:pt idx="323">
                  <c:v>33.771999999999998</c:v>
                </c:pt>
                <c:pt idx="324">
                  <c:v>33.771999999999998</c:v>
                </c:pt>
                <c:pt idx="325">
                  <c:v>33.771999999999998</c:v>
                </c:pt>
                <c:pt idx="326">
                  <c:v>33.771999999999998</c:v>
                </c:pt>
                <c:pt idx="327">
                  <c:v>21.370999999999999</c:v>
                </c:pt>
                <c:pt idx="328">
                  <c:v>21.370999999999999</c:v>
                </c:pt>
                <c:pt idx="329">
                  <c:v>21.370999999999999</c:v>
                </c:pt>
                <c:pt idx="330">
                  <c:v>21.370999999999999</c:v>
                </c:pt>
                <c:pt idx="331">
                  <c:v>21.370999999999999</c:v>
                </c:pt>
                <c:pt idx="332">
                  <c:v>21.370999999999999</c:v>
                </c:pt>
                <c:pt idx="333">
                  <c:v>21.370999999999999</c:v>
                </c:pt>
                <c:pt idx="334">
                  <c:v>52.317999999999998</c:v>
                </c:pt>
                <c:pt idx="335">
                  <c:v>52.317999999999998</c:v>
                </c:pt>
                <c:pt idx="336">
                  <c:v>52.317999999999998</c:v>
                </c:pt>
                <c:pt idx="337">
                  <c:v>52.317999999999998</c:v>
                </c:pt>
                <c:pt idx="338">
                  <c:v>52.317999999999998</c:v>
                </c:pt>
                <c:pt idx="339">
                  <c:v>52.317999999999998</c:v>
                </c:pt>
                <c:pt idx="340">
                  <c:v>52.317999999999998</c:v>
                </c:pt>
                <c:pt idx="341">
                  <c:v>21.533999999999999</c:v>
                </c:pt>
                <c:pt idx="342">
                  <c:v>21.533999999999999</c:v>
                </c:pt>
                <c:pt idx="343">
                  <c:v>21.533999999999999</c:v>
                </c:pt>
                <c:pt idx="344">
                  <c:v>21.533999999999999</c:v>
                </c:pt>
                <c:pt idx="345">
                  <c:v>21.533999999999999</c:v>
                </c:pt>
                <c:pt idx="346">
                  <c:v>21.533999999999999</c:v>
                </c:pt>
                <c:pt idx="347">
                  <c:v>21.533999999999999</c:v>
                </c:pt>
                <c:pt idx="348">
                  <c:v>11.93</c:v>
                </c:pt>
                <c:pt idx="349">
                  <c:v>11.93</c:v>
                </c:pt>
                <c:pt idx="350">
                  <c:v>11.93</c:v>
                </c:pt>
                <c:pt idx="351">
                  <c:v>11.93</c:v>
                </c:pt>
                <c:pt idx="352">
                  <c:v>11.93</c:v>
                </c:pt>
                <c:pt idx="353">
                  <c:v>11.93</c:v>
                </c:pt>
                <c:pt idx="354">
                  <c:v>11.93</c:v>
                </c:pt>
                <c:pt idx="355">
                  <c:v>10.861000000000001</c:v>
                </c:pt>
                <c:pt idx="356">
                  <c:v>10.861000000000001</c:v>
                </c:pt>
                <c:pt idx="357">
                  <c:v>10.861000000000001</c:v>
                </c:pt>
                <c:pt idx="358">
                  <c:v>10.861000000000001</c:v>
                </c:pt>
                <c:pt idx="359">
                  <c:v>10.861000000000001</c:v>
                </c:pt>
                <c:pt idx="360">
                  <c:v>10.861000000000001</c:v>
                </c:pt>
                <c:pt idx="361">
                  <c:v>10.861000000000001</c:v>
                </c:pt>
                <c:pt idx="362">
                  <c:v>71.808999999999997</c:v>
                </c:pt>
                <c:pt idx="363">
                  <c:v>71.808999999999997</c:v>
                </c:pt>
                <c:pt idx="364">
                  <c:v>71.808999999999997</c:v>
                </c:pt>
                <c:pt idx="365">
                  <c:v>71.808999999999997</c:v>
                </c:pt>
              </c:numCache>
            </c:numRef>
          </c:val>
          <c:extLst>
            <c:ext xmlns:c16="http://schemas.microsoft.com/office/drawing/2014/chart" uri="{C3380CC4-5D6E-409C-BE32-E72D297353CC}">
              <c16:uniqueId val="{00000000-18DC-4FEC-814B-1885728041BD}"/>
            </c:ext>
          </c:extLst>
        </c:ser>
        <c:ser>
          <c:idx val="1"/>
          <c:order val="1"/>
          <c:tx>
            <c:strRef>
              <c:f>'Benzen - 3 stacje - wykres'!$D$2</c:f>
              <c:strCache>
                <c:ptCount val="1"/>
                <c:pt idx="0">
                  <c:v>Łódź ul. Rudzka</c:v>
                </c:pt>
              </c:strCache>
            </c:strRef>
          </c:tx>
          <c:spPr>
            <a:solidFill>
              <a:srgbClr val="00B050"/>
            </a:solidFill>
            <a:ln w="9525" cap="flat" cmpd="sng" algn="ctr">
              <a:solidFill>
                <a:srgbClr val="00B050"/>
              </a:solidFill>
              <a:round/>
            </a:ln>
            <a:effectLst/>
          </c:spPr>
          <c:invertIfNegative val="0"/>
          <c:val>
            <c:numRef>
              <c:f>'Benzen - 3 stacje - wykres'!$D$7:$D$372</c:f>
              <c:numCache>
                <c:formatCode>General</c:formatCode>
                <c:ptCount val="366"/>
                <c:pt idx="0">
                  <c:v>8.6806490000000007</c:v>
                </c:pt>
                <c:pt idx="1">
                  <c:v>8.6806490000000007</c:v>
                </c:pt>
                <c:pt idx="2">
                  <c:v>8.6806490000000007</c:v>
                </c:pt>
                <c:pt idx="3">
                  <c:v>8.6806490000000007</c:v>
                </c:pt>
                <c:pt idx="4">
                  <c:v>8.6806490000000007</c:v>
                </c:pt>
                <c:pt idx="5">
                  <c:v>7.0059740000000001</c:v>
                </c:pt>
                <c:pt idx="6">
                  <c:v>7.0059740000000001</c:v>
                </c:pt>
                <c:pt idx="7">
                  <c:v>7.0059740000000001</c:v>
                </c:pt>
                <c:pt idx="8">
                  <c:v>7.0059740000000001</c:v>
                </c:pt>
                <c:pt idx="9">
                  <c:v>7.0059740000000001</c:v>
                </c:pt>
                <c:pt idx="10">
                  <c:v>7.0059740000000001</c:v>
                </c:pt>
                <c:pt idx="11">
                  <c:v>7.0059740000000001</c:v>
                </c:pt>
                <c:pt idx="12">
                  <c:v>12.434025999999999</c:v>
                </c:pt>
                <c:pt idx="13">
                  <c:v>12.434025999999999</c:v>
                </c:pt>
                <c:pt idx="14">
                  <c:v>12.434025999999999</c:v>
                </c:pt>
                <c:pt idx="15">
                  <c:v>12.434025999999999</c:v>
                </c:pt>
                <c:pt idx="16">
                  <c:v>12.434025999999999</c:v>
                </c:pt>
                <c:pt idx="17">
                  <c:v>12.434025999999999</c:v>
                </c:pt>
                <c:pt idx="18">
                  <c:v>12.434025999999999</c:v>
                </c:pt>
                <c:pt idx="19">
                  <c:v>7.0649350000000002</c:v>
                </c:pt>
                <c:pt idx="20">
                  <c:v>7.0649350000000002</c:v>
                </c:pt>
                <c:pt idx="21">
                  <c:v>7.0649350000000002</c:v>
                </c:pt>
                <c:pt idx="22">
                  <c:v>7.0649350000000002</c:v>
                </c:pt>
                <c:pt idx="23">
                  <c:v>7.0649350000000002</c:v>
                </c:pt>
                <c:pt idx="24">
                  <c:v>7.0649350000000002</c:v>
                </c:pt>
                <c:pt idx="25">
                  <c:v>7.0649350000000002</c:v>
                </c:pt>
                <c:pt idx="26">
                  <c:v>5.013935</c:v>
                </c:pt>
                <c:pt idx="27">
                  <c:v>5.013935</c:v>
                </c:pt>
                <c:pt idx="28">
                  <c:v>5.013935</c:v>
                </c:pt>
                <c:pt idx="29">
                  <c:v>5.013935</c:v>
                </c:pt>
                <c:pt idx="30">
                  <c:v>5.013935</c:v>
                </c:pt>
                <c:pt idx="31">
                  <c:v>5.013935</c:v>
                </c:pt>
                <c:pt idx="32">
                  <c:v>5.013935</c:v>
                </c:pt>
                <c:pt idx="33">
                  <c:v>7.2</c:v>
                </c:pt>
                <c:pt idx="34">
                  <c:v>7.2</c:v>
                </c:pt>
                <c:pt idx="35">
                  <c:v>7.2</c:v>
                </c:pt>
                <c:pt idx="36">
                  <c:v>7.2</c:v>
                </c:pt>
                <c:pt idx="37">
                  <c:v>7.2</c:v>
                </c:pt>
                <c:pt idx="38">
                  <c:v>7.2</c:v>
                </c:pt>
                <c:pt idx="39">
                  <c:v>7.2</c:v>
                </c:pt>
                <c:pt idx="40">
                  <c:v>4.1260000000000003</c:v>
                </c:pt>
                <c:pt idx="41">
                  <c:v>4.1260000000000003</c:v>
                </c:pt>
                <c:pt idx="42">
                  <c:v>4.1260000000000003</c:v>
                </c:pt>
                <c:pt idx="43">
                  <c:v>4.1260000000000003</c:v>
                </c:pt>
                <c:pt idx="44">
                  <c:v>4.1260000000000003</c:v>
                </c:pt>
                <c:pt idx="45">
                  <c:v>4.1260000000000003</c:v>
                </c:pt>
                <c:pt idx="46">
                  <c:v>4.1260000000000003</c:v>
                </c:pt>
                <c:pt idx="47">
                  <c:v>3.7480000000000002</c:v>
                </c:pt>
                <c:pt idx="48">
                  <c:v>3.7480000000000002</c:v>
                </c:pt>
                <c:pt idx="49">
                  <c:v>3.7480000000000002</c:v>
                </c:pt>
                <c:pt idx="50">
                  <c:v>3.7480000000000002</c:v>
                </c:pt>
                <c:pt idx="51">
                  <c:v>3.7480000000000002</c:v>
                </c:pt>
                <c:pt idx="52">
                  <c:v>3.7480000000000002</c:v>
                </c:pt>
                <c:pt idx="53">
                  <c:v>3.7480000000000002</c:v>
                </c:pt>
                <c:pt idx="54">
                  <c:v>4.8040000000000003</c:v>
                </c:pt>
                <c:pt idx="55">
                  <c:v>4.8040000000000003</c:v>
                </c:pt>
                <c:pt idx="56">
                  <c:v>4.8040000000000003</c:v>
                </c:pt>
                <c:pt idx="57">
                  <c:v>4.8040000000000003</c:v>
                </c:pt>
                <c:pt idx="58">
                  <c:v>4.8040000000000003</c:v>
                </c:pt>
                <c:pt idx="59">
                  <c:v>4.8040000000000003</c:v>
                </c:pt>
                <c:pt idx="60">
                  <c:v>4.8040000000000003</c:v>
                </c:pt>
                <c:pt idx="61">
                  <c:v>6.14</c:v>
                </c:pt>
                <c:pt idx="62">
                  <c:v>6.14</c:v>
                </c:pt>
                <c:pt idx="63">
                  <c:v>6.14</c:v>
                </c:pt>
                <c:pt idx="64">
                  <c:v>6.14</c:v>
                </c:pt>
                <c:pt idx="65">
                  <c:v>6.14</c:v>
                </c:pt>
                <c:pt idx="66">
                  <c:v>6.14</c:v>
                </c:pt>
                <c:pt idx="67">
                  <c:v>6.14</c:v>
                </c:pt>
                <c:pt idx="68">
                  <c:v>4.38</c:v>
                </c:pt>
                <c:pt idx="69">
                  <c:v>4.38</c:v>
                </c:pt>
                <c:pt idx="70">
                  <c:v>4.38</c:v>
                </c:pt>
                <c:pt idx="71">
                  <c:v>4.38</c:v>
                </c:pt>
                <c:pt idx="72">
                  <c:v>4.38</c:v>
                </c:pt>
                <c:pt idx="73">
                  <c:v>4.38</c:v>
                </c:pt>
                <c:pt idx="74">
                  <c:v>4.38</c:v>
                </c:pt>
                <c:pt idx="75">
                  <c:v>4.53</c:v>
                </c:pt>
                <c:pt idx="76">
                  <c:v>4.53</c:v>
                </c:pt>
                <c:pt idx="77">
                  <c:v>4.53</c:v>
                </c:pt>
                <c:pt idx="78">
                  <c:v>4.53</c:v>
                </c:pt>
                <c:pt idx="79">
                  <c:v>4.53</c:v>
                </c:pt>
                <c:pt idx="80">
                  <c:v>4.53</c:v>
                </c:pt>
                <c:pt idx="81">
                  <c:v>4.53</c:v>
                </c:pt>
                <c:pt idx="82">
                  <c:v>6.57</c:v>
                </c:pt>
                <c:pt idx="83">
                  <c:v>6.57</c:v>
                </c:pt>
                <c:pt idx="84">
                  <c:v>6.57</c:v>
                </c:pt>
                <c:pt idx="85">
                  <c:v>6.57</c:v>
                </c:pt>
                <c:pt idx="86">
                  <c:v>6.57</c:v>
                </c:pt>
                <c:pt idx="87">
                  <c:v>6.57</c:v>
                </c:pt>
                <c:pt idx="88">
                  <c:v>6.57</c:v>
                </c:pt>
                <c:pt idx="89">
                  <c:v>8.0500000000000007</c:v>
                </c:pt>
                <c:pt idx="90">
                  <c:v>8.0500000000000007</c:v>
                </c:pt>
                <c:pt idx="91">
                  <c:v>8.0500000000000007</c:v>
                </c:pt>
                <c:pt idx="92">
                  <c:v>8.0500000000000007</c:v>
                </c:pt>
                <c:pt idx="93">
                  <c:v>8.0500000000000007</c:v>
                </c:pt>
                <c:pt idx="94">
                  <c:v>8.0500000000000007</c:v>
                </c:pt>
                <c:pt idx="95">
                  <c:v>8.0500000000000007</c:v>
                </c:pt>
                <c:pt idx="96">
                  <c:v>4.74</c:v>
                </c:pt>
                <c:pt idx="97">
                  <c:v>4.74</c:v>
                </c:pt>
                <c:pt idx="98">
                  <c:v>4.74</c:v>
                </c:pt>
                <c:pt idx="99">
                  <c:v>4.74</c:v>
                </c:pt>
                <c:pt idx="100">
                  <c:v>4.74</c:v>
                </c:pt>
                <c:pt idx="101">
                  <c:v>4.74</c:v>
                </c:pt>
                <c:pt idx="102">
                  <c:v>4.74</c:v>
                </c:pt>
                <c:pt idx="103">
                  <c:v>3.06</c:v>
                </c:pt>
                <c:pt idx="104">
                  <c:v>3.06</c:v>
                </c:pt>
                <c:pt idx="105">
                  <c:v>3.06</c:v>
                </c:pt>
                <c:pt idx="106">
                  <c:v>3.06</c:v>
                </c:pt>
                <c:pt idx="107">
                  <c:v>3.06</c:v>
                </c:pt>
                <c:pt idx="108">
                  <c:v>3.06</c:v>
                </c:pt>
                <c:pt idx="109">
                  <c:v>3.06</c:v>
                </c:pt>
                <c:pt idx="110">
                  <c:v>3.98</c:v>
                </c:pt>
                <c:pt idx="111">
                  <c:v>3.98</c:v>
                </c:pt>
                <c:pt idx="112">
                  <c:v>3.98</c:v>
                </c:pt>
                <c:pt idx="113">
                  <c:v>3.98</c:v>
                </c:pt>
                <c:pt idx="114">
                  <c:v>3.98</c:v>
                </c:pt>
                <c:pt idx="115">
                  <c:v>3.98</c:v>
                </c:pt>
                <c:pt idx="116">
                  <c:v>3.98</c:v>
                </c:pt>
                <c:pt idx="117">
                  <c:v>2.2200000000000002</c:v>
                </c:pt>
                <c:pt idx="118">
                  <c:v>2.2200000000000002</c:v>
                </c:pt>
                <c:pt idx="119">
                  <c:v>2.2200000000000002</c:v>
                </c:pt>
                <c:pt idx="120">
                  <c:v>2.2200000000000002</c:v>
                </c:pt>
                <c:pt idx="121">
                  <c:v>2.2200000000000002</c:v>
                </c:pt>
                <c:pt idx="122">
                  <c:v>2.2200000000000002</c:v>
                </c:pt>
                <c:pt idx="123">
                  <c:v>2.2200000000000002</c:v>
                </c:pt>
                <c:pt idx="124">
                  <c:v>1.6</c:v>
                </c:pt>
                <c:pt idx="125">
                  <c:v>1.6</c:v>
                </c:pt>
                <c:pt idx="126">
                  <c:v>1.6</c:v>
                </c:pt>
                <c:pt idx="127">
                  <c:v>1.6</c:v>
                </c:pt>
                <c:pt idx="128">
                  <c:v>1.6</c:v>
                </c:pt>
                <c:pt idx="129">
                  <c:v>1.6</c:v>
                </c:pt>
                <c:pt idx="130">
                  <c:v>1.6</c:v>
                </c:pt>
                <c:pt idx="131">
                  <c:v>2.27</c:v>
                </c:pt>
                <c:pt idx="132">
                  <c:v>2.27</c:v>
                </c:pt>
                <c:pt idx="133">
                  <c:v>2.27</c:v>
                </c:pt>
                <c:pt idx="134">
                  <c:v>2.27</c:v>
                </c:pt>
                <c:pt idx="135">
                  <c:v>2.27</c:v>
                </c:pt>
                <c:pt idx="136">
                  <c:v>2.27</c:v>
                </c:pt>
                <c:pt idx="137">
                  <c:v>2.27</c:v>
                </c:pt>
                <c:pt idx="138">
                  <c:v>1.64</c:v>
                </c:pt>
                <c:pt idx="139">
                  <c:v>1.64</c:v>
                </c:pt>
                <c:pt idx="140">
                  <c:v>1.64</c:v>
                </c:pt>
                <c:pt idx="141">
                  <c:v>1.64</c:v>
                </c:pt>
                <c:pt idx="142">
                  <c:v>1.64</c:v>
                </c:pt>
                <c:pt idx="143">
                  <c:v>1.64</c:v>
                </c:pt>
                <c:pt idx="144">
                  <c:v>1.64</c:v>
                </c:pt>
                <c:pt idx="145">
                  <c:v>0.73</c:v>
                </c:pt>
                <c:pt idx="146">
                  <c:v>0.73</c:v>
                </c:pt>
                <c:pt idx="147">
                  <c:v>0.73</c:v>
                </c:pt>
                <c:pt idx="148">
                  <c:v>0.73</c:v>
                </c:pt>
                <c:pt idx="149">
                  <c:v>0.73</c:v>
                </c:pt>
                <c:pt idx="150">
                  <c:v>0.73</c:v>
                </c:pt>
                <c:pt idx="151">
                  <c:v>0.73</c:v>
                </c:pt>
                <c:pt idx="152">
                  <c:v>0.51</c:v>
                </c:pt>
                <c:pt idx="153">
                  <c:v>0.51</c:v>
                </c:pt>
                <c:pt idx="154">
                  <c:v>0.51</c:v>
                </c:pt>
                <c:pt idx="155">
                  <c:v>0.51</c:v>
                </c:pt>
                <c:pt idx="156">
                  <c:v>0.51</c:v>
                </c:pt>
                <c:pt idx="157">
                  <c:v>0.51</c:v>
                </c:pt>
                <c:pt idx="158">
                  <c:v>0.51</c:v>
                </c:pt>
                <c:pt idx="159">
                  <c:v>0.11</c:v>
                </c:pt>
                <c:pt idx="160">
                  <c:v>0.11</c:v>
                </c:pt>
                <c:pt idx="161">
                  <c:v>0.11</c:v>
                </c:pt>
                <c:pt idx="162">
                  <c:v>0.11</c:v>
                </c:pt>
                <c:pt idx="163">
                  <c:v>0.11</c:v>
                </c:pt>
                <c:pt idx="164">
                  <c:v>0.11</c:v>
                </c:pt>
                <c:pt idx="165">
                  <c:v>0.11</c:v>
                </c:pt>
                <c:pt idx="166">
                  <c:v>0.11</c:v>
                </c:pt>
                <c:pt idx="167">
                  <c:v>0.11</c:v>
                </c:pt>
                <c:pt idx="168">
                  <c:v>0.11</c:v>
                </c:pt>
                <c:pt idx="169">
                  <c:v>0.11</c:v>
                </c:pt>
                <c:pt idx="170">
                  <c:v>0.11</c:v>
                </c:pt>
                <c:pt idx="171">
                  <c:v>0.11</c:v>
                </c:pt>
                <c:pt idx="172">
                  <c:v>0.11</c:v>
                </c:pt>
                <c:pt idx="173">
                  <c:v>0.09</c:v>
                </c:pt>
                <c:pt idx="174">
                  <c:v>0.09</c:v>
                </c:pt>
                <c:pt idx="175">
                  <c:v>0.09</c:v>
                </c:pt>
                <c:pt idx="176">
                  <c:v>0.09</c:v>
                </c:pt>
                <c:pt idx="177">
                  <c:v>0.09</c:v>
                </c:pt>
                <c:pt idx="178">
                  <c:v>0.09</c:v>
                </c:pt>
                <c:pt idx="179">
                  <c:v>0.09</c:v>
                </c:pt>
                <c:pt idx="180">
                  <c:v>0.25</c:v>
                </c:pt>
                <c:pt idx="182">
                  <c:v>0.25</c:v>
                </c:pt>
                <c:pt idx="183">
                  <c:v>0.25</c:v>
                </c:pt>
                <c:pt idx="184">
                  <c:v>0.25</c:v>
                </c:pt>
                <c:pt idx="185">
                  <c:v>0.25</c:v>
                </c:pt>
                <c:pt idx="186">
                  <c:v>0.25</c:v>
                </c:pt>
                <c:pt idx="187">
                  <c:v>0.19</c:v>
                </c:pt>
                <c:pt idx="188">
                  <c:v>0.19</c:v>
                </c:pt>
                <c:pt idx="189">
                  <c:v>0.19</c:v>
                </c:pt>
                <c:pt idx="190">
                  <c:v>0.19</c:v>
                </c:pt>
                <c:pt idx="191">
                  <c:v>0.19</c:v>
                </c:pt>
                <c:pt idx="192">
                  <c:v>0.19</c:v>
                </c:pt>
                <c:pt idx="193">
                  <c:v>0.19</c:v>
                </c:pt>
                <c:pt idx="194">
                  <c:v>0.19</c:v>
                </c:pt>
                <c:pt idx="195">
                  <c:v>0.19</c:v>
                </c:pt>
                <c:pt idx="196">
                  <c:v>0.19</c:v>
                </c:pt>
                <c:pt idx="197">
                  <c:v>0.19</c:v>
                </c:pt>
                <c:pt idx="198">
                  <c:v>0.19</c:v>
                </c:pt>
                <c:pt idx="199">
                  <c:v>0.19</c:v>
                </c:pt>
                <c:pt idx="200">
                  <c:v>0.19</c:v>
                </c:pt>
                <c:pt idx="201">
                  <c:v>0.14000000000000001</c:v>
                </c:pt>
                <c:pt idx="202">
                  <c:v>0.14000000000000001</c:v>
                </c:pt>
                <c:pt idx="203">
                  <c:v>0.14000000000000001</c:v>
                </c:pt>
                <c:pt idx="204">
                  <c:v>0.14000000000000001</c:v>
                </c:pt>
                <c:pt idx="205">
                  <c:v>0.14000000000000001</c:v>
                </c:pt>
                <c:pt idx="206">
                  <c:v>0.14000000000000001</c:v>
                </c:pt>
                <c:pt idx="207">
                  <c:v>0.14000000000000001</c:v>
                </c:pt>
                <c:pt idx="208">
                  <c:v>0.18</c:v>
                </c:pt>
                <c:pt idx="209">
                  <c:v>0.18</c:v>
                </c:pt>
                <c:pt idx="210">
                  <c:v>0.18</c:v>
                </c:pt>
                <c:pt idx="211">
                  <c:v>0.18</c:v>
                </c:pt>
                <c:pt idx="212">
                  <c:v>0.18</c:v>
                </c:pt>
                <c:pt idx="213">
                  <c:v>0.18</c:v>
                </c:pt>
                <c:pt idx="214">
                  <c:v>0.18</c:v>
                </c:pt>
                <c:pt idx="215">
                  <c:v>0.13119500000000001</c:v>
                </c:pt>
                <c:pt idx="216">
                  <c:v>0.13119500000000001</c:v>
                </c:pt>
                <c:pt idx="217">
                  <c:v>0.13119500000000001</c:v>
                </c:pt>
                <c:pt idx="218">
                  <c:v>0.13119500000000001</c:v>
                </c:pt>
                <c:pt idx="219">
                  <c:v>0.13119500000000001</c:v>
                </c:pt>
                <c:pt idx="220">
                  <c:v>0.13119500000000001</c:v>
                </c:pt>
                <c:pt idx="221">
                  <c:v>0.13119500000000001</c:v>
                </c:pt>
                <c:pt idx="222">
                  <c:v>0.13623399999999999</c:v>
                </c:pt>
                <c:pt idx="223">
                  <c:v>0.13623399999999999</c:v>
                </c:pt>
                <c:pt idx="224">
                  <c:v>0.13623399999999999</c:v>
                </c:pt>
                <c:pt idx="225">
                  <c:v>0.13623399999999999</c:v>
                </c:pt>
                <c:pt idx="226">
                  <c:v>0.13623399999999999</c:v>
                </c:pt>
                <c:pt idx="227">
                  <c:v>0.13623399999999999</c:v>
                </c:pt>
                <c:pt idx="228">
                  <c:v>0.13623399999999999</c:v>
                </c:pt>
                <c:pt idx="229">
                  <c:v>0.17637700000000001</c:v>
                </c:pt>
                <c:pt idx="230">
                  <c:v>0.17637700000000001</c:v>
                </c:pt>
                <c:pt idx="231">
                  <c:v>0.17637700000000001</c:v>
                </c:pt>
                <c:pt idx="232">
                  <c:v>0.17637700000000001</c:v>
                </c:pt>
                <c:pt idx="233">
                  <c:v>0.17637700000000001</c:v>
                </c:pt>
                <c:pt idx="234">
                  <c:v>0.17637700000000001</c:v>
                </c:pt>
                <c:pt idx="235">
                  <c:v>0.17637700000000001</c:v>
                </c:pt>
                <c:pt idx="236">
                  <c:v>0.109987</c:v>
                </c:pt>
                <c:pt idx="237">
                  <c:v>0.109987</c:v>
                </c:pt>
                <c:pt idx="238">
                  <c:v>0.109987</c:v>
                </c:pt>
                <c:pt idx="239">
                  <c:v>0.109987</c:v>
                </c:pt>
                <c:pt idx="240">
                  <c:v>0.109987</c:v>
                </c:pt>
                <c:pt idx="241">
                  <c:v>0.109987</c:v>
                </c:pt>
                <c:pt idx="242">
                  <c:v>0.109987</c:v>
                </c:pt>
                <c:pt idx="243">
                  <c:v>0.3</c:v>
                </c:pt>
                <c:pt idx="244">
                  <c:v>0.3</c:v>
                </c:pt>
                <c:pt idx="245">
                  <c:v>0.3</c:v>
                </c:pt>
                <c:pt idx="246">
                  <c:v>0.3</c:v>
                </c:pt>
                <c:pt idx="247">
                  <c:v>0.3</c:v>
                </c:pt>
                <c:pt idx="248">
                  <c:v>0.3</c:v>
                </c:pt>
                <c:pt idx="249">
                  <c:v>0.3</c:v>
                </c:pt>
                <c:pt idx="250">
                  <c:v>0.44</c:v>
                </c:pt>
                <c:pt idx="251">
                  <c:v>0.44</c:v>
                </c:pt>
                <c:pt idx="252">
                  <c:v>0.44</c:v>
                </c:pt>
                <c:pt idx="253">
                  <c:v>0.44</c:v>
                </c:pt>
                <c:pt idx="254">
                  <c:v>0.44</c:v>
                </c:pt>
                <c:pt idx="255">
                  <c:v>0.44</c:v>
                </c:pt>
                <c:pt idx="256">
                  <c:v>0.44</c:v>
                </c:pt>
                <c:pt idx="257">
                  <c:v>0.7</c:v>
                </c:pt>
                <c:pt idx="258">
                  <c:v>0.7</c:v>
                </c:pt>
                <c:pt idx="259">
                  <c:v>0.7</c:v>
                </c:pt>
                <c:pt idx="260">
                  <c:v>0.7</c:v>
                </c:pt>
                <c:pt idx="261">
                  <c:v>0.7</c:v>
                </c:pt>
                <c:pt idx="262">
                  <c:v>0.7</c:v>
                </c:pt>
                <c:pt idx="263">
                  <c:v>0.7</c:v>
                </c:pt>
                <c:pt idx="264">
                  <c:v>0.74</c:v>
                </c:pt>
                <c:pt idx="265">
                  <c:v>0.74</c:v>
                </c:pt>
                <c:pt idx="266">
                  <c:v>0.74</c:v>
                </c:pt>
                <c:pt idx="267">
                  <c:v>0.74</c:v>
                </c:pt>
                <c:pt idx="268">
                  <c:v>0.74</c:v>
                </c:pt>
                <c:pt idx="269">
                  <c:v>0.74</c:v>
                </c:pt>
                <c:pt idx="270">
                  <c:v>0.74</c:v>
                </c:pt>
                <c:pt idx="271">
                  <c:v>0.6</c:v>
                </c:pt>
                <c:pt idx="272">
                  <c:v>0.6</c:v>
                </c:pt>
                <c:pt idx="273">
                  <c:v>0.6</c:v>
                </c:pt>
                <c:pt idx="274">
                  <c:v>0.6</c:v>
                </c:pt>
                <c:pt idx="275">
                  <c:v>0.6</c:v>
                </c:pt>
                <c:pt idx="276">
                  <c:v>0.6</c:v>
                </c:pt>
                <c:pt idx="277">
                  <c:v>0.6</c:v>
                </c:pt>
                <c:pt idx="278">
                  <c:v>2.16</c:v>
                </c:pt>
                <c:pt idx="279">
                  <c:v>2.16</c:v>
                </c:pt>
                <c:pt idx="280">
                  <c:v>2.16</c:v>
                </c:pt>
                <c:pt idx="281">
                  <c:v>2.16</c:v>
                </c:pt>
                <c:pt idx="282">
                  <c:v>2.16</c:v>
                </c:pt>
                <c:pt idx="283">
                  <c:v>2.16</c:v>
                </c:pt>
                <c:pt idx="284">
                  <c:v>2.16</c:v>
                </c:pt>
                <c:pt idx="285">
                  <c:v>2.6</c:v>
                </c:pt>
                <c:pt idx="286">
                  <c:v>2.6</c:v>
                </c:pt>
                <c:pt idx="287">
                  <c:v>2.6</c:v>
                </c:pt>
                <c:pt idx="288">
                  <c:v>2.6</c:v>
                </c:pt>
                <c:pt idx="289">
                  <c:v>2.6</c:v>
                </c:pt>
                <c:pt idx="290">
                  <c:v>2.6</c:v>
                </c:pt>
                <c:pt idx="291">
                  <c:v>2.6</c:v>
                </c:pt>
                <c:pt idx="292">
                  <c:v>2.74</c:v>
                </c:pt>
                <c:pt idx="293">
                  <c:v>2.74</c:v>
                </c:pt>
                <c:pt idx="294">
                  <c:v>2.74</c:v>
                </c:pt>
                <c:pt idx="295">
                  <c:v>2.74</c:v>
                </c:pt>
                <c:pt idx="296">
                  <c:v>2.74</c:v>
                </c:pt>
                <c:pt idx="297">
                  <c:v>2.74</c:v>
                </c:pt>
                <c:pt idx="298">
                  <c:v>2.74</c:v>
                </c:pt>
                <c:pt idx="299">
                  <c:v>3.02</c:v>
                </c:pt>
                <c:pt idx="300">
                  <c:v>3.02</c:v>
                </c:pt>
                <c:pt idx="301">
                  <c:v>3.02</c:v>
                </c:pt>
                <c:pt idx="302">
                  <c:v>3.02</c:v>
                </c:pt>
                <c:pt idx="303">
                  <c:v>3.02</c:v>
                </c:pt>
                <c:pt idx="304">
                  <c:v>3.02</c:v>
                </c:pt>
                <c:pt idx="305">
                  <c:v>3.02</c:v>
                </c:pt>
                <c:pt idx="306">
                  <c:v>6.63</c:v>
                </c:pt>
                <c:pt idx="307">
                  <c:v>6.63</c:v>
                </c:pt>
                <c:pt idx="308">
                  <c:v>6.63</c:v>
                </c:pt>
                <c:pt idx="309">
                  <c:v>6.63</c:v>
                </c:pt>
                <c:pt idx="310">
                  <c:v>6.63</c:v>
                </c:pt>
                <c:pt idx="311">
                  <c:v>6.63</c:v>
                </c:pt>
                <c:pt idx="312">
                  <c:v>6.63</c:v>
                </c:pt>
                <c:pt idx="313">
                  <c:v>2.81</c:v>
                </c:pt>
                <c:pt idx="314">
                  <c:v>2.81</c:v>
                </c:pt>
                <c:pt idx="315">
                  <c:v>2.81</c:v>
                </c:pt>
                <c:pt idx="316">
                  <c:v>2.81</c:v>
                </c:pt>
                <c:pt idx="317">
                  <c:v>2.81</c:v>
                </c:pt>
                <c:pt idx="318">
                  <c:v>2.81</c:v>
                </c:pt>
                <c:pt idx="319">
                  <c:v>2.81</c:v>
                </c:pt>
                <c:pt idx="320">
                  <c:v>4.16</c:v>
                </c:pt>
                <c:pt idx="321">
                  <c:v>4.16</c:v>
                </c:pt>
                <c:pt idx="322">
                  <c:v>4.16</c:v>
                </c:pt>
                <c:pt idx="323">
                  <c:v>4.16</c:v>
                </c:pt>
                <c:pt idx="324">
                  <c:v>4.16</c:v>
                </c:pt>
                <c:pt idx="325">
                  <c:v>4.16</c:v>
                </c:pt>
                <c:pt idx="326">
                  <c:v>4.16</c:v>
                </c:pt>
                <c:pt idx="327">
                  <c:v>4.41</c:v>
                </c:pt>
                <c:pt idx="328">
                  <c:v>4.41</c:v>
                </c:pt>
                <c:pt idx="329">
                  <c:v>4.41</c:v>
                </c:pt>
                <c:pt idx="330">
                  <c:v>4.41</c:v>
                </c:pt>
                <c:pt idx="331">
                  <c:v>4.41</c:v>
                </c:pt>
                <c:pt idx="332">
                  <c:v>4.41</c:v>
                </c:pt>
                <c:pt idx="333">
                  <c:v>4.41</c:v>
                </c:pt>
                <c:pt idx="334">
                  <c:v>5.73</c:v>
                </c:pt>
                <c:pt idx="335">
                  <c:v>5.73</c:v>
                </c:pt>
                <c:pt idx="336">
                  <c:v>5.73</c:v>
                </c:pt>
                <c:pt idx="337">
                  <c:v>5.73</c:v>
                </c:pt>
                <c:pt idx="338">
                  <c:v>5.73</c:v>
                </c:pt>
                <c:pt idx="339">
                  <c:v>5.73</c:v>
                </c:pt>
                <c:pt idx="340">
                  <c:v>5.73</c:v>
                </c:pt>
                <c:pt idx="341">
                  <c:v>4.0999999999999996</c:v>
                </c:pt>
                <c:pt idx="342">
                  <c:v>4.0999999999999996</c:v>
                </c:pt>
                <c:pt idx="343">
                  <c:v>4.0999999999999996</c:v>
                </c:pt>
                <c:pt idx="344">
                  <c:v>4.0999999999999996</c:v>
                </c:pt>
                <c:pt idx="345">
                  <c:v>4.0999999999999996</c:v>
                </c:pt>
                <c:pt idx="346">
                  <c:v>4.0999999999999996</c:v>
                </c:pt>
                <c:pt idx="347">
                  <c:v>4.0999999999999996</c:v>
                </c:pt>
                <c:pt idx="348">
                  <c:v>6.05</c:v>
                </c:pt>
                <c:pt idx="349">
                  <c:v>6.05</c:v>
                </c:pt>
                <c:pt idx="350">
                  <c:v>6.05</c:v>
                </c:pt>
                <c:pt idx="351">
                  <c:v>6.05</c:v>
                </c:pt>
                <c:pt idx="352">
                  <c:v>6.05</c:v>
                </c:pt>
                <c:pt idx="353">
                  <c:v>6.05</c:v>
                </c:pt>
                <c:pt idx="354">
                  <c:v>6.05</c:v>
                </c:pt>
                <c:pt idx="355">
                  <c:v>4.04</c:v>
                </c:pt>
                <c:pt idx="356">
                  <c:v>4.04</c:v>
                </c:pt>
                <c:pt idx="357">
                  <c:v>4.04</c:v>
                </c:pt>
                <c:pt idx="358">
                  <c:v>4.04</c:v>
                </c:pt>
                <c:pt idx="359">
                  <c:v>4.04</c:v>
                </c:pt>
                <c:pt idx="360">
                  <c:v>4.04</c:v>
                </c:pt>
                <c:pt idx="361">
                  <c:v>4.04</c:v>
                </c:pt>
                <c:pt idx="362">
                  <c:v>6.6</c:v>
                </c:pt>
                <c:pt idx="363">
                  <c:v>6.6</c:v>
                </c:pt>
                <c:pt idx="364">
                  <c:v>6.6</c:v>
                </c:pt>
                <c:pt idx="365">
                  <c:v>6.6</c:v>
                </c:pt>
              </c:numCache>
            </c:numRef>
          </c:val>
          <c:extLst>
            <c:ext xmlns:c16="http://schemas.microsoft.com/office/drawing/2014/chart" uri="{C3380CC4-5D6E-409C-BE32-E72D297353CC}">
              <c16:uniqueId val="{00000001-18DC-4FEC-814B-1885728041BD}"/>
            </c:ext>
          </c:extLst>
        </c:ser>
        <c:ser>
          <c:idx val="2"/>
          <c:order val="2"/>
          <c:tx>
            <c:strRef>
              <c:f>'Benzen - 3 stacje - wykres'!$E$2</c:f>
              <c:strCache>
                <c:ptCount val="1"/>
                <c:pt idx="0">
                  <c:v>Puszcza Borecka woj. warmińsko-mazurskie</c:v>
                </c:pt>
              </c:strCache>
            </c:strRef>
          </c:tx>
          <c:spPr>
            <a:solidFill>
              <a:srgbClr val="FFFF00"/>
            </a:solidFill>
            <a:ln w="9525" cap="flat" cmpd="sng" algn="ctr">
              <a:solidFill>
                <a:srgbClr val="FFFF00"/>
              </a:solidFill>
              <a:round/>
            </a:ln>
            <a:effectLst/>
          </c:spPr>
          <c:invertIfNegative val="0"/>
          <c:val>
            <c:numRef>
              <c:f>'Benzen - 3 stacje - wykres'!$E$7:$E$372</c:f>
              <c:numCache>
                <c:formatCode>General</c:formatCode>
                <c:ptCount val="366"/>
                <c:pt idx="0">
                  <c:v>1.38</c:v>
                </c:pt>
                <c:pt idx="1">
                  <c:v>1.38</c:v>
                </c:pt>
                <c:pt idx="2">
                  <c:v>1.38</c:v>
                </c:pt>
                <c:pt idx="3">
                  <c:v>1.38</c:v>
                </c:pt>
                <c:pt idx="4">
                  <c:v>1.38</c:v>
                </c:pt>
                <c:pt idx="5">
                  <c:v>1.66</c:v>
                </c:pt>
                <c:pt idx="6">
                  <c:v>1.66</c:v>
                </c:pt>
                <c:pt idx="7">
                  <c:v>1.66</c:v>
                </c:pt>
                <c:pt idx="8">
                  <c:v>1.66</c:v>
                </c:pt>
                <c:pt idx="9">
                  <c:v>1.66</c:v>
                </c:pt>
                <c:pt idx="10">
                  <c:v>1.66</c:v>
                </c:pt>
                <c:pt idx="11">
                  <c:v>1.66</c:v>
                </c:pt>
                <c:pt idx="12">
                  <c:v>1.89</c:v>
                </c:pt>
                <c:pt idx="13">
                  <c:v>1.89</c:v>
                </c:pt>
                <c:pt idx="14">
                  <c:v>1.89</c:v>
                </c:pt>
                <c:pt idx="15">
                  <c:v>1.89</c:v>
                </c:pt>
                <c:pt idx="16">
                  <c:v>1.89</c:v>
                </c:pt>
                <c:pt idx="17">
                  <c:v>1.89</c:v>
                </c:pt>
                <c:pt idx="18">
                  <c:v>1.89</c:v>
                </c:pt>
                <c:pt idx="19">
                  <c:v>0.35</c:v>
                </c:pt>
                <c:pt idx="20">
                  <c:v>0.35</c:v>
                </c:pt>
                <c:pt idx="21">
                  <c:v>0.35</c:v>
                </c:pt>
                <c:pt idx="22">
                  <c:v>0.35</c:v>
                </c:pt>
                <c:pt idx="23">
                  <c:v>0.35</c:v>
                </c:pt>
                <c:pt idx="24">
                  <c:v>0.35</c:v>
                </c:pt>
                <c:pt idx="25">
                  <c:v>0.35</c:v>
                </c:pt>
                <c:pt idx="26">
                  <c:v>1.18</c:v>
                </c:pt>
                <c:pt idx="27">
                  <c:v>1.18</c:v>
                </c:pt>
                <c:pt idx="28">
                  <c:v>1.18</c:v>
                </c:pt>
                <c:pt idx="29">
                  <c:v>1.18</c:v>
                </c:pt>
                <c:pt idx="30">
                  <c:v>1.18</c:v>
                </c:pt>
                <c:pt idx="31">
                  <c:v>1.18</c:v>
                </c:pt>
                <c:pt idx="33">
                  <c:v>1.21</c:v>
                </c:pt>
                <c:pt idx="34">
                  <c:v>1.21</c:v>
                </c:pt>
                <c:pt idx="35">
                  <c:v>1.21</c:v>
                </c:pt>
                <c:pt idx="36">
                  <c:v>1.21</c:v>
                </c:pt>
                <c:pt idx="37">
                  <c:v>1.21</c:v>
                </c:pt>
                <c:pt idx="38">
                  <c:v>1.21</c:v>
                </c:pt>
                <c:pt idx="39">
                  <c:v>1.21</c:v>
                </c:pt>
                <c:pt idx="40">
                  <c:v>1.17</c:v>
                </c:pt>
                <c:pt idx="41">
                  <c:v>1.17</c:v>
                </c:pt>
                <c:pt idx="42">
                  <c:v>1.17</c:v>
                </c:pt>
                <c:pt idx="43">
                  <c:v>1.17</c:v>
                </c:pt>
                <c:pt idx="44">
                  <c:v>1.17</c:v>
                </c:pt>
                <c:pt idx="45">
                  <c:v>1.17</c:v>
                </c:pt>
                <c:pt idx="46">
                  <c:v>1.17</c:v>
                </c:pt>
                <c:pt idx="47">
                  <c:v>0.91</c:v>
                </c:pt>
                <c:pt idx="48">
                  <c:v>0.91</c:v>
                </c:pt>
                <c:pt idx="49">
                  <c:v>0.91</c:v>
                </c:pt>
                <c:pt idx="50">
                  <c:v>0.91</c:v>
                </c:pt>
                <c:pt idx="51">
                  <c:v>0.91</c:v>
                </c:pt>
                <c:pt idx="52">
                  <c:v>0.91</c:v>
                </c:pt>
                <c:pt idx="53">
                  <c:v>0.91</c:v>
                </c:pt>
                <c:pt idx="54">
                  <c:v>0.99</c:v>
                </c:pt>
                <c:pt idx="55">
                  <c:v>0.99</c:v>
                </c:pt>
                <c:pt idx="56">
                  <c:v>0.99</c:v>
                </c:pt>
                <c:pt idx="57">
                  <c:v>0.99</c:v>
                </c:pt>
                <c:pt idx="58">
                  <c:v>0.99</c:v>
                </c:pt>
                <c:pt idx="59">
                  <c:v>0.99</c:v>
                </c:pt>
                <c:pt idx="60">
                  <c:v>0.99</c:v>
                </c:pt>
                <c:pt idx="61">
                  <c:v>0.99</c:v>
                </c:pt>
                <c:pt idx="62">
                  <c:v>0.99</c:v>
                </c:pt>
                <c:pt idx="63">
                  <c:v>0.99</c:v>
                </c:pt>
                <c:pt idx="64">
                  <c:v>0.99</c:v>
                </c:pt>
                <c:pt idx="65">
                  <c:v>0.99</c:v>
                </c:pt>
                <c:pt idx="67">
                  <c:v>0.99</c:v>
                </c:pt>
                <c:pt idx="68">
                  <c:v>0.56000000000000005</c:v>
                </c:pt>
                <c:pt idx="70">
                  <c:v>0.56000000000000005</c:v>
                </c:pt>
                <c:pt idx="71">
                  <c:v>0.56000000000000005</c:v>
                </c:pt>
                <c:pt idx="72">
                  <c:v>0.56000000000000005</c:v>
                </c:pt>
                <c:pt idx="73">
                  <c:v>0.56000000000000005</c:v>
                </c:pt>
                <c:pt idx="74">
                  <c:v>0.56000000000000005</c:v>
                </c:pt>
                <c:pt idx="75">
                  <c:v>0.36</c:v>
                </c:pt>
                <c:pt idx="76">
                  <c:v>0.36</c:v>
                </c:pt>
                <c:pt idx="77">
                  <c:v>0.36</c:v>
                </c:pt>
                <c:pt idx="78">
                  <c:v>0.36</c:v>
                </c:pt>
                <c:pt idx="79">
                  <c:v>0.36</c:v>
                </c:pt>
                <c:pt idx="80">
                  <c:v>0.36</c:v>
                </c:pt>
                <c:pt idx="81">
                  <c:v>0.36</c:v>
                </c:pt>
                <c:pt idx="82">
                  <c:v>0.45</c:v>
                </c:pt>
                <c:pt idx="83">
                  <c:v>0.45</c:v>
                </c:pt>
                <c:pt idx="84">
                  <c:v>0.45</c:v>
                </c:pt>
                <c:pt idx="85">
                  <c:v>0.45</c:v>
                </c:pt>
                <c:pt idx="86">
                  <c:v>0.45</c:v>
                </c:pt>
                <c:pt idx="87">
                  <c:v>0.45</c:v>
                </c:pt>
                <c:pt idx="88">
                  <c:v>0.45</c:v>
                </c:pt>
                <c:pt idx="89">
                  <c:v>0.2</c:v>
                </c:pt>
                <c:pt idx="90">
                  <c:v>0.2</c:v>
                </c:pt>
                <c:pt idx="91">
                  <c:v>0.2</c:v>
                </c:pt>
                <c:pt idx="92">
                  <c:v>0.2</c:v>
                </c:pt>
                <c:pt idx="93">
                  <c:v>0.2</c:v>
                </c:pt>
                <c:pt idx="94">
                  <c:v>0.2</c:v>
                </c:pt>
                <c:pt idx="95">
                  <c:v>0.2</c:v>
                </c:pt>
                <c:pt idx="96">
                  <c:v>0.27</c:v>
                </c:pt>
                <c:pt idx="97">
                  <c:v>0.27</c:v>
                </c:pt>
                <c:pt idx="98">
                  <c:v>0.27</c:v>
                </c:pt>
                <c:pt idx="99">
                  <c:v>0.27</c:v>
                </c:pt>
                <c:pt idx="101">
                  <c:v>0.27</c:v>
                </c:pt>
                <c:pt idx="102">
                  <c:v>0.27</c:v>
                </c:pt>
                <c:pt idx="103">
                  <c:v>0.11</c:v>
                </c:pt>
                <c:pt idx="104">
                  <c:v>0.11</c:v>
                </c:pt>
                <c:pt idx="105">
                  <c:v>0.11</c:v>
                </c:pt>
                <c:pt idx="106">
                  <c:v>0.11</c:v>
                </c:pt>
                <c:pt idx="107">
                  <c:v>0.11</c:v>
                </c:pt>
                <c:pt idx="108">
                  <c:v>0.11</c:v>
                </c:pt>
                <c:pt idx="109">
                  <c:v>0.11</c:v>
                </c:pt>
                <c:pt idx="110">
                  <c:v>0.1</c:v>
                </c:pt>
                <c:pt idx="111">
                  <c:v>0.1</c:v>
                </c:pt>
                <c:pt idx="112">
                  <c:v>0.1</c:v>
                </c:pt>
                <c:pt idx="113">
                  <c:v>0.1</c:v>
                </c:pt>
                <c:pt idx="114">
                  <c:v>0.1</c:v>
                </c:pt>
                <c:pt idx="115">
                  <c:v>0.1</c:v>
                </c:pt>
                <c:pt idx="116">
                  <c:v>0.1</c:v>
                </c:pt>
                <c:pt idx="117">
                  <c:v>0.11</c:v>
                </c:pt>
                <c:pt idx="118">
                  <c:v>0.11</c:v>
                </c:pt>
                <c:pt idx="119">
                  <c:v>0.11</c:v>
                </c:pt>
                <c:pt idx="120">
                  <c:v>0.11</c:v>
                </c:pt>
                <c:pt idx="121">
                  <c:v>0.11</c:v>
                </c:pt>
                <c:pt idx="122">
                  <c:v>0.11</c:v>
                </c:pt>
                <c:pt idx="123">
                  <c:v>0.11</c:v>
                </c:pt>
                <c:pt idx="124">
                  <c:v>0.05</c:v>
                </c:pt>
                <c:pt idx="125">
                  <c:v>0.05</c:v>
                </c:pt>
                <c:pt idx="126">
                  <c:v>0.05</c:v>
                </c:pt>
                <c:pt idx="127">
                  <c:v>0.05</c:v>
                </c:pt>
                <c:pt idx="128">
                  <c:v>0.05</c:v>
                </c:pt>
                <c:pt idx="129">
                  <c:v>0.05</c:v>
                </c:pt>
                <c:pt idx="130">
                  <c:v>0.05</c:v>
                </c:pt>
                <c:pt idx="131">
                  <c:v>0.09</c:v>
                </c:pt>
                <c:pt idx="133">
                  <c:v>0.09</c:v>
                </c:pt>
                <c:pt idx="134">
                  <c:v>0.09</c:v>
                </c:pt>
                <c:pt idx="135">
                  <c:v>0.09</c:v>
                </c:pt>
                <c:pt idx="136">
                  <c:v>0.09</c:v>
                </c:pt>
                <c:pt idx="137">
                  <c:v>0.09</c:v>
                </c:pt>
                <c:pt idx="138">
                  <c:v>0.04</c:v>
                </c:pt>
                <c:pt idx="139">
                  <c:v>0.04</c:v>
                </c:pt>
                <c:pt idx="140">
                  <c:v>0.04</c:v>
                </c:pt>
                <c:pt idx="141">
                  <c:v>0.04</c:v>
                </c:pt>
                <c:pt idx="142">
                  <c:v>0.04</c:v>
                </c:pt>
                <c:pt idx="143">
                  <c:v>0.04</c:v>
                </c:pt>
                <c:pt idx="144">
                  <c:v>0.04</c:v>
                </c:pt>
                <c:pt idx="145">
                  <c:v>0.03</c:v>
                </c:pt>
                <c:pt idx="146">
                  <c:v>0.03</c:v>
                </c:pt>
                <c:pt idx="147">
                  <c:v>0.03</c:v>
                </c:pt>
                <c:pt idx="148">
                  <c:v>0.03</c:v>
                </c:pt>
                <c:pt idx="149">
                  <c:v>0.03</c:v>
                </c:pt>
                <c:pt idx="150">
                  <c:v>0.03</c:v>
                </c:pt>
                <c:pt idx="151">
                  <c:v>0.03</c:v>
                </c:pt>
                <c:pt idx="152">
                  <c:v>0.04</c:v>
                </c:pt>
                <c:pt idx="153">
                  <c:v>0.04</c:v>
                </c:pt>
                <c:pt idx="154">
                  <c:v>0.04</c:v>
                </c:pt>
                <c:pt idx="155">
                  <c:v>0.04</c:v>
                </c:pt>
                <c:pt idx="156">
                  <c:v>0.04</c:v>
                </c:pt>
                <c:pt idx="157">
                  <c:v>0.04</c:v>
                </c:pt>
                <c:pt idx="158">
                  <c:v>0.04</c:v>
                </c:pt>
                <c:pt idx="159">
                  <c:v>0.01</c:v>
                </c:pt>
                <c:pt idx="160">
                  <c:v>0.01</c:v>
                </c:pt>
                <c:pt idx="161">
                  <c:v>0.01</c:v>
                </c:pt>
                <c:pt idx="162">
                  <c:v>0.01</c:v>
                </c:pt>
                <c:pt idx="163">
                  <c:v>0.01</c:v>
                </c:pt>
                <c:pt idx="164">
                  <c:v>0.01</c:v>
                </c:pt>
                <c:pt idx="165">
                  <c:v>0.01</c:v>
                </c:pt>
                <c:pt idx="166">
                  <c:v>0.03</c:v>
                </c:pt>
                <c:pt idx="167">
                  <c:v>0.03</c:v>
                </c:pt>
                <c:pt idx="168">
                  <c:v>0.03</c:v>
                </c:pt>
                <c:pt idx="169">
                  <c:v>0.03</c:v>
                </c:pt>
                <c:pt idx="170">
                  <c:v>0.03</c:v>
                </c:pt>
                <c:pt idx="171">
                  <c:v>0.03</c:v>
                </c:pt>
                <c:pt idx="172">
                  <c:v>0.03</c:v>
                </c:pt>
                <c:pt idx="173">
                  <c:v>0.02</c:v>
                </c:pt>
                <c:pt idx="174">
                  <c:v>0.02</c:v>
                </c:pt>
                <c:pt idx="175">
                  <c:v>0.02</c:v>
                </c:pt>
                <c:pt idx="176">
                  <c:v>0.02</c:v>
                </c:pt>
                <c:pt idx="177">
                  <c:v>0.02</c:v>
                </c:pt>
                <c:pt idx="178">
                  <c:v>0.02</c:v>
                </c:pt>
                <c:pt idx="179">
                  <c:v>0.02</c:v>
                </c:pt>
                <c:pt idx="180">
                  <c:v>0.03</c:v>
                </c:pt>
                <c:pt idx="181">
                  <c:v>0.03</c:v>
                </c:pt>
                <c:pt idx="182">
                  <c:v>0.03</c:v>
                </c:pt>
                <c:pt idx="183">
                  <c:v>0.03</c:v>
                </c:pt>
                <c:pt idx="184">
                  <c:v>0.03</c:v>
                </c:pt>
                <c:pt idx="185">
                  <c:v>0.03</c:v>
                </c:pt>
                <c:pt idx="186">
                  <c:v>0.03</c:v>
                </c:pt>
                <c:pt idx="194">
                  <c:v>0.02</c:v>
                </c:pt>
                <c:pt idx="195">
                  <c:v>0.02</c:v>
                </c:pt>
                <c:pt idx="196">
                  <c:v>0.02</c:v>
                </c:pt>
                <c:pt idx="197">
                  <c:v>0.02</c:v>
                </c:pt>
                <c:pt idx="198">
                  <c:v>0.02</c:v>
                </c:pt>
                <c:pt idx="199">
                  <c:v>0.02</c:v>
                </c:pt>
                <c:pt idx="200">
                  <c:v>0.02</c:v>
                </c:pt>
                <c:pt idx="201">
                  <c:v>1.6E-2</c:v>
                </c:pt>
                <c:pt idx="202">
                  <c:v>1.6E-2</c:v>
                </c:pt>
                <c:pt idx="203">
                  <c:v>1.6E-2</c:v>
                </c:pt>
                <c:pt idx="204">
                  <c:v>1.6E-2</c:v>
                </c:pt>
                <c:pt idx="205">
                  <c:v>1.6E-2</c:v>
                </c:pt>
                <c:pt idx="206">
                  <c:v>1.6E-2</c:v>
                </c:pt>
                <c:pt idx="207">
                  <c:v>1.6E-2</c:v>
                </c:pt>
                <c:pt idx="208">
                  <c:v>0.02</c:v>
                </c:pt>
                <c:pt idx="209">
                  <c:v>0.02</c:v>
                </c:pt>
                <c:pt idx="210">
                  <c:v>0.02</c:v>
                </c:pt>
                <c:pt idx="211">
                  <c:v>0.02</c:v>
                </c:pt>
                <c:pt idx="212">
                  <c:v>0.02</c:v>
                </c:pt>
                <c:pt idx="213">
                  <c:v>0.02</c:v>
                </c:pt>
                <c:pt idx="214">
                  <c:v>0.02</c:v>
                </c:pt>
                <c:pt idx="215">
                  <c:v>0.02</c:v>
                </c:pt>
                <c:pt idx="216">
                  <c:v>0.02</c:v>
                </c:pt>
                <c:pt idx="217">
                  <c:v>0.02</c:v>
                </c:pt>
                <c:pt idx="218">
                  <c:v>0.02</c:v>
                </c:pt>
                <c:pt idx="219">
                  <c:v>0.02</c:v>
                </c:pt>
                <c:pt idx="220">
                  <c:v>0.02</c:v>
                </c:pt>
                <c:pt idx="221">
                  <c:v>0.02</c:v>
                </c:pt>
                <c:pt idx="222">
                  <c:v>0.04</c:v>
                </c:pt>
                <c:pt idx="223">
                  <c:v>0.04</c:v>
                </c:pt>
                <c:pt idx="224">
                  <c:v>0.04</c:v>
                </c:pt>
                <c:pt idx="225">
                  <c:v>0.04</c:v>
                </c:pt>
                <c:pt idx="226">
                  <c:v>0.04</c:v>
                </c:pt>
                <c:pt idx="227">
                  <c:v>0.04</c:v>
                </c:pt>
                <c:pt idx="228">
                  <c:v>0.04</c:v>
                </c:pt>
                <c:pt idx="229">
                  <c:v>0.03</c:v>
                </c:pt>
                <c:pt idx="230">
                  <c:v>0.03</c:v>
                </c:pt>
                <c:pt idx="231">
                  <c:v>0.03</c:v>
                </c:pt>
                <c:pt idx="232">
                  <c:v>0.03</c:v>
                </c:pt>
                <c:pt idx="233">
                  <c:v>0.03</c:v>
                </c:pt>
                <c:pt idx="234">
                  <c:v>0.03</c:v>
                </c:pt>
                <c:pt idx="235">
                  <c:v>0.03</c:v>
                </c:pt>
                <c:pt idx="236">
                  <c:v>0.04</c:v>
                </c:pt>
                <c:pt idx="237">
                  <c:v>0.04</c:v>
                </c:pt>
                <c:pt idx="238">
                  <c:v>0.04</c:v>
                </c:pt>
                <c:pt idx="239">
                  <c:v>0.04</c:v>
                </c:pt>
                <c:pt idx="240">
                  <c:v>0.04</c:v>
                </c:pt>
                <c:pt idx="241">
                  <c:v>0.04</c:v>
                </c:pt>
                <c:pt idx="242">
                  <c:v>0.04</c:v>
                </c:pt>
                <c:pt idx="243">
                  <c:v>0.05</c:v>
                </c:pt>
                <c:pt idx="244">
                  <c:v>0.05</c:v>
                </c:pt>
                <c:pt idx="245">
                  <c:v>0.05</c:v>
                </c:pt>
                <c:pt idx="246">
                  <c:v>0.05</c:v>
                </c:pt>
                <c:pt idx="247">
                  <c:v>0.05</c:v>
                </c:pt>
                <c:pt idx="248">
                  <c:v>0.05</c:v>
                </c:pt>
                <c:pt idx="249">
                  <c:v>0.05</c:v>
                </c:pt>
                <c:pt idx="250">
                  <c:v>0.09</c:v>
                </c:pt>
                <c:pt idx="251">
                  <c:v>0.09</c:v>
                </c:pt>
                <c:pt idx="252">
                  <c:v>0.09</c:v>
                </c:pt>
                <c:pt idx="253">
                  <c:v>0.09</c:v>
                </c:pt>
                <c:pt idx="254">
                  <c:v>0.09</c:v>
                </c:pt>
                <c:pt idx="255">
                  <c:v>0.09</c:v>
                </c:pt>
                <c:pt idx="256">
                  <c:v>0.09</c:v>
                </c:pt>
                <c:pt idx="257">
                  <c:v>7.0000000000000007E-2</c:v>
                </c:pt>
                <c:pt idx="258">
                  <c:v>7.0000000000000007E-2</c:v>
                </c:pt>
                <c:pt idx="259">
                  <c:v>7.0000000000000007E-2</c:v>
                </c:pt>
                <c:pt idx="260">
                  <c:v>7.0000000000000007E-2</c:v>
                </c:pt>
                <c:pt idx="261">
                  <c:v>7.0000000000000007E-2</c:v>
                </c:pt>
                <c:pt idx="262">
                  <c:v>7.0000000000000007E-2</c:v>
                </c:pt>
                <c:pt idx="263">
                  <c:v>7.0000000000000007E-2</c:v>
                </c:pt>
                <c:pt idx="264">
                  <c:v>0.2</c:v>
                </c:pt>
                <c:pt idx="265">
                  <c:v>0.2</c:v>
                </c:pt>
                <c:pt idx="266">
                  <c:v>0.2</c:v>
                </c:pt>
                <c:pt idx="267">
                  <c:v>0.2</c:v>
                </c:pt>
                <c:pt idx="268">
                  <c:v>0.2</c:v>
                </c:pt>
                <c:pt idx="269">
                  <c:v>0.2</c:v>
                </c:pt>
                <c:pt idx="270">
                  <c:v>0.2</c:v>
                </c:pt>
                <c:pt idx="271">
                  <c:v>0.2</c:v>
                </c:pt>
                <c:pt idx="272">
                  <c:v>0.2</c:v>
                </c:pt>
                <c:pt idx="273">
                  <c:v>0.2</c:v>
                </c:pt>
                <c:pt idx="274">
                  <c:v>0.2</c:v>
                </c:pt>
                <c:pt idx="275">
                  <c:v>0.2</c:v>
                </c:pt>
                <c:pt idx="276">
                  <c:v>0.2</c:v>
                </c:pt>
                <c:pt idx="277">
                  <c:v>0.2</c:v>
                </c:pt>
                <c:pt idx="278">
                  <c:v>0.37</c:v>
                </c:pt>
                <c:pt idx="279">
                  <c:v>0.37</c:v>
                </c:pt>
                <c:pt idx="280">
                  <c:v>0.37</c:v>
                </c:pt>
                <c:pt idx="281">
                  <c:v>0.37</c:v>
                </c:pt>
                <c:pt idx="282">
                  <c:v>0.37</c:v>
                </c:pt>
                <c:pt idx="283">
                  <c:v>0.37</c:v>
                </c:pt>
                <c:pt idx="284">
                  <c:v>0.37</c:v>
                </c:pt>
                <c:pt idx="285">
                  <c:v>0.32</c:v>
                </c:pt>
                <c:pt idx="286">
                  <c:v>0.32</c:v>
                </c:pt>
                <c:pt idx="287">
                  <c:v>0.32</c:v>
                </c:pt>
                <c:pt idx="288">
                  <c:v>0.32</c:v>
                </c:pt>
                <c:pt idx="289">
                  <c:v>0.32</c:v>
                </c:pt>
                <c:pt idx="290">
                  <c:v>0.32</c:v>
                </c:pt>
                <c:pt idx="291">
                  <c:v>0.32</c:v>
                </c:pt>
                <c:pt idx="292">
                  <c:v>0.91</c:v>
                </c:pt>
                <c:pt idx="293">
                  <c:v>0.91</c:v>
                </c:pt>
                <c:pt idx="294">
                  <c:v>0.91</c:v>
                </c:pt>
                <c:pt idx="295">
                  <c:v>0.91</c:v>
                </c:pt>
                <c:pt idx="296">
                  <c:v>0.91</c:v>
                </c:pt>
                <c:pt idx="297">
                  <c:v>0.91</c:v>
                </c:pt>
                <c:pt idx="298">
                  <c:v>0.91</c:v>
                </c:pt>
                <c:pt idx="299">
                  <c:v>0.52</c:v>
                </c:pt>
                <c:pt idx="300">
                  <c:v>0.52</c:v>
                </c:pt>
                <c:pt idx="301">
                  <c:v>0.52</c:v>
                </c:pt>
                <c:pt idx="302">
                  <c:v>0.52</c:v>
                </c:pt>
                <c:pt idx="303">
                  <c:v>0.52</c:v>
                </c:pt>
                <c:pt idx="304">
                  <c:v>0.52</c:v>
                </c:pt>
                <c:pt idx="305">
                  <c:v>0.52</c:v>
                </c:pt>
                <c:pt idx="306">
                  <c:v>0.54</c:v>
                </c:pt>
                <c:pt idx="307">
                  <c:v>0.54</c:v>
                </c:pt>
                <c:pt idx="308">
                  <c:v>0.54</c:v>
                </c:pt>
                <c:pt idx="309">
                  <c:v>0.54</c:v>
                </c:pt>
                <c:pt idx="310">
                  <c:v>0.54</c:v>
                </c:pt>
                <c:pt idx="311">
                  <c:v>0.54</c:v>
                </c:pt>
                <c:pt idx="312">
                  <c:v>0.54</c:v>
                </c:pt>
                <c:pt idx="313">
                  <c:v>1.43</c:v>
                </c:pt>
                <c:pt idx="314">
                  <c:v>1.43</c:v>
                </c:pt>
                <c:pt idx="315">
                  <c:v>1.43</c:v>
                </c:pt>
                <c:pt idx="316">
                  <c:v>1.43</c:v>
                </c:pt>
                <c:pt idx="317">
                  <c:v>1.43</c:v>
                </c:pt>
                <c:pt idx="318">
                  <c:v>1.43</c:v>
                </c:pt>
                <c:pt idx="319">
                  <c:v>1.43</c:v>
                </c:pt>
                <c:pt idx="320">
                  <c:v>0.78</c:v>
                </c:pt>
                <c:pt idx="321">
                  <c:v>0.78</c:v>
                </c:pt>
                <c:pt idx="322">
                  <c:v>0.78</c:v>
                </c:pt>
                <c:pt idx="323">
                  <c:v>0.78</c:v>
                </c:pt>
                <c:pt idx="324">
                  <c:v>0.78</c:v>
                </c:pt>
                <c:pt idx="325">
                  <c:v>0.78</c:v>
                </c:pt>
                <c:pt idx="326">
                  <c:v>0.78</c:v>
                </c:pt>
                <c:pt idx="327">
                  <c:v>1.08</c:v>
                </c:pt>
                <c:pt idx="328">
                  <c:v>1.08</c:v>
                </c:pt>
                <c:pt idx="329">
                  <c:v>1.08</c:v>
                </c:pt>
                <c:pt idx="330">
                  <c:v>1.08</c:v>
                </c:pt>
                <c:pt idx="331">
                  <c:v>1.08</c:v>
                </c:pt>
                <c:pt idx="332">
                  <c:v>1.08</c:v>
                </c:pt>
                <c:pt idx="333">
                  <c:v>1.08</c:v>
                </c:pt>
                <c:pt idx="334">
                  <c:v>1.1399999999999999</c:v>
                </c:pt>
                <c:pt idx="335">
                  <c:v>1.1399999999999999</c:v>
                </c:pt>
                <c:pt idx="336">
                  <c:v>1.1399999999999999</c:v>
                </c:pt>
                <c:pt idx="337">
                  <c:v>1.1399999999999999</c:v>
                </c:pt>
                <c:pt idx="338">
                  <c:v>1.1399999999999999</c:v>
                </c:pt>
                <c:pt idx="339">
                  <c:v>1.1399999999999999</c:v>
                </c:pt>
                <c:pt idx="340">
                  <c:v>1.1399999999999999</c:v>
                </c:pt>
                <c:pt idx="341">
                  <c:v>0.87</c:v>
                </c:pt>
                <c:pt idx="342">
                  <c:v>0.87</c:v>
                </c:pt>
                <c:pt idx="343">
                  <c:v>0.87</c:v>
                </c:pt>
                <c:pt idx="344">
                  <c:v>0.87</c:v>
                </c:pt>
                <c:pt idx="345">
                  <c:v>0.87</c:v>
                </c:pt>
                <c:pt idx="346">
                  <c:v>0.87</c:v>
                </c:pt>
                <c:pt idx="347">
                  <c:v>0.87</c:v>
                </c:pt>
                <c:pt idx="348">
                  <c:v>1.91</c:v>
                </c:pt>
                <c:pt idx="349">
                  <c:v>1.91</c:v>
                </c:pt>
                <c:pt idx="350">
                  <c:v>1.91</c:v>
                </c:pt>
                <c:pt idx="351">
                  <c:v>1.91</c:v>
                </c:pt>
                <c:pt idx="352">
                  <c:v>1.91</c:v>
                </c:pt>
                <c:pt idx="353">
                  <c:v>1.91</c:v>
                </c:pt>
                <c:pt idx="354">
                  <c:v>1.91</c:v>
                </c:pt>
                <c:pt idx="355">
                  <c:v>0.94</c:v>
                </c:pt>
                <c:pt idx="356">
                  <c:v>0.94</c:v>
                </c:pt>
                <c:pt idx="358">
                  <c:v>0.94</c:v>
                </c:pt>
                <c:pt idx="359">
                  <c:v>0.94</c:v>
                </c:pt>
                <c:pt idx="360">
                  <c:v>0.94</c:v>
                </c:pt>
                <c:pt idx="361">
                  <c:v>0.94</c:v>
                </c:pt>
                <c:pt idx="362">
                  <c:v>1.28</c:v>
                </c:pt>
                <c:pt idx="363">
                  <c:v>1.28</c:v>
                </c:pt>
                <c:pt idx="364">
                  <c:v>1.28</c:v>
                </c:pt>
                <c:pt idx="365">
                  <c:v>1.28</c:v>
                </c:pt>
              </c:numCache>
            </c:numRef>
          </c:val>
          <c:extLst>
            <c:ext xmlns:c16="http://schemas.microsoft.com/office/drawing/2014/chart" uri="{C3380CC4-5D6E-409C-BE32-E72D297353CC}">
              <c16:uniqueId val="{00000002-18DC-4FEC-814B-1885728041BD}"/>
            </c:ext>
          </c:extLst>
        </c:ser>
        <c:dLbls>
          <c:showLegendKey val="0"/>
          <c:showVal val="0"/>
          <c:showCatName val="0"/>
          <c:showSerName val="0"/>
          <c:showPercent val="0"/>
          <c:showBubbleSize val="0"/>
        </c:dLbls>
        <c:gapWidth val="100"/>
        <c:overlap val="-24"/>
        <c:axId val="400401264"/>
        <c:axId val="400400088"/>
      </c:barChart>
      <c:dateAx>
        <c:axId val="40040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400400088"/>
        <c:crosses val="autoZero"/>
        <c:auto val="0"/>
        <c:lblOffset val="100"/>
        <c:baseTimeUnit val="days"/>
        <c:majorUnit val="31"/>
        <c:minorUnit val="1"/>
      </c:dateAx>
      <c:valAx>
        <c:axId val="400400088"/>
        <c:scaling>
          <c:orientation val="minMax"/>
          <c:max val="75"/>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cap="all" baseline="0">
                    <a:ln>
                      <a:noFill/>
                    </a:ln>
                    <a:solidFill>
                      <a:schemeClr val="tx1">
                        <a:lumMod val="50000"/>
                        <a:lumOff val="50000"/>
                      </a:schemeClr>
                    </a:solidFill>
                    <a:latin typeface="+mn-lt"/>
                    <a:ea typeface="+mn-ea"/>
                    <a:cs typeface="+mn-cs"/>
                  </a:defRPr>
                </a:pPr>
                <a:r>
                  <a:rPr lang="pl-PL" sz="1000" b="0" cap="none" baseline="0">
                    <a:ln>
                      <a:noFill/>
                    </a:ln>
                    <a:solidFill>
                      <a:sysClr val="windowText" lastClr="000000"/>
                    </a:solidFill>
                  </a:rPr>
                  <a:t>Dobowe</a:t>
                </a:r>
                <a:r>
                  <a:rPr lang="pl-PL" sz="1100" b="0" cap="none" baseline="0">
                    <a:ln>
                      <a:noFill/>
                    </a:ln>
                    <a:solidFill>
                      <a:sysClr val="windowText" lastClr="000000"/>
                    </a:solidFill>
                  </a:rPr>
                  <a:t> stężenia B(a)P, [ng/m</a:t>
                </a:r>
                <a:r>
                  <a:rPr lang="pl-PL" sz="1100" b="0" cap="none" baseline="30000">
                    <a:ln>
                      <a:noFill/>
                    </a:ln>
                    <a:solidFill>
                      <a:sysClr val="windowText" lastClr="000000"/>
                    </a:solidFill>
                  </a:rPr>
                  <a:t>3</a:t>
                </a:r>
                <a:r>
                  <a:rPr lang="pl-PL" sz="1100" b="0" cap="none" baseline="0">
                    <a:ln>
                      <a:noFill/>
                    </a:ln>
                    <a:solidFill>
                      <a:sysClr val="windowText" lastClr="000000"/>
                    </a:solidFill>
                  </a:rPr>
                  <a:t>]</a:t>
                </a:r>
              </a:p>
            </c:rich>
          </c:tx>
          <c:layout>
            <c:manualLayout>
              <c:xMode val="edge"/>
              <c:yMode val="edge"/>
              <c:x val="1.5744489428699954E-2"/>
              <c:y val="9.99535747446611E-2"/>
            </c:manualLayout>
          </c:layout>
          <c:overlay val="0"/>
          <c:spPr>
            <a:noFill/>
            <a:ln>
              <a:noFill/>
            </a:ln>
            <a:effectLst/>
          </c:spPr>
          <c:txPr>
            <a:bodyPr rot="-5400000" spcFirstLastPara="1" vertOverflow="ellipsis" vert="horz" wrap="square" anchor="ctr" anchorCtr="1"/>
            <a:lstStyle/>
            <a:p>
              <a:pPr>
                <a:defRPr sz="900" b="0" i="0" u="none" strike="noStrike" kern="1200" cap="all" baseline="0">
                  <a:ln>
                    <a:noFill/>
                  </a:ln>
                  <a:solidFill>
                    <a:schemeClr val="tx1">
                      <a:lumMod val="50000"/>
                      <a:lumOff val="50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400401264"/>
        <c:crosses val="autoZero"/>
        <c:crossBetween val="between"/>
        <c:majorUnit val="5"/>
      </c:valAx>
      <c:spPr>
        <a:noFill/>
        <a:ln>
          <a:solidFill>
            <a:schemeClr val="bg1">
              <a:lumMod val="85000"/>
            </a:schemeClr>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tx>
            <c:strRef>
              <c:f>staty!$B$2</c:f>
              <c:strCache>
                <c:ptCount val="1"/>
                <c:pt idx="0">
                  <c:v>DsLegAlRzecz</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cat>
            <c:numRef>
              <c:f>staty!$A$4:$A$14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staty!$B$4:$B$14</c:f>
              <c:numCache>
                <c:formatCode>0.0</c:formatCode>
                <c:ptCount val="11"/>
                <c:pt idx="0">
                  <c:v>7.4196503500000004</c:v>
                </c:pt>
                <c:pt idx="1">
                  <c:v>6.8339877299999996</c:v>
                </c:pt>
                <c:pt idx="2">
                  <c:v>6.5078212290000002</c:v>
                </c:pt>
                <c:pt idx="3">
                  <c:v>7.9118443799999998</c:v>
                </c:pt>
                <c:pt idx="4">
                  <c:v>6.1920118339999997</c:v>
                </c:pt>
                <c:pt idx="5">
                  <c:v>5.4561218839999999</c:v>
                </c:pt>
                <c:pt idx="6">
                  <c:v>6.0254269970000003</c:v>
                </c:pt>
                <c:pt idx="7">
                  <c:v>4.2394164380000001</c:v>
                </c:pt>
                <c:pt idx="8">
                  <c:v>4.1360961539999996</c:v>
                </c:pt>
                <c:pt idx="9">
                  <c:v>2.5944049589999998</c:v>
                </c:pt>
                <c:pt idx="10">
                  <c:v>1.97445</c:v>
                </c:pt>
              </c:numCache>
            </c:numRef>
          </c:val>
          <c:smooth val="0"/>
          <c:extLst>
            <c:ext xmlns:c16="http://schemas.microsoft.com/office/drawing/2014/chart" uri="{C3380CC4-5D6E-409C-BE32-E72D297353CC}">
              <c16:uniqueId val="{00000000-C038-4882-BBDD-5BA7F8CCB797}"/>
            </c:ext>
          </c:extLst>
        </c:ser>
        <c:ser>
          <c:idx val="3"/>
          <c:order val="1"/>
          <c:tx>
            <c:strRef>
              <c:f>staty!$E$2</c:f>
              <c:strCache>
                <c:ptCount val="1"/>
                <c:pt idx="0">
                  <c:v>LdLodzRudzka</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staty!$E$4:$E$14</c:f>
              <c:numCache>
                <c:formatCode>0.0</c:formatCode>
                <c:ptCount val="11"/>
                <c:pt idx="0">
                  <c:v>7.9523809520000004</c:v>
                </c:pt>
                <c:pt idx="1">
                  <c:v>6.9936708860000003</c:v>
                </c:pt>
                <c:pt idx="2">
                  <c:v>9.5406976740000005</c:v>
                </c:pt>
                <c:pt idx="3">
                  <c:v>6.8170454549999997</c:v>
                </c:pt>
                <c:pt idx="4">
                  <c:v>6.7144214880000002</c:v>
                </c:pt>
                <c:pt idx="5">
                  <c:v>5.9742708929999999</c:v>
                </c:pt>
                <c:pt idx="6">
                  <c:v>7.3041221920000003</c:v>
                </c:pt>
                <c:pt idx="7">
                  <c:v>6.2837932070000004</c:v>
                </c:pt>
                <c:pt idx="8">
                  <c:v>4.4592194840000001</c:v>
                </c:pt>
                <c:pt idx="9">
                  <c:v>3.6741910280000001</c:v>
                </c:pt>
                <c:pt idx="10">
                  <c:v>2.9661798290000001</c:v>
                </c:pt>
              </c:numCache>
            </c:numRef>
          </c:val>
          <c:smooth val="0"/>
          <c:extLst>
            <c:ext xmlns:c16="http://schemas.microsoft.com/office/drawing/2014/chart" uri="{C3380CC4-5D6E-409C-BE32-E72D297353CC}">
              <c16:uniqueId val="{00000001-C038-4882-BBDD-5BA7F8CCB797}"/>
            </c:ext>
          </c:extLst>
        </c:ser>
        <c:ser>
          <c:idx val="5"/>
          <c:order val="2"/>
          <c:tx>
            <c:strRef>
              <c:f>staty!$G$2</c:f>
              <c:strCache>
                <c:ptCount val="1"/>
                <c:pt idx="0">
                  <c:v>MzPiasPulask</c:v>
                </c:pt>
              </c:strCache>
            </c:strRef>
          </c:tx>
          <c:spPr>
            <a:ln w="28575" cap="rnd">
              <a:solidFill>
                <a:schemeClr val="bg2">
                  <a:lumMod val="10000"/>
                </a:schemeClr>
              </a:solidFill>
              <a:round/>
            </a:ln>
            <a:effectLst/>
          </c:spPr>
          <c:marker>
            <c:symbol val="circle"/>
            <c:size val="5"/>
            <c:spPr>
              <a:solidFill>
                <a:schemeClr val="tx1">
                  <a:lumMod val="95000"/>
                  <a:lumOff val="5000"/>
                </a:schemeClr>
              </a:solidFill>
              <a:ln w="9525">
                <a:solidFill>
                  <a:schemeClr val="bg2">
                    <a:lumMod val="10000"/>
                  </a:schemeClr>
                </a:solidFill>
              </a:ln>
              <a:effectLst/>
            </c:spPr>
          </c:marker>
          <c:val>
            <c:numRef>
              <c:f>staty!$G$4:$G$14</c:f>
              <c:numCache>
                <c:formatCode>0.0</c:formatCode>
                <c:ptCount val="11"/>
                <c:pt idx="0">
                  <c:v>3.848021127</c:v>
                </c:pt>
                <c:pt idx="1">
                  <c:v>5.3280352110000004</c:v>
                </c:pt>
                <c:pt idx="2">
                  <c:v>4.6402657339999998</c:v>
                </c:pt>
                <c:pt idx="3">
                  <c:v>4.4282428569999999</c:v>
                </c:pt>
                <c:pt idx="4">
                  <c:v>4.5311753530000001</c:v>
                </c:pt>
                <c:pt idx="5">
                  <c:v>3.631301686</c:v>
                </c:pt>
                <c:pt idx="6">
                  <c:v>3.0351323959999998</c:v>
                </c:pt>
                <c:pt idx="7">
                  <c:v>3.5955449860000002</c:v>
                </c:pt>
                <c:pt idx="8">
                  <c:v>2.7516563249999999</c:v>
                </c:pt>
                <c:pt idx="9">
                  <c:v>2.2063859639999999</c:v>
                </c:pt>
                <c:pt idx="10">
                  <c:v>1.8113877810000001</c:v>
                </c:pt>
              </c:numCache>
            </c:numRef>
          </c:val>
          <c:smooth val="0"/>
          <c:extLst>
            <c:ext xmlns:c16="http://schemas.microsoft.com/office/drawing/2014/chart" uri="{C3380CC4-5D6E-409C-BE32-E72D297353CC}">
              <c16:uniqueId val="{00000002-C038-4882-BBDD-5BA7F8CCB797}"/>
            </c:ext>
          </c:extLst>
        </c:ser>
        <c:ser>
          <c:idx val="6"/>
          <c:order val="3"/>
          <c:tx>
            <c:strRef>
              <c:f>staty!$H$2</c:f>
              <c:strCache>
                <c:ptCount val="1"/>
                <c:pt idx="0">
                  <c:v>OpOpoleOsAKr</c:v>
                </c:pt>
              </c:strCache>
            </c:strRef>
          </c:tx>
          <c:spPr>
            <a:ln w="28575" cap="rnd">
              <a:solidFill>
                <a:srgbClr val="E7C7DC"/>
              </a:solidFill>
              <a:round/>
            </a:ln>
            <a:effectLst/>
          </c:spPr>
          <c:marker>
            <c:symbol val="circle"/>
            <c:size val="5"/>
            <c:spPr>
              <a:solidFill>
                <a:srgbClr val="E7C7DC"/>
              </a:solidFill>
              <a:ln w="9525">
                <a:solidFill>
                  <a:srgbClr val="E7C7DC"/>
                </a:solidFill>
              </a:ln>
              <a:effectLst/>
            </c:spPr>
          </c:marker>
          <c:val>
            <c:numRef>
              <c:f>staty!$H$4:$H$14</c:f>
              <c:numCache>
                <c:formatCode>0.0</c:formatCode>
                <c:ptCount val="11"/>
                <c:pt idx="0">
                  <c:v>7.5054263570000002</c:v>
                </c:pt>
                <c:pt idx="1">
                  <c:v>5.5004098360000002</c:v>
                </c:pt>
                <c:pt idx="2">
                  <c:v>4.5626984129999997</c:v>
                </c:pt>
                <c:pt idx="3">
                  <c:v>4.614728682</c:v>
                </c:pt>
                <c:pt idx="4">
                  <c:v>4.4502173909999998</c:v>
                </c:pt>
                <c:pt idx="5">
                  <c:v>3.3839906100000001</c:v>
                </c:pt>
                <c:pt idx="6">
                  <c:v>4.404463636</c:v>
                </c:pt>
                <c:pt idx="7">
                  <c:v>4.5773333330000003</c:v>
                </c:pt>
                <c:pt idx="8">
                  <c:v>3.4348132179999999</c:v>
                </c:pt>
                <c:pt idx="9">
                  <c:v>3.1807802199999999</c:v>
                </c:pt>
                <c:pt idx="10">
                  <c:v>2.6612049180000001</c:v>
                </c:pt>
              </c:numCache>
            </c:numRef>
          </c:val>
          <c:smooth val="0"/>
          <c:extLst>
            <c:ext xmlns:c16="http://schemas.microsoft.com/office/drawing/2014/chart" uri="{C3380CC4-5D6E-409C-BE32-E72D297353CC}">
              <c16:uniqueId val="{00000003-C038-4882-BBDD-5BA7F8CCB797}"/>
            </c:ext>
          </c:extLst>
        </c:ser>
        <c:ser>
          <c:idx val="8"/>
          <c:order val="4"/>
          <c:tx>
            <c:strRef>
              <c:f>staty!$J$2</c:f>
              <c:strCache>
                <c:ptCount val="1"/>
                <c:pt idx="0">
                  <c:v>PkKrosKletow</c:v>
                </c:pt>
              </c:strCache>
            </c:strRef>
          </c:tx>
          <c:spPr>
            <a:ln w="28575" cap="rnd">
              <a:noFill/>
              <a:round/>
            </a:ln>
            <a:effectLst/>
          </c:spPr>
          <c:marker>
            <c:symbol val="circle"/>
            <c:size val="5"/>
            <c:spPr>
              <a:solidFill>
                <a:srgbClr val="00B050"/>
              </a:solidFill>
              <a:ln w="9525">
                <a:solidFill>
                  <a:srgbClr val="00B050"/>
                </a:solidFill>
              </a:ln>
              <a:effectLst/>
            </c:spPr>
          </c:marker>
          <c:val>
            <c:numRef>
              <c:f>staty!$J$4:$J$14</c:f>
              <c:numCache>
                <c:formatCode>0.0</c:formatCode>
                <c:ptCount val="11"/>
                <c:pt idx="0">
                  <c:v>3.8809090909999999</c:v>
                </c:pt>
                <c:pt idx="1">
                  <c:v>4.4761538459999999</c:v>
                </c:pt>
                <c:pt idx="2">
                  <c:v>4.2861878449999997</c:v>
                </c:pt>
                <c:pt idx="3">
                  <c:v>3.09136612</c:v>
                </c:pt>
                <c:pt idx="4">
                  <c:v>3.0025214899999999</c:v>
                </c:pt>
                <c:pt idx="5">
                  <c:v>4.1431404489999997</c:v>
                </c:pt>
                <c:pt idx="6">
                  <c:v>4.2742865009999997</c:v>
                </c:pt>
                <c:pt idx="7">
                  <c:v>4.3388393350000003</c:v>
                </c:pt>
                <c:pt idx="8">
                  <c:v>3.3769999999999998</c:v>
                </c:pt>
                <c:pt idx="9">
                  <c:v>2.427842541</c:v>
                </c:pt>
                <c:pt idx="10">
                  <c:v>1.914824176</c:v>
                </c:pt>
              </c:numCache>
            </c:numRef>
          </c:val>
          <c:smooth val="0"/>
          <c:extLst>
            <c:ext xmlns:c16="http://schemas.microsoft.com/office/drawing/2014/chart" uri="{C3380CC4-5D6E-409C-BE32-E72D297353CC}">
              <c16:uniqueId val="{00000004-C038-4882-BBDD-5BA7F8CCB797}"/>
            </c:ext>
          </c:extLst>
        </c:ser>
        <c:ser>
          <c:idx val="10"/>
          <c:order val="5"/>
          <c:tx>
            <c:strRef>
              <c:f>staty!$L$2</c:f>
              <c:strCache>
                <c:ptCount val="1"/>
                <c:pt idx="0">
                  <c:v>SkBuskRokosz</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val>
            <c:numRef>
              <c:f>staty!$L$4:$L$14</c:f>
              <c:numCache>
                <c:formatCode>0.0</c:formatCode>
                <c:ptCount val="11"/>
                <c:pt idx="0">
                  <c:v>3.5087999999999999</c:v>
                </c:pt>
                <c:pt idx="1">
                  <c:v>5.7870491800000003</c:v>
                </c:pt>
                <c:pt idx="2">
                  <c:v>6.0342399999999996</c:v>
                </c:pt>
                <c:pt idx="3">
                  <c:v>4.4600819669999998</c:v>
                </c:pt>
                <c:pt idx="4">
                  <c:v>4.2897540980000004</c:v>
                </c:pt>
                <c:pt idx="5">
                  <c:v>4.26</c:v>
                </c:pt>
                <c:pt idx="6">
                  <c:v>4.6401639340000003</c:v>
                </c:pt>
                <c:pt idx="7">
                  <c:v>6.0947967480000003</c:v>
                </c:pt>
                <c:pt idx="8">
                  <c:v>3.921065574</c:v>
                </c:pt>
                <c:pt idx="9">
                  <c:v>4.026418338</c:v>
                </c:pt>
                <c:pt idx="10">
                  <c:v>3.7945628419999999</c:v>
                </c:pt>
              </c:numCache>
            </c:numRef>
          </c:val>
          <c:smooth val="0"/>
          <c:extLst>
            <c:ext xmlns:c16="http://schemas.microsoft.com/office/drawing/2014/chart" uri="{C3380CC4-5D6E-409C-BE32-E72D297353CC}">
              <c16:uniqueId val="{00000005-C038-4882-BBDD-5BA7F8CCB797}"/>
            </c:ext>
          </c:extLst>
        </c:ser>
        <c:ser>
          <c:idx val="11"/>
          <c:order val="6"/>
          <c:tx>
            <c:strRef>
              <c:f>staty!$M$2</c:f>
              <c:strCache>
                <c:ptCount val="1"/>
                <c:pt idx="0">
                  <c:v>SlKnurJedNar</c:v>
                </c:pt>
              </c:strCache>
            </c:strRef>
          </c:tx>
          <c:spPr>
            <a:ln w="28575" cap="rnd">
              <a:solidFill>
                <a:srgbClr val="AA72D4"/>
              </a:solidFill>
              <a:round/>
            </a:ln>
            <a:effectLst/>
          </c:spPr>
          <c:marker>
            <c:symbol val="circle"/>
            <c:size val="5"/>
            <c:spPr>
              <a:solidFill>
                <a:srgbClr val="AA72D4"/>
              </a:solidFill>
              <a:ln w="9525">
                <a:solidFill>
                  <a:srgbClr val="AA72D4"/>
                </a:solidFill>
              </a:ln>
              <a:effectLst/>
            </c:spPr>
          </c:marker>
          <c:val>
            <c:numRef>
              <c:f>staty!$M$4:$M$14</c:f>
              <c:numCache>
                <c:formatCode>0.0</c:formatCode>
                <c:ptCount val="11"/>
                <c:pt idx="0">
                  <c:v>10.862099448</c:v>
                </c:pt>
                <c:pt idx="1">
                  <c:v>11.164692736999999</c:v>
                </c:pt>
                <c:pt idx="2">
                  <c:v>9.9204216869999993</c:v>
                </c:pt>
                <c:pt idx="3">
                  <c:v>8.2112446349999999</c:v>
                </c:pt>
                <c:pt idx="4">
                  <c:v>7.3111845730000002</c:v>
                </c:pt>
                <c:pt idx="5">
                  <c:v>7.3802034880000003</c:v>
                </c:pt>
                <c:pt idx="6">
                  <c:v>8.4365363129999995</c:v>
                </c:pt>
                <c:pt idx="7">
                  <c:v>7.3977215190000001</c:v>
                </c:pt>
                <c:pt idx="8">
                  <c:v>6.915745856</c:v>
                </c:pt>
                <c:pt idx="9">
                  <c:v>7.021348315</c:v>
                </c:pt>
                <c:pt idx="10">
                  <c:v>4.8941666670000004</c:v>
                </c:pt>
              </c:numCache>
            </c:numRef>
          </c:val>
          <c:smooth val="0"/>
          <c:extLst>
            <c:ext xmlns:c16="http://schemas.microsoft.com/office/drawing/2014/chart" uri="{C3380CC4-5D6E-409C-BE32-E72D297353CC}">
              <c16:uniqueId val="{00000006-C038-4882-BBDD-5BA7F8CCB797}"/>
            </c:ext>
          </c:extLst>
        </c:ser>
        <c:ser>
          <c:idx val="13"/>
          <c:order val="7"/>
          <c:tx>
            <c:strRef>
              <c:f>staty!$O$2</c:f>
              <c:strCache>
                <c:ptCount val="1"/>
                <c:pt idx="0">
                  <c:v>WpPilaKusoci</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val>
            <c:numRef>
              <c:f>staty!$O$4:$O$14</c:f>
              <c:numCache>
                <c:formatCode>0.0</c:formatCode>
                <c:ptCount val="11"/>
                <c:pt idx="0">
                  <c:v>2.9309285709999999</c:v>
                </c:pt>
                <c:pt idx="1">
                  <c:v>2.8466718179999999</c:v>
                </c:pt>
                <c:pt idx="2">
                  <c:v>3.560192308</c:v>
                </c:pt>
                <c:pt idx="3">
                  <c:v>2.7992015499999998</c:v>
                </c:pt>
                <c:pt idx="4">
                  <c:v>3.3054583329999998</c:v>
                </c:pt>
                <c:pt idx="5">
                  <c:v>1.8804094490000001</c:v>
                </c:pt>
                <c:pt idx="6">
                  <c:v>2.056969466</c:v>
                </c:pt>
                <c:pt idx="7">
                  <c:v>3.395806667</c:v>
                </c:pt>
                <c:pt idx="8">
                  <c:v>2.997796133</c:v>
                </c:pt>
                <c:pt idx="9">
                  <c:v>2.9943870970000002</c:v>
                </c:pt>
                <c:pt idx="10">
                  <c:v>1.2243663890000001</c:v>
                </c:pt>
              </c:numCache>
            </c:numRef>
          </c:val>
          <c:smooth val="0"/>
          <c:extLst>
            <c:ext xmlns:c16="http://schemas.microsoft.com/office/drawing/2014/chart" uri="{C3380CC4-5D6E-409C-BE32-E72D297353CC}">
              <c16:uniqueId val="{00000007-C038-4882-BBDD-5BA7F8CCB797}"/>
            </c:ext>
          </c:extLst>
        </c:ser>
        <c:ser>
          <c:idx val="14"/>
          <c:order val="8"/>
          <c:tx>
            <c:strRef>
              <c:f>staty!$P$2</c:f>
              <c:strCache>
                <c:ptCount val="1"/>
                <c:pt idx="0">
                  <c:v>ZpSzczec1Maj</c:v>
                </c:pt>
              </c:strCache>
            </c:strRef>
          </c:tx>
          <c:spPr>
            <a:ln w="28575" cap="rnd">
              <a:solidFill>
                <a:srgbClr val="00B0F0"/>
              </a:solidFill>
              <a:round/>
            </a:ln>
            <a:effectLst/>
          </c:spPr>
          <c:marker>
            <c:symbol val="circle"/>
            <c:size val="5"/>
            <c:spPr>
              <a:solidFill>
                <a:srgbClr val="00B0F0"/>
              </a:solidFill>
              <a:ln w="9525">
                <a:solidFill>
                  <a:srgbClr val="00B0F0"/>
                </a:solidFill>
              </a:ln>
              <a:effectLst/>
            </c:spPr>
          </c:marker>
          <c:val>
            <c:numRef>
              <c:f>staty!$P$4:$P$14</c:f>
              <c:numCache>
                <c:formatCode>0.0</c:formatCode>
                <c:ptCount val="11"/>
                <c:pt idx="0">
                  <c:v>6.8232515339999997</c:v>
                </c:pt>
                <c:pt idx="1">
                  <c:v>3.0379279280000002</c:v>
                </c:pt>
                <c:pt idx="2">
                  <c:v>4.0175862069999999</c:v>
                </c:pt>
                <c:pt idx="3">
                  <c:v>3.6128925619999999</c:v>
                </c:pt>
                <c:pt idx="4">
                  <c:v>3.0403846149999998</c:v>
                </c:pt>
                <c:pt idx="5">
                  <c:v>2.5279050280000002</c:v>
                </c:pt>
                <c:pt idx="6">
                  <c:v>2.6725683060000001</c:v>
                </c:pt>
                <c:pt idx="7">
                  <c:v>2.3197252750000001</c:v>
                </c:pt>
                <c:pt idx="8">
                  <c:v>2.7780978260000002</c:v>
                </c:pt>
                <c:pt idx="9">
                  <c:v>1.1943454040000001</c:v>
                </c:pt>
                <c:pt idx="10">
                  <c:v>1.3052209939999999</c:v>
                </c:pt>
              </c:numCache>
            </c:numRef>
          </c:val>
          <c:smooth val="0"/>
          <c:extLst>
            <c:ext xmlns:c16="http://schemas.microsoft.com/office/drawing/2014/chart" uri="{C3380CC4-5D6E-409C-BE32-E72D297353CC}">
              <c16:uniqueId val="{00000008-C038-4882-BBDD-5BA7F8CCB797}"/>
            </c:ext>
          </c:extLst>
        </c:ser>
        <c:dLbls>
          <c:showLegendKey val="0"/>
          <c:showVal val="0"/>
          <c:showCatName val="0"/>
          <c:showSerName val="0"/>
          <c:showPercent val="0"/>
          <c:showBubbleSize val="0"/>
        </c:dLbls>
        <c:marker val="1"/>
        <c:smooth val="0"/>
        <c:axId val="400402832"/>
        <c:axId val="400833368"/>
      </c:lineChart>
      <c:catAx>
        <c:axId val="40040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400833368"/>
        <c:crosses val="autoZero"/>
        <c:auto val="1"/>
        <c:lblAlgn val="ctr"/>
        <c:lblOffset val="100"/>
        <c:noMultiLvlLbl val="0"/>
      </c:catAx>
      <c:valAx>
        <c:axId val="4008333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ln w="3175">
                      <a:noFill/>
                    </a:ln>
                    <a:solidFill>
                      <a:sysClr val="windowText" lastClr="000000"/>
                    </a:solidFill>
                    <a:latin typeface="+mn-lt"/>
                    <a:ea typeface="+mn-ea"/>
                    <a:cs typeface="+mn-cs"/>
                  </a:defRPr>
                </a:pPr>
                <a:r>
                  <a:rPr lang="pl-PL" sz="1000" b="0" i="0" u="none" strike="noStrike" baseline="0">
                    <a:ln w="3175">
                      <a:noFill/>
                    </a:ln>
                    <a:solidFill>
                      <a:sysClr val="windowText" lastClr="000000"/>
                    </a:solidFill>
                    <a:effectLst/>
                  </a:rPr>
                  <a:t>Średnie stężenia roczne B(a)P, [ng/m</a:t>
                </a:r>
                <a:r>
                  <a:rPr lang="pl-PL" sz="1000" b="0" i="0" u="none" strike="noStrike" baseline="30000">
                    <a:ln w="3175">
                      <a:noFill/>
                    </a:ln>
                    <a:solidFill>
                      <a:sysClr val="windowText" lastClr="000000"/>
                    </a:solidFill>
                    <a:effectLst/>
                  </a:rPr>
                  <a:t>3</a:t>
                </a:r>
                <a:r>
                  <a:rPr lang="pl-PL" sz="1000" b="0" i="0" u="none" strike="noStrike" baseline="0">
                    <a:ln w="3175">
                      <a:noFill/>
                    </a:ln>
                    <a:solidFill>
                      <a:sysClr val="windowText" lastClr="000000"/>
                    </a:solidFill>
                    <a:effectLst/>
                  </a:rPr>
                  <a:t>]</a:t>
                </a:r>
                <a:endParaRPr lang="pl-PL" sz="1100" b="0">
                  <a:ln w="3175">
                    <a:noFill/>
                  </a:ln>
                  <a:solidFill>
                    <a:sysClr val="windowText" lastClr="000000"/>
                  </a:solidFill>
                </a:endParaRPr>
              </a:p>
            </c:rich>
          </c:tx>
          <c:layout>
            <c:manualLayout>
              <c:xMode val="edge"/>
              <c:yMode val="edge"/>
              <c:x val="1.5894641235240689E-2"/>
              <c:y val="6.7488713910761153E-2"/>
            </c:manualLayout>
          </c:layout>
          <c:overlay val="0"/>
          <c:spPr>
            <a:noFill/>
            <a:ln>
              <a:noFill/>
            </a:ln>
            <a:effectLst/>
          </c:spPr>
          <c:txPr>
            <a:bodyPr rot="-5400000" spcFirstLastPara="1" vertOverflow="ellipsis" vert="horz" wrap="square" anchor="ctr" anchorCtr="1"/>
            <a:lstStyle/>
            <a:p>
              <a:pPr>
                <a:defRPr sz="1000" b="0" i="0" u="none" strike="noStrike" kern="1200" baseline="0">
                  <a:ln w="3175">
                    <a:noFill/>
                  </a:ln>
                  <a:solidFill>
                    <a:sysClr val="windowText" lastClr="000000"/>
                  </a:solidFill>
                  <a:latin typeface="+mn-lt"/>
                  <a:ea typeface="+mn-ea"/>
                  <a:cs typeface="+mn-cs"/>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400402832"/>
        <c:crosses val="autoZero"/>
        <c:crossBetween val="between"/>
        <c:minorUnit val="1"/>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userShapes r:id="rId5"/>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'[statystyki_roczne_NO2(2).xlsx]wyniki'!$Q$2</c:f>
              <c:strCache>
                <c:ptCount val="1"/>
                <c:pt idx="0">
                  <c:v>DsWrocAlWisn</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'[statystyki_roczne_NO2(2).xlsx]wyniki'!$R$1:$AB$1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'[statystyki_roczne_NO2(2).xlsx]wyniki'!$R$2:$AB$2</c:f>
              <c:numCache>
                <c:formatCode>0.0</c:formatCode>
                <c:ptCount val="11"/>
                <c:pt idx="0">
                  <c:v>69.740676633000007</c:v>
                </c:pt>
                <c:pt idx="1">
                  <c:v>64.310897436000005</c:v>
                </c:pt>
                <c:pt idx="2">
                  <c:v>55.756433272999999</c:v>
                </c:pt>
                <c:pt idx="3">
                  <c:v>54.410305344000001</c:v>
                </c:pt>
                <c:pt idx="4">
                  <c:v>53.271899492999999</c:v>
                </c:pt>
                <c:pt idx="5">
                  <c:v>53.757802451000003</c:v>
                </c:pt>
                <c:pt idx="6">
                  <c:v>49.205688463000001</c:v>
                </c:pt>
                <c:pt idx="7">
                  <c:v>48.108757914999998</c:v>
                </c:pt>
                <c:pt idx="8">
                  <c:v>45.566711034000001</c:v>
                </c:pt>
                <c:pt idx="9">
                  <c:v>44.136738733999998</c:v>
                </c:pt>
                <c:pt idx="10">
                  <c:v>40.058151101999997</c:v>
                </c:pt>
              </c:numCache>
            </c:numRef>
          </c:val>
          <c:smooth val="0"/>
          <c:extLst>
            <c:ext xmlns:c16="http://schemas.microsoft.com/office/drawing/2014/chart" uri="{C3380CC4-5D6E-409C-BE32-E72D297353CC}">
              <c16:uniqueId val="{00000000-11F7-4A33-8DE8-D224ABE3761E}"/>
            </c:ext>
          </c:extLst>
        </c:ser>
        <c:ser>
          <c:idx val="1"/>
          <c:order val="1"/>
          <c:tx>
            <c:strRef>
              <c:f>'[statystyki_roczne_NO2(2).xlsx]wyniki'!$Q$3</c:f>
              <c:strCache>
                <c:ptCount val="1"/>
                <c:pt idx="0">
                  <c:v>KpBydPlPozna</c:v>
                </c:pt>
              </c:strCache>
            </c:strRef>
          </c:tx>
          <c:spPr>
            <a:ln w="28575" cap="rnd">
              <a:solidFill>
                <a:srgbClr val="25FFFA"/>
              </a:solidFill>
              <a:round/>
            </a:ln>
            <a:effectLst/>
          </c:spPr>
          <c:marker>
            <c:symbol val="circle"/>
            <c:size val="5"/>
            <c:spPr>
              <a:solidFill>
                <a:srgbClr val="25FFFA"/>
              </a:solidFill>
              <a:ln w="9525">
                <a:solidFill>
                  <a:srgbClr val="25FFFA"/>
                </a:solidFill>
              </a:ln>
              <a:effectLst/>
            </c:spPr>
          </c:marker>
          <c:cat>
            <c:numRef>
              <c:f>'[statystyki_roczne_NO2(2).xlsx]wyniki'!$R$1:$AB$1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'[statystyki_roczne_NO2(2).xlsx]wyniki'!$R$3:$AB$3</c:f>
              <c:numCache>
                <c:formatCode>0.0</c:formatCode>
                <c:ptCount val="11"/>
                <c:pt idx="0">
                  <c:v>27.608484208</c:v>
                </c:pt>
                <c:pt idx="1">
                  <c:v>35.827914026000002</c:v>
                </c:pt>
                <c:pt idx="2">
                  <c:v>30.276988334999999</c:v>
                </c:pt>
                <c:pt idx="3">
                  <c:v>31.666059198999999</c:v>
                </c:pt>
                <c:pt idx="4">
                  <c:v>30.286158061999998</c:v>
                </c:pt>
                <c:pt idx="5">
                  <c:v>29.290476734999999</c:v>
                </c:pt>
                <c:pt idx="6">
                  <c:v>26.573341345999999</c:v>
                </c:pt>
                <c:pt idx="7">
                  <c:v>27.153907057000001</c:v>
                </c:pt>
                <c:pt idx="8">
                  <c:v>28.196657860999998</c:v>
                </c:pt>
                <c:pt idx="9">
                  <c:v>26.433069925000002</c:v>
                </c:pt>
                <c:pt idx="10">
                  <c:v>22.639133042000001</c:v>
                </c:pt>
              </c:numCache>
            </c:numRef>
          </c:val>
          <c:smooth val="0"/>
          <c:extLst>
            <c:ext xmlns:c16="http://schemas.microsoft.com/office/drawing/2014/chart" uri="{C3380CC4-5D6E-409C-BE32-E72D297353CC}">
              <c16:uniqueId val="{00000001-11F7-4A33-8DE8-D224ABE3761E}"/>
            </c:ext>
          </c:extLst>
        </c:ser>
        <c:ser>
          <c:idx val="2"/>
          <c:order val="2"/>
          <c:tx>
            <c:strRef>
              <c:f>'[statystyki_roczne_NO2(2).xlsx]wyniki'!$Q$4</c:f>
              <c:strCache>
                <c:ptCount val="1"/>
                <c:pt idx="0">
                  <c:v>KpToruKaszow</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numRef>
              <c:f>'[statystyki_roczne_NO2(2).xlsx]wyniki'!$R$1:$AB$1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'[statystyki_roczne_NO2(2).xlsx]wyniki'!$R$4:$AB$4</c:f>
              <c:numCache>
                <c:formatCode>0.0</c:formatCode>
                <c:ptCount val="11"/>
                <c:pt idx="0">
                  <c:v>33.924239753000002</c:v>
                </c:pt>
                <c:pt idx="1">
                  <c:v>22.155383631999999</c:v>
                </c:pt>
                <c:pt idx="2">
                  <c:v>22.759195402</c:v>
                </c:pt>
                <c:pt idx="3">
                  <c:v>26.891936662999999</c:v>
                </c:pt>
                <c:pt idx="4">
                  <c:v>21.203104067000002</c:v>
                </c:pt>
                <c:pt idx="5">
                  <c:v>22.407406468000001</c:v>
                </c:pt>
                <c:pt idx="6">
                  <c:v>22.692311678999999</c:v>
                </c:pt>
                <c:pt idx="7">
                  <c:v>21.894357249999999</c:v>
                </c:pt>
                <c:pt idx="8">
                  <c:v>20.311873599999998</c:v>
                </c:pt>
                <c:pt idx="9">
                  <c:v>18.135213432</c:v>
                </c:pt>
                <c:pt idx="10">
                  <c:v>16.205348213000001</c:v>
                </c:pt>
              </c:numCache>
            </c:numRef>
          </c:val>
          <c:smooth val="0"/>
          <c:extLst>
            <c:ext xmlns:c16="http://schemas.microsoft.com/office/drawing/2014/chart" uri="{C3380CC4-5D6E-409C-BE32-E72D297353CC}">
              <c16:uniqueId val="{00000002-11F7-4A33-8DE8-D224ABE3761E}"/>
            </c:ext>
          </c:extLst>
        </c:ser>
        <c:ser>
          <c:idx val="3"/>
          <c:order val="3"/>
          <c:tx>
            <c:strRef>
              <c:f>'[statystyki_roczne_NO2(2).xlsx]wyniki'!$Q$5</c:f>
              <c:strCache>
                <c:ptCount val="1"/>
                <c:pt idx="0">
                  <c:v>MpKrakAlKras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'[statystyki_roczne_NO2(2).xlsx]wyniki'!$R$1:$AB$1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'[statystyki_roczne_NO2(2).xlsx]wyniki'!$R$5:$AB$5</c:f>
              <c:numCache>
                <c:formatCode>0.0</c:formatCode>
                <c:ptCount val="11"/>
                <c:pt idx="0">
                  <c:v>70.362922329</c:v>
                </c:pt>
                <c:pt idx="1">
                  <c:v>73.068774520999995</c:v>
                </c:pt>
                <c:pt idx="2">
                  <c:v>71.449777662000002</c:v>
                </c:pt>
                <c:pt idx="3">
                  <c:v>67.995248218</c:v>
                </c:pt>
                <c:pt idx="4">
                  <c:v>61.498147289999999</c:v>
                </c:pt>
                <c:pt idx="5">
                  <c:v>63.128708908999997</c:v>
                </c:pt>
                <c:pt idx="6">
                  <c:v>59.272915193999999</c:v>
                </c:pt>
                <c:pt idx="7">
                  <c:v>60.526749643000002</c:v>
                </c:pt>
                <c:pt idx="8">
                  <c:v>60.816944612</c:v>
                </c:pt>
                <c:pt idx="9">
                  <c:v>57.125188211000001</c:v>
                </c:pt>
                <c:pt idx="10">
                  <c:v>48.878054100999996</c:v>
                </c:pt>
              </c:numCache>
            </c:numRef>
          </c:val>
          <c:smooth val="0"/>
          <c:extLst>
            <c:ext xmlns:c16="http://schemas.microsoft.com/office/drawing/2014/chart" uri="{C3380CC4-5D6E-409C-BE32-E72D297353CC}">
              <c16:uniqueId val="{00000003-11F7-4A33-8DE8-D224ABE3761E}"/>
            </c:ext>
          </c:extLst>
        </c:ser>
        <c:ser>
          <c:idx val="4"/>
          <c:order val="4"/>
          <c:tx>
            <c:strRef>
              <c:f>'[statystyki_roczne_NO2(2).xlsx]wyniki'!$Q$6</c:f>
              <c:strCache>
                <c:ptCount val="1"/>
                <c:pt idx="0">
                  <c:v>MzWarAlNiepo</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'[statystyki_roczne_NO2(2).xlsx]wyniki'!$R$1:$AB$1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'[statystyki_roczne_NO2(2).xlsx]wyniki'!$R$6:$AB$6</c:f>
              <c:numCache>
                <c:formatCode>0.0</c:formatCode>
                <c:ptCount val="11"/>
                <c:pt idx="0">
                  <c:v>60.354967350999999</c:v>
                </c:pt>
                <c:pt idx="1">
                  <c:v>54.820224848000002</c:v>
                </c:pt>
                <c:pt idx="2">
                  <c:v>45.402487393000001</c:v>
                </c:pt>
                <c:pt idx="3">
                  <c:v>56.252738618000002</c:v>
                </c:pt>
                <c:pt idx="4">
                  <c:v>48.973708936999998</c:v>
                </c:pt>
                <c:pt idx="5">
                  <c:v>59.241682629000003</c:v>
                </c:pt>
                <c:pt idx="6">
                  <c:v>56.711863182999998</c:v>
                </c:pt>
                <c:pt idx="7">
                  <c:v>51.652634087000003</c:v>
                </c:pt>
                <c:pt idx="8">
                  <c:v>50.311683960000003</c:v>
                </c:pt>
                <c:pt idx="9">
                  <c:v>49.676324845000003</c:v>
                </c:pt>
                <c:pt idx="10">
                  <c:v>37.172338672999999</c:v>
                </c:pt>
              </c:numCache>
            </c:numRef>
          </c:val>
          <c:smooth val="0"/>
          <c:extLst>
            <c:ext xmlns:c16="http://schemas.microsoft.com/office/drawing/2014/chart" uri="{C3380CC4-5D6E-409C-BE32-E72D297353CC}">
              <c16:uniqueId val="{00000004-11F7-4A33-8DE8-D224ABE3761E}"/>
            </c:ext>
          </c:extLst>
        </c:ser>
        <c:ser>
          <c:idx val="5"/>
          <c:order val="5"/>
          <c:tx>
            <c:strRef>
              <c:f>'[statystyki_roczne_NO2(2).xlsx]wyniki'!$Q$7</c:f>
              <c:strCache>
                <c:ptCount val="1"/>
                <c:pt idx="0">
                  <c:v>SlCzestoArmK</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'[statystyki_roczne_NO2(2).xlsx]wyniki'!$R$1:$AB$1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'[statystyki_roczne_NO2(2).xlsx]wyniki'!$R$7:$AB$7</c:f>
              <c:numCache>
                <c:formatCode>0.0</c:formatCode>
                <c:ptCount val="11"/>
                <c:pt idx="0">
                  <c:v>32.34564546</c:v>
                </c:pt>
                <c:pt idx="1">
                  <c:v>42.724018030000003</c:v>
                </c:pt>
                <c:pt idx="2">
                  <c:v>41.484098940000003</c:v>
                </c:pt>
                <c:pt idx="3">
                  <c:v>36.895994659999999</c:v>
                </c:pt>
                <c:pt idx="4">
                  <c:v>37.218346871000001</c:v>
                </c:pt>
                <c:pt idx="5">
                  <c:v>38.907001182000002</c:v>
                </c:pt>
                <c:pt idx="6">
                  <c:v>36.143332145999999</c:v>
                </c:pt>
                <c:pt idx="7">
                  <c:v>36.080630554000003</c:v>
                </c:pt>
                <c:pt idx="8">
                  <c:v>37.335242543</c:v>
                </c:pt>
                <c:pt idx="9">
                  <c:v>38.996248983999998</c:v>
                </c:pt>
                <c:pt idx="10">
                  <c:v>32.381056755000003</c:v>
                </c:pt>
              </c:numCache>
            </c:numRef>
          </c:val>
          <c:smooth val="0"/>
          <c:extLst>
            <c:ext xmlns:c16="http://schemas.microsoft.com/office/drawing/2014/chart" uri="{C3380CC4-5D6E-409C-BE32-E72D297353CC}">
              <c16:uniqueId val="{00000005-11F7-4A33-8DE8-D224ABE3761E}"/>
            </c:ext>
          </c:extLst>
        </c:ser>
        <c:ser>
          <c:idx val="6"/>
          <c:order val="6"/>
          <c:tx>
            <c:strRef>
              <c:f>'[statystyki_roczne_NO2(2).xlsx]wyniki'!$Q$8</c:f>
              <c:strCache>
                <c:ptCount val="1"/>
                <c:pt idx="0">
                  <c:v>SlKatoPlebA4</c:v>
                </c:pt>
              </c:strCache>
            </c:strRef>
          </c:tx>
          <c:spPr>
            <a:ln w="28575" cap="rnd">
              <a:solidFill>
                <a:schemeClr val="bg2">
                  <a:lumMod val="75000"/>
                </a:schemeClr>
              </a:solidFill>
              <a:round/>
            </a:ln>
            <a:effectLst/>
          </c:spPr>
          <c:marker>
            <c:symbol val="circle"/>
            <c:size val="5"/>
            <c:spPr>
              <a:solidFill>
                <a:schemeClr val="bg2">
                  <a:lumMod val="75000"/>
                </a:schemeClr>
              </a:solidFill>
              <a:ln w="9525">
                <a:solidFill>
                  <a:schemeClr val="bg2">
                    <a:lumMod val="75000"/>
                  </a:schemeClr>
                </a:solidFill>
              </a:ln>
              <a:effectLst/>
            </c:spPr>
          </c:marker>
          <c:cat>
            <c:numRef>
              <c:f>'[statystyki_roczne_NO2(2).xlsx]wyniki'!$R$1:$AB$1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'[statystyki_roczne_NO2(2).xlsx]wyniki'!$R$8:$AB$8</c:f>
              <c:numCache>
                <c:formatCode>0.0</c:formatCode>
                <c:ptCount val="11"/>
                <c:pt idx="1">
                  <c:v>60.956271274999999</c:v>
                </c:pt>
                <c:pt idx="2">
                  <c:v>49.27986061</c:v>
                </c:pt>
                <c:pt idx="3">
                  <c:v>48.738390805000002</c:v>
                </c:pt>
                <c:pt idx="4">
                  <c:v>57.662649090000002</c:v>
                </c:pt>
                <c:pt idx="5">
                  <c:v>58.325589225999998</c:v>
                </c:pt>
                <c:pt idx="6">
                  <c:v>56.09774694</c:v>
                </c:pt>
                <c:pt idx="7">
                  <c:v>57.482007230999997</c:v>
                </c:pt>
                <c:pt idx="8">
                  <c:v>55.179229554000003</c:v>
                </c:pt>
                <c:pt idx="9">
                  <c:v>54.274498131999998</c:v>
                </c:pt>
                <c:pt idx="10">
                  <c:v>46.633809931999998</c:v>
                </c:pt>
              </c:numCache>
            </c:numRef>
          </c:val>
          <c:smooth val="0"/>
          <c:extLst>
            <c:ext xmlns:c16="http://schemas.microsoft.com/office/drawing/2014/chart" uri="{C3380CC4-5D6E-409C-BE32-E72D297353CC}">
              <c16:uniqueId val="{00000006-11F7-4A33-8DE8-D224ABE3761E}"/>
            </c:ext>
          </c:extLst>
        </c:ser>
        <c:ser>
          <c:idx val="7"/>
          <c:order val="7"/>
          <c:tx>
            <c:strRef>
              <c:f>'[statystyki_roczne_NO2(2).xlsx]wyniki'!$Q$9</c:f>
              <c:strCache>
                <c:ptCount val="1"/>
                <c:pt idx="0">
                  <c:v>ZpKoszArKraj</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'[statystyki_roczne_NO2(2).xlsx]wyniki'!$R$1:$AB$1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'[statystyki_roczne_NO2(2).xlsx]wyniki'!$R$9:$AB$9</c:f>
              <c:numCache>
                <c:formatCode>0.0</c:formatCode>
                <c:ptCount val="11"/>
                <c:pt idx="0">
                  <c:v>18.820223152000001</c:v>
                </c:pt>
                <c:pt idx="1">
                  <c:v>20.793938624999999</c:v>
                </c:pt>
                <c:pt idx="2">
                  <c:v>22.606042295999998</c:v>
                </c:pt>
                <c:pt idx="3">
                  <c:v>19.877068267999999</c:v>
                </c:pt>
                <c:pt idx="4">
                  <c:v>21.184843574999999</c:v>
                </c:pt>
                <c:pt idx="5">
                  <c:v>25.112188888999999</c:v>
                </c:pt>
                <c:pt idx="6">
                  <c:v>26.310794818000002</c:v>
                </c:pt>
                <c:pt idx="7">
                  <c:v>22.858976016</c:v>
                </c:pt>
                <c:pt idx="8">
                  <c:v>25.703516060999998</c:v>
                </c:pt>
                <c:pt idx="9">
                  <c:v>22.17830404</c:v>
                </c:pt>
                <c:pt idx="10">
                  <c:v>19.688338700999999</c:v>
                </c:pt>
              </c:numCache>
            </c:numRef>
          </c:val>
          <c:smooth val="0"/>
          <c:extLst>
            <c:ext xmlns:c16="http://schemas.microsoft.com/office/drawing/2014/chart" uri="{C3380CC4-5D6E-409C-BE32-E72D297353CC}">
              <c16:uniqueId val="{00000007-11F7-4A33-8DE8-D224ABE3761E}"/>
            </c:ext>
          </c:extLst>
        </c:ser>
        <c:ser>
          <c:idx val="8"/>
          <c:order val="8"/>
          <c:tx>
            <c:strRef>
              <c:f>'[statystyki_roczne_NO2(2).xlsx]wyniki'!$Q$10</c:f>
              <c:strCache>
                <c:ptCount val="1"/>
                <c:pt idx="0">
                  <c:v>ZpSzczPils02</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cat>
            <c:numRef>
              <c:f>'[statystyki_roczne_NO2(2).xlsx]wyniki'!$R$1:$AB$1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'[statystyki_roczne_NO2(2).xlsx]wyniki'!$R$10:$AB$10</c:f>
              <c:numCache>
                <c:formatCode>0.0</c:formatCode>
                <c:ptCount val="11"/>
                <c:pt idx="0">
                  <c:v>31.208868426999999</c:v>
                </c:pt>
                <c:pt idx="1">
                  <c:v>29.234641439000001</c:v>
                </c:pt>
                <c:pt idx="2">
                  <c:v>30.061966560999998</c:v>
                </c:pt>
                <c:pt idx="3">
                  <c:v>30.734890748000002</c:v>
                </c:pt>
                <c:pt idx="4">
                  <c:v>29.011204137</c:v>
                </c:pt>
                <c:pt idx="5">
                  <c:v>28.72512777</c:v>
                </c:pt>
                <c:pt idx="6">
                  <c:v>26.682779145000001</c:v>
                </c:pt>
                <c:pt idx="7">
                  <c:v>22.979307499000001</c:v>
                </c:pt>
                <c:pt idx="8">
                  <c:v>24.873759646</c:v>
                </c:pt>
                <c:pt idx="9">
                  <c:v>19.222639601000001</c:v>
                </c:pt>
                <c:pt idx="10">
                  <c:v>21.627967524999999</c:v>
                </c:pt>
              </c:numCache>
            </c:numRef>
          </c:val>
          <c:smooth val="0"/>
          <c:extLst>
            <c:ext xmlns:c16="http://schemas.microsoft.com/office/drawing/2014/chart" uri="{C3380CC4-5D6E-409C-BE32-E72D297353CC}">
              <c16:uniqueId val="{00000008-11F7-4A33-8DE8-D224ABE3761E}"/>
            </c:ext>
          </c:extLst>
        </c:ser>
        <c:dLbls>
          <c:showLegendKey val="0"/>
          <c:showVal val="0"/>
          <c:showCatName val="0"/>
          <c:showSerName val="0"/>
          <c:showPercent val="0"/>
          <c:showBubbleSize val="0"/>
        </c:dLbls>
        <c:marker val="1"/>
        <c:smooth val="0"/>
        <c:axId val="400832584"/>
        <c:axId val="400832976"/>
      </c:lineChart>
      <c:catAx>
        <c:axId val="400832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400832976"/>
        <c:crosses val="autoZero"/>
        <c:auto val="1"/>
        <c:lblAlgn val="ctr"/>
        <c:lblOffset val="100"/>
        <c:noMultiLvlLbl val="0"/>
      </c:catAx>
      <c:valAx>
        <c:axId val="400832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solidFill>
                      <a:sysClr val="windowText" lastClr="000000"/>
                    </a:solidFill>
                    <a:effectLst/>
                  </a:rPr>
                  <a:t>Średnie stężenia roczne NO2, [ng/m</a:t>
                </a:r>
                <a:r>
                  <a:rPr lang="pl-PL" sz="1000" b="0" i="0" baseline="30000">
                    <a:solidFill>
                      <a:sysClr val="windowText" lastClr="000000"/>
                    </a:solidFill>
                    <a:effectLst/>
                  </a:rPr>
                  <a:t>3</a:t>
                </a:r>
                <a:r>
                  <a:rPr lang="pl-PL" sz="1000" b="0" i="0" baseline="0">
                    <a:solidFill>
                      <a:sysClr val="windowText" lastClr="000000"/>
                    </a:solidFill>
                    <a:effectLst/>
                  </a:rPr>
                  <a:t>]</a:t>
                </a:r>
                <a:endParaRPr lang="pl-PL" sz="1000" b="0">
                  <a:solidFill>
                    <a:sysClr val="windowText" lastClr="000000"/>
                  </a:solidFill>
                  <a:effectLst/>
                </a:endParaRPr>
              </a:p>
            </c:rich>
          </c:tx>
          <c:layout>
            <c:manualLayout>
              <c:xMode val="edge"/>
              <c:yMode val="edge"/>
              <c:x val="1.6147635524798153E-2"/>
              <c:y val="0.132771766838497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4008325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userShapes r:id="rId5"/>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PM25_a!$G$2</c:f>
              <c:strCache>
                <c:ptCount val="1"/>
                <c:pt idx="0">
                  <c:v>Rolnictwo</c:v>
                </c:pt>
              </c:strCache>
            </c:strRef>
          </c:tx>
          <c:spPr>
            <a:solidFill>
              <a:srgbClr val="92D050"/>
            </a:solidFill>
            <a:ln>
              <a:noFill/>
            </a:ln>
            <a:effectLst/>
          </c:spPr>
          <c:invertIfNegative val="0"/>
          <c:cat>
            <c:strRef>
              <c:f>PM10_a!$B$3:$B$47</c:f>
              <c:strCache>
                <c:ptCount val="45"/>
                <c:pt idx="0">
                  <c:v>strefa zachodniopomorska</c:v>
                </c:pt>
                <c:pt idx="1">
                  <c:v>miasto Koszalin</c:v>
                </c:pt>
                <c:pt idx="2">
                  <c:v>aglomeracja szczecińska</c:v>
                </c:pt>
                <c:pt idx="3">
                  <c:v>strefa wielkopolska</c:v>
                </c:pt>
                <c:pt idx="4">
                  <c:v>miasto Kalisz</c:v>
                </c:pt>
                <c:pt idx="5">
                  <c:v>aglomeracja poznańska</c:v>
                </c:pt>
                <c:pt idx="6">
                  <c:v>strefa warmińsko-mazurska</c:v>
                </c:pt>
                <c:pt idx="7">
                  <c:v>miasto Elbląg</c:v>
                </c:pt>
                <c:pt idx="8">
                  <c:v>miasto Olsztyn</c:v>
                </c:pt>
                <c:pt idx="9">
                  <c:v>strefa świetokrzyska</c:v>
                </c:pt>
                <c:pt idx="10">
                  <c:v>miasto Kielce</c:v>
                </c:pt>
                <c:pt idx="11">
                  <c:v>strefa śląska</c:v>
                </c:pt>
                <c:pt idx="12">
                  <c:v>miasto Częstochowa</c:v>
                </c:pt>
                <c:pt idx="13">
                  <c:v>miasto Bielsko-Biała</c:v>
                </c:pt>
                <c:pt idx="14">
                  <c:v>aglomeracja rybnicko-jastrzębska</c:v>
                </c:pt>
                <c:pt idx="15">
                  <c:v>aglomeracja górnośląska </c:v>
                </c:pt>
                <c:pt idx="16">
                  <c:v>strefa pomorska</c:v>
                </c:pt>
                <c:pt idx="17">
                  <c:v>aglomeracja trójmiejska</c:v>
                </c:pt>
                <c:pt idx="18">
                  <c:v>strefa podlaska</c:v>
                </c:pt>
                <c:pt idx="19">
                  <c:v>aglomeracja białostocka</c:v>
                </c:pt>
                <c:pt idx="20">
                  <c:v>strefa podkarpacka</c:v>
                </c:pt>
                <c:pt idx="21">
                  <c:v>miasto Rzeszów</c:v>
                </c:pt>
                <c:pt idx="22">
                  <c:v>strefa opolska</c:v>
                </c:pt>
                <c:pt idx="23">
                  <c:v>miasto Opole</c:v>
                </c:pt>
                <c:pt idx="24">
                  <c:v>strefa mazowiecka</c:v>
                </c:pt>
                <c:pt idx="25">
                  <c:v>miasto Radom</c:v>
                </c:pt>
                <c:pt idx="26">
                  <c:v>miasto Płock</c:v>
                </c:pt>
                <c:pt idx="27">
                  <c:v>aglomeracja warszawska</c:v>
                </c:pt>
                <c:pt idx="28">
                  <c:v>strefa małopolska</c:v>
                </c:pt>
                <c:pt idx="29">
                  <c:v>miasto Tarnów</c:v>
                </c:pt>
                <c:pt idx="30">
                  <c:v>aglomeracja Krakowska</c:v>
                </c:pt>
                <c:pt idx="31">
                  <c:v>strefa łódźka</c:v>
                </c:pt>
                <c:pt idx="32">
                  <c:v>aglomeracja Łódzka</c:v>
                </c:pt>
                <c:pt idx="33">
                  <c:v>strefa lubuska</c:v>
                </c:pt>
                <c:pt idx="34">
                  <c:v>miasto Zielona Góra</c:v>
                </c:pt>
                <c:pt idx="35">
                  <c:v>miasto Gorzów Wielkopolski</c:v>
                </c:pt>
                <c:pt idx="36">
                  <c:v>strefa lubelska</c:v>
                </c:pt>
                <c:pt idx="37">
                  <c:v>aglomeracja lubelska</c:v>
                </c:pt>
                <c:pt idx="38">
                  <c:v>strefa kujawsko-pomorska</c:v>
                </c:pt>
                <c:pt idx="39">
                  <c:v>miasto Włocławek</c:v>
                </c:pt>
                <c:pt idx="40">
                  <c:v>miasto Toruń</c:v>
                </c:pt>
                <c:pt idx="41">
                  <c:v>aglomeracja bydgoska</c:v>
                </c:pt>
                <c:pt idx="42">
                  <c:v>strefa dolnośląska</c:v>
                </c:pt>
                <c:pt idx="43">
                  <c:v>miasto Wałbrzych</c:v>
                </c:pt>
                <c:pt idx="44">
                  <c:v>aglomeracja wrocławska</c:v>
                </c:pt>
              </c:strCache>
            </c:strRef>
          </c:cat>
          <c:val>
            <c:numRef>
              <c:f>PM10_a!$G$3:$G$47</c:f>
              <c:numCache>
                <c:formatCode>0.00</c:formatCode>
                <c:ptCount val="45"/>
                <c:pt idx="0">
                  <c:v>9.1800000000000007E-2</c:v>
                </c:pt>
                <c:pt idx="1">
                  <c:v>5.3999999999999999E-2</c:v>
                </c:pt>
                <c:pt idx="2">
                  <c:v>7.3800000000000004E-2</c:v>
                </c:pt>
                <c:pt idx="3">
                  <c:v>0.156</c:v>
                </c:pt>
                <c:pt idx="4">
                  <c:v>0.1242</c:v>
                </c:pt>
                <c:pt idx="5">
                  <c:v>7.8399999999999997E-2</c:v>
                </c:pt>
                <c:pt idx="6">
                  <c:v>0.1295</c:v>
                </c:pt>
                <c:pt idx="7">
                  <c:v>6.5600000000000006E-2</c:v>
                </c:pt>
                <c:pt idx="8">
                  <c:v>0.31619999999999998</c:v>
                </c:pt>
                <c:pt idx="9">
                  <c:v>8.6800000000000002E-2</c:v>
                </c:pt>
                <c:pt idx="10">
                  <c:v>4.2900000000000001E-2</c:v>
                </c:pt>
                <c:pt idx="11">
                  <c:v>5.45E-2</c:v>
                </c:pt>
                <c:pt idx="12">
                  <c:v>3.3700000000000001E-2</c:v>
                </c:pt>
                <c:pt idx="13">
                  <c:v>1.9699999999999999E-2</c:v>
                </c:pt>
                <c:pt idx="14">
                  <c:v>3.32E-2</c:v>
                </c:pt>
                <c:pt idx="15">
                  <c:v>2.29E-2</c:v>
                </c:pt>
                <c:pt idx="16">
                  <c:v>9.3299999999999994E-2</c:v>
                </c:pt>
                <c:pt idx="17">
                  <c:v>5.3800000000000001E-2</c:v>
                </c:pt>
                <c:pt idx="18">
                  <c:v>0.14280000000000001</c:v>
                </c:pt>
                <c:pt idx="19">
                  <c:v>6.9099999999999995E-2</c:v>
                </c:pt>
                <c:pt idx="20">
                  <c:v>6.5600000000000006E-2</c:v>
                </c:pt>
                <c:pt idx="21">
                  <c:v>5.1799999999999999E-2</c:v>
                </c:pt>
                <c:pt idx="22">
                  <c:v>8.8400000000000006E-2</c:v>
                </c:pt>
                <c:pt idx="23">
                  <c:v>7.5200000000000003E-2</c:v>
                </c:pt>
                <c:pt idx="24">
                  <c:v>0.13239999999999999</c:v>
                </c:pt>
                <c:pt idx="25">
                  <c:v>5.5800000000000002E-2</c:v>
                </c:pt>
                <c:pt idx="26">
                  <c:v>0.13619999999999999</c:v>
                </c:pt>
                <c:pt idx="27">
                  <c:v>4.0899999999999999E-2</c:v>
                </c:pt>
                <c:pt idx="28">
                  <c:v>5.6599999999999998E-2</c:v>
                </c:pt>
                <c:pt idx="29">
                  <c:v>3.7400000000000003E-2</c:v>
                </c:pt>
                <c:pt idx="30">
                  <c:v>4.53E-2</c:v>
                </c:pt>
                <c:pt idx="31">
                  <c:v>0.1225</c:v>
                </c:pt>
                <c:pt idx="32">
                  <c:v>6.0299999999999999E-2</c:v>
                </c:pt>
                <c:pt idx="33">
                  <c:v>9.1800000000000007E-2</c:v>
                </c:pt>
                <c:pt idx="34">
                  <c:v>6.6299999999999998E-2</c:v>
                </c:pt>
                <c:pt idx="35">
                  <c:v>0.1341</c:v>
                </c:pt>
                <c:pt idx="36">
                  <c:v>0.109</c:v>
                </c:pt>
                <c:pt idx="37">
                  <c:v>6.6199999999999995E-2</c:v>
                </c:pt>
                <c:pt idx="38">
                  <c:v>0.13450000000000001</c:v>
                </c:pt>
                <c:pt idx="39">
                  <c:v>9.3100000000000002E-2</c:v>
                </c:pt>
                <c:pt idx="40">
                  <c:v>6.9900000000000004E-2</c:v>
                </c:pt>
                <c:pt idx="41">
                  <c:v>6.4199999999999993E-2</c:v>
                </c:pt>
                <c:pt idx="42">
                  <c:v>7.5200000000000003E-2</c:v>
                </c:pt>
                <c:pt idx="43">
                  <c:v>2.7900000000000001E-2</c:v>
                </c:pt>
                <c:pt idx="44">
                  <c:v>4.9099999999999998E-2</c:v>
                </c:pt>
              </c:numCache>
            </c:numRef>
          </c:val>
          <c:extLst>
            <c:ext xmlns:c16="http://schemas.microsoft.com/office/drawing/2014/chart" uri="{C3380CC4-5D6E-409C-BE32-E72D297353CC}">
              <c16:uniqueId val="{00000000-E621-4449-83EF-40A5257105FC}"/>
            </c:ext>
          </c:extLst>
        </c:ser>
        <c:ser>
          <c:idx val="1"/>
          <c:order val="1"/>
          <c:tx>
            <c:strRef>
              <c:f>PM10_a!$C$2</c:f>
              <c:strCache>
                <c:ptCount val="1"/>
                <c:pt idx="0">
                  <c:v>Źródła komunalno-bytowe</c:v>
                </c:pt>
              </c:strCache>
            </c:strRef>
          </c:tx>
          <c:spPr>
            <a:solidFill>
              <a:srgbClr val="BFBFBF"/>
            </a:solidFill>
            <a:ln>
              <a:noFill/>
            </a:ln>
            <a:effectLst/>
          </c:spPr>
          <c:invertIfNegative val="0"/>
          <c:cat>
            <c:strRef>
              <c:f>PM10_a!$B$3:$B$47</c:f>
              <c:strCache>
                <c:ptCount val="45"/>
                <c:pt idx="0">
                  <c:v>strefa zachodniopomorska</c:v>
                </c:pt>
                <c:pt idx="1">
                  <c:v>miasto Koszalin</c:v>
                </c:pt>
                <c:pt idx="2">
                  <c:v>aglomeracja szczecińska</c:v>
                </c:pt>
                <c:pt idx="3">
                  <c:v>strefa wielkopolska</c:v>
                </c:pt>
                <c:pt idx="4">
                  <c:v>miasto Kalisz</c:v>
                </c:pt>
                <c:pt idx="5">
                  <c:v>aglomeracja poznańska</c:v>
                </c:pt>
                <c:pt idx="6">
                  <c:v>strefa warmińsko-mazurska</c:v>
                </c:pt>
                <c:pt idx="7">
                  <c:v>miasto Elbląg</c:v>
                </c:pt>
                <c:pt idx="8">
                  <c:v>miasto Olsztyn</c:v>
                </c:pt>
                <c:pt idx="9">
                  <c:v>strefa świetokrzyska</c:v>
                </c:pt>
                <c:pt idx="10">
                  <c:v>miasto Kielce</c:v>
                </c:pt>
                <c:pt idx="11">
                  <c:v>strefa śląska</c:v>
                </c:pt>
                <c:pt idx="12">
                  <c:v>miasto Częstochowa</c:v>
                </c:pt>
                <c:pt idx="13">
                  <c:v>miasto Bielsko-Biała</c:v>
                </c:pt>
                <c:pt idx="14">
                  <c:v>aglomeracja rybnicko-jastrzębska</c:v>
                </c:pt>
                <c:pt idx="15">
                  <c:v>aglomeracja górnośląska </c:v>
                </c:pt>
                <c:pt idx="16">
                  <c:v>strefa pomorska</c:v>
                </c:pt>
                <c:pt idx="17">
                  <c:v>aglomeracja trójmiejska</c:v>
                </c:pt>
                <c:pt idx="18">
                  <c:v>strefa podlaska</c:v>
                </c:pt>
                <c:pt idx="19">
                  <c:v>aglomeracja białostocka</c:v>
                </c:pt>
                <c:pt idx="20">
                  <c:v>strefa podkarpacka</c:v>
                </c:pt>
                <c:pt idx="21">
                  <c:v>miasto Rzeszów</c:v>
                </c:pt>
                <c:pt idx="22">
                  <c:v>strefa opolska</c:v>
                </c:pt>
                <c:pt idx="23">
                  <c:v>miasto Opole</c:v>
                </c:pt>
                <c:pt idx="24">
                  <c:v>strefa mazowiecka</c:v>
                </c:pt>
                <c:pt idx="25">
                  <c:v>miasto Radom</c:v>
                </c:pt>
                <c:pt idx="26">
                  <c:v>miasto Płock</c:v>
                </c:pt>
                <c:pt idx="27">
                  <c:v>aglomeracja warszawska</c:v>
                </c:pt>
                <c:pt idx="28">
                  <c:v>strefa małopolska</c:v>
                </c:pt>
                <c:pt idx="29">
                  <c:v>miasto Tarnów</c:v>
                </c:pt>
                <c:pt idx="30">
                  <c:v>aglomeracja Krakowska</c:v>
                </c:pt>
                <c:pt idx="31">
                  <c:v>strefa łódźka</c:v>
                </c:pt>
                <c:pt idx="32">
                  <c:v>aglomeracja Łódzka</c:v>
                </c:pt>
                <c:pt idx="33">
                  <c:v>strefa lubuska</c:v>
                </c:pt>
                <c:pt idx="34">
                  <c:v>miasto Zielona Góra</c:v>
                </c:pt>
                <c:pt idx="35">
                  <c:v>miasto Gorzów Wielkopolski</c:v>
                </c:pt>
                <c:pt idx="36">
                  <c:v>strefa lubelska</c:v>
                </c:pt>
                <c:pt idx="37">
                  <c:v>aglomeracja lubelska</c:v>
                </c:pt>
                <c:pt idx="38">
                  <c:v>strefa kujawsko-pomorska</c:v>
                </c:pt>
                <c:pt idx="39">
                  <c:v>miasto Włocławek</c:v>
                </c:pt>
                <c:pt idx="40">
                  <c:v>miasto Toruń</c:v>
                </c:pt>
                <c:pt idx="41">
                  <c:v>aglomeracja bydgoska</c:v>
                </c:pt>
                <c:pt idx="42">
                  <c:v>strefa dolnośląska</c:v>
                </c:pt>
                <c:pt idx="43">
                  <c:v>miasto Wałbrzych</c:v>
                </c:pt>
                <c:pt idx="44">
                  <c:v>aglomeracja wrocławska</c:v>
                </c:pt>
              </c:strCache>
            </c:strRef>
          </c:cat>
          <c:val>
            <c:numRef>
              <c:f>PM10_a!$C$3:$C$47</c:f>
              <c:numCache>
                <c:formatCode>0.00</c:formatCode>
                <c:ptCount val="45"/>
                <c:pt idx="0">
                  <c:v>0.2762</c:v>
                </c:pt>
                <c:pt idx="1">
                  <c:v>0.4859</c:v>
                </c:pt>
                <c:pt idx="2">
                  <c:v>0.41049999999999998</c:v>
                </c:pt>
                <c:pt idx="3">
                  <c:v>0.39839999999999998</c:v>
                </c:pt>
                <c:pt idx="4">
                  <c:v>0.57779999999999998</c:v>
                </c:pt>
                <c:pt idx="5">
                  <c:v>0.54849999999999999</c:v>
                </c:pt>
                <c:pt idx="6">
                  <c:v>0.34360000000000002</c:v>
                </c:pt>
                <c:pt idx="7">
                  <c:v>0.4864</c:v>
                </c:pt>
                <c:pt idx="8">
                  <c:v>0.33160000000000001</c:v>
                </c:pt>
                <c:pt idx="9">
                  <c:v>0.47110000000000002</c:v>
                </c:pt>
                <c:pt idx="10">
                  <c:v>0.56430000000000002</c:v>
                </c:pt>
                <c:pt idx="11">
                  <c:v>0.5383</c:v>
                </c:pt>
                <c:pt idx="12">
                  <c:v>0.54749999999999999</c:v>
                </c:pt>
                <c:pt idx="13">
                  <c:v>0.67769999999999997</c:v>
                </c:pt>
                <c:pt idx="14">
                  <c:v>0.54990000000000006</c:v>
                </c:pt>
                <c:pt idx="15">
                  <c:v>0.60229999999999995</c:v>
                </c:pt>
                <c:pt idx="16">
                  <c:v>0.37759999999999999</c:v>
                </c:pt>
                <c:pt idx="17">
                  <c:v>0.52149999999999996</c:v>
                </c:pt>
                <c:pt idx="18">
                  <c:v>0.33029999999999998</c:v>
                </c:pt>
                <c:pt idx="19">
                  <c:v>0.65949999999999998</c:v>
                </c:pt>
                <c:pt idx="20">
                  <c:v>0.38090000000000002</c:v>
                </c:pt>
                <c:pt idx="21">
                  <c:v>0.50719999999999998</c:v>
                </c:pt>
                <c:pt idx="22">
                  <c:v>0.50080000000000002</c:v>
                </c:pt>
                <c:pt idx="23">
                  <c:v>0.61339999999999995</c:v>
                </c:pt>
                <c:pt idx="24">
                  <c:v>0.44190000000000002</c:v>
                </c:pt>
                <c:pt idx="25">
                  <c:v>0.61360000000000003</c:v>
                </c:pt>
                <c:pt idx="26">
                  <c:v>0.44440000000000002</c:v>
                </c:pt>
                <c:pt idx="27">
                  <c:v>0.5776</c:v>
                </c:pt>
                <c:pt idx="28">
                  <c:v>0.58640000000000003</c:v>
                </c:pt>
                <c:pt idx="29">
                  <c:v>0.55920000000000003</c:v>
                </c:pt>
                <c:pt idx="30">
                  <c:v>0.54300000000000004</c:v>
                </c:pt>
                <c:pt idx="31">
                  <c:v>0.44850000000000001</c:v>
                </c:pt>
                <c:pt idx="32">
                  <c:v>0.63980000000000004</c:v>
                </c:pt>
                <c:pt idx="33">
                  <c:v>0.30640000000000001</c:v>
                </c:pt>
                <c:pt idx="34">
                  <c:v>0.4017</c:v>
                </c:pt>
                <c:pt idx="35">
                  <c:v>0.40489999999999998</c:v>
                </c:pt>
                <c:pt idx="36">
                  <c:v>0.39</c:v>
                </c:pt>
                <c:pt idx="37">
                  <c:v>0.58799999999999997</c:v>
                </c:pt>
                <c:pt idx="38">
                  <c:v>0.40450000000000003</c:v>
                </c:pt>
                <c:pt idx="39">
                  <c:v>0.38800000000000001</c:v>
                </c:pt>
                <c:pt idx="40">
                  <c:v>0.55920000000000003</c:v>
                </c:pt>
                <c:pt idx="41">
                  <c:v>0.55279999999999996</c:v>
                </c:pt>
                <c:pt idx="42">
                  <c:v>0.45700000000000002</c:v>
                </c:pt>
                <c:pt idx="43">
                  <c:v>0.58279999999999998</c:v>
                </c:pt>
                <c:pt idx="44">
                  <c:v>0.62360000000000004</c:v>
                </c:pt>
              </c:numCache>
            </c:numRef>
          </c:val>
          <c:extLst>
            <c:ext xmlns:c16="http://schemas.microsoft.com/office/drawing/2014/chart" uri="{C3380CC4-5D6E-409C-BE32-E72D297353CC}">
              <c16:uniqueId val="{00000001-E621-4449-83EF-40A5257105FC}"/>
            </c:ext>
          </c:extLst>
        </c:ser>
        <c:ser>
          <c:idx val="2"/>
          <c:order val="2"/>
          <c:tx>
            <c:strRef>
              <c:f>PM10_a!$D$2</c:f>
              <c:strCache>
                <c:ptCount val="1"/>
                <c:pt idx="0">
                  <c:v>Źródła liniowe (transport)</c:v>
                </c:pt>
              </c:strCache>
            </c:strRef>
          </c:tx>
          <c:spPr>
            <a:solidFill>
              <a:srgbClr val="00B0F0"/>
            </a:solidFill>
            <a:ln>
              <a:noFill/>
            </a:ln>
            <a:effectLst/>
          </c:spPr>
          <c:invertIfNegative val="0"/>
          <c:cat>
            <c:strRef>
              <c:f>PM10_a!$B$3:$B$47</c:f>
              <c:strCache>
                <c:ptCount val="45"/>
                <c:pt idx="0">
                  <c:v>strefa zachodniopomorska</c:v>
                </c:pt>
                <c:pt idx="1">
                  <c:v>miasto Koszalin</c:v>
                </c:pt>
                <c:pt idx="2">
                  <c:v>aglomeracja szczecińska</c:v>
                </c:pt>
                <c:pt idx="3">
                  <c:v>strefa wielkopolska</c:v>
                </c:pt>
                <c:pt idx="4">
                  <c:v>miasto Kalisz</c:v>
                </c:pt>
                <c:pt idx="5">
                  <c:v>aglomeracja poznańska</c:v>
                </c:pt>
                <c:pt idx="6">
                  <c:v>strefa warmińsko-mazurska</c:v>
                </c:pt>
                <c:pt idx="7">
                  <c:v>miasto Elbląg</c:v>
                </c:pt>
                <c:pt idx="8">
                  <c:v>miasto Olsztyn</c:v>
                </c:pt>
                <c:pt idx="9">
                  <c:v>strefa świetokrzyska</c:v>
                </c:pt>
                <c:pt idx="10">
                  <c:v>miasto Kielce</c:v>
                </c:pt>
                <c:pt idx="11">
                  <c:v>strefa śląska</c:v>
                </c:pt>
                <c:pt idx="12">
                  <c:v>miasto Częstochowa</c:v>
                </c:pt>
                <c:pt idx="13">
                  <c:v>miasto Bielsko-Biała</c:v>
                </c:pt>
                <c:pt idx="14">
                  <c:v>aglomeracja rybnicko-jastrzębska</c:v>
                </c:pt>
                <c:pt idx="15">
                  <c:v>aglomeracja górnośląska </c:v>
                </c:pt>
                <c:pt idx="16">
                  <c:v>strefa pomorska</c:v>
                </c:pt>
                <c:pt idx="17">
                  <c:v>aglomeracja trójmiejska</c:v>
                </c:pt>
                <c:pt idx="18">
                  <c:v>strefa podlaska</c:v>
                </c:pt>
                <c:pt idx="19">
                  <c:v>aglomeracja białostocka</c:v>
                </c:pt>
                <c:pt idx="20">
                  <c:v>strefa podkarpacka</c:v>
                </c:pt>
                <c:pt idx="21">
                  <c:v>miasto Rzeszów</c:v>
                </c:pt>
                <c:pt idx="22">
                  <c:v>strefa opolska</c:v>
                </c:pt>
                <c:pt idx="23">
                  <c:v>miasto Opole</c:v>
                </c:pt>
                <c:pt idx="24">
                  <c:v>strefa mazowiecka</c:v>
                </c:pt>
                <c:pt idx="25">
                  <c:v>miasto Radom</c:v>
                </c:pt>
                <c:pt idx="26">
                  <c:v>miasto Płock</c:v>
                </c:pt>
                <c:pt idx="27">
                  <c:v>aglomeracja warszawska</c:v>
                </c:pt>
                <c:pt idx="28">
                  <c:v>strefa małopolska</c:v>
                </c:pt>
                <c:pt idx="29">
                  <c:v>miasto Tarnów</c:v>
                </c:pt>
                <c:pt idx="30">
                  <c:v>aglomeracja Krakowska</c:v>
                </c:pt>
                <c:pt idx="31">
                  <c:v>strefa łódźka</c:v>
                </c:pt>
                <c:pt idx="32">
                  <c:v>aglomeracja Łódzka</c:v>
                </c:pt>
                <c:pt idx="33">
                  <c:v>strefa lubuska</c:v>
                </c:pt>
                <c:pt idx="34">
                  <c:v>miasto Zielona Góra</c:v>
                </c:pt>
                <c:pt idx="35">
                  <c:v>miasto Gorzów Wielkopolski</c:v>
                </c:pt>
                <c:pt idx="36">
                  <c:v>strefa lubelska</c:v>
                </c:pt>
                <c:pt idx="37">
                  <c:v>aglomeracja lubelska</c:v>
                </c:pt>
                <c:pt idx="38">
                  <c:v>strefa kujawsko-pomorska</c:v>
                </c:pt>
                <c:pt idx="39">
                  <c:v>miasto Włocławek</c:v>
                </c:pt>
                <c:pt idx="40">
                  <c:v>miasto Toruń</c:v>
                </c:pt>
                <c:pt idx="41">
                  <c:v>aglomeracja bydgoska</c:v>
                </c:pt>
                <c:pt idx="42">
                  <c:v>strefa dolnośląska</c:v>
                </c:pt>
                <c:pt idx="43">
                  <c:v>miasto Wałbrzych</c:v>
                </c:pt>
                <c:pt idx="44">
                  <c:v>aglomeracja wrocławska</c:v>
                </c:pt>
              </c:strCache>
            </c:strRef>
          </c:cat>
          <c:val>
            <c:numRef>
              <c:f>PM10_a!$D$3:$D$47</c:f>
              <c:numCache>
                <c:formatCode>0.00</c:formatCode>
                <c:ptCount val="45"/>
                <c:pt idx="0">
                  <c:v>3.0700000000000002E-2</c:v>
                </c:pt>
                <c:pt idx="1">
                  <c:v>4.4499999999999998E-2</c:v>
                </c:pt>
                <c:pt idx="2">
                  <c:v>7.8700000000000006E-2</c:v>
                </c:pt>
                <c:pt idx="3">
                  <c:v>4.7699999999999999E-2</c:v>
                </c:pt>
                <c:pt idx="4">
                  <c:v>6.4199999999999993E-2</c:v>
                </c:pt>
                <c:pt idx="5">
                  <c:v>0.1216</c:v>
                </c:pt>
                <c:pt idx="6">
                  <c:v>3.0200000000000001E-2</c:v>
                </c:pt>
                <c:pt idx="7">
                  <c:v>5.5300000000000002E-2</c:v>
                </c:pt>
                <c:pt idx="8">
                  <c:v>5.96E-2</c:v>
                </c:pt>
                <c:pt idx="9">
                  <c:v>5.8999999999999997E-2</c:v>
                </c:pt>
                <c:pt idx="10">
                  <c:v>6.9900000000000004E-2</c:v>
                </c:pt>
                <c:pt idx="11">
                  <c:v>5.2400000000000002E-2</c:v>
                </c:pt>
                <c:pt idx="12">
                  <c:v>7.1099999999999997E-2</c:v>
                </c:pt>
                <c:pt idx="13">
                  <c:v>7.1999999999999995E-2</c:v>
                </c:pt>
                <c:pt idx="14">
                  <c:v>5.96E-2</c:v>
                </c:pt>
                <c:pt idx="15">
                  <c:v>7.5600000000000001E-2</c:v>
                </c:pt>
                <c:pt idx="16">
                  <c:v>3.0099999999999998E-2</c:v>
                </c:pt>
                <c:pt idx="17">
                  <c:v>7.3599999999999999E-2</c:v>
                </c:pt>
                <c:pt idx="18">
                  <c:v>3.5000000000000003E-2</c:v>
                </c:pt>
                <c:pt idx="19">
                  <c:v>5.6099999999999997E-2</c:v>
                </c:pt>
                <c:pt idx="20">
                  <c:v>4.3700000000000003E-2</c:v>
                </c:pt>
                <c:pt idx="21">
                  <c:v>9.7600000000000006E-2</c:v>
                </c:pt>
                <c:pt idx="22">
                  <c:v>4.65E-2</c:v>
                </c:pt>
                <c:pt idx="23">
                  <c:v>6.0699999999999997E-2</c:v>
                </c:pt>
                <c:pt idx="24">
                  <c:v>5.4100000000000002E-2</c:v>
                </c:pt>
                <c:pt idx="25">
                  <c:v>8.4000000000000005E-2</c:v>
                </c:pt>
                <c:pt idx="26">
                  <c:v>6.3899999999999998E-2</c:v>
                </c:pt>
                <c:pt idx="27">
                  <c:v>0.15029999999999999</c:v>
                </c:pt>
                <c:pt idx="28">
                  <c:v>5.3699999999999998E-2</c:v>
                </c:pt>
                <c:pt idx="29">
                  <c:v>7.1599999999999997E-2</c:v>
                </c:pt>
                <c:pt idx="30">
                  <c:v>0.16170000000000001</c:v>
                </c:pt>
                <c:pt idx="31">
                  <c:v>5.5399999999999998E-2</c:v>
                </c:pt>
                <c:pt idx="32">
                  <c:v>7.3899999999999993E-2</c:v>
                </c:pt>
                <c:pt idx="33">
                  <c:v>3.6499999999999998E-2</c:v>
                </c:pt>
                <c:pt idx="34">
                  <c:v>5.7299999999999997E-2</c:v>
                </c:pt>
                <c:pt idx="35">
                  <c:v>8.3199999999999996E-2</c:v>
                </c:pt>
                <c:pt idx="36">
                  <c:v>4.58E-2</c:v>
                </c:pt>
                <c:pt idx="37">
                  <c:v>8.0500000000000002E-2</c:v>
                </c:pt>
                <c:pt idx="38">
                  <c:v>4.53E-2</c:v>
                </c:pt>
                <c:pt idx="39">
                  <c:v>6.59E-2</c:v>
                </c:pt>
                <c:pt idx="40">
                  <c:v>7.7899999999999997E-2</c:v>
                </c:pt>
                <c:pt idx="41">
                  <c:v>7.1599999999999997E-2</c:v>
                </c:pt>
                <c:pt idx="42">
                  <c:v>4.2799999999999998E-2</c:v>
                </c:pt>
                <c:pt idx="43">
                  <c:v>2.92E-2</c:v>
                </c:pt>
                <c:pt idx="44">
                  <c:v>0.10929999999999999</c:v>
                </c:pt>
              </c:numCache>
            </c:numRef>
          </c:val>
          <c:extLst>
            <c:ext xmlns:c16="http://schemas.microsoft.com/office/drawing/2014/chart" uri="{C3380CC4-5D6E-409C-BE32-E72D297353CC}">
              <c16:uniqueId val="{00000002-E621-4449-83EF-40A5257105FC}"/>
            </c:ext>
          </c:extLst>
        </c:ser>
        <c:ser>
          <c:idx val="3"/>
          <c:order val="3"/>
          <c:tx>
            <c:strRef>
              <c:f>PM10_a!$E$2</c:f>
              <c:strCache>
                <c:ptCount val="1"/>
                <c:pt idx="0">
                  <c:v>Emisja z zagranicy </c:v>
                </c:pt>
              </c:strCache>
            </c:strRef>
          </c:tx>
          <c:spPr>
            <a:solidFill>
              <a:srgbClr val="D684DC"/>
            </a:solidFill>
            <a:ln>
              <a:noFill/>
            </a:ln>
            <a:effectLst/>
          </c:spPr>
          <c:invertIfNegative val="0"/>
          <c:cat>
            <c:strRef>
              <c:f>PM10_a!$B$3:$B$47</c:f>
              <c:strCache>
                <c:ptCount val="45"/>
                <c:pt idx="0">
                  <c:v>strefa zachodniopomorska</c:v>
                </c:pt>
                <c:pt idx="1">
                  <c:v>miasto Koszalin</c:v>
                </c:pt>
                <c:pt idx="2">
                  <c:v>aglomeracja szczecińska</c:v>
                </c:pt>
                <c:pt idx="3">
                  <c:v>strefa wielkopolska</c:v>
                </c:pt>
                <c:pt idx="4">
                  <c:v>miasto Kalisz</c:v>
                </c:pt>
                <c:pt idx="5">
                  <c:v>aglomeracja poznańska</c:v>
                </c:pt>
                <c:pt idx="6">
                  <c:v>strefa warmińsko-mazurska</c:v>
                </c:pt>
                <c:pt idx="7">
                  <c:v>miasto Elbląg</c:v>
                </c:pt>
                <c:pt idx="8">
                  <c:v>miasto Olsztyn</c:v>
                </c:pt>
                <c:pt idx="9">
                  <c:v>strefa świetokrzyska</c:v>
                </c:pt>
                <c:pt idx="10">
                  <c:v>miasto Kielce</c:v>
                </c:pt>
                <c:pt idx="11">
                  <c:v>strefa śląska</c:v>
                </c:pt>
                <c:pt idx="12">
                  <c:v>miasto Częstochowa</c:v>
                </c:pt>
                <c:pt idx="13">
                  <c:v>miasto Bielsko-Biała</c:v>
                </c:pt>
                <c:pt idx="14">
                  <c:v>aglomeracja rybnicko-jastrzębska</c:v>
                </c:pt>
                <c:pt idx="15">
                  <c:v>aglomeracja górnośląska </c:v>
                </c:pt>
                <c:pt idx="16">
                  <c:v>strefa pomorska</c:v>
                </c:pt>
                <c:pt idx="17">
                  <c:v>aglomeracja trójmiejska</c:v>
                </c:pt>
                <c:pt idx="18">
                  <c:v>strefa podlaska</c:v>
                </c:pt>
                <c:pt idx="19">
                  <c:v>aglomeracja białostocka</c:v>
                </c:pt>
                <c:pt idx="20">
                  <c:v>strefa podkarpacka</c:v>
                </c:pt>
                <c:pt idx="21">
                  <c:v>miasto Rzeszów</c:v>
                </c:pt>
                <c:pt idx="22">
                  <c:v>strefa opolska</c:v>
                </c:pt>
                <c:pt idx="23">
                  <c:v>miasto Opole</c:v>
                </c:pt>
                <c:pt idx="24">
                  <c:v>strefa mazowiecka</c:v>
                </c:pt>
                <c:pt idx="25">
                  <c:v>miasto Radom</c:v>
                </c:pt>
                <c:pt idx="26">
                  <c:v>miasto Płock</c:v>
                </c:pt>
                <c:pt idx="27">
                  <c:v>aglomeracja warszawska</c:v>
                </c:pt>
                <c:pt idx="28">
                  <c:v>strefa małopolska</c:v>
                </c:pt>
                <c:pt idx="29">
                  <c:v>miasto Tarnów</c:v>
                </c:pt>
                <c:pt idx="30">
                  <c:v>aglomeracja Krakowska</c:v>
                </c:pt>
                <c:pt idx="31">
                  <c:v>strefa łódźka</c:v>
                </c:pt>
                <c:pt idx="32">
                  <c:v>aglomeracja Łódzka</c:v>
                </c:pt>
                <c:pt idx="33">
                  <c:v>strefa lubuska</c:v>
                </c:pt>
                <c:pt idx="34">
                  <c:v>miasto Zielona Góra</c:v>
                </c:pt>
                <c:pt idx="35">
                  <c:v>miasto Gorzów Wielkopolski</c:v>
                </c:pt>
                <c:pt idx="36">
                  <c:v>strefa lubelska</c:v>
                </c:pt>
                <c:pt idx="37">
                  <c:v>aglomeracja lubelska</c:v>
                </c:pt>
                <c:pt idx="38">
                  <c:v>strefa kujawsko-pomorska</c:v>
                </c:pt>
                <c:pt idx="39">
                  <c:v>miasto Włocławek</c:v>
                </c:pt>
                <c:pt idx="40">
                  <c:v>miasto Toruń</c:v>
                </c:pt>
                <c:pt idx="41">
                  <c:v>aglomeracja bydgoska</c:v>
                </c:pt>
                <c:pt idx="42">
                  <c:v>strefa dolnośląska</c:v>
                </c:pt>
                <c:pt idx="43">
                  <c:v>miasto Wałbrzych</c:v>
                </c:pt>
                <c:pt idx="44">
                  <c:v>aglomeracja wrocławska</c:v>
                </c:pt>
              </c:strCache>
            </c:strRef>
          </c:cat>
          <c:val>
            <c:numRef>
              <c:f>PM10_a!$E$3:$E$47</c:f>
              <c:numCache>
                <c:formatCode>0.00</c:formatCode>
                <c:ptCount val="45"/>
                <c:pt idx="0">
                  <c:v>0.55569999999999997</c:v>
                </c:pt>
                <c:pt idx="1">
                  <c:v>0.37580000000000002</c:v>
                </c:pt>
                <c:pt idx="2">
                  <c:v>0.38400000000000001</c:v>
                </c:pt>
                <c:pt idx="3">
                  <c:v>0.34449999999999997</c:v>
                </c:pt>
                <c:pt idx="4">
                  <c:v>0.1845</c:v>
                </c:pt>
                <c:pt idx="5">
                  <c:v>0.18990000000000001</c:v>
                </c:pt>
                <c:pt idx="6">
                  <c:v>0.44800000000000001</c:v>
                </c:pt>
                <c:pt idx="7">
                  <c:v>0.34520000000000001</c:v>
                </c:pt>
                <c:pt idx="8">
                  <c:v>0.24510000000000001</c:v>
                </c:pt>
                <c:pt idx="9">
                  <c:v>0.31319999999999998</c:v>
                </c:pt>
                <c:pt idx="10">
                  <c:v>0.1898</c:v>
                </c:pt>
                <c:pt idx="11">
                  <c:v>0.28660000000000002</c:v>
                </c:pt>
                <c:pt idx="12">
                  <c:v>0.1865</c:v>
                </c:pt>
                <c:pt idx="13">
                  <c:v>0.18240000000000001</c:v>
                </c:pt>
                <c:pt idx="14">
                  <c:v>0.21490000000000001</c:v>
                </c:pt>
                <c:pt idx="15">
                  <c:v>0.1515</c:v>
                </c:pt>
                <c:pt idx="16">
                  <c:v>0.45350000000000001</c:v>
                </c:pt>
                <c:pt idx="17">
                  <c:v>0.30580000000000002</c:v>
                </c:pt>
                <c:pt idx="18">
                  <c:v>0.44629999999999997</c:v>
                </c:pt>
                <c:pt idx="19">
                  <c:v>0.18410000000000001</c:v>
                </c:pt>
                <c:pt idx="20">
                  <c:v>0.46539999999999998</c:v>
                </c:pt>
                <c:pt idx="21">
                  <c:v>0.28749999999999998</c:v>
                </c:pt>
                <c:pt idx="22">
                  <c:v>0.31169999999999998</c:v>
                </c:pt>
                <c:pt idx="23">
                  <c:v>0.183</c:v>
                </c:pt>
                <c:pt idx="24">
                  <c:v>0.3221</c:v>
                </c:pt>
                <c:pt idx="25">
                  <c:v>0.19650000000000001</c:v>
                </c:pt>
                <c:pt idx="26">
                  <c:v>0.20519999999999999</c:v>
                </c:pt>
                <c:pt idx="27">
                  <c:v>0.18920000000000001</c:v>
                </c:pt>
                <c:pt idx="28">
                  <c:v>0.26150000000000001</c:v>
                </c:pt>
                <c:pt idx="29">
                  <c:v>0.14710000000000001</c:v>
                </c:pt>
                <c:pt idx="30">
                  <c:v>0.17449999999999999</c:v>
                </c:pt>
                <c:pt idx="31">
                  <c:v>0.30599999999999999</c:v>
                </c:pt>
                <c:pt idx="32">
                  <c:v>0.1802</c:v>
                </c:pt>
                <c:pt idx="33">
                  <c:v>0.53149999999999997</c:v>
                </c:pt>
                <c:pt idx="34">
                  <c:v>0.435</c:v>
                </c:pt>
                <c:pt idx="35">
                  <c:v>0.33829999999999999</c:v>
                </c:pt>
                <c:pt idx="36">
                  <c:v>0.41239999999999999</c:v>
                </c:pt>
                <c:pt idx="37">
                  <c:v>0.23069999999999999</c:v>
                </c:pt>
                <c:pt idx="38">
                  <c:v>0.34939999999999999</c:v>
                </c:pt>
                <c:pt idx="39">
                  <c:v>0.2399</c:v>
                </c:pt>
                <c:pt idx="40">
                  <c:v>0.2389</c:v>
                </c:pt>
                <c:pt idx="41">
                  <c:v>0.24099999999999999</c:v>
                </c:pt>
                <c:pt idx="42">
                  <c:v>0.37509999999999999</c:v>
                </c:pt>
                <c:pt idx="43">
                  <c:v>0.29609999999999997</c:v>
                </c:pt>
                <c:pt idx="44">
                  <c:v>0.17249999999999999</c:v>
                </c:pt>
              </c:numCache>
            </c:numRef>
          </c:val>
          <c:extLst>
            <c:ext xmlns:c16="http://schemas.microsoft.com/office/drawing/2014/chart" uri="{C3380CC4-5D6E-409C-BE32-E72D297353CC}">
              <c16:uniqueId val="{00000003-E621-4449-83EF-40A5257105FC}"/>
            </c:ext>
          </c:extLst>
        </c:ser>
        <c:ser>
          <c:idx val="4"/>
          <c:order val="4"/>
          <c:tx>
            <c:strRef>
              <c:f>PM10_a!$F$2</c:f>
              <c:strCache>
                <c:ptCount val="1"/>
                <c:pt idx="0">
                  <c:v>Energetyka i przemysł</c:v>
                </c:pt>
              </c:strCache>
            </c:strRef>
          </c:tx>
          <c:spPr>
            <a:solidFill>
              <a:srgbClr val="ED7D31"/>
            </a:solidFill>
            <a:ln>
              <a:noFill/>
            </a:ln>
            <a:effectLst/>
          </c:spPr>
          <c:invertIfNegative val="0"/>
          <c:cat>
            <c:strRef>
              <c:f>PM10_a!$B$3:$B$47</c:f>
              <c:strCache>
                <c:ptCount val="45"/>
                <c:pt idx="0">
                  <c:v>strefa zachodniopomorska</c:v>
                </c:pt>
                <c:pt idx="1">
                  <c:v>miasto Koszalin</c:v>
                </c:pt>
                <c:pt idx="2">
                  <c:v>aglomeracja szczecińska</c:v>
                </c:pt>
                <c:pt idx="3">
                  <c:v>strefa wielkopolska</c:v>
                </c:pt>
                <c:pt idx="4">
                  <c:v>miasto Kalisz</c:v>
                </c:pt>
                <c:pt idx="5">
                  <c:v>aglomeracja poznańska</c:v>
                </c:pt>
                <c:pt idx="6">
                  <c:v>strefa warmińsko-mazurska</c:v>
                </c:pt>
                <c:pt idx="7">
                  <c:v>miasto Elbląg</c:v>
                </c:pt>
                <c:pt idx="8">
                  <c:v>miasto Olsztyn</c:v>
                </c:pt>
                <c:pt idx="9">
                  <c:v>strefa świetokrzyska</c:v>
                </c:pt>
                <c:pt idx="10">
                  <c:v>miasto Kielce</c:v>
                </c:pt>
                <c:pt idx="11">
                  <c:v>strefa śląska</c:v>
                </c:pt>
                <c:pt idx="12">
                  <c:v>miasto Częstochowa</c:v>
                </c:pt>
                <c:pt idx="13">
                  <c:v>miasto Bielsko-Biała</c:v>
                </c:pt>
                <c:pt idx="14">
                  <c:v>aglomeracja rybnicko-jastrzębska</c:v>
                </c:pt>
                <c:pt idx="15">
                  <c:v>aglomeracja górnośląska </c:v>
                </c:pt>
                <c:pt idx="16">
                  <c:v>strefa pomorska</c:v>
                </c:pt>
                <c:pt idx="17">
                  <c:v>aglomeracja trójmiejska</c:v>
                </c:pt>
                <c:pt idx="18">
                  <c:v>strefa podlaska</c:v>
                </c:pt>
                <c:pt idx="19">
                  <c:v>aglomeracja białostocka</c:v>
                </c:pt>
                <c:pt idx="20">
                  <c:v>strefa podkarpacka</c:v>
                </c:pt>
                <c:pt idx="21">
                  <c:v>miasto Rzeszów</c:v>
                </c:pt>
                <c:pt idx="22">
                  <c:v>strefa opolska</c:v>
                </c:pt>
                <c:pt idx="23">
                  <c:v>miasto Opole</c:v>
                </c:pt>
                <c:pt idx="24">
                  <c:v>strefa mazowiecka</c:v>
                </c:pt>
                <c:pt idx="25">
                  <c:v>miasto Radom</c:v>
                </c:pt>
                <c:pt idx="26">
                  <c:v>miasto Płock</c:v>
                </c:pt>
                <c:pt idx="27">
                  <c:v>aglomeracja warszawska</c:v>
                </c:pt>
                <c:pt idx="28">
                  <c:v>strefa małopolska</c:v>
                </c:pt>
                <c:pt idx="29">
                  <c:v>miasto Tarnów</c:v>
                </c:pt>
                <c:pt idx="30">
                  <c:v>aglomeracja Krakowska</c:v>
                </c:pt>
                <c:pt idx="31">
                  <c:v>strefa łódźka</c:v>
                </c:pt>
                <c:pt idx="32">
                  <c:v>aglomeracja Łódzka</c:v>
                </c:pt>
                <c:pt idx="33">
                  <c:v>strefa lubuska</c:v>
                </c:pt>
                <c:pt idx="34">
                  <c:v>miasto Zielona Góra</c:v>
                </c:pt>
                <c:pt idx="35">
                  <c:v>miasto Gorzów Wielkopolski</c:v>
                </c:pt>
                <c:pt idx="36">
                  <c:v>strefa lubelska</c:v>
                </c:pt>
                <c:pt idx="37">
                  <c:v>aglomeracja lubelska</c:v>
                </c:pt>
                <c:pt idx="38">
                  <c:v>strefa kujawsko-pomorska</c:v>
                </c:pt>
                <c:pt idx="39">
                  <c:v>miasto Włocławek</c:v>
                </c:pt>
                <c:pt idx="40">
                  <c:v>miasto Toruń</c:v>
                </c:pt>
                <c:pt idx="41">
                  <c:v>aglomeracja bydgoska</c:v>
                </c:pt>
                <c:pt idx="42">
                  <c:v>strefa dolnośląska</c:v>
                </c:pt>
                <c:pt idx="43">
                  <c:v>miasto Wałbrzych</c:v>
                </c:pt>
                <c:pt idx="44">
                  <c:v>aglomeracja wrocławska</c:v>
                </c:pt>
              </c:strCache>
            </c:strRef>
          </c:cat>
          <c:val>
            <c:numRef>
              <c:f>PM10_a!$F$3:$F$47</c:f>
              <c:numCache>
                <c:formatCode>0.00</c:formatCode>
                <c:ptCount val="45"/>
                <c:pt idx="0">
                  <c:v>4.5600000000000002E-2</c:v>
                </c:pt>
                <c:pt idx="1">
                  <c:v>3.9800000000000002E-2</c:v>
                </c:pt>
                <c:pt idx="2">
                  <c:v>5.3100000000000001E-2</c:v>
                </c:pt>
                <c:pt idx="3">
                  <c:v>5.33E-2</c:v>
                </c:pt>
                <c:pt idx="4">
                  <c:v>4.9299999999999997E-2</c:v>
                </c:pt>
                <c:pt idx="5">
                  <c:v>6.1499999999999999E-2</c:v>
                </c:pt>
                <c:pt idx="6">
                  <c:v>4.8599999999999997E-2</c:v>
                </c:pt>
                <c:pt idx="7">
                  <c:v>4.7500000000000001E-2</c:v>
                </c:pt>
                <c:pt idx="8">
                  <c:v>4.7500000000000001E-2</c:v>
                </c:pt>
                <c:pt idx="9">
                  <c:v>6.9699999999999998E-2</c:v>
                </c:pt>
                <c:pt idx="10">
                  <c:v>0.13300000000000001</c:v>
                </c:pt>
                <c:pt idx="11">
                  <c:v>6.8199999999999997E-2</c:v>
                </c:pt>
                <c:pt idx="12">
                  <c:v>0.1613</c:v>
                </c:pt>
                <c:pt idx="13">
                  <c:v>4.8300000000000003E-2</c:v>
                </c:pt>
                <c:pt idx="14">
                  <c:v>0.1424</c:v>
                </c:pt>
                <c:pt idx="15">
                  <c:v>0.14760000000000001</c:v>
                </c:pt>
                <c:pt idx="16">
                  <c:v>4.5400000000000003E-2</c:v>
                </c:pt>
                <c:pt idx="17">
                  <c:v>4.5199999999999997E-2</c:v>
                </c:pt>
                <c:pt idx="18">
                  <c:v>4.5600000000000002E-2</c:v>
                </c:pt>
                <c:pt idx="19">
                  <c:v>3.1099999999999999E-2</c:v>
                </c:pt>
                <c:pt idx="20">
                  <c:v>4.4400000000000002E-2</c:v>
                </c:pt>
                <c:pt idx="21">
                  <c:v>5.6000000000000001E-2</c:v>
                </c:pt>
                <c:pt idx="22">
                  <c:v>5.2600000000000001E-2</c:v>
                </c:pt>
                <c:pt idx="23">
                  <c:v>6.7699999999999996E-2</c:v>
                </c:pt>
                <c:pt idx="24">
                  <c:v>4.9599999999999998E-2</c:v>
                </c:pt>
                <c:pt idx="25">
                  <c:v>5.0099999999999999E-2</c:v>
                </c:pt>
                <c:pt idx="26">
                  <c:v>0.15040000000000001</c:v>
                </c:pt>
                <c:pt idx="27">
                  <c:v>4.19E-2</c:v>
                </c:pt>
                <c:pt idx="28">
                  <c:v>4.1700000000000001E-2</c:v>
                </c:pt>
                <c:pt idx="29">
                  <c:v>0.1847</c:v>
                </c:pt>
                <c:pt idx="30">
                  <c:v>7.5399999999999995E-2</c:v>
                </c:pt>
                <c:pt idx="31">
                  <c:v>6.7699999999999996E-2</c:v>
                </c:pt>
                <c:pt idx="32">
                  <c:v>4.58E-2</c:v>
                </c:pt>
                <c:pt idx="33">
                  <c:v>3.3700000000000001E-2</c:v>
                </c:pt>
                <c:pt idx="34">
                  <c:v>3.9800000000000002E-2</c:v>
                </c:pt>
                <c:pt idx="35">
                  <c:v>3.9600000000000003E-2</c:v>
                </c:pt>
                <c:pt idx="36">
                  <c:v>4.2799999999999998E-2</c:v>
                </c:pt>
                <c:pt idx="37">
                  <c:v>3.4599999999999999E-2</c:v>
                </c:pt>
                <c:pt idx="38">
                  <c:v>6.6199999999999995E-2</c:v>
                </c:pt>
                <c:pt idx="39">
                  <c:v>0.21310000000000001</c:v>
                </c:pt>
                <c:pt idx="40">
                  <c:v>5.3999999999999999E-2</c:v>
                </c:pt>
                <c:pt idx="41">
                  <c:v>7.0400000000000004E-2</c:v>
                </c:pt>
                <c:pt idx="42">
                  <c:v>4.99E-2</c:v>
                </c:pt>
                <c:pt idx="43">
                  <c:v>6.4100000000000004E-2</c:v>
                </c:pt>
                <c:pt idx="44">
                  <c:v>4.5499999999999999E-2</c:v>
                </c:pt>
              </c:numCache>
            </c:numRef>
          </c:val>
          <c:extLst>
            <c:ext xmlns:c16="http://schemas.microsoft.com/office/drawing/2014/chart" uri="{C3380CC4-5D6E-409C-BE32-E72D297353CC}">
              <c16:uniqueId val="{00000004-E621-4449-83EF-40A5257105FC}"/>
            </c:ext>
          </c:extLst>
        </c:ser>
        <c:dLbls>
          <c:showLegendKey val="0"/>
          <c:showVal val="0"/>
          <c:showCatName val="0"/>
          <c:showSerName val="0"/>
          <c:showPercent val="0"/>
          <c:showBubbleSize val="0"/>
        </c:dLbls>
        <c:gapWidth val="109"/>
        <c:overlap val="100"/>
        <c:axId val="400829056"/>
        <c:axId val="400831408"/>
      </c:barChart>
      <c:catAx>
        <c:axId val="400829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400831408"/>
        <c:crosses val="autoZero"/>
        <c:auto val="1"/>
        <c:lblAlgn val="ctr"/>
        <c:lblOffset val="100"/>
        <c:noMultiLvlLbl val="0"/>
      </c:catAx>
      <c:valAx>
        <c:axId val="400831408"/>
        <c:scaling>
          <c:orientation val="minMax"/>
        </c:scaling>
        <c:delete val="0"/>
        <c:axPos val="b"/>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400829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PM25_a!$G$2</c:f>
              <c:strCache>
                <c:ptCount val="1"/>
                <c:pt idx="0">
                  <c:v>Rolnictwo</c:v>
                </c:pt>
              </c:strCache>
            </c:strRef>
          </c:tx>
          <c:spPr>
            <a:solidFill>
              <a:srgbClr val="92D050"/>
            </a:solidFill>
            <a:ln>
              <a:noFill/>
            </a:ln>
            <a:effectLst/>
          </c:spPr>
          <c:invertIfNegative val="0"/>
          <c:cat>
            <c:strRef>
              <c:f>PM25_a!$B$3:$B$47</c:f>
              <c:strCache>
                <c:ptCount val="45"/>
                <c:pt idx="0">
                  <c:v>strefa zachodniopomorska</c:v>
                </c:pt>
                <c:pt idx="1">
                  <c:v>miasto Koszalin</c:v>
                </c:pt>
                <c:pt idx="2">
                  <c:v>aglomeracja szczecińska</c:v>
                </c:pt>
                <c:pt idx="3">
                  <c:v>strefa wielkopolska</c:v>
                </c:pt>
                <c:pt idx="4">
                  <c:v>miasto Kalisz</c:v>
                </c:pt>
                <c:pt idx="5">
                  <c:v>aglomeracja poznańska</c:v>
                </c:pt>
                <c:pt idx="6">
                  <c:v>strefa warmińsko-mazurska</c:v>
                </c:pt>
                <c:pt idx="7">
                  <c:v>miasto Elbląg</c:v>
                </c:pt>
                <c:pt idx="8">
                  <c:v>miasto Olsztyn</c:v>
                </c:pt>
                <c:pt idx="9">
                  <c:v>strefa świetokrzyska</c:v>
                </c:pt>
                <c:pt idx="10">
                  <c:v>miasto Kielce</c:v>
                </c:pt>
                <c:pt idx="11">
                  <c:v>strefa śląska</c:v>
                </c:pt>
                <c:pt idx="12">
                  <c:v>miasto Częstochowa</c:v>
                </c:pt>
                <c:pt idx="13">
                  <c:v>miasto Bielsko-Biała</c:v>
                </c:pt>
                <c:pt idx="14">
                  <c:v>aglomeracja rybnicko-jastrzębska</c:v>
                </c:pt>
                <c:pt idx="15">
                  <c:v>aglomeracja górnośląska </c:v>
                </c:pt>
                <c:pt idx="16">
                  <c:v>strefa pomorska</c:v>
                </c:pt>
                <c:pt idx="17">
                  <c:v>aglomeracja trójmiejska</c:v>
                </c:pt>
                <c:pt idx="18">
                  <c:v>strefa podlaska</c:v>
                </c:pt>
                <c:pt idx="19">
                  <c:v>aglomeracja białostocka</c:v>
                </c:pt>
                <c:pt idx="20">
                  <c:v>strefa podkarpacka</c:v>
                </c:pt>
                <c:pt idx="21">
                  <c:v>miasto Rzeszów</c:v>
                </c:pt>
                <c:pt idx="22">
                  <c:v>strefa opolska</c:v>
                </c:pt>
                <c:pt idx="23">
                  <c:v>miasto Opole</c:v>
                </c:pt>
                <c:pt idx="24">
                  <c:v>strefa mazowiecka</c:v>
                </c:pt>
                <c:pt idx="25">
                  <c:v>miasto Radom</c:v>
                </c:pt>
                <c:pt idx="26">
                  <c:v>miasto Płock</c:v>
                </c:pt>
                <c:pt idx="27">
                  <c:v>aglomeracja warszawska</c:v>
                </c:pt>
                <c:pt idx="28">
                  <c:v>strefa małopolska</c:v>
                </c:pt>
                <c:pt idx="29">
                  <c:v>miasto Tarnów</c:v>
                </c:pt>
                <c:pt idx="30">
                  <c:v>aglomeracja Krakowska</c:v>
                </c:pt>
                <c:pt idx="31">
                  <c:v>strefa łódźka</c:v>
                </c:pt>
                <c:pt idx="32">
                  <c:v>aglomeracja Łódzka</c:v>
                </c:pt>
                <c:pt idx="33">
                  <c:v>strefa lubuska</c:v>
                </c:pt>
                <c:pt idx="34">
                  <c:v>miasto Zielona Góra</c:v>
                </c:pt>
                <c:pt idx="35">
                  <c:v>miasto Gorzów Wielkopolski</c:v>
                </c:pt>
                <c:pt idx="36">
                  <c:v>strefa lubelska</c:v>
                </c:pt>
                <c:pt idx="37">
                  <c:v>aglomeracja lubelska</c:v>
                </c:pt>
                <c:pt idx="38">
                  <c:v>strefa kujawsko-pomorska</c:v>
                </c:pt>
                <c:pt idx="39">
                  <c:v>miasto Włocławek</c:v>
                </c:pt>
                <c:pt idx="40">
                  <c:v>miasto Toruń</c:v>
                </c:pt>
                <c:pt idx="41">
                  <c:v>aglomeracja bydgoska</c:v>
                </c:pt>
                <c:pt idx="42">
                  <c:v>strefa dolnośląska</c:v>
                </c:pt>
                <c:pt idx="43">
                  <c:v>miasto Wałbrzych</c:v>
                </c:pt>
                <c:pt idx="44">
                  <c:v>aglomeracja wrocławska</c:v>
                </c:pt>
              </c:strCache>
            </c:strRef>
          </c:cat>
          <c:val>
            <c:numRef>
              <c:f>PM25_a!$G$3:$G$47</c:f>
              <c:numCache>
                <c:formatCode>0.00</c:formatCode>
                <c:ptCount val="45"/>
                <c:pt idx="0">
                  <c:v>2.8500000000000001E-2</c:v>
                </c:pt>
                <c:pt idx="1">
                  <c:v>1.52E-2</c:v>
                </c:pt>
                <c:pt idx="2">
                  <c:v>2.29E-2</c:v>
                </c:pt>
                <c:pt idx="3">
                  <c:v>5.3100000000000001E-2</c:v>
                </c:pt>
                <c:pt idx="4">
                  <c:v>4.19E-2</c:v>
                </c:pt>
                <c:pt idx="5">
                  <c:v>2.76E-2</c:v>
                </c:pt>
                <c:pt idx="6">
                  <c:v>4.4900000000000002E-2</c:v>
                </c:pt>
                <c:pt idx="7">
                  <c:v>2.1499999999999998E-2</c:v>
                </c:pt>
                <c:pt idx="8">
                  <c:v>9.2100000000000001E-2</c:v>
                </c:pt>
                <c:pt idx="9">
                  <c:v>3.0300000000000001E-2</c:v>
                </c:pt>
                <c:pt idx="10">
                  <c:v>1.5100000000000001E-2</c:v>
                </c:pt>
                <c:pt idx="11">
                  <c:v>1.6799999999999999E-2</c:v>
                </c:pt>
                <c:pt idx="12">
                  <c:v>1.06E-2</c:v>
                </c:pt>
                <c:pt idx="13">
                  <c:v>5.7999999999999996E-3</c:v>
                </c:pt>
                <c:pt idx="14">
                  <c:v>1.2E-2</c:v>
                </c:pt>
                <c:pt idx="15">
                  <c:v>8.3999999999999995E-3</c:v>
                </c:pt>
                <c:pt idx="16">
                  <c:v>2.87E-2</c:v>
                </c:pt>
                <c:pt idx="17">
                  <c:v>1.5699999999999999E-2</c:v>
                </c:pt>
                <c:pt idx="18">
                  <c:v>5.2900000000000003E-2</c:v>
                </c:pt>
                <c:pt idx="19">
                  <c:v>2.1600000000000001E-2</c:v>
                </c:pt>
                <c:pt idx="20">
                  <c:v>2.0899999999999998E-2</c:v>
                </c:pt>
                <c:pt idx="21">
                  <c:v>1.5599999999999999E-2</c:v>
                </c:pt>
                <c:pt idx="22">
                  <c:v>2.8899999999999999E-2</c:v>
                </c:pt>
                <c:pt idx="23">
                  <c:v>2.2700000000000001E-2</c:v>
                </c:pt>
                <c:pt idx="24">
                  <c:v>4.5600000000000002E-2</c:v>
                </c:pt>
                <c:pt idx="25">
                  <c:v>1.7600000000000001E-2</c:v>
                </c:pt>
                <c:pt idx="26">
                  <c:v>4.0800000000000003E-2</c:v>
                </c:pt>
                <c:pt idx="27">
                  <c:v>1.35E-2</c:v>
                </c:pt>
                <c:pt idx="28">
                  <c:v>1.84E-2</c:v>
                </c:pt>
                <c:pt idx="29">
                  <c:v>1.34E-2</c:v>
                </c:pt>
                <c:pt idx="30">
                  <c:v>0.02</c:v>
                </c:pt>
                <c:pt idx="31">
                  <c:v>3.95E-2</c:v>
                </c:pt>
                <c:pt idx="32">
                  <c:v>1.8100000000000002E-2</c:v>
                </c:pt>
                <c:pt idx="33">
                  <c:v>3.1300000000000001E-2</c:v>
                </c:pt>
                <c:pt idx="34">
                  <c:v>2.3599999999999999E-2</c:v>
                </c:pt>
                <c:pt idx="35">
                  <c:v>4.1300000000000003E-2</c:v>
                </c:pt>
                <c:pt idx="36">
                  <c:v>3.5799999999999998E-2</c:v>
                </c:pt>
                <c:pt idx="37">
                  <c:v>2.0299999999999999E-2</c:v>
                </c:pt>
                <c:pt idx="38">
                  <c:v>4.4999999999999998E-2</c:v>
                </c:pt>
                <c:pt idx="39">
                  <c:v>3.15E-2</c:v>
                </c:pt>
                <c:pt idx="40">
                  <c:v>2.47E-2</c:v>
                </c:pt>
                <c:pt idx="41">
                  <c:v>2.2499999999999999E-2</c:v>
                </c:pt>
                <c:pt idx="42">
                  <c:v>2.4400000000000002E-2</c:v>
                </c:pt>
                <c:pt idx="43">
                  <c:v>7.7999999999999996E-3</c:v>
                </c:pt>
                <c:pt idx="44">
                  <c:v>1.67E-2</c:v>
                </c:pt>
              </c:numCache>
            </c:numRef>
          </c:val>
          <c:extLst>
            <c:ext xmlns:c16="http://schemas.microsoft.com/office/drawing/2014/chart" uri="{C3380CC4-5D6E-409C-BE32-E72D297353CC}">
              <c16:uniqueId val="{00000000-7FF2-4CD5-8EB8-9C08246A92CB}"/>
            </c:ext>
          </c:extLst>
        </c:ser>
        <c:ser>
          <c:idx val="1"/>
          <c:order val="1"/>
          <c:tx>
            <c:strRef>
              <c:f>PM25_a!$C$2</c:f>
              <c:strCache>
                <c:ptCount val="1"/>
                <c:pt idx="0">
                  <c:v>Źródła komunalno-bytowe</c:v>
                </c:pt>
              </c:strCache>
            </c:strRef>
          </c:tx>
          <c:spPr>
            <a:solidFill>
              <a:srgbClr val="BFBFBF"/>
            </a:solidFill>
            <a:ln>
              <a:noFill/>
            </a:ln>
            <a:effectLst/>
          </c:spPr>
          <c:invertIfNegative val="0"/>
          <c:cat>
            <c:strRef>
              <c:f>PM25_a!$B$3:$B$47</c:f>
              <c:strCache>
                <c:ptCount val="45"/>
                <c:pt idx="0">
                  <c:v>strefa zachodniopomorska</c:v>
                </c:pt>
                <c:pt idx="1">
                  <c:v>miasto Koszalin</c:v>
                </c:pt>
                <c:pt idx="2">
                  <c:v>aglomeracja szczecińska</c:v>
                </c:pt>
                <c:pt idx="3">
                  <c:v>strefa wielkopolska</c:v>
                </c:pt>
                <c:pt idx="4">
                  <c:v>miasto Kalisz</c:v>
                </c:pt>
                <c:pt idx="5">
                  <c:v>aglomeracja poznańska</c:v>
                </c:pt>
                <c:pt idx="6">
                  <c:v>strefa warmińsko-mazurska</c:v>
                </c:pt>
                <c:pt idx="7">
                  <c:v>miasto Elbląg</c:v>
                </c:pt>
                <c:pt idx="8">
                  <c:v>miasto Olsztyn</c:v>
                </c:pt>
                <c:pt idx="9">
                  <c:v>strefa świetokrzyska</c:v>
                </c:pt>
                <c:pt idx="10">
                  <c:v>miasto Kielce</c:v>
                </c:pt>
                <c:pt idx="11">
                  <c:v>strefa śląska</c:v>
                </c:pt>
                <c:pt idx="12">
                  <c:v>miasto Częstochowa</c:v>
                </c:pt>
                <c:pt idx="13">
                  <c:v>miasto Bielsko-Biała</c:v>
                </c:pt>
                <c:pt idx="14">
                  <c:v>aglomeracja rybnicko-jastrzębska</c:v>
                </c:pt>
                <c:pt idx="15">
                  <c:v>aglomeracja górnośląska </c:v>
                </c:pt>
                <c:pt idx="16">
                  <c:v>strefa pomorska</c:v>
                </c:pt>
                <c:pt idx="17">
                  <c:v>aglomeracja trójmiejska</c:v>
                </c:pt>
                <c:pt idx="18">
                  <c:v>strefa podlaska</c:v>
                </c:pt>
                <c:pt idx="19">
                  <c:v>aglomeracja białostocka</c:v>
                </c:pt>
                <c:pt idx="20">
                  <c:v>strefa podkarpacka</c:v>
                </c:pt>
                <c:pt idx="21">
                  <c:v>miasto Rzeszów</c:v>
                </c:pt>
                <c:pt idx="22">
                  <c:v>strefa opolska</c:v>
                </c:pt>
                <c:pt idx="23">
                  <c:v>miasto Opole</c:v>
                </c:pt>
                <c:pt idx="24">
                  <c:v>strefa mazowiecka</c:v>
                </c:pt>
                <c:pt idx="25">
                  <c:v>miasto Radom</c:v>
                </c:pt>
                <c:pt idx="26">
                  <c:v>miasto Płock</c:v>
                </c:pt>
                <c:pt idx="27">
                  <c:v>aglomeracja warszawska</c:v>
                </c:pt>
                <c:pt idx="28">
                  <c:v>strefa małopolska</c:v>
                </c:pt>
                <c:pt idx="29">
                  <c:v>miasto Tarnów</c:v>
                </c:pt>
                <c:pt idx="30">
                  <c:v>aglomeracja Krakowska</c:v>
                </c:pt>
                <c:pt idx="31">
                  <c:v>strefa łódźka</c:v>
                </c:pt>
                <c:pt idx="32">
                  <c:v>aglomeracja Łódzka</c:v>
                </c:pt>
                <c:pt idx="33">
                  <c:v>strefa lubuska</c:v>
                </c:pt>
                <c:pt idx="34">
                  <c:v>miasto Zielona Góra</c:v>
                </c:pt>
                <c:pt idx="35">
                  <c:v>miasto Gorzów Wielkopolski</c:v>
                </c:pt>
                <c:pt idx="36">
                  <c:v>strefa lubelska</c:v>
                </c:pt>
                <c:pt idx="37">
                  <c:v>aglomeracja lubelska</c:v>
                </c:pt>
                <c:pt idx="38">
                  <c:v>strefa kujawsko-pomorska</c:v>
                </c:pt>
                <c:pt idx="39">
                  <c:v>miasto Włocławek</c:v>
                </c:pt>
                <c:pt idx="40">
                  <c:v>miasto Toruń</c:v>
                </c:pt>
                <c:pt idx="41">
                  <c:v>aglomeracja bydgoska</c:v>
                </c:pt>
                <c:pt idx="42">
                  <c:v>strefa dolnośląska</c:v>
                </c:pt>
                <c:pt idx="43">
                  <c:v>miasto Wałbrzych</c:v>
                </c:pt>
                <c:pt idx="44">
                  <c:v>aglomeracja wrocławska</c:v>
                </c:pt>
              </c:strCache>
            </c:strRef>
          </c:cat>
          <c:val>
            <c:numRef>
              <c:f>PM25_a!$C$3:$C$47</c:f>
              <c:numCache>
                <c:formatCode>0.00</c:formatCode>
                <c:ptCount val="45"/>
                <c:pt idx="0">
                  <c:v>0.36049999999999999</c:v>
                </c:pt>
                <c:pt idx="1">
                  <c:v>0.5786</c:v>
                </c:pt>
                <c:pt idx="2">
                  <c:v>0.50960000000000005</c:v>
                </c:pt>
                <c:pt idx="3">
                  <c:v>0.51190000000000002</c:v>
                </c:pt>
                <c:pt idx="4">
                  <c:v>0.69889999999999997</c:v>
                </c:pt>
                <c:pt idx="5">
                  <c:v>0.65749999999999997</c:v>
                </c:pt>
                <c:pt idx="6">
                  <c:v>0.43719999999999998</c:v>
                </c:pt>
                <c:pt idx="7">
                  <c:v>0.57850000000000001</c:v>
                </c:pt>
                <c:pt idx="8">
                  <c:v>0.50629999999999997</c:v>
                </c:pt>
                <c:pt idx="9">
                  <c:v>0.56320000000000003</c:v>
                </c:pt>
                <c:pt idx="10">
                  <c:v>0.65229999999999999</c:v>
                </c:pt>
                <c:pt idx="11">
                  <c:v>0.62549999999999994</c:v>
                </c:pt>
                <c:pt idx="12">
                  <c:v>0.64370000000000005</c:v>
                </c:pt>
                <c:pt idx="13">
                  <c:v>0.74929999999999997</c:v>
                </c:pt>
                <c:pt idx="14">
                  <c:v>0.64559999999999995</c:v>
                </c:pt>
                <c:pt idx="15">
                  <c:v>0.68379999999999996</c:v>
                </c:pt>
                <c:pt idx="16">
                  <c:v>0.46729999999999999</c:v>
                </c:pt>
                <c:pt idx="17">
                  <c:v>0.61370000000000002</c:v>
                </c:pt>
                <c:pt idx="18">
                  <c:v>0.42180000000000001</c:v>
                </c:pt>
                <c:pt idx="19">
                  <c:v>0.75129999999999997</c:v>
                </c:pt>
                <c:pt idx="20">
                  <c:v>0.46929999999999999</c:v>
                </c:pt>
                <c:pt idx="21">
                  <c:v>0.59950000000000003</c:v>
                </c:pt>
                <c:pt idx="22">
                  <c:v>0.59470000000000001</c:v>
                </c:pt>
                <c:pt idx="23">
                  <c:v>0.70669999999999999</c:v>
                </c:pt>
                <c:pt idx="24">
                  <c:v>0.54449999999999998</c:v>
                </c:pt>
                <c:pt idx="25">
                  <c:v>0.70440000000000003</c:v>
                </c:pt>
                <c:pt idx="26">
                  <c:v>0.56469999999999998</c:v>
                </c:pt>
                <c:pt idx="27">
                  <c:v>0.66110000000000002</c:v>
                </c:pt>
                <c:pt idx="28">
                  <c:v>0.66390000000000005</c:v>
                </c:pt>
                <c:pt idx="29">
                  <c:v>0.65910000000000002</c:v>
                </c:pt>
                <c:pt idx="30">
                  <c:v>0.61160000000000003</c:v>
                </c:pt>
                <c:pt idx="31">
                  <c:v>0.55349999999999999</c:v>
                </c:pt>
                <c:pt idx="32">
                  <c:v>0.73109999999999997</c:v>
                </c:pt>
                <c:pt idx="33">
                  <c:v>0.39860000000000001</c:v>
                </c:pt>
                <c:pt idx="34">
                  <c:v>0.49859999999999999</c:v>
                </c:pt>
                <c:pt idx="35">
                  <c:v>0.52869999999999995</c:v>
                </c:pt>
                <c:pt idx="36">
                  <c:v>0.48670000000000002</c:v>
                </c:pt>
                <c:pt idx="37">
                  <c:v>0.68400000000000005</c:v>
                </c:pt>
                <c:pt idx="38">
                  <c:v>0.50849999999999995</c:v>
                </c:pt>
                <c:pt idx="39">
                  <c:v>0.48549999999999999</c:v>
                </c:pt>
                <c:pt idx="40">
                  <c:v>0.65190000000000003</c:v>
                </c:pt>
                <c:pt idx="41">
                  <c:v>0.6421</c:v>
                </c:pt>
                <c:pt idx="42">
                  <c:v>0.54990000000000006</c:v>
                </c:pt>
                <c:pt idx="43">
                  <c:v>0.67730000000000001</c:v>
                </c:pt>
                <c:pt idx="44">
                  <c:v>0.70669999999999999</c:v>
                </c:pt>
              </c:numCache>
            </c:numRef>
          </c:val>
          <c:extLst>
            <c:ext xmlns:c16="http://schemas.microsoft.com/office/drawing/2014/chart" uri="{C3380CC4-5D6E-409C-BE32-E72D297353CC}">
              <c16:uniqueId val="{00000001-7FF2-4CD5-8EB8-9C08246A92CB}"/>
            </c:ext>
          </c:extLst>
        </c:ser>
        <c:ser>
          <c:idx val="2"/>
          <c:order val="2"/>
          <c:tx>
            <c:strRef>
              <c:f>PM25_a!$D$2</c:f>
              <c:strCache>
                <c:ptCount val="1"/>
                <c:pt idx="0">
                  <c:v>Źródła liniowe (transport)</c:v>
                </c:pt>
              </c:strCache>
            </c:strRef>
          </c:tx>
          <c:spPr>
            <a:solidFill>
              <a:srgbClr val="00B0F0"/>
            </a:solidFill>
            <a:ln>
              <a:noFill/>
            </a:ln>
            <a:effectLst/>
          </c:spPr>
          <c:invertIfNegative val="0"/>
          <c:cat>
            <c:strRef>
              <c:f>PM25_a!$B$3:$B$47</c:f>
              <c:strCache>
                <c:ptCount val="45"/>
                <c:pt idx="0">
                  <c:v>strefa zachodniopomorska</c:v>
                </c:pt>
                <c:pt idx="1">
                  <c:v>miasto Koszalin</c:v>
                </c:pt>
                <c:pt idx="2">
                  <c:v>aglomeracja szczecińska</c:v>
                </c:pt>
                <c:pt idx="3">
                  <c:v>strefa wielkopolska</c:v>
                </c:pt>
                <c:pt idx="4">
                  <c:v>miasto Kalisz</c:v>
                </c:pt>
                <c:pt idx="5">
                  <c:v>aglomeracja poznańska</c:v>
                </c:pt>
                <c:pt idx="6">
                  <c:v>strefa warmińsko-mazurska</c:v>
                </c:pt>
                <c:pt idx="7">
                  <c:v>miasto Elbląg</c:v>
                </c:pt>
                <c:pt idx="8">
                  <c:v>miasto Olsztyn</c:v>
                </c:pt>
                <c:pt idx="9">
                  <c:v>strefa świetokrzyska</c:v>
                </c:pt>
                <c:pt idx="10">
                  <c:v>miasto Kielce</c:v>
                </c:pt>
                <c:pt idx="11">
                  <c:v>strefa śląska</c:v>
                </c:pt>
                <c:pt idx="12">
                  <c:v>miasto Częstochowa</c:v>
                </c:pt>
                <c:pt idx="13">
                  <c:v>miasto Bielsko-Biała</c:v>
                </c:pt>
                <c:pt idx="14">
                  <c:v>aglomeracja rybnicko-jastrzębska</c:v>
                </c:pt>
                <c:pt idx="15">
                  <c:v>aglomeracja górnośląska </c:v>
                </c:pt>
                <c:pt idx="16">
                  <c:v>strefa pomorska</c:v>
                </c:pt>
                <c:pt idx="17">
                  <c:v>aglomeracja trójmiejska</c:v>
                </c:pt>
                <c:pt idx="18">
                  <c:v>strefa podlaska</c:v>
                </c:pt>
                <c:pt idx="19">
                  <c:v>aglomeracja białostocka</c:v>
                </c:pt>
                <c:pt idx="20">
                  <c:v>strefa podkarpacka</c:v>
                </c:pt>
                <c:pt idx="21">
                  <c:v>miasto Rzeszów</c:v>
                </c:pt>
                <c:pt idx="22">
                  <c:v>strefa opolska</c:v>
                </c:pt>
                <c:pt idx="23">
                  <c:v>miasto Opole</c:v>
                </c:pt>
                <c:pt idx="24">
                  <c:v>strefa mazowiecka</c:v>
                </c:pt>
                <c:pt idx="25">
                  <c:v>miasto Radom</c:v>
                </c:pt>
                <c:pt idx="26">
                  <c:v>miasto Płock</c:v>
                </c:pt>
                <c:pt idx="27">
                  <c:v>aglomeracja warszawska</c:v>
                </c:pt>
                <c:pt idx="28">
                  <c:v>strefa małopolska</c:v>
                </c:pt>
                <c:pt idx="29">
                  <c:v>miasto Tarnów</c:v>
                </c:pt>
                <c:pt idx="30">
                  <c:v>aglomeracja Krakowska</c:v>
                </c:pt>
                <c:pt idx="31">
                  <c:v>strefa łódźka</c:v>
                </c:pt>
                <c:pt idx="32">
                  <c:v>aglomeracja Łódzka</c:v>
                </c:pt>
                <c:pt idx="33">
                  <c:v>strefa lubuska</c:v>
                </c:pt>
                <c:pt idx="34">
                  <c:v>miasto Zielona Góra</c:v>
                </c:pt>
                <c:pt idx="35">
                  <c:v>miasto Gorzów Wielkopolski</c:v>
                </c:pt>
                <c:pt idx="36">
                  <c:v>strefa lubelska</c:v>
                </c:pt>
                <c:pt idx="37">
                  <c:v>aglomeracja lubelska</c:v>
                </c:pt>
                <c:pt idx="38">
                  <c:v>strefa kujawsko-pomorska</c:v>
                </c:pt>
                <c:pt idx="39">
                  <c:v>miasto Włocławek</c:v>
                </c:pt>
                <c:pt idx="40">
                  <c:v>miasto Toruń</c:v>
                </c:pt>
                <c:pt idx="41">
                  <c:v>aglomeracja bydgoska</c:v>
                </c:pt>
                <c:pt idx="42">
                  <c:v>strefa dolnośląska</c:v>
                </c:pt>
                <c:pt idx="43">
                  <c:v>miasto Wałbrzych</c:v>
                </c:pt>
                <c:pt idx="44">
                  <c:v>aglomeracja wrocławska</c:v>
                </c:pt>
              </c:strCache>
            </c:strRef>
          </c:cat>
          <c:val>
            <c:numRef>
              <c:f>PM25_a!$D$3:$D$47</c:f>
              <c:numCache>
                <c:formatCode>0.00</c:formatCode>
                <c:ptCount val="45"/>
                <c:pt idx="0">
                  <c:v>2.9700000000000001E-2</c:v>
                </c:pt>
                <c:pt idx="1">
                  <c:v>3.6299999999999999E-2</c:v>
                </c:pt>
                <c:pt idx="2">
                  <c:v>7.0599999999999996E-2</c:v>
                </c:pt>
                <c:pt idx="3">
                  <c:v>4.6399999999999997E-2</c:v>
                </c:pt>
                <c:pt idx="4">
                  <c:v>5.45E-2</c:v>
                </c:pt>
                <c:pt idx="5">
                  <c:v>0.1036</c:v>
                </c:pt>
                <c:pt idx="6">
                  <c:v>2.92E-2</c:v>
                </c:pt>
                <c:pt idx="7">
                  <c:v>4.6600000000000003E-2</c:v>
                </c:pt>
                <c:pt idx="8">
                  <c:v>6.2399999999999997E-2</c:v>
                </c:pt>
                <c:pt idx="9">
                  <c:v>5.45E-2</c:v>
                </c:pt>
                <c:pt idx="10">
                  <c:v>5.8099999999999999E-2</c:v>
                </c:pt>
                <c:pt idx="11">
                  <c:v>4.5999999999999999E-2</c:v>
                </c:pt>
                <c:pt idx="12">
                  <c:v>5.9799999999999999E-2</c:v>
                </c:pt>
                <c:pt idx="13">
                  <c:v>5.62E-2</c:v>
                </c:pt>
                <c:pt idx="14">
                  <c:v>5.1299999999999998E-2</c:v>
                </c:pt>
                <c:pt idx="15">
                  <c:v>6.4899999999999999E-2</c:v>
                </c:pt>
                <c:pt idx="16">
                  <c:v>2.8000000000000001E-2</c:v>
                </c:pt>
                <c:pt idx="17">
                  <c:v>6.0900000000000003E-2</c:v>
                </c:pt>
                <c:pt idx="18">
                  <c:v>3.4500000000000003E-2</c:v>
                </c:pt>
                <c:pt idx="19">
                  <c:v>4.3700000000000003E-2</c:v>
                </c:pt>
                <c:pt idx="20">
                  <c:v>4.0899999999999999E-2</c:v>
                </c:pt>
                <c:pt idx="21">
                  <c:v>8.1100000000000005E-2</c:v>
                </c:pt>
                <c:pt idx="22">
                  <c:v>4.2599999999999999E-2</c:v>
                </c:pt>
                <c:pt idx="23">
                  <c:v>5.0999999999999997E-2</c:v>
                </c:pt>
                <c:pt idx="24">
                  <c:v>5.0500000000000003E-2</c:v>
                </c:pt>
                <c:pt idx="25">
                  <c:v>6.7500000000000004E-2</c:v>
                </c:pt>
                <c:pt idx="26">
                  <c:v>5.8400000000000001E-2</c:v>
                </c:pt>
                <c:pt idx="27">
                  <c:v>0.12180000000000001</c:v>
                </c:pt>
                <c:pt idx="28">
                  <c:v>4.6800000000000001E-2</c:v>
                </c:pt>
                <c:pt idx="29">
                  <c:v>6.1899999999999997E-2</c:v>
                </c:pt>
                <c:pt idx="30">
                  <c:v>0.1414</c:v>
                </c:pt>
                <c:pt idx="31">
                  <c:v>5.2200000000000003E-2</c:v>
                </c:pt>
                <c:pt idx="32">
                  <c:v>5.91E-2</c:v>
                </c:pt>
                <c:pt idx="33">
                  <c:v>3.5900000000000001E-2</c:v>
                </c:pt>
                <c:pt idx="34">
                  <c:v>5.1400000000000001E-2</c:v>
                </c:pt>
                <c:pt idx="35">
                  <c:v>7.5600000000000001E-2</c:v>
                </c:pt>
                <c:pt idx="36">
                  <c:v>4.3700000000000003E-2</c:v>
                </c:pt>
                <c:pt idx="37">
                  <c:v>6.6000000000000003E-2</c:v>
                </c:pt>
                <c:pt idx="38">
                  <c:v>4.3299999999999998E-2</c:v>
                </c:pt>
                <c:pt idx="39">
                  <c:v>5.8799999999999998E-2</c:v>
                </c:pt>
                <c:pt idx="40">
                  <c:v>6.4399999999999999E-2</c:v>
                </c:pt>
                <c:pt idx="41">
                  <c:v>5.9200000000000003E-2</c:v>
                </c:pt>
                <c:pt idx="42">
                  <c:v>3.9300000000000002E-2</c:v>
                </c:pt>
                <c:pt idx="43">
                  <c:v>2.35E-2</c:v>
                </c:pt>
                <c:pt idx="44">
                  <c:v>0.09</c:v>
                </c:pt>
              </c:numCache>
            </c:numRef>
          </c:val>
          <c:extLst>
            <c:ext xmlns:c16="http://schemas.microsoft.com/office/drawing/2014/chart" uri="{C3380CC4-5D6E-409C-BE32-E72D297353CC}">
              <c16:uniqueId val="{00000002-7FF2-4CD5-8EB8-9C08246A92CB}"/>
            </c:ext>
          </c:extLst>
        </c:ser>
        <c:ser>
          <c:idx val="3"/>
          <c:order val="3"/>
          <c:tx>
            <c:strRef>
              <c:f>PM25_a!$E$2</c:f>
              <c:strCache>
                <c:ptCount val="1"/>
                <c:pt idx="0">
                  <c:v>Emisja z zagranicy </c:v>
                </c:pt>
              </c:strCache>
            </c:strRef>
          </c:tx>
          <c:spPr>
            <a:solidFill>
              <a:srgbClr val="D684DC"/>
            </a:solidFill>
            <a:ln>
              <a:noFill/>
            </a:ln>
            <a:effectLst/>
          </c:spPr>
          <c:invertIfNegative val="0"/>
          <c:cat>
            <c:strRef>
              <c:f>PM25_a!$B$3:$B$47</c:f>
              <c:strCache>
                <c:ptCount val="45"/>
                <c:pt idx="0">
                  <c:v>strefa zachodniopomorska</c:v>
                </c:pt>
                <c:pt idx="1">
                  <c:v>miasto Koszalin</c:v>
                </c:pt>
                <c:pt idx="2">
                  <c:v>aglomeracja szczecińska</c:v>
                </c:pt>
                <c:pt idx="3">
                  <c:v>strefa wielkopolska</c:v>
                </c:pt>
                <c:pt idx="4">
                  <c:v>miasto Kalisz</c:v>
                </c:pt>
                <c:pt idx="5">
                  <c:v>aglomeracja poznańska</c:v>
                </c:pt>
                <c:pt idx="6">
                  <c:v>strefa warmińsko-mazurska</c:v>
                </c:pt>
                <c:pt idx="7">
                  <c:v>miasto Elbląg</c:v>
                </c:pt>
                <c:pt idx="8">
                  <c:v>miasto Olsztyn</c:v>
                </c:pt>
                <c:pt idx="9">
                  <c:v>strefa świetokrzyska</c:v>
                </c:pt>
                <c:pt idx="10">
                  <c:v>miasto Kielce</c:v>
                </c:pt>
                <c:pt idx="11">
                  <c:v>strefa śląska</c:v>
                </c:pt>
                <c:pt idx="12">
                  <c:v>miasto Częstochowa</c:v>
                </c:pt>
                <c:pt idx="13">
                  <c:v>miasto Bielsko-Biała</c:v>
                </c:pt>
                <c:pt idx="14">
                  <c:v>aglomeracja rybnicko-jastrzębska</c:v>
                </c:pt>
                <c:pt idx="15">
                  <c:v>aglomeracja górnośląska </c:v>
                </c:pt>
                <c:pt idx="16">
                  <c:v>strefa pomorska</c:v>
                </c:pt>
                <c:pt idx="17">
                  <c:v>aglomeracja trójmiejska</c:v>
                </c:pt>
                <c:pt idx="18">
                  <c:v>strefa podlaska</c:v>
                </c:pt>
                <c:pt idx="19">
                  <c:v>aglomeracja białostocka</c:v>
                </c:pt>
                <c:pt idx="20">
                  <c:v>strefa podkarpacka</c:v>
                </c:pt>
                <c:pt idx="21">
                  <c:v>miasto Rzeszów</c:v>
                </c:pt>
                <c:pt idx="22">
                  <c:v>strefa opolska</c:v>
                </c:pt>
                <c:pt idx="23">
                  <c:v>miasto Opole</c:v>
                </c:pt>
                <c:pt idx="24">
                  <c:v>strefa mazowiecka</c:v>
                </c:pt>
                <c:pt idx="25">
                  <c:v>miasto Radom</c:v>
                </c:pt>
                <c:pt idx="26">
                  <c:v>miasto Płock</c:v>
                </c:pt>
                <c:pt idx="27">
                  <c:v>aglomeracja warszawska</c:v>
                </c:pt>
                <c:pt idx="28">
                  <c:v>strefa małopolska</c:v>
                </c:pt>
                <c:pt idx="29">
                  <c:v>miasto Tarnów</c:v>
                </c:pt>
                <c:pt idx="30">
                  <c:v>aglomeracja Krakowska</c:v>
                </c:pt>
                <c:pt idx="31">
                  <c:v>strefa łódźka</c:v>
                </c:pt>
                <c:pt idx="32">
                  <c:v>aglomeracja Łódzka</c:v>
                </c:pt>
                <c:pt idx="33">
                  <c:v>strefa lubuska</c:v>
                </c:pt>
                <c:pt idx="34">
                  <c:v>miasto Zielona Góra</c:v>
                </c:pt>
                <c:pt idx="35">
                  <c:v>miasto Gorzów Wielkopolski</c:v>
                </c:pt>
                <c:pt idx="36">
                  <c:v>strefa lubelska</c:v>
                </c:pt>
                <c:pt idx="37">
                  <c:v>aglomeracja lubelska</c:v>
                </c:pt>
                <c:pt idx="38">
                  <c:v>strefa kujawsko-pomorska</c:v>
                </c:pt>
                <c:pt idx="39">
                  <c:v>miasto Włocławek</c:v>
                </c:pt>
                <c:pt idx="40">
                  <c:v>miasto Toruń</c:v>
                </c:pt>
                <c:pt idx="41">
                  <c:v>aglomeracja bydgoska</c:v>
                </c:pt>
                <c:pt idx="42">
                  <c:v>strefa dolnośląska</c:v>
                </c:pt>
                <c:pt idx="43">
                  <c:v>miasto Wałbrzych</c:v>
                </c:pt>
                <c:pt idx="44">
                  <c:v>aglomeracja wrocławska</c:v>
                </c:pt>
              </c:strCache>
            </c:strRef>
          </c:cat>
          <c:val>
            <c:numRef>
              <c:f>PM25_a!$E$3:$E$47</c:f>
              <c:numCache>
                <c:formatCode>0.00</c:formatCode>
                <c:ptCount val="45"/>
                <c:pt idx="0">
                  <c:v>0.54059999999999997</c:v>
                </c:pt>
                <c:pt idx="1">
                  <c:v>0.3382</c:v>
                </c:pt>
                <c:pt idx="2">
                  <c:v>0.35349999999999998</c:v>
                </c:pt>
                <c:pt idx="3">
                  <c:v>0.33989999999999998</c:v>
                </c:pt>
                <c:pt idx="4">
                  <c:v>0.1704</c:v>
                </c:pt>
                <c:pt idx="5">
                  <c:v>0.17219999999999999</c:v>
                </c:pt>
                <c:pt idx="6">
                  <c:v>0.44400000000000001</c:v>
                </c:pt>
                <c:pt idx="7">
                  <c:v>0.31659999999999999</c:v>
                </c:pt>
                <c:pt idx="8">
                  <c:v>0.28870000000000001</c:v>
                </c:pt>
                <c:pt idx="9">
                  <c:v>0.2903</c:v>
                </c:pt>
                <c:pt idx="10">
                  <c:v>0.1668</c:v>
                </c:pt>
                <c:pt idx="11">
                  <c:v>0.25619999999999998</c:v>
                </c:pt>
                <c:pt idx="12">
                  <c:v>0.1653</c:v>
                </c:pt>
                <c:pt idx="13">
                  <c:v>0.15459999999999999</c:v>
                </c:pt>
                <c:pt idx="14">
                  <c:v>0.19</c:v>
                </c:pt>
                <c:pt idx="15">
                  <c:v>0.13250000000000001</c:v>
                </c:pt>
                <c:pt idx="16">
                  <c:v>0.43690000000000001</c:v>
                </c:pt>
                <c:pt idx="17">
                  <c:v>0.27610000000000001</c:v>
                </c:pt>
                <c:pt idx="18">
                  <c:v>0.44779999999999998</c:v>
                </c:pt>
                <c:pt idx="19">
                  <c:v>0.15939999999999999</c:v>
                </c:pt>
                <c:pt idx="20">
                  <c:v>0.4294</c:v>
                </c:pt>
                <c:pt idx="21">
                  <c:v>0.25369999999999998</c:v>
                </c:pt>
                <c:pt idx="22">
                  <c:v>0.28839999999999999</c:v>
                </c:pt>
                <c:pt idx="23">
                  <c:v>0.16400000000000001</c:v>
                </c:pt>
                <c:pt idx="24">
                  <c:v>0.31430000000000002</c:v>
                </c:pt>
                <c:pt idx="25">
                  <c:v>0.1714</c:v>
                </c:pt>
                <c:pt idx="26">
                  <c:v>0.2064</c:v>
                </c:pt>
                <c:pt idx="27">
                  <c:v>0.16819999999999999</c:v>
                </c:pt>
                <c:pt idx="28">
                  <c:v>0.2366</c:v>
                </c:pt>
                <c:pt idx="29">
                  <c:v>0.1361</c:v>
                </c:pt>
                <c:pt idx="30">
                  <c:v>0.1658</c:v>
                </c:pt>
                <c:pt idx="31">
                  <c:v>0.29299999999999998</c:v>
                </c:pt>
                <c:pt idx="32">
                  <c:v>0.155</c:v>
                </c:pt>
                <c:pt idx="33">
                  <c:v>0.50249999999999995</c:v>
                </c:pt>
                <c:pt idx="34">
                  <c:v>0.39129999999999998</c:v>
                </c:pt>
                <c:pt idx="35">
                  <c:v>0.32019999999999998</c:v>
                </c:pt>
                <c:pt idx="36">
                  <c:v>0.39479999999999998</c:v>
                </c:pt>
                <c:pt idx="37">
                  <c:v>0.2024</c:v>
                </c:pt>
                <c:pt idx="38">
                  <c:v>0.34410000000000002</c:v>
                </c:pt>
                <c:pt idx="39">
                  <c:v>0.23680000000000001</c:v>
                </c:pt>
                <c:pt idx="40">
                  <c:v>0.21629999999999999</c:v>
                </c:pt>
                <c:pt idx="41">
                  <c:v>0.2213</c:v>
                </c:pt>
                <c:pt idx="42">
                  <c:v>0.34160000000000001</c:v>
                </c:pt>
                <c:pt idx="43">
                  <c:v>0.24379999999999999</c:v>
                </c:pt>
                <c:pt idx="44">
                  <c:v>0.1502</c:v>
                </c:pt>
              </c:numCache>
            </c:numRef>
          </c:val>
          <c:extLst>
            <c:ext xmlns:c16="http://schemas.microsoft.com/office/drawing/2014/chart" uri="{C3380CC4-5D6E-409C-BE32-E72D297353CC}">
              <c16:uniqueId val="{00000003-7FF2-4CD5-8EB8-9C08246A92CB}"/>
            </c:ext>
          </c:extLst>
        </c:ser>
        <c:ser>
          <c:idx val="4"/>
          <c:order val="4"/>
          <c:tx>
            <c:strRef>
              <c:f>PM25_a!$F$2</c:f>
              <c:strCache>
                <c:ptCount val="1"/>
                <c:pt idx="0">
                  <c:v>Energetyka i przemysł</c:v>
                </c:pt>
              </c:strCache>
            </c:strRef>
          </c:tx>
          <c:spPr>
            <a:solidFill>
              <a:srgbClr val="ED7D31"/>
            </a:solidFill>
            <a:ln>
              <a:noFill/>
            </a:ln>
            <a:effectLst/>
          </c:spPr>
          <c:invertIfNegative val="0"/>
          <c:cat>
            <c:strRef>
              <c:f>PM25_a!$B$3:$B$47</c:f>
              <c:strCache>
                <c:ptCount val="45"/>
                <c:pt idx="0">
                  <c:v>strefa zachodniopomorska</c:v>
                </c:pt>
                <c:pt idx="1">
                  <c:v>miasto Koszalin</c:v>
                </c:pt>
                <c:pt idx="2">
                  <c:v>aglomeracja szczecińska</c:v>
                </c:pt>
                <c:pt idx="3">
                  <c:v>strefa wielkopolska</c:v>
                </c:pt>
                <c:pt idx="4">
                  <c:v>miasto Kalisz</c:v>
                </c:pt>
                <c:pt idx="5">
                  <c:v>aglomeracja poznańska</c:v>
                </c:pt>
                <c:pt idx="6">
                  <c:v>strefa warmińsko-mazurska</c:v>
                </c:pt>
                <c:pt idx="7">
                  <c:v>miasto Elbląg</c:v>
                </c:pt>
                <c:pt idx="8">
                  <c:v>miasto Olsztyn</c:v>
                </c:pt>
                <c:pt idx="9">
                  <c:v>strefa świetokrzyska</c:v>
                </c:pt>
                <c:pt idx="10">
                  <c:v>miasto Kielce</c:v>
                </c:pt>
                <c:pt idx="11">
                  <c:v>strefa śląska</c:v>
                </c:pt>
                <c:pt idx="12">
                  <c:v>miasto Częstochowa</c:v>
                </c:pt>
                <c:pt idx="13">
                  <c:v>miasto Bielsko-Biała</c:v>
                </c:pt>
                <c:pt idx="14">
                  <c:v>aglomeracja rybnicko-jastrzębska</c:v>
                </c:pt>
                <c:pt idx="15">
                  <c:v>aglomeracja górnośląska </c:v>
                </c:pt>
                <c:pt idx="16">
                  <c:v>strefa pomorska</c:v>
                </c:pt>
                <c:pt idx="17">
                  <c:v>aglomeracja trójmiejska</c:v>
                </c:pt>
                <c:pt idx="18">
                  <c:v>strefa podlaska</c:v>
                </c:pt>
                <c:pt idx="19">
                  <c:v>aglomeracja białostocka</c:v>
                </c:pt>
                <c:pt idx="20">
                  <c:v>strefa podkarpacka</c:v>
                </c:pt>
                <c:pt idx="21">
                  <c:v>miasto Rzeszów</c:v>
                </c:pt>
                <c:pt idx="22">
                  <c:v>strefa opolska</c:v>
                </c:pt>
                <c:pt idx="23">
                  <c:v>miasto Opole</c:v>
                </c:pt>
                <c:pt idx="24">
                  <c:v>strefa mazowiecka</c:v>
                </c:pt>
                <c:pt idx="25">
                  <c:v>miasto Radom</c:v>
                </c:pt>
                <c:pt idx="26">
                  <c:v>miasto Płock</c:v>
                </c:pt>
                <c:pt idx="27">
                  <c:v>aglomeracja warszawska</c:v>
                </c:pt>
                <c:pt idx="28">
                  <c:v>strefa małopolska</c:v>
                </c:pt>
                <c:pt idx="29">
                  <c:v>miasto Tarnów</c:v>
                </c:pt>
                <c:pt idx="30">
                  <c:v>aglomeracja Krakowska</c:v>
                </c:pt>
                <c:pt idx="31">
                  <c:v>strefa łódźka</c:v>
                </c:pt>
                <c:pt idx="32">
                  <c:v>aglomeracja Łódzka</c:v>
                </c:pt>
                <c:pt idx="33">
                  <c:v>strefa lubuska</c:v>
                </c:pt>
                <c:pt idx="34">
                  <c:v>miasto Zielona Góra</c:v>
                </c:pt>
                <c:pt idx="35">
                  <c:v>miasto Gorzów Wielkopolski</c:v>
                </c:pt>
                <c:pt idx="36">
                  <c:v>strefa lubelska</c:v>
                </c:pt>
                <c:pt idx="37">
                  <c:v>aglomeracja lubelska</c:v>
                </c:pt>
                <c:pt idx="38">
                  <c:v>strefa kujawsko-pomorska</c:v>
                </c:pt>
                <c:pt idx="39">
                  <c:v>miasto Włocławek</c:v>
                </c:pt>
                <c:pt idx="40">
                  <c:v>miasto Toruń</c:v>
                </c:pt>
                <c:pt idx="41">
                  <c:v>aglomeracja bydgoska</c:v>
                </c:pt>
                <c:pt idx="42">
                  <c:v>strefa dolnośląska</c:v>
                </c:pt>
                <c:pt idx="43">
                  <c:v>miasto Wałbrzych</c:v>
                </c:pt>
                <c:pt idx="44">
                  <c:v>aglomeracja wrocławska</c:v>
                </c:pt>
              </c:strCache>
            </c:strRef>
          </c:cat>
          <c:val>
            <c:numRef>
              <c:f>PM25_a!$F$3:$F$47</c:f>
              <c:numCache>
                <c:formatCode>0.00</c:formatCode>
                <c:ptCount val="45"/>
                <c:pt idx="0">
                  <c:v>4.07E-2</c:v>
                </c:pt>
                <c:pt idx="1">
                  <c:v>3.1699999999999999E-2</c:v>
                </c:pt>
                <c:pt idx="2">
                  <c:v>4.3299999999999998E-2</c:v>
                </c:pt>
                <c:pt idx="3">
                  <c:v>4.87E-2</c:v>
                </c:pt>
                <c:pt idx="4">
                  <c:v>3.4299999999999997E-2</c:v>
                </c:pt>
                <c:pt idx="5">
                  <c:v>3.9100000000000003E-2</c:v>
                </c:pt>
                <c:pt idx="6">
                  <c:v>4.4699999999999997E-2</c:v>
                </c:pt>
                <c:pt idx="7">
                  <c:v>3.6799999999999999E-2</c:v>
                </c:pt>
                <c:pt idx="8">
                  <c:v>5.0500000000000003E-2</c:v>
                </c:pt>
                <c:pt idx="9">
                  <c:v>6.1699999999999998E-2</c:v>
                </c:pt>
                <c:pt idx="10">
                  <c:v>0.10780000000000001</c:v>
                </c:pt>
                <c:pt idx="11">
                  <c:v>5.5599999999999997E-2</c:v>
                </c:pt>
                <c:pt idx="12">
                  <c:v>0.1206</c:v>
                </c:pt>
                <c:pt idx="13">
                  <c:v>3.4099999999999998E-2</c:v>
                </c:pt>
                <c:pt idx="14">
                  <c:v>0.1011</c:v>
                </c:pt>
                <c:pt idx="15">
                  <c:v>0.1104</c:v>
                </c:pt>
                <c:pt idx="16">
                  <c:v>3.9199999999999999E-2</c:v>
                </c:pt>
                <c:pt idx="17">
                  <c:v>3.3700000000000001E-2</c:v>
                </c:pt>
                <c:pt idx="18">
                  <c:v>4.3099999999999999E-2</c:v>
                </c:pt>
                <c:pt idx="19">
                  <c:v>2.4E-2</c:v>
                </c:pt>
                <c:pt idx="20">
                  <c:v>3.95E-2</c:v>
                </c:pt>
                <c:pt idx="21">
                  <c:v>5.0200000000000002E-2</c:v>
                </c:pt>
                <c:pt idx="22">
                  <c:v>4.5499999999999999E-2</c:v>
                </c:pt>
                <c:pt idx="23">
                  <c:v>5.5500000000000001E-2</c:v>
                </c:pt>
                <c:pt idx="24">
                  <c:v>4.5199999999999997E-2</c:v>
                </c:pt>
                <c:pt idx="25">
                  <c:v>3.9100000000000003E-2</c:v>
                </c:pt>
                <c:pt idx="26">
                  <c:v>0.12970000000000001</c:v>
                </c:pt>
                <c:pt idx="27">
                  <c:v>3.5400000000000001E-2</c:v>
                </c:pt>
                <c:pt idx="28">
                  <c:v>3.4200000000000001E-2</c:v>
                </c:pt>
                <c:pt idx="29">
                  <c:v>0.1295</c:v>
                </c:pt>
                <c:pt idx="30">
                  <c:v>6.1199999999999997E-2</c:v>
                </c:pt>
                <c:pt idx="31">
                  <c:v>6.1699999999999998E-2</c:v>
                </c:pt>
                <c:pt idx="32">
                  <c:v>3.6600000000000001E-2</c:v>
                </c:pt>
                <c:pt idx="33">
                  <c:v>3.1699999999999999E-2</c:v>
                </c:pt>
                <c:pt idx="34">
                  <c:v>3.5099999999999999E-2</c:v>
                </c:pt>
                <c:pt idx="35">
                  <c:v>3.4299999999999997E-2</c:v>
                </c:pt>
                <c:pt idx="36">
                  <c:v>3.8899999999999997E-2</c:v>
                </c:pt>
                <c:pt idx="37">
                  <c:v>2.7300000000000001E-2</c:v>
                </c:pt>
                <c:pt idx="38">
                  <c:v>5.91E-2</c:v>
                </c:pt>
                <c:pt idx="39">
                  <c:v>0.1875</c:v>
                </c:pt>
                <c:pt idx="40">
                  <c:v>4.2700000000000002E-2</c:v>
                </c:pt>
                <c:pt idx="41">
                  <c:v>5.4899999999999997E-2</c:v>
                </c:pt>
                <c:pt idx="42">
                  <c:v>4.48E-2</c:v>
                </c:pt>
                <c:pt idx="43">
                  <c:v>4.7500000000000001E-2</c:v>
                </c:pt>
                <c:pt idx="44">
                  <c:v>3.6299999999999999E-2</c:v>
                </c:pt>
              </c:numCache>
            </c:numRef>
          </c:val>
          <c:extLst>
            <c:ext xmlns:c16="http://schemas.microsoft.com/office/drawing/2014/chart" uri="{C3380CC4-5D6E-409C-BE32-E72D297353CC}">
              <c16:uniqueId val="{00000004-7FF2-4CD5-8EB8-9C08246A92CB}"/>
            </c:ext>
          </c:extLst>
        </c:ser>
        <c:dLbls>
          <c:showLegendKey val="0"/>
          <c:showVal val="0"/>
          <c:showCatName val="0"/>
          <c:showSerName val="0"/>
          <c:showPercent val="0"/>
          <c:showBubbleSize val="0"/>
        </c:dLbls>
        <c:gapWidth val="109"/>
        <c:overlap val="100"/>
        <c:axId val="400828664"/>
        <c:axId val="400827096"/>
      </c:barChart>
      <c:catAx>
        <c:axId val="400828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mn-lt"/>
                <a:ea typeface="+mn-ea"/>
                <a:cs typeface="+mn-cs"/>
              </a:defRPr>
            </a:pPr>
            <a:endParaRPr lang="pl-PL"/>
          </a:p>
        </c:txPr>
        <c:crossAx val="400827096"/>
        <c:crosses val="autoZero"/>
        <c:auto val="1"/>
        <c:lblAlgn val="ctr"/>
        <c:lblOffset val="100"/>
        <c:noMultiLvlLbl val="0"/>
      </c:catAx>
      <c:valAx>
        <c:axId val="4008270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mn-lt"/>
                <a:ea typeface="+mn-ea"/>
                <a:cs typeface="+mn-cs"/>
              </a:defRPr>
            </a:pPr>
            <a:endParaRPr lang="pl-PL"/>
          </a:p>
        </c:txPr>
        <c:crossAx val="400828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noFill/>
              </a:ln>
              <a:solidFill>
                <a:sysClr val="windowText" lastClr="000000"/>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ln>
            <a:noFill/>
          </a:ln>
        </a:defRPr>
      </a:pPr>
      <a:endParaRPr lang="pl-PL"/>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049759405074366"/>
          <c:y val="5.0925925925925923E-2"/>
          <c:w val="0.79894685039370084"/>
          <c:h val="0.8416746864975212"/>
        </c:manualLayout>
      </c:layout>
      <c:barChart>
        <c:barDir val="col"/>
        <c:grouping val="clustered"/>
        <c:varyColors val="0"/>
        <c:ser>
          <c:idx val="0"/>
          <c:order val="0"/>
          <c:spPr>
            <a:solidFill>
              <a:srgbClr val="3CB30D"/>
            </a:solidFill>
            <a:ln w="9525">
              <a:solidFill>
                <a:schemeClr val="accent3">
                  <a:lumMod val="75000"/>
                </a:schemeClr>
              </a:solidFill>
            </a:ln>
            <a:effectLst/>
          </c:spPr>
          <c:invertIfNegative val="0"/>
          <c:cat>
            <c:numRef>
              <c:f>Arkusz1!$B$2:$L$2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Arkusz1!$B$3:$L$3</c:f>
              <c:numCache>
                <c:formatCode>General</c:formatCode>
                <c:ptCount val="11"/>
                <c:pt idx="0">
                  <c:v>28</c:v>
                </c:pt>
                <c:pt idx="1">
                  <c:v>26.9</c:v>
                </c:pt>
                <c:pt idx="2">
                  <c:v>26.1</c:v>
                </c:pt>
                <c:pt idx="3">
                  <c:v>25</c:v>
                </c:pt>
                <c:pt idx="4">
                  <c:v>24</c:v>
                </c:pt>
                <c:pt idx="5">
                  <c:v>23</c:v>
                </c:pt>
                <c:pt idx="6">
                  <c:v>22</c:v>
                </c:pt>
                <c:pt idx="7">
                  <c:v>22</c:v>
                </c:pt>
                <c:pt idx="8">
                  <c:v>22</c:v>
                </c:pt>
                <c:pt idx="9">
                  <c:v>21</c:v>
                </c:pt>
                <c:pt idx="10" formatCode="0">
                  <c:v>19</c:v>
                </c:pt>
              </c:numCache>
            </c:numRef>
          </c:val>
          <c:extLst>
            <c:ext xmlns:c16="http://schemas.microsoft.com/office/drawing/2014/chart" uri="{C3380CC4-5D6E-409C-BE32-E72D297353CC}">
              <c16:uniqueId val="{00000000-95EE-4833-ADCA-FE8C95501C79}"/>
            </c:ext>
          </c:extLst>
        </c:ser>
        <c:dLbls>
          <c:showLegendKey val="0"/>
          <c:showVal val="0"/>
          <c:showCatName val="0"/>
          <c:showSerName val="0"/>
          <c:showPercent val="0"/>
          <c:showBubbleSize val="0"/>
        </c:dLbls>
        <c:gapWidth val="66"/>
        <c:axId val="400831016"/>
        <c:axId val="400831800"/>
      </c:barChart>
      <c:scatterChart>
        <c:scatterStyle val="smoothMarker"/>
        <c:varyColors val="0"/>
        <c:ser>
          <c:idx val="1"/>
          <c:order val="1"/>
          <c:spPr>
            <a:ln w="22225" cap="rnd">
              <a:solidFill>
                <a:srgbClr val="D53333"/>
              </a:solidFill>
              <a:round/>
            </a:ln>
            <a:effectLst/>
          </c:spPr>
          <c:marker>
            <c:symbol val="none"/>
          </c:marker>
          <c:yVal>
            <c:numRef>
              <c:f>Arkusz1!$B$4:$L$4</c:f>
              <c:numCache>
                <c:formatCode>General</c:formatCode>
                <c:ptCount val="11"/>
                <c:pt idx="0">
                  <c:v>20</c:v>
                </c:pt>
                <c:pt idx="1">
                  <c:v>20</c:v>
                </c:pt>
                <c:pt idx="2">
                  <c:v>20</c:v>
                </c:pt>
                <c:pt idx="3">
                  <c:v>20</c:v>
                </c:pt>
                <c:pt idx="4">
                  <c:v>20</c:v>
                </c:pt>
                <c:pt idx="5">
                  <c:v>20</c:v>
                </c:pt>
                <c:pt idx="6">
                  <c:v>20</c:v>
                </c:pt>
                <c:pt idx="7">
                  <c:v>20</c:v>
                </c:pt>
                <c:pt idx="8">
                  <c:v>20</c:v>
                </c:pt>
                <c:pt idx="9">
                  <c:v>20</c:v>
                </c:pt>
                <c:pt idx="10">
                  <c:v>20</c:v>
                </c:pt>
              </c:numCache>
            </c:numRef>
          </c:yVal>
          <c:smooth val="1"/>
          <c:extLst>
            <c:ext xmlns:c16="http://schemas.microsoft.com/office/drawing/2014/chart" uri="{C3380CC4-5D6E-409C-BE32-E72D297353CC}">
              <c16:uniqueId val="{00000001-95EE-4833-ADCA-FE8C95501C79}"/>
            </c:ext>
          </c:extLst>
        </c:ser>
        <c:ser>
          <c:idx val="2"/>
          <c:order val="2"/>
          <c:spPr>
            <a:ln w="22225" cap="rnd">
              <a:solidFill>
                <a:srgbClr val="FDE951"/>
              </a:solidFill>
              <a:prstDash val="solid"/>
              <a:round/>
            </a:ln>
            <a:effectLst/>
          </c:spPr>
          <c:marker>
            <c:symbol val="none"/>
          </c:marker>
          <c:yVal>
            <c:numRef>
              <c:f>Arkusz1!$B$5:$L$5</c:f>
              <c:numCache>
                <c:formatCode>General</c:formatCode>
                <c:ptCount val="11"/>
                <c:pt idx="0">
                  <c:v>18</c:v>
                </c:pt>
                <c:pt idx="1">
                  <c:v>18</c:v>
                </c:pt>
                <c:pt idx="2">
                  <c:v>18</c:v>
                </c:pt>
                <c:pt idx="3">
                  <c:v>18</c:v>
                </c:pt>
                <c:pt idx="4">
                  <c:v>18</c:v>
                </c:pt>
                <c:pt idx="5">
                  <c:v>18</c:v>
                </c:pt>
                <c:pt idx="6">
                  <c:v>18</c:v>
                </c:pt>
                <c:pt idx="7">
                  <c:v>18</c:v>
                </c:pt>
                <c:pt idx="8">
                  <c:v>18</c:v>
                </c:pt>
                <c:pt idx="9">
                  <c:v>18</c:v>
                </c:pt>
                <c:pt idx="10">
                  <c:v>18</c:v>
                </c:pt>
              </c:numCache>
            </c:numRef>
          </c:yVal>
          <c:smooth val="1"/>
          <c:extLst>
            <c:ext xmlns:c16="http://schemas.microsoft.com/office/drawing/2014/chart" uri="{C3380CC4-5D6E-409C-BE32-E72D297353CC}">
              <c16:uniqueId val="{00000002-95EE-4833-ADCA-FE8C95501C79}"/>
            </c:ext>
          </c:extLst>
        </c:ser>
        <c:dLbls>
          <c:showLegendKey val="0"/>
          <c:showVal val="0"/>
          <c:showCatName val="0"/>
          <c:showSerName val="0"/>
          <c:showPercent val="0"/>
          <c:showBubbleSize val="0"/>
        </c:dLbls>
        <c:axId val="401634008"/>
        <c:axId val="400403616"/>
      </c:scatterChart>
      <c:catAx>
        <c:axId val="400831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400831800"/>
        <c:crosses val="autoZero"/>
        <c:auto val="1"/>
        <c:lblAlgn val="ctr"/>
        <c:lblOffset val="100"/>
        <c:noMultiLvlLbl val="0"/>
      </c:catAx>
      <c:valAx>
        <c:axId val="400831800"/>
        <c:scaling>
          <c:orientation val="minMax"/>
        </c:scaling>
        <c:delete val="0"/>
        <c:axPos val="l"/>
        <c:majorGridlines>
          <c:spPr>
            <a:ln w="9525" cap="flat" cmpd="sng" algn="ctr">
              <a:solidFill>
                <a:schemeClr val="bg1">
                  <a:lumMod val="85000"/>
                </a:schemeClr>
              </a:solidFill>
              <a:round/>
            </a:ln>
            <a:effectLst/>
          </c:spPr>
        </c:majorGridlines>
        <c:minorGridlines>
          <c:spPr>
            <a:ln w="9525" cap="flat" cmpd="sng" algn="ctr">
              <a:solidFill>
                <a:schemeClr val="bg1">
                  <a:lumMod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b="0">
                    <a:solidFill>
                      <a:schemeClr val="tx1"/>
                    </a:solidFill>
                  </a:rPr>
                  <a:t>Krajowy wskażnik średniego narażenia na pył PM2,5</a:t>
                </a:r>
                <a:r>
                  <a:rPr lang="pl-PL" b="0" baseline="0">
                    <a:solidFill>
                      <a:schemeClr val="tx1"/>
                    </a:solidFill>
                  </a:rPr>
                  <a:t> [</a:t>
                </a:r>
                <a:r>
                  <a:rPr lang="en-US" b="0">
                    <a:solidFill>
                      <a:schemeClr val="tx1"/>
                    </a:solidFill>
                  </a:rPr>
                  <a:t>µg/m</a:t>
                </a:r>
                <a:r>
                  <a:rPr lang="en-US" b="0" baseline="30000">
                    <a:solidFill>
                      <a:schemeClr val="tx1"/>
                    </a:solidFill>
                  </a:rPr>
                  <a:t>3</a:t>
                </a:r>
                <a:r>
                  <a:rPr lang="pl-PL" b="0" baseline="0">
                    <a:solidFill>
                      <a:schemeClr val="tx1"/>
                    </a:solidFill>
                  </a:rPr>
                  <a:t>]</a:t>
                </a:r>
                <a:endParaRPr lang="en-US" b="0" baseline="30000">
                  <a:solidFill>
                    <a:schemeClr val="tx1"/>
                  </a:solidFill>
                </a:endParaRPr>
              </a:p>
            </c:rich>
          </c:tx>
          <c:layout>
            <c:manualLayout>
              <c:xMode val="edge"/>
              <c:yMode val="edge"/>
              <c:x val="3.9598459283498651E-2"/>
              <c:y val="9.2712138431149713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400831016"/>
        <c:crosses val="autoZero"/>
        <c:crossBetween val="between"/>
      </c:valAx>
      <c:valAx>
        <c:axId val="400403616"/>
        <c:scaling>
          <c:orientation val="minMax"/>
        </c:scaling>
        <c:delete val="1"/>
        <c:axPos val="r"/>
        <c:numFmt formatCode="General" sourceLinked="1"/>
        <c:majorTickMark val="out"/>
        <c:minorTickMark val="none"/>
        <c:tickLblPos val="nextTo"/>
        <c:crossAx val="401634008"/>
        <c:crosses val="max"/>
        <c:crossBetween val="midCat"/>
      </c:valAx>
      <c:valAx>
        <c:axId val="401634008"/>
        <c:scaling>
          <c:orientation val="minMax"/>
          <c:max val="2"/>
          <c:min val="1"/>
        </c:scaling>
        <c:delete val="1"/>
        <c:axPos val="t"/>
        <c:majorTickMark val="out"/>
        <c:minorTickMark val="none"/>
        <c:tickLblPos val="nextTo"/>
        <c:crossAx val="400403616"/>
        <c:crosses val="max"/>
        <c:crossBetween val="midCat"/>
      </c:valAx>
      <c:spPr>
        <a:noFill/>
        <a:ln w="9525">
          <a:solidFill>
            <a:schemeClr val="accent3"/>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0"/>
          <c:tx>
            <c:strRef>
              <c:f>Arkusz1!$D$8</c:f>
              <c:strCache>
                <c:ptCount val="1"/>
                <c:pt idx="0">
                  <c:v>2012</c:v>
                </c:pt>
              </c:strCache>
            </c:strRef>
          </c:tx>
          <c:spPr>
            <a:solidFill>
              <a:srgbClr val="FAB50A"/>
            </a:solidFill>
            <a:ln w="3175">
              <a:solidFill>
                <a:schemeClr val="accent3">
                  <a:lumMod val="75000"/>
                </a:schemeClr>
              </a:solidFill>
            </a:ln>
            <a:effectLst/>
          </c:spPr>
          <c:invertIfNegative val="0"/>
          <c:cat>
            <c:strRef>
              <c:f>Arkusz1!$A$9:$A$38</c:f>
              <c:strCache>
                <c:ptCount val="30"/>
                <c:pt idx="0">
                  <c:v>Krajowy wskaźnik średniego narażenia</c:v>
                </c:pt>
                <c:pt idx="1">
                  <c:v>aglomeracja białostocka</c:v>
                </c:pt>
                <c:pt idx="2">
                  <c:v>aglomeracja bydgoska</c:v>
                </c:pt>
                <c:pt idx="3">
                  <c:v>aglomeracja górnośląska</c:v>
                </c:pt>
                <c:pt idx="4">
                  <c:v>aglomeracja krakowska</c:v>
                </c:pt>
                <c:pt idx="5">
                  <c:v>aglomeracja lubelska</c:v>
                </c:pt>
                <c:pt idx="6">
                  <c:v>aglomeracja łódzka</c:v>
                </c:pt>
                <c:pt idx="7">
                  <c:v>aglomeracja poznańska</c:v>
                </c:pt>
                <c:pt idx="8">
                  <c:v>aglomeracja rybnicko-jastrzębska</c:v>
                </c:pt>
                <c:pt idx="9">
                  <c:v>aglomeracja szczecińska</c:v>
                </c:pt>
                <c:pt idx="10">
                  <c:v>aglomeracja trójmiejska</c:v>
                </c:pt>
                <c:pt idx="11">
                  <c:v>aglomeracja warszawska</c:v>
                </c:pt>
                <c:pt idx="12">
                  <c:v>aglomeracja wrocławska</c:v>
                </c:pt>
                <c:pt idx="13">
                  <c:v>miasto Bielsko-Biała</c:v>
                </c:pt>
                <c:pt idx="14">
                  <c:v>miasto Częstochowa</c:v>
                </c:pt>
                <c:pt idx="15">
                  <c:v>miasto Elbląg</c:v>
                </c:pt>
                <c:pt idx="16">
                  <c:v>miasto Gorzów Wlkp</c:v>
                </c:pt>
                <c:pt idx="17">
                  <c:v>miasto Kalisz</c:v>
                </c:pt>
                <c:pt idx="18">
                  <c:v>miasto Kielce</c:v>
                </c:pt>
                <c:pt idx="19">
                  <c:v>miasto Koszalin</c:v>
                </c:pt>
                <c:pt idx="20">
                  <c:v>miasto Olsztyn</c:v>
                </c:pt>
                <c:pt idx="21">
                  <c:v>miasto Opole</c:v>
                </c:pt>
                <c:pt idx="22">
                  <c:v>miasto Płock</c:v>
                </c:pt>
                <c:pt idx="23">
                  <c:v>miasto Radom</c:v>
                </c:pt>
                <c:pt idx="24">
                  <c:v>miasto Rzeszów</c:v>
                </c:pt>
                <c:pt idx="25">
                  <c:v>miasto Tarnów</c:v>
                </c:pt>
                <c:pt idx="26">
                  <c:v>miasto Toruń</c:v>
                </c:pt>
                <c:pt idx="27">
                  <c:v>miasto Wałbrzych</c:v>
                </c:pt>
                <c:pt idx="28">
                  <c:v>miasto Włocławek</c:v>
                </c:pt>
                <c:pt idx="29">
                  <c:v>miasto Zielona Góra</c:v>
                </c:pt>
              </c:strCache>
            </c:strRef>
          </c:cat>
          <c:val>
            <c:numRef>
              <c:f>Arkusz1!$D$9:$D$38</c:f>
              <c:numCache>
                <c:formatCode>General</c:formatCode>
                <c:ptCount val="30"/>
                <c:pt idx="0">
                  <c:v>26.1</c:v>
                </c:pt>
                <c:pt idx="1">
                  <c:v>22.3</c:v>
                </c:pt>
                <c:pt idx="2">
                  <c:v>18.600000000000001</c:v>
                </c:pt>
                <c:pt idx="3">
                  <c:v>36.4</c:v>
                </c:pt>
                <c:pt idx="4">
                  <c:v>38.1</c:v>
                </c:pt>
                <c:pt idx="5">
                  <c:v>23.6</c:v>
                </c:pt>
                <c:pt idx="6">
                  <c:v>24.1</c:v>
                </c:pt>
                <c:pt idx="7">
                  <c:v>25.5</c:v>
                </c:pt>
                <c:pt idx="8">
                  <c:v>36.6</c:v>
                </c:pt>
                <c:pt idx="9">
                  <c:v>16</c:v>
                </c:pt>
                <c:pt idx="10">
                  <c:v>17.8</c:v>
                </c:pt>
                <c:pt idx="11">
                  <c:v>26.6</c:v>
                </c:pt>
                <c:pt idx="12">
                  <c:v>29</c:v>
                </c:pt>
                <c:pt idx="13">
                  <c:v>36.799999999999997</c:v>
                </c:pt>
                <c:pt idx="14">
                  <c:v>36</c:v>
                </c:pt>
                <c:pt idx="15">
                  <c:v>19.5</c:v>
                </c:pt>
                <c:pt idx="16">
                  <c:v>17.7</c:v>
                </c:pt>
                <c:pt idx="17">
                  <c:v>30.3</c:v>
                </c:pt>
                <c:pt idx="18">
                  <c:v>32</c:v>
                </c:pt>
                <c:pt idx="19">
                  <c:v>12.7</c:v>
                </c:pt>
                <c:pt idx="20">
                  <c:v>18.8</c:v>
                </c:pt>
                <c:pt idx="21">
                  <c:v>25.8</c:v>
                </c:pt>
                <c:pt idx="22">
                  <c:v>26.6</c:v>
                </c:pt>
                <c:pt idx="23">
                  <c:v>25.6</c:v>
                </c:pt>
                <c:pt idx="24">
                  <c:v>28.8</c:v>
                </c:pt>
                <c:pt idx="25">
                  <c:v>32.5</c:v>
                </c:pt>
                <c:pt idx="26">
                  <c:v>20.399999999999999</c:v>
                </c:pt>
                <c:pt idx="27">
                  <c:v>24</c:v>
                </c:pt>
                <c:pt idx="28">
                  <c:v>20.9</c:v>
                </c:pt>
                <c:pt idx="29">
                  <c:v>20.7</c:v>
                </c:pt>
              </c:numCache>
            </c:numRef>
          </c:val>
          <c:extLst>
            <c:ext xmlns:c16="http://schemas.microsoft.com/office/drawing/2014/chart" uri="{C3380CC4-5D6E-409C-BE32-E72D297353CC}">
              <c16:uniqueId val="{00000000-5C96-45F7-8633-3D536A600808}"/>
            </c:ext>
          </c:extLst>
        </c:ser>
        <c:ser>
          <c:idx val="2"/>
          <c:order val="1"/>
          <c:tx>
            <c:strRef>
              <c:f>Arkusz1!$E$8</c:f>
              <c:strCache>
                <c:ptCount val="1"/>
                <c:pt idx="0">
                  <c:v>2013</c:v>
                </c:pt>
              </c:strCache>
            </c:strRef>
          </c:tx>
          <c:spPr>
            <a:solidFill>
              <a:srgbClr val="FFD54F"/>
            </a:solidFill>
            <a:ln w="3175">
              <a:solidFill>
                <a:schemeClr val="accent3">
                  <a:lumMod val="75000"/>
                </a:schemeClr>
              </a:solidFill>
            </a:ln>
            <a:effectLst/>
          </c:spPr>
          <c:invertIfNegative val="0"/>
          <c:cat>
            <c:strRef>
              <c:f>Arkusz1!$A$9:$A$38</c:f>
              <c:strCache>
                <c:ptCount val="30"/>
                <c:pt idx="0">
                  <c:v>Krajowy wskaźnik średniego narażenia</c:v>
                </c:pt>
                <c:pt idx="1">
                  <c:v>aglomeracja białostocka</c:v>
                </c:pt>
                <c:pt idx="2">
                  <c:v>aglomeracja bydgoska</c:v>
                </c:pt>
                <c:pt idx="3">
                  <c:v>aglomeracja górnośląska</c:v>
                </c:pt>
                <c:pt idx="4">
                  <c:v>aglomeracja krakowska</c:v>
                </c:pt>
                <c:pt idx="5">
                  <c:v>aglomeracja lubelska</c:v>
                </c:pt>
                <c:pt idx="6">
                  <c:v>aglomeracja łódzka</c:v>
                </c:pt>
                <c:pt idx="7">
                  <c:v>aglomeracja poznańska</c:v>
                </c:pt>
                <c:pt idx="8">
                  <c:v>aglomeracja rybnicko-jastrzębska</c:v>
                </c:pt>
                <c:pt idx="9">
                  <c:v>aglomeracja szczecińska</c:v>
                </c:pt>
                <c:pt idx="10">
                  <c:v>aglomeracja trójmiejska</c:v>
                </c:pt>
                <c:pt idx="11">
                  <c:v>aglomeracja warszawska</c:v>
                </c:pt>
                <c:pt idx="12">
                  <c:v>aglomeracja wrocławska</c:v>
                </c:pt>
                <c:pt idx="13">
                  <c:v>miasto Bielsko-Biała</c:v>
                </c:pt>
                <c:pt idx="14">
                  <c:v>miasto Częstochowa</c:v>
                </c:pt>
                <c:pt idx="15">
                  <c:v>miasto Elbląg</c:v>
                </c:pt>
                <c:pt idx="16">
                  <c:v>miasto Gorzów Wlkp</c:v>
                </c:pt>
                <c:pt idx="17">
                  <c:v>miasto Kalisz</c:v>
                </c:pt>
                <c:pt idx="18">
                  <c:v>miasto Kielce</c:v>
                </c:pt>
                <c:pt idx="19">
                  <c:v>miasto Koszalin</c:v>
                </c:pt>
                <c:pt idx="20">
                  <c:v>miasto Olsztyn</c:v>
                </c:pt>
                <c:pt idx="21">
                  <c:v>miasto Opole</c:v>
                </c:pt>
                <c:pt idx="22">
                  <c:v>miasto Płock</c:v>
                </c:pt>
                <c:pt idx="23">
                  <c:v>miasto Radom</c:v>
                </c:pt>
                <c:pt idx="24">
                  <c:v>miasto Rzeszów</c:v>
                </c:pt>
                <c:pt idx="25">
                  <c:v>miasto Tarnów</c:v>
                </c:pt>
                <c:pt idx="26">
                  <c:v>miasto Toruń</c:v>
                </c:pt>
                <c:pt idx="27">
                  <c:v>miasto Wałbrzych</c:v>
                </c:pt>
                <c:pt idx="28">
                  <c:v>miasto Włocławek</c:v>
                </c:pt>
                <c:pt idx="29">
                  <c:v>miasto Zielona Góra</c:v>
                </c:pt>
              </c:strCache>
            </c:strRef>
          </c:cat>
          <c:val>
            <c:numRef>
              <c:f>Arkusz1!$E$9:$E$38</c:f>
              <c:numCache>
                <c:formatCode>General</c:formatCode>
                <c:ptCount val="30"/>
                <c:pt idx="0">
                  <c:v>25</c:v>
                </c:pt>
                <c:pt idx="1">
                  <c:v>21</c:v>
                </c:pt>
                <c:pt idx="2">
                  <c:v>18</c:v>
                </c:pt>
                <c:pt idx="3">
                  <c:v>34</c:v>
                </c:pt>
                <c:pt idx="4">
                  <c:v>37</c:v>
                </c:pt>
                <c:pt idx="5">
                  <c:v>22</c:v>
                </c:pt>
                <c:pt idx="6">
                  <c:v>24</c:v>
                </c:pt>
                <c:pt idx="7">
                  <c:v>25</c:v>
                </c:pt>
                <c:pt idx="8">
                  <c:v>32</c:v>
                </c:pt>
                <c:pt idx="9">
                  <c:v>15</c:v>
                </c:pt>
                <c:pt idx="10">
                  <c:v>16</c:v>
                </c:pt>
                <c:pt idx="11">
                  <c:v>25</c:v>
                </c:pt>
                <c:pt idx="12">
                  <c:v>28</c:v>
                </c:pt>
                <c:pt idx="13">
                  <c:v>34</c:v>
                </c:pt>
                <c:pt idx="14">
                  <c:v>32</c:v>
                </c:pt>
                <c:pt idx="15">
                  <c:v>18</c:v>
                </c:pt>
                <c:pt idx="16">
                  <c:v>17</c:v>
                </c:pt>
                <c:pt idx="17">
                  <c:v>30</c:v>
                </c:pt>
                <c:pt idx="18">
                  <c:v>31</c:v>
                </c:pt>
                <c:pt idx="19">
                  <c:v>11</c:v>
                </c:pt>
                <c:pt idx="20">
                  <c:v>18</c:v>
                </c:pt>
                <c:pt idx="21">
                  <c:v>25</c:v>
                </c:pt>
                <c:pt idx="22">
                  <c:v>25</c:v>
                </c:pt>
                <c:pt idx="23">
                  <c:v>25</c:v>
                </c:pt>
                <c:pt idx="24">
                  <c:v>28</c:v>
                </c:pt>
                <c:pt idx="25">
                  <c:v>31</c:v>
                </c:pt>
                <c:pt idx="26">
                  <c:v>19</c:v>
                </c:pt>
                <c:pt idx="27">
                  <c:v>23</c:v>
                </c:pt>
                <c:pt idx="28">
                  <c:v>20</c:v>
                </c:pt>
                <c:pt idx="29">
                  <c:v>19</c:v>
                </c:pt>
              </c:numCache>
            </c:numRef>
          </c:val>
          <c:extLst>
            <c:ext xmlns:c16="http://schemas.microsoft.com/office/drawing/2014/chart" uri="{C3380CC4-5D6E-409C-BE32-E72D297353CC}">
              <c16:uniqueId val="{00000001-5C96-45F7-8633-3D536A600808}"/>
            </c:ext>
          </c:extLst>
        </c:ser>
        <c:ser>
          <c:idx val="3"/>
          <c:order val="2"/>
          <c:tx>
            <c:strRef>
              <c:f>Arkusz1!$F$8</c:f>
              <c:strCache>
                <c:ptCount val="1"/>
                <c:pt idx="0">
                  <c:v>2014</c:v>
                </c:pt>
              </c:strCache>
            </c:strRef>
          </c:tx>
          <c:spPr>
            <a:solidFill>
              <a:srgbClr val="F8EC56"/>
            </a:solidFill>
            <a:ln w="3175">
              <a:solidFill>
                <a:schemeClr val="accent3">
                  <a:lumMod val="75000"/>
                </a:schemeClr>
              </a:solidFill>
            </a:ln>
            <a:effectLst/>
          </c:spPr>
          <c:invertIfNegative val="0"/>
          <c:cat>
            <c:strRef>
              <c:f>Arkusz1!$A$9:$A$38</c:f>
              <c:strCache>
                <c:ptCount val="30"/>
                <c:pt idx="0">
                  <c:v>Krajowy wskaźnik średniego narażenia</c:v>
                </c:pt>
                <c:pt idx="1">
                  <c:v>aglomeracja białostocka</c:v>
                </c:pt>
                <c:pt idx="2">
                  <c:v>aglomeracja bydgoska</c:v>
                </c:pt>
                <c:pt idx="3">
                  <c:v>aglomeracja górnośląska</c:v>
                </c:pt>
                <c:pt idx="4">
                  <c:v>aglomeracja krakowska</c:v>
                </c:pt>
                <c:pt idx="5">
                  <c:v>aglomeracja lubelska</c:v>
                </c:pt>
                <c:pt idx="6">
                  <c:v>aglomeracja łódzka</c:v>
                </c:pt>
                <c:pt idx="7">
                  <c:v>aglomeracja poznańska</c:v>
                </c:pt>
                <c:pt idx="8">
                  <c:v>aglomeracja rybnicko-jastrzębska</c:v>
                </c:pt>
                <c:pt idx="9">
                  <c:v>aglomeracja szczecińska</c:v>
                </c:pt>
                <c:pt idx="10">
                  <c:v>aglomeracja trójmiejska</c:v>
                </c:pt>
                <c:pt idx="11">
                  <c:v>aglomeracja warszawska</c:v>
                </c:pt>
                <c:pt idx="12">
                  <c:v>aglomeracja wrocławska</c:v>
                </c:pt>
                <c:pt idx="13">
                  <c:v>miasto Bielsko-Biała</c:v>
                </c:pt>
                <c:pt idx="14">
                  <c:v>miasto Częstochowa</c:v>
                </c:pt>
                <c:pt idx="15">
                  <c:v>miasto Elbląg</c:v>
                </c:pt>
                <c:pt idx="16">
                  <c:v>miasto Gorzów Wlkp</c:v>
                </c:pt>
                <c:pt idx="17">
                  <c:v>miasto Kalisz</c:v>
                </c:pt>
                <c:pt idx="18">
                  <c:v>miasto Kielce</c:v>
                </c:pt>
                <c:pt idx="19">
                  <c:v>miasto Koszalin</c:v>
                </c:pt>
                <c:pt idx="20">
                  <c:v>miasto Olsztyn</c:v>
                </c:pt>
                <c:pt idx="21">
                  <c:v>miasto Opole</c:v>
                </c:pt>
                <c:pt idx="22">
                  <c:v>miasto Płock</c:v>
                </c:pt>
                <c:pt idx="23">
                  <c:v>miasto Radom</c:v>
                </c:pt>
                <c:pt idx="24">
                  <c:v>miasto Rzeszów</c:v>
                </c:pt>
                <c:pt idx="25">
                  <c:v>miasto Tarnów</c:v>
                </c:pt>
                <c:pt idx="26">
                  <c:v>miasto Toruń</c:v>
                </c:pt>
                <c:pt idx="27">
                  <c:v>miasto Wałbrzych</c:v>
                </c:pt>
                <c:pt idx="28">
                  <c:v>miasto Włocławek</c:v>
                </c:pt>
                <c:pt idx="29">
                  <c:v>miasto Zielona Góra</c:v>
                </c:pt>
              </c:strCache>
            </c:strRef>
          </c:cat>
          <c:val>
            <c:numRef>
              <c:f>Arkusz1!$F$9:$F$38</c:f>
              <c:numCache>
                <c:formatCode>General</c:formatCode>
                <c:ptCount val="30"/>
                <c:pt idx="0">
                  <c:v>24</c:v>
                </c:pt>
                <c:pt idx="1">
                  <c:v>21</c:v>
                </c:pt>
                <c:pt idx="2">
                  <c:v>19</c:v>
                </c:pt>
                <c:pt idx="3">
                  <c:v>34</c:v>
                </c:pt>
                <c:pt idx="4">
                  <c:v>36</c:v>
                </c:pt>
                <c:pt idx="5">
                  <c:v>22</c:v>
                </c:pt>
                <c:pt idx="6">
                  <c:v>24</c:v>
                </c:pt>
                <c:pt idx="7">
                  <c:v>25</c:v>
                </c:pt>
                <c:pt idx="8">
                  <c:v>31</c:v>
                </c:pt>
                <c:pt idx="9">
                  <c:v>16</c:v>
                </c:pt>
                <c:pt idx="10">
                  <c:v>16</c:v>
                </c:pt>
                <c:pt idx="11">
                  <c:v>24</c:v>
                </c:pt>
                <c:pt idx="12">
                  <c:v>26</c:v>
                </c:pt>
                <c:pt idx="13">
                  <c:v>32</c:v>
                </c:pt>
                <c:pt idx="14">
                  <c:v>30</c:v>
                </c:pt>
                <c:pt idx="15">
                  <c:v>17</c:v>
                </c:pt>
                <c:pt idx="16">
                  <c:v>16</c:v>
                </c:pt>
                <c:pt idx="17">
                  <c:v>28</c:v>
                </c:pt>
                <c:pt idx="18">
                  <c:v>29</c:v>
                </c:pt>
                <c:pt idx="19">
                  <c:v>13</c:v>
                </c:pt>
                <c:pt idx="20">
                  <c:v>17</c:v>
                </c:pt>
                <c:pt idx="21">
                  <c:v>24</c:v>
                </c:pt>
                <c:pt idx="22">
                  <c:v>23</c:v>
                </c:pt>
                <c:pt idx="23">
                  <c:v>25</c:v>
                </c:pt>
                <c:pt idx="24">
                  <c:v>26</c:v>
                </c:pt>
                <c:pt idx="25">
                  <c:v>29</c:v>
                </c:pt>
                <c:pt idx="26">
                  <c:v>17</c:v>
                </c:pt>
                <c:pt idx="27">
                  <c:v>24</c:v>
                </c:pt>
                <c:pt idx="28">
                  <c:v>21</c:v>
                </c:pt>
                <c:pt idx="29">
                  <c:v>20</c:v>
                </c:pt>
              </c:numCache>
            </c:numRef>
          </c:val>
          <c:extLst>
            <c:ext xmlns:c16="http://schemas.microsoft.com/office/drawing/2014/chart" uri="{C3380CC4-5D6E-409C-BE32-E72D297353CC}">
              <c16:uniqueId val="{00000002-5C96-45F7-8633-3D536A600808}"/>
            </c:ext>
          </c:extLst>
        </c:ser>
        <c:ser>
          <c:idx val="4"/>
          <c:order val="3"/>
          <c:tx>
            <c:strRef>
              <c:f>Arkusz1!$G$8</c:f>
              <c:strCache>
                <c:ptCount val="1"/>
                <c:pt idx="0">
                  <c:v>2015</c:v>
                </c:pt>
              </c:strCache>
            </c:strRef>
          </c:tx>
          <c:spPr>
            <a:solidFill>
              <a:srgbClr val="C6ECC2"/>
            </a:solidFill>
            <a:ln w="3175">
              <a:solidFill>
                <a:schemeClr val="accent3">
                  <a:lumMod val="75000"/>
                </a:schemeClr>
              </a:solidFill>
            </a:ln>
            <a:effectLst/>
          </c:spPr>
          <c:invertIfNegative val="0"/>
          <c:cat>
            <c:strRef>
              <c:f>Arkusz1!$A$9:$A$38</c:f>
              <c:strCache>
                <c:ptCount val="30"/>
                <c:pt idx="0">
                  <c:v>Krajowy wskaźnik średniego narażenia</c:v>
                </c:pt>
                <c:pt idx="1">
                  <c:v>aglomeracja białostocka</c:v>
                </c:pt>
                <c:pt idx="2">
                  <c:v>aglomeracja bydgoska</c:v>
                </c:pt>
                <c:pt idx="3">
                  <c:v>aglomeracja górnośląska</c:v>
                </c:pt>
                <c:pt idx="4">
                  <c:v>aglomeracja krakowska</c:v>
                </c:pt>
                <c:pt idx="5">
                  <c:v>aglomeracja lubelska</c:v>
                </c:pt>
                <c:pt idx="6">
                  <c:v>aglomeracja łódzka</c:v>
                </c:pt>
                <c:pt idx="7">
                  <c:v>aglomeracja poznańska</c:v>
                </c:pt>
                <c:pt idx="8">
                  <c:v>aglomeracja rybnicko-jastrzębska</c:v>
                </c:pt>
                <c:pt idx="9">
                  <c:v>aglomeracja szczecińska</c:v>
                </c:pt>
                <c:pt idx="10">
                  <c:v>aglomeracja trójmiejska</c:v>
                </c:pt>
                <c:pt idx="11">
                  <c:v>aglomeracja warszawska</c:v>
                </c:pt>
                <c:pt idx="12">
                  <c:v>aglomeracja wrocławska</c:v>
                </c:pt>
                <c:pt idx="13">
                  <c:v>miasto Bielsko-Biała</c:v>
                </c:pt>
                <c:pt idx="14">
                  <c:v>miasto Częstochowa</c:v>
                </c:pt>
                <c:pt idx="15">
                  <c:v>miasto Elbląg</c:v>
                </c:pt>
                <c:pt idx="16">
                  <c:v>miasto Gorzów Wlkp</c:v>
                </c:pt>
                <c:pt idx="17">
                  <c:v>miasto Kalisz</c:v>
                </c:pt>
                <c:pt idx="18">
                  <c:v>miasto Kielce</c:v>
                </c:pt>
                <c:pt idx="19">
                  <c:v>miasto Koszalin</c:v>
                </c:pt>
                <c:pt idx="20">
                  <c:v>miasto Olsztyn</c:v>
                </c:pt>
                <c:pt idx="21">
                  <c:v>miasto Opole</c:v>
                </c:pt>
                <c:pt idx="22">
                  <c:v>miasto Płock</c:v>
                </c:pt>
                <c:pt idx="23">
                  <c:v>miasto Radom</c:v>
                </c:pt>
                <c:pt idx="24">
                  <c:v>miasto Rzeszów</c:v>
                </c:pt>
                <c:pt idx="25">
                  <c:v>miasto Tarnów</c:v>
                </c:pt>
                <c:pt idx="26">
                  <c:v>miasto Toruń</c:v>
                </c:pt>
                <c:pt idx="27">
                  <c:v>miasto Wałbrzych</c:v>
                </c:pt>
                <c:pt idx="28">
                  <c:v>miasto Włocławek</c:v>
                </c:pt>
                <c:pt idx="29">
                  <c:v>miasto Zielona Góra</c:v>
                </c:pt>
              </c:strCache>
            </c:strRef>
          </c:cat>
          <c:val>
            <c:numRef>
              <c:f>Arkusz1!$G$9:$G$38</c:f>
              <c:numCache>
                <c:formatCode>General</c:formatCode>
                <c:ptCount val="30"/>
                <c:pt idx="0">
                  <c:v>23</c:v>
                </c:pt>
                <c:pt idx="1">
                  <c:v>21</c:v>
                </c:pt>
                <c:pt idx="2">
                  <c:v>18</c:v>
                </c:pt>
                <c:pt idx="3">
                  <c:v>32</c:v>
                </c:pt>
                <c:pt idx="4">
                  <c:v>33</c:v>
                </c:pt>
                <c:pt idx="5">
                  <c:v>22</c:v>
                </c:pt>
                <c:pt idx="6">
                  <c:v>23</c:v>
                </c:pt>
                <c:pt idx="7">
                  <c:v>25</c:v>
                </c:pt>
                <c:pt idx="8">
                  <c:v>29</c:v>
                </c:pt>
                <c:pt idx="9">
                  <c:v>16</c:v>
                </c:pt>
                <c:pt idx="10">
                  <c:v>15</c:v>
                </c:pt>
                <c:pt idx="11">
                  <c:v>23</c:v>
                </c:pt>
                <c:pt idx="12">
                  <c:v>25</c:v>
                </c:pt>
                <c:pt idx="13">
                  <c:v>29</c:v>
                </c:pt>
                <c:pt idx="14">
                  <c:v>28</c:v>
                </c:pt>
                <c:pt idx="15">
                  <c:v>16</c:v>
                </c:pt>
                <c:pt idx="16">
                  <c:v>16</c:v>
                </c:pt>
                <c:pt idx="17">
                  <c:v>28</c:v>
                </c:pt>
                <c:pt idx="18">
                  <c:v>27</c:v>
                </c:pt>
                <c:pt idx="19">
                  <c:v>14</c:v>
                </c:pt>
                <c:pt idx="20">
                  <c:v>16</c:v>
                </c:pt>
                <c:pt idx="21">
                  <c:v>22</c:v>
                </c:pt>
                <c:pt idx="22">
                  <c:v>23</c:v>
                </c:pt>
                <c:pt idx="23">
                  <c:v>25</c:v>
                </c:pt>
                <c:pt idx="24">
                  <c:v>24</c:v>
                </c:pt>
                <c:pt idx="25">
                  <c:v>26</c:v>
                </c:pt>
                <c:pt idx="26">
                  <c:v>19</c:v>
                </c:pt>
                <c:pt idx="27">
                  <c:v>22</c:v>
                </c:pt>
                <c:pt idx="28">
                  <c:v>19</c:v>
                </c:pt>
                <c:pt idx="29">
                  <c:v>20</c:v>
                </c:pt>
              </c:numCache>
            </c:numRef>
          </c:val>
          <c:extLst>
            <c:ext xmlns:c16="http://schemas.microsoft.com/office/drawing/2014/chart" uri="{C3380CC4-5D6E-409C-BE32-E72D297353CC}">
              <c16:uniqueId val="{00000003-5C96-45F7-8633-3D536A600808}"/>
            </c:ext>
          </c:extLst>
        </c:ser>
        <c:ser>
          <c:idx val="5"/>
          <c:order val="4"/>
          <c:tx>
            <c:strRef>
              <c:f>Arkusz1!$H$8</c:f>
              <c:strCache>
                <c:ptCount val="1"/>
                <c:pt idx="0">
                  <c:v>2016</c:v>
                </c:pt>
              </c:strCache>
            </c:strRef>
          </c:tx>
          <c:spPr>
            <a:solidFill>
              <a:srgbClr val="82D579"/>
            </a:solidFill>
            <a:ln w="3175">
              <a:solidFill>
                <a:schemeClr val="accent3">
                  <a:lumMod val="75000"/>
                </a:schemeClr>
              </a:solidFill>
            </a:ln>
            <a:effectLst/>
          </c:spPr>
          <c:invertIfNegative val="0"/>
          <c:cat>
            <c:strRef>
              <c:f>Arkusz1!$A$9:$A$38</c:f>
              <c:strCache>
                <c:ptCount val="30"/>
                <c:pt idx="0">
                  <c:v>Krajowy wskaźnik średniego narażenia</c:v>
                </c:pt>
                <c:pt idx="1">
                  <c:v>aglomeracja białostocka</c:v>
                </c:pt>
                <c:pt idx="2">
                  <c:v>aglomeracja bydgoska</c:v>
                </c:pt>
                <c:pt idx="3">
                  <c:v>aglomeracja górnośląska</c:v>
                </c:pt>
                <c:pt idx="4">
                  <c:v>aglomeracja krakowska</c:v>
                </c:pt>
                <c:pt idx="5">
                  <c:v>aglomeracja lubelska</c:v>
                </c:pt>
                <c:pt idx="6">
                  <c:v>aglomeracja łódzka</c:v>
                </c:pt>
                <c:pt idx="7">
                  <c:v>aglomeracja poznańska</c:v>
                </c:pt>
                <c:pt idx="8">
                  <c:v>aglomeracja rybnicko-jastrzębska</c:v>
                </c:pt>
                <c:pt idx="9">
                  <c:v>aglomeracja szczecińska</c:v>
                </c:pt>
                <c:pt idx="10">
                  <c:v>aglomeracja trójmiejska</c:v>
                </c:pt>
                <c:pt idx="11">
                  <c:v>aglomeracja warszawska</c:v>
                </c:pt>
                <c:pt idx="12">
                  <c:v>aglomeracja wrocławska</c:v>
                </c:pt>
                <c:pt idx="13">
                  <c:v>miasto Bielsko-Biała</c:v>
                </c:pt>
                <c:pt idx="14">
                  <c:v>miasto Częstochowa</c:v>
                </c:pt>
                <c:pt idx="15">
                  <c:v>miasto Elbląg</c:v>
                </c:pt>
                <c:pt idx="16">
                  <c:v>miasto Gorzów Wlkp</c:v>
                </c:pt>
                <c:pt idx="17">
                  <c:v>miasto Kalisz</c:v>
                </c:pt>
                <c:pt idx="18">
                  <c:v>miasto Kielce</c:v>
                </c:pt>
                <c:pt idx="19">
                  <c:v>miasto Koszalin</c:v>
                </c:pt>
                <c:pt idx="20">
                  <c:v>miasto Olsztyn</c:v>
                </c:pt>
                <c:pt idx="21">
                  <c:v>miasto Opole</c:v>
                </c:pt>
                <c:pt idx="22">
                  <c:v>miasto Płock</c:v>
                </c:pt>
                <c:pt idx="23">
                  <c:v>miasto Radom</c:v>
                </c:pt>
                <c:pt idx="24">
                  <c:v>miasto Rzeszów</c:v>
                </c:pt>
                <c:pt idx="25">
                  <c:v>miasto Tarnów</c:v>
                </c:pt>
                <c:pt idx="26">
                  <c:v>miasto Toruń</c:v>
                </c:pt>
                <c:pt idx="27">
                  <c:v>miasto Wałbrzych</c:v>
                </c:pt>
                <c:pt idx="28">
                  <c:v>miasto Włocławek</c:v>
                </c:pt>
                <c:pt idx="29">
                  <c:v>miasto Zielona Góra</c:v>
                </c:pt>
              </c:strCache>
            </c:strRef>
          </c:cat>
          <c:val>
            <c:numRef>
              <c:f>Arkusz1!$H$9:$H$38</c:f>
              <c:numCache>
                <c:formatCode>General</c:formatCode>
                <c:ptCount val="30"/>
                <c:pt idx="0">
                  <c:v>22</c:v>
                </c:pt>
                <c:pt idx="1">
                  <c:v>20</c:v>
                </c:pt>
                <c:pt idx="2">
                  <c:v>17</c:v>
                </c:pt>
                <c:pt idx="3">
                  <c:v>31</c:v>
                </c:pt>
                <c:pt idx="4">
                  <c:v>32</c:v>
                </c:pt>
                <c:pt idx="5">
                  <c:v>21</c:v>
                </c:pt>
                <c:pt idx="6">
                  <c:v>22</c:v>
                </c:pt>
                <c:pt idx="7">
                  <c:v>25</c:v>
                </c:pt>
                <c:pt idx="8">
                  <c:v>28</c:v>
                </c:pt>
                <c:pt idx="9">
                  <c:v>16</c:v>
                </c:pt>
                <c:pt idx="10">
                  <c:v>15</c:v>
                </c:pt>
                <c:pt idx="11">
                  <c:v>22</c:v>
                </c:pt>
                <c:pt idx="12">
                  <c:v>23</c:v>
                </c:pt>
                <c:pt idx="13">
                  <c:v>28</c:v>
                </c:pt>
                <c:pt idx="14">
                  <c:v>27</c:v>
                </c:pt>
                <c:pt idx="15">
                  <c:v>16</c:v>
                </c:pt>
                <c:pt idx="16">
                  <c:v>17</c:v>
                </c:pt>
                <c:pt idx="17">
                  <c:v>28</c:v>
                </c:pt>
                <c:pt idx="18">
                  <c:v>24</c:v>
                </c:pt>
                <c:pt idx="19">
                  <c:v>14</c:v>
                </c:pt>
                <c:pt idx="20">
                  <c:v>16</c:v>
                </c:pt>
                <c:pt idx="21">
                  <c:v>22</c:v>
                </c:pt>
                <c:pt idx="22">
                  <c:v>22</c:v>
                </c:pt>
                <c:pt idx="23">
                  <c:v>24</c:v>
                </c:pt>
                <c:pt idx="24">
                  <c:v>23</c:v>
                </c:pt>
                <c:pt idx="25">
                  <c:v>25</c:v>
                </c:pt>
                <c:pt idx="26">
                  <c:v>19</c:v>
                </c:pt>
                <c:pt idx="27">
                  <c:v>21</c:v>
                </c:pt>
                <c:pt idx="28">
                  <c:v>20</c:v>
                </c:pt>
                <c:pt idx="29">
                  <c:v>20</c:v>
                </c:pt>
              </c:numCache>
            </c:numRef>
          </c:val>
          <c:extLst>
            <c:ext xmlns:c16="http://schemas.microsoft.com/office/drawing/2014/chart" uri="{C3380CC4-5D6E-409C-BE32-E72D297353CC}">
              <c16:uniqueId val="{00000004-5C96-45F7-8633-3D536A600808}"/>
            </c:ext>
          </c:extLst>
        </c:ser>
        <c:ser>
          <c:idx val="0"/>
          <c:order val="5"/>
          <c:tx>
            <c:strRef>
              <c:f>Arkusz1!$I$8</c:f>
              <c:strCache>
                <c:ptCount val="1"/>
                <c:pt idx="0">
                  <c:v>2017</c:v>
                </c:pt>
              </c:strCache>
            </c:strRef>
          </c:tx>
          <c:spPr>
            <a:solidFill>
              <a:srgbClr val="39C568"/>
            </a:solidFill>
            <a:ln w="3175">
              <a:solidFill>
                <a:schemeClr val="accent3">
                  <a:lumMod val="75000"/>
                </a:schemeClr>
              </a:solidFill>
            </a:ln>
            <a:effectLst/>
          </c:spPr>
          <c:invertIfNegative val="0"/>
          <c:cat>
            <c:strRef>
              <c:f>Arkusz1!$A$9:$A$38</c:f>
              <c:strCache>
                <c:ptCount val="30"/>
                <c:pt idx="0">
                  <c:v>Krajowy wskaźnik średniego narażenia</c:v>
                </c:pt>
                <c:pt idx="1">
                  <c:v>aglomeracja białostocka</c:v>
                </c:pt>
                <c:pt idx="2">
                  <c:v>aglomeracja bydgoska</c:v>
                </c:pt>
                <c:pt idx="3">
                  <c:v>aglomeracja górnośląska</c:v>
                </c:pt>
                <c:pt idx="4">
                  <c:v>aglomeracja krakowska</c:v>
                </c:pt>
                <c:pt idx="5">
                  <c:v>aglomeracja lubelska</c:v>
                </c:pt>
                <c:pt idx="6">
                  <c:v>aglomeracja łódzka</c:v>
                </c:pt>
                <c:pt idx="7">
                  <c:v>aglomeracja poznańska</c:v>
                </c:pt>
                <c:pt idx="8">
                  <c:v>aglomeracja rybnicko-jastrzębska</c:v>
                </c:pt>
                <c:pt idx="9">
                  <c:v>aglomeracja szczecińska</c:v>
                </c:pt>
                <c:pt idx="10">
                  <c:v>aglomeracja trójmiejska</c:v>
                </c:pt>
                <c:pt idx="11">
                  <c:v>aglomeracja warszawska</c:v>
                </c:pt>
                <c:pt idx="12">
                  <c:v>aglomeracja wrocławska</c:v>
                </c:pt>
                <c:pt idx="13">
                  <c:v>miasto Bielsko-Biała</c:v>
                </c:pt>
                <c:pt idx="14">
                  <c:v>miasto Częstochowa</c:v>
                </c:pt>
                <c:pt idx="15">
                  <c:v>miasto Elbląg</c:v>
                </c:pt>
                <c:pt idx="16">
                  <c:v>miasto Gorzów Wlkp</c:v>
                </c:pt>
                <c:pt idx="17">
                  <c:v>miasto Kalisz</c:v>
                </c:pt>
                <c:pt idx="18">
                  <c:v>miasto Kielce</c:v>
                </c:pt>
                <c:pt idx="19">
                  <c:v>miasto Koszalin</c:v>
                </c:pt>
                <c:pt idx="20">
                  <c:v>miasto Olsztyn</c:v>
                </c:pt>
                <c:pt idx="21">
                  <c:v>miasto Opole</c:v>
                </c:pt>
                <c:pt idx="22">
                  <c:v>miasto Płock</c:v>
                </c:pt>
                <c:pt idx="23">
                  <c:v>miasto Radom</c:v>
                </c:pt>
                <c:pt idx="24">
                  <c:v>miasto Rzeszów</c:v>
                </c:pt>
                <c:pt idx="25">
                  <c:v>miasto Tarnów</c:v>
                </c:pt>
                <c:pt idx="26">
                  <c:v>miasto Toruń</c:v>
                </c:pt>
                <c:pt idx="27">
                  <c:v>miasto Wałbrzych</c:v>
                </c:pt>
                <c:pt idx="28">
                  <c:v>miasto Włocławek</c:v>
                </c:pt>
                <c:pt idx="29">
                  <c:v>miasto Zielona Góra</c:v>
                </c:pt>
              </c:strCache>
            </c:strRef>
          </c:cat>
          <c:val>
            <c:numRef>
              <c:f>Arkusz1!$I$9:$I$38</c:f>
              <c:numCache>
                <c:formatCode>General</c:formatCode>
                <c:ptCount val="30"/>
                <c:pt idx="0">
                  <c:v>22</c:v>
                </c:pt>
                <c:pt idx="1">
                  <c:v>19</c:v>
                </c:pt>
                <c:pt idx="2">
                  <c:v>15</c:v>
                </c:pt>
                <c:pt idx="3">
                  <c:v>30</c:v>
                </c:pt>
                <c:pt idx="4">
                  <c:v>32</c:v>
                </c:pt>
                <c:pt idx="5">
                  <c:v>20</c:v>
                </c:pt>
                <c:pt idx="6">
                  <c:v>22</c:v>
                </c:pt>
                <c:pt idx="7">
                  <c:v>24</c:v>
                </c:pt>
                <c:pt idx="8">
                  <c:v>29</c:v>
                </c:pt>
                <c:pt idx="9">
                  <c:v>15</c:v>
                </c:pt>
                <c:pt idx="10">
                  <c:v>14</c:v>
                </c:pt>
                <c:pt idx="11">
                  <c:v>21</c:v>
                </c:pt>
                <c:pt idx="12">
                  <c:v>22</c:v>
                </c:pt>
                <c:pt idx="13">
                  <c:v>29</c:v>
                </c:pt>
                <c:pt idx="14">
                  <c:v>26</c:v>
                </c:pt>
                <c:pt idx="15">
                  <c:v>16</c:v>
                </c:pt>
                <c:pt idx="16">
                  <c:v>18</c:v>
                </c:pt>
                <c:pt idx="17">
                  <c:v>26</c:v>
                </c:pt>
                <c:pt idx="18">
                  <c:v>21</c:v>
                </c:pt>
                <c:pt idx="19">
                  <c:v>13</c:v>
                </c:pt>
                <c:pt idx="20">
                  <c:v>16</c:v>
                </c:pt>
                <c:pt idx="21">
                  <c:v>23</c:v>
                </c:pt>
                <c:pt idx="22">
                  <c:v>22</c:v>
                </c:pt>
                <c:pt idx="23">
                  <c:v>24</c:v>
                </c:pt>
                <c:pt idx="24">
                  <c:v>23</c:v>
                </c:pt>
                <c:pt idx="25">
                  <c:v>25</c:v>
                </c:pt>
                <c:pt idx="26">
                  <c:v>19</c:v>
                </c:pt>
                <c:pt idx="27">
                  <c:v>20</c:v>
                </c:pt>
                <c:pt idx="28">
                  <c:v>20</c:v>
                </c:pt>
                <c:pt idx="29">
                  <c:v>19</c:v>
                </c:pt>
              </c:numCache>
            </c:numRef>
          </c:val>
          <c:extLst>
            <c:ext xmlns:c16="http://schemas.microsoft.com/office/drawing/2014/chart" uri="{C3380CC4-5D6E-409C-BE32-E72D297353CC}">
              <c16:uniqueId val="{00000005-5C96-45F7-8633-3D536A600808}"/>
            </c:ext>
          </c:extLst>
        </c:ser>
        <c:ser>
          <c:idx val="6"/>
          <c:order val="6"/>
          <c:tx>
            <c:strRef>
              <c:f>Arkusz1!$J$8</c:f>
              <c:strCache>
                <c:ptCount val="1"/>
                <c:pt idx="0">
                  <c:v>2018</c:v>
                </c:pt>
              </c:strCache>
            </c:strRef>
          </c:tx>
          <c:spPr>
            <a:solidFill>
              <a:srgbClr val="BFD2F9"/>
            </a:solidFill>
            <a:ln w="3175">
              <a:solidFill>
                <a:schemeClr val="accent3">
                  <a:lumMod val="75000"/>
                </a:schemeClr>
              </a:solidFill>
            </a:ln>
            <a:effectLst/>
          </c:spPr>
          <c:invertIfNegative val="0"/>
          <c:cat>
            <c:strRef>
              <c:f>Arkusz1!$A$9:$A$38</c:f>
              <c:strCache>
                <c:ptCount val="30"/>
                <c:pt idx="0">
                  <c:v>Krajowy wskaźnik średniego narażenia</c:v>
                </c:pt>
                <c:pt idx="1">
                  <c:v>aglomeracja białostocka</c:v>
                </c:pt>
                <c:pt idx="2">
                  <c:v>aglomeracja bydgoska</c:v>
                </c:pt>
                <c:pt idx="3">
                  <c:v>aglomeracja górnośląska</c:v>
                </c:pt>
                <c:pt idx="4">
                  <c:v>aglomeracja krakowska</c:v>
                </c:pt>
                <c:pt idx="5">
                  <c:v>aglomeracja lubelska</c:v>
                </c:pt>
                <c:pt idx="6">
                  <c:v>aglomeracja łódzka</c:v>
                </c:pt>
                <c:pt idx="7">
                  <c:v>aglomeracja poznańska</c:v>
                </c:pt>
                <c:pt idx="8">
                  <c:v>aglomeracja rybnicko-jastrzębska</c:v>
                </c:pt>
                <c:pt idx="9">
                  <c:v>aglomeracja szczecińska</c:v>
                </c:pt>
                <c:pt idx="10">
                  <c:v>aglomeracja trójmiejska</c:v>
                </c:pt>
                <c:pt idx="11">
                  <c:v>aglomeracja warszawska</c:v>
                </c:pt>
                <c:pt idx="12">
                  <c:v>aglomeracja wrocławska</c:v>
                </c:pt>
                <c:pt idx="13">
                  <c:v>miasto Bielsko-Biała</c:v>
                </c:pt>
                <c:pt idx="14">
                  <c:v>miasto Częstochowa</c:v>
                </c:pt>
                <c:pt idx="15">
                  <c:v>miasto Elbląg</c:v>
                </c:pt>
                <c:pt idx="16">
                  <c:v>miasto Gorzów Wlkp</c:v>
                </c:pt>
                <c:pt idx="17">
                  <c:v>miasto Kalisz</c:v>
                </c:pt>
                <c:pt idx="18">
                  <c:v>miasto Kielce</c:v>
                </c:pt>
                <c:pt idx="19">
                  <c:v>miasto Koszalin</c:v>
                </c:pt>
                <c:pt idx="20">
                  <c:v>miasto Olsztyn</c:v>
                </c:pt>
                <c:pt idx="21">
                  <c:v>miasto Opole</c:v>
                </c:pt>
                <c:pt idx="22">
                  <c:v>miasto Płock</c:v>
                </c:pt>
                <c:pt idx="23">
                  <c:v>miasto Radom</c:v>
                </c:pt>
                <c:pt idx="24">
                  <c:v>miasto Rzeszów</c:v>
                </c:pt>
                <c:pt idx="25">
                  <c:v>miasto Tarnów</c:v>
                </c:pt>
                <c:pt idx="26">
                  <c:v>miasto Toruń</c:v>
                </c:pt>
                <c:pt idx="27">
                  <c:v>miasto Wałbrzych</c:v>
                </c:pt>
                <c:pt idx="28">
                  <c:v>miasto Włocławek</c:v>
                </c:pt>
                <c:pt idx="29">
                  <c:v>miasto Zielona Góra</c:v>
                </c:pt>
              </c:strCache>
            </c:strRef>
          </c:cat>
          <c:val>
            <c:numRef>
              <c:f>Arkusz1!$J$9:$J$38</c:f>
              <c:numCache>
                <c:formatCode>General</c:formatCode>
                <c:ptCount val="30"/>
                <c:pt idx="0">
                  <c:v>22</c:v>
                </c:pt>
                <c:pt idx="1">
                  <c:v>18</c:v>
                </c:pt>
                <c:pt idx="2">
                  <c:v>16</c:v>
                </c:pt>
                <c:pt idx="3">
                  <c:v>31</c:v>
                </c:pt>
                <c:pt idx="4">
                  <c:v>31</c:v>
                </c:pt>
                <c:pt idx="5">
                  <c:v>20</c:v>
                </c:pt>
                <c:pt idx="6">
                  <c:v>22</c:v>
                </c:pt>
                <c:pt idx="7">
                  <c:v>23</c:v>
                </c:pt>
                <c:pt idx="8">
                  <c:v>30</c:v>
                </c:pt>
                <c:pt idx="9">
                  <c:v>16</c:v>
                </c:pt>
                <c:pt idx="10">
                  <c:v>14</c:v>
                </c:pt>
                <c:pt idx="11">
                  <c:v>21</c:v>
                </c:pt>
                <c:pt idx="12">
                  <c:v>22</c:v>
                </c:pt>
                <c:pt idx="13">
                  <c:v>30</c:v>
                </c:pt>
                <c:pt idx="14">
                  <c:v>27</c:v>
                </c:pt>
                <c:pt idx="15">
                  <c:v>18</c:v>
                </c:pt>
                <c:pt idx="16">
                  <c:v>18</c:v>
                </c:pt>
                <c:pt idx="17">
                  <c:v>25</c:v>
                </c:pt>
                <c:pt idx="18">
                  <c:v>18</c:v>
                </c:pt>
                <c:pt idx="19">
                  <c:v>14</c:v>
                </c:pt>
                <c:pt idx="20">
                  <c:v>17</c:v>
                </c:pt>
                <c:pt idx="21">
                  <c:v>22</c:v>
                </c:pt>
                <c:pt idx="22">
                  <c:v>22</c:v>
                </c:pt>
                <c:pt idx="23">
                  <c:v>24</c:v>
                </c:pt>
                <c:pt idx="24">
                  <c:v>23</c:v>
                </c:pt>
                <c:pt idx="25">
                  <c:v>25</c:v>
                </c:pt>
                <c:pt idx="26">
                  <c:v>19</c:v>
                </c:pt>
                <c:pt idx="27">
                  <c:v>21</c:v>
                </c:pt>
                <c:pt idx="28">
                  <c:v>22</c:v>
                </c:pt>
                <c:pt idx="29">
                  <c:v>19</c:v>
                </c:pt>
              </c:numCache>
            </c:numRef>
          </c:val>
          <c:extLst>
            <c:ext xmlns:c16="http://schemas.microsoft.com/office/drawing/2014/chart" uri="{C3380CC4-5D6E-409C-BE32-E72D297353CC}">
              <c16:uniqueId val="{00000006-5C96-45F7-8633-3D536A600808}"/>
            </c:ext>
          </c:extLst>
        </c:ser>
        <c:ser>
          <c:idx val="7"/>
          <c:order val="7"/>
          <c:tx>
            <c:strRef>
              <c:f>Arkusz1!$K$8</c:f>
              <c:strCache>
                <c:ptCount val="1"/>
                <c:pt idx="0">
                  <c:v>2019</c:v>
                </c:pt>
              </c:strCache>
            </c:strRef>
          </c:tx>
          <c:spPr>
            <a:solidFill>
              <a:srgbClr val="88ACF4"/>
            </a:solidFill>
            <a:ln w="3175">
              <a:solidFill>
                <a:schemeClr val="accent3">
                  <a:lumMod val="75000"/>
                </a:schemeClr>
              </a:solidFill>
            </a:ln>
            <a:effectLst/>
          </c:spPr>
          <c:invertIfNegative val="0"/>
          <c:cat>
            <c:strRef>
              <c:f>Arkusz1!$A$9:$A$38</c:f>
              <c:strCache>
                <c:ptCount val="30"/>
                <c:pt idx="0">
                  <c:v>Krajowy wskaźnik średniego narażenia</c:v>
                </c:pt>
                <c:pt idx="1">
                  <c:v>aglomeracja białostocka</c:v>
                </c:pt>
                <c:pt idx="2">
                  <c:v>aglomeracja bydgoska</c:v>
                </c:pt>
                <c:pt idx="3">
                  <c:v>aglomeracja górnośląska</c:v>
                </c:pt>
                <c:pt idx="4">
                  <c:v>aglomeracja krakowska</c:v>
                </c:pt>
                <c:pt idx="5">
                  <c:v>aglomeracja lubelska</c:v>
                </c:pt>
                <c:pt idx="6">
                  <c:v>aglomeracja łódzka</c:v>
                </c:pt>
                <c:pt idx="7">
                  <c:v>aglomeracja poznańska</c:v>
                </c:pt>
                <c:pt idx="8">
                  <c:v>aglomeracja rybnicko-jastrzębska</c:v>
                </c:pt>
                <c:pt idx="9">
                  <c:v>aglomeracja szczecińska</c:v>
                </c:pt>
                <c:pt idx="10">
                  <c:v>aglomeracja trójmiejska</c:v>
                </c:pt>
                <c:pt idx="11">
                  <c:v>aglomeracja warszawska</c:v>
                </c:pt>
                <c:pt idx="12">
                  <c:v>aglomeracja wrocławska</c:v>
                </c:pt>
                <c:pt idx="13">
                  <c:v>miasto Bielsko-Biała</c:v>
                </c:pt>
                <c:pt idx="14">
                  <c:v>miasto Częstochowa</c:v>
                </c:pt>
                <c:pt idx="15">
                  <c:v>miasto Elbląg</c:v>
                </c:pt>
                <c:pt idx="16">
                  <c:v>miasto Gorzów Wlkp</c:v>
                </c:pt>
                <c:pt idx="17">
                  <c:v>miasto Kalisz</c:v>
                </c:pt>
                <c:pt idx="18">
                  <c:v>miasto Kielce</c:v>
                </c:pt>
                <c:pt idx="19">
                  <c:v>miasto Koszalin</c:v>
                </c:pt>
                <c:pt idx="20">
                  <c:v>miasto Olsztyn</c:v>
                </c:pt>
                <c:pt idx="21">
                  <c:v>miasto Opole</c:v>
                </c:pt>
                <c:pt idx="22">
                  <c:v>miasto Płock</c:v>
                </c:pt>
                <c:pt idx="23">
                  <c:v>miasto Radom</c:v>
                </c:pt>
                <c:pt idx="24">
                  <c:v>miasto Rzeszów</c:v>
                </c:pt>
                <c:pt idx="25">
                  <c:v>miasto Tarnów</c:v>
                </c:pt>
                <c:pt idx="26">
                  <c:v>miasto Toruń</c:v>
                </c:pt>
                <c:pt idx="27">
                  <c:v>miasto Wałbrzych</c:v>
                </c:pt>
                <c:pt idx="28">
                  <c:v>miasto Włocławek</c:v>
                </c:pt>
                <c:pt idx="29">
                  <c:v>miasto Zielona Góra</c:v>
                </c:pt>
              </c:strCache>
            </c:strRef>
          </c:cat>
          <c:val>
            <c:numRef>
              <c:f>Arkusz1!$K$9:$K$38</c:f>
              <c:numCache>
                <c:formatCode>General</c:formatCode>
                <c:ptCount val="30"/>
                <c:pt idx="0">
                  <c:v>21</c:v>
                </c:pt>
                <c:pt idx="1">
                  <c:v>17</c:v>
                </c:pt>
                <c:pt idx="2">
                  <c:v>16</c:v>
                </c:pt>
                <c:pt idx="3">
                  <c:v>29</c:v>
                </c:pt>
                <c:pt idx="4">
                  <c:v>29</c:v>
                </c:pt>
                <c:pt idx="5">
                  <c:v>19</c:v>
                </c:pt>
                <c:pt idx="6">
                  <c:v>21</c:v>
                </c:pt>
                <c:pt idx="7">
                  <c:v>21</c:v>
                </c:pt>
                <c:pt idx="8">
                  <c:v>28</c:v>
                </c:pt>
                <c:pt idx="9">
                  <c:v>16</c:v>
                </c:pt>
                <c:pt idx="10">
                  <c:v>14</c:v>
                </c:pt>
                <c:pt idx="11">
                  <c:v>19</c:v>
                </c:pt>
                <c:pt idx="12">
                  <c:v>19</c:v>
                </c:pt>
                <c:pt idx="13">
                  <c:v>27</c:v>
                </c:pt>
                <c:pt idx="14">
                  <c:v>25</c:v>
                </c:pt>
                <c:pt idx="15">
                  <c:v>17</c:v>
                </c:pt>
                <c:pt idx="16">
                  <c:v>17</c:v>
                </c:pt>
                <c:pt idx="17">
                  <c:v>23</c:v>
                </c:pt>
                <c:pt idx="18">
                  <c:v>17</c:v>
                </c:pt>
                <c:pt idx="19">
                  <c:v>15</c:v>
                </c:pt>
                <c:pt idx="20">
                  <c:v>17</c:v>
                </c:pt>
                <c:pt idx="21">
                  <c:v>21</c:v>
                </c:pt>
                <c:pt idx="22">
                  <c:v>21</c:v>
                </c:pt>
                <c:pt idx="23">
                  <c:v>23</c:v>
                </c:pt>
                <c:pt idx="24">
                  <c:v>21</c:v>
                </c:pt>
                <c:pt idx="25">
                  <c:v>24</c:v>
                </c:pt>
                <c:pt idx="26">
                  <c:v>18</c:v>
                </c:pt>
                <c:pt idx="27">
                  <c:v>19</c:v>
                </c:pt>
                <c:pt idx="28">
                  <c:v>20</c:v>
                </c:pt>
                <c:pt idx="29">
                  <c:v>17</c:v>
                </c:pt>
              </c:numCache>
            </c:numRef>
          </c:val>
          <c:extLst>
            <c:ext xmlns:c16="http://schemas.microsoft.com/office/drawing/2014/chart" uri="{C3380CC4-5D6E-409C-BE32-E72D297353CC}">
              <c16:uniqueId val="{00000007-5C96-45F7-8633-3D536A600808}"/>
            </c:ext>
          </c:extLst>
        </c:ser>
        <c:ser>
          <c:idx val="8"/>
          <c:order val="8"/>
          <c:tx>
            <c:strRef>
              <c:f>Arkusz1!$L$8</c:f>
              <c:strCache>
                <c:ptCount val="1"/>
                <c:pt idx="0">
                  <c:v>2020</c:v>
                </c:pt>
              </c:strCache>
            </c:strRef>
          </c:tx>
          <c:spPr>
            <a:solidFill>
              <a:srgbClr val="6370E7"/>
            </a:solidFill>
            <a:ln w="3175">
              <a:solidFill>
                <a:schemeClr val="accent3">
                  <a:lumMod val="75000"/>
                </a:schemeClr>
              </a:solidFill>
            </a:ln>
            <a:effectLst/>
          </c:spPr>
          <c:invertIfNegative val="0"/>
          <c:cat>
            <c:strRef>
              <c:f>Arkusz1!$A$9:$A$38</c:f>
              <c:strCache>
                <c:ptCount val="30"/>
                <c:pt idx="0">
                  <c:v>Krajowy wskaźnik średniego narażenia</c:v>
                </c:pt>
                <c:pt idx="1">
                  <c:v>aglomeracja białostocka</c:v>
                </c:pt>
                <c:pt idx="2">
                  <c:v>aglomeracja bydgoska</c:v>
                </c:pt>
                <c:pt idx="3">
                  <c:v>aglomeracja górnośląska</c:v>
                </c:pt>
                <c:pt idx="4">
                  <c:v>aglomeracja krakowska</c:v>
                </c:pt>
                <c:pt idx="5">
                  <c:v>aglomeracja lubelska</c:v>
                </c:pt>
                <c:pt idx="6">
                  <c:v>aglomeracja łódzka</c:v>
                </c:pt>
                <c:pt idx="7">
                  <c:v>aglomeracja poznańska</c:v>
                </c:pt>
                <c:pt idx="8">
                  <c:v>aglomeracja rybnicko-jastrzębska</c:v>
                </c:pt>
                <c:pt idx="9">
                  <c:v>aglomeracja szczecińska</c:v>
                </c:pt>
                <c:pt idx="10">
                  <c:v>aglomeracja trójmiejska</c:v>
                </c:pt>
                <c:pt idx="11">
                  <c:v>aglomeracja warszawska</c:v>
                </c:pt>
                <c:pt idx="12">
                  <c:v>aglomeracja wrocławska</c:v>
                </c:pt>
                <c:pt idx="13">
                  <c:v>miasto Bielsko-Biała</c:v>
                </c:pt>
                <c:pt idx="14">
                  <c:v>miasto Częstochowa</c:v>
                </c:pt>
                <c:pt idx="15">
                  <c:v>miasto Elbląg</c:v>
                </c:pt>
                <c:pt idx="16">
                  <c:v>miasto Gorzów Wlkp</c:v>
                </c:pt>
                <c:pt idx="17">
                  <c:v>miasto Kalisz</c:v>
                </c:pt>
                <c:pt idx="18">
                  <c:v>miasto Kielce</c:v>
                </c:pt>
                <c:pt idx="19">
                  <c:v>miasto Koszalin</c:v>
                </c:pt>
                <c:pt idx="20">
                  <c:v>miasto Olsztyn</c:v>
                </c:pt>
                <c:pt idx="21">
                  <c:v>miasto Opole</c:v>
                </c:pt>
                <c:pt idx="22">
                  <c:v>miasto Płock</c:v>
                </c:pt>
                <c:pt idx="23">
                  <c:v>miasto Radom</c:v>
                </c:pt>
                <c:pt idx="24">
                  <c:v>miasto Rzeszów</c:v>
                </c:pt>
                <c:pt idx="25">
                  <c:v>miasto Tarnów</c:v>
                </c:pt>
                <c:pt idx="26">
                  <c:v>miasto Toruń</c:v>
                </c:pt>
                <c:pt idx="27">
                  <c:v>miasto Wałbrzych</c:v>
                </c:pt>
                <c:pt idx="28">
                  <c:v>miasto Włocławek</c:v>
                </c:pt>
                <c:pt idx="29">
                  <c:v>miasto Zielona Góra</c:v>
                </c:pt>
              </c:strCache>
            </c:strRef>
          </c:cat>
          <c:val>
            <c:numRef>
              <c:f>Arkusz1!$L$9:$L$38</c:f>
              <c:numCache>
                <c:formatCode>0</c:formatCode>
                <c:ptCount val="30"/>
                <c:pt idx="0">
                  <c:v>19</c:v>
                </c:pt>
                <c:pt idx="1">
                  <c:v>17</c:v>
                </c:pt>
                <c:pt idx="2">
                  <c:v>15</c:v>
                </c:pt>
                <c:pt idx="3">
                  <c:v>26</c:v>
                </c:pt>
                <c:pt idx="4">
                  <c:v>25</c:v>
                </c:pt>
                <c:pt idx="5">
                  <c:v>17</c:v>
                </c:pt>
                <c:pt idx="6">
                  <c:v>19</c:v>
                </c:pt>
                <c:pt idx="7">
                  <c:v>19</c:v>
                </c:pt>
                <c:pt idx="8">
                  <c:v>26</c:v>
                </c:pt>
                <c:pt idx="9">
                  <c:v>15</c:v>
                </c:pt>
                <c:pt idx="10">
                  <c:v>13</c:v>
                </c:pt>
                <c:pt idx="11">
                  <c:v>17</c:v>
                </c:pt>
                <c:pt idx="12">
                  <c:v>17</c:v>
                </c:pt>
                <c:pt idx="13">
                  <c:v>24</c:v>
                </c:pt>
                <c:pt idx="14">
                  <c:v>22</c:v>
                </c:pt>
                <c:pt idx="15">
                  <c:v>16</c:v>
                </c:pt>
                <c:pt idx="16">
                  <c:v>15</c:v>
                </c:pt>
                <c:pt idx="17">
                  <c:v>21</c:v>
                </c:pt>
                <c:pt idx="18">
                  <c:v>17</c:v>
                </c:pt>
                <c:pt idx="19">
                  <c:v>14</c:v>
                </c:pt>
                <c:pt idx="20">
                  <c:v>15</c:v>
                </c:pt>
                <c:pt idx="21">
                  <c:v>19</c:v>
                </c:pt>
                <c:pt idx="22">
                  <c:v>19</c:v>
                </c:pt>
                <c:pt idx="23">
                  <c:v>21</c:v>
                </c:pt>
                <c:pt idx="24">
                  <c:v>18</c:v>
                </c:pt>
                <c:pt idx="25">
                  <c:v>21</c:v>
                </c:pt>
                <c:pt idx="26">
                  <c:v>16</c:v>
                </c:pt>
                <c:pt idx="27">
                  <c:v>18</c:v>
                </c:pt>
                <c:pt idx="28">
                  <c:v>19</c:v>
                </c:pt>
                <c:pt idx="29">
                  <c:v>14</c:v>
                </c:pt>
              </c:numCache>
            </c:numRef>
          </c:val>
          <c:extLst>
            <c:ext xmlns:c16="http://schemas.microsoft.com/office/drawing/2014/chart" uri="{C3380CC4-5D6E-409C-BE32-E72D297353CC}">
              <c16:uniqueId val="{00000008-5C96-45F7-8633-3D536A600808}"/>
            </c:ext>
          </c:extLst>
        </c:ser>
        <c:dLbls>
          <c:showLegendKey val="0"/>
          <c:showVal val="0"/>
          <c:showCatName val="0"/>
          <c:showSerName val="0"/>
          <c:showPercent val="0"/>
          <c:showBubbleSize val="0"/>
        </c:dLbls>
        <c:gapWidth val="349"/>
        <c:axId val="401639104"/>
        <c:axId val="401638712"/>
      </c:barChart>
      <c:catAx>
        <c:axId val="401639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000" b="0" i="0" u="none" strike="noStrike" kern="1200" cap="none" spc="0" normalizeH="0" baseline="0">
                <a:solidFill>
                  <a:schemeClr val="tx1"/>
                </a:solidFill>
                <a:latin typeface="+mn-lt"/>
                <a:ea typeface="+mn-ea"/>
                <a:cs typeface="+mn-cs"/>
              </a:defRPr>
            </a:pPr>
            <a:endParaRPr lang="pl-PL"/>
          </a:p>
        </c:txPr>
        <c:crossAx val="401638712"/>
        <c:crosses val="autoZero"/>
        <c:auto val="1"/>
        <c:lblAlgn val="ctr"/>
        <c:lblOffset val="100"/>
        <c:noMultiLvlLbl val="0"/>
      </c:catAx>
      <c:valAx>
        <c:axId val="401638712"/>
        <c:scaling>
          <c:orientation val="minMax"/>
          <c:max val="40"/>
        </c:scaling>
        <c:delete val="0"/>
        <c:axPos val="b"/>
        <c:majorGridlines>
          <c:spPr>
            <a:ln w="9525" cap="flat" cmpd="sng" algn="ctr">
              <a:solidFill>
                <a:schemeClr val="bg1">
                  <a:lumMod val="85000"/>
                </a:schemeClr>
              </a:solidFill>
              <a:prstDash val="solid"/>
              <a:round/>
            </a:ln>
            <a:effectLst/>
          </c:spPr>
        </c:majorGridlines>
        <c:minorGridlines>
          <c:spPr>
            <a:ln w="9525" cap="flat" cmpd="sng" algn="ctr">
              <a:solidFill>
                <a:schemeClr val="bg1">
                  <a:lumMod val="95000"/>
                </a:schemeClr>
              </a:solidFill>
              <a:prstDash val="solid"/>
              <a:round/>
            </a:ln>
            <a:effectLst/>
          </c:spPr>
        </c:minorGridlines>
        <c:title>
          <c:tx>
            <c:rich>
              <a:bodyPr rot="0" spcFirstLastPara="1" vertOverflow="ellipsis" vert="horz" wrap="square" anchor="ctr" anchorCtr="1"/>
              <a:lstStyle/>
              <a:p>
                <a:pPr>
                  <a:defRPr sz="1000" b="1" i="0" u="none" strike="noStrike" kern="1200" cap="all" baseline="0">
                    <a:solidFill>
                      <a:schemeClr val="tx1"/>
                    </a:solidFill>
                    <a:latin typeface="+mn-lt"/>
                    <a:ea typeface="+mn-ea"/>
                    <a:cs typeface="+mn-cs"/>
                  </a:defRPr>
                </a:pPr>
                <a:r>
                  <a:rPr lang="pl-PL" sz="1000" b="0">
                    <a:solidFill>
                      <a:schemeClr val="tx1"/>
                    </a:solidFill>
                    <a:latin typeface="+mn-lt"/>
                  </a:rPr>
                  <a:t>W</a:t>
                </a:r>
                <a:r>
                  <a:rPr lang="pl-PL" sz="1000" b="0" cap="none" baseline="0">
                    <a:solidFill>
                      <a:schemeClr val="tx1"/>
                    </a:solidFill>
                    <a:latin typeface="+mn-lt"/>
                  </a:rPr>
                  <a:t>skaźniki średniego narażenia na pył PM2,5 </a:t>
                </a:r>
                <a:endParaRPr lang="pl-PL" sz="1000" b="0" baseline="30000">
                  <a:solidFill>
                    <a:schemeClr val="tx1"/>
                  </a:solidFill>
                  <a:latin typeface="+mn-lt"/>
                </a:endParaRPr>
              </a:p>
            </c:rich>
          </c:tx>
          <c:layout>
            <c:manualLayout>
              <c:xMode val="edge"/>
              <c:yMode val="edge"/>
              <c:x val="0.37556720554617579"/>
              <c:y val="0.94903872836380043"/>
            </c:manualLayout>
          </c:layout>
          <c:overlay val="0"/>
          <c:spPr>
            <a:noFill/>
            <a:ln>
              <a:noFill/>
            </a:ln>
            <a:effectLst/>
          </c:spPr>
          <c:txPr>
            <a:bodyPr rot="0" spcFirstLastPara="1" vertOverflow="ellipsis" vert="horz" wrap="square" anchor="ctr" anchorCtr="1"/>
            <a:lstStyle/>
            <a:p>
              <a:pPr>
                <a:defRPr sz="1000" b="1" i="0" u="none" strike="noStrike" kern="1200" cap="all" baseline="0">
                  <a:solidFill>
                    <a:schemeClr val="tx1"/>
                  </a:solidFill>
                  <a:latin typeface="+mn-lt"/>
                  <a:ea typeface="+mn-ea"/>
                  <a:cs typeface="+mn-cs"/>
                </a:defRPr>
              </a:pPr>
              <a:endParaRPr lang="pl-PL"/>
            </a:p>
          </c:txPr>
        </c:title>
        <c:numFmt formatCode="General"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401639104"/>
        <c:crosses val="autoZero"/>
        <c:crossBetween val="between"/>
      </c:valAx>
      <c:spPr>
        <a:noFill/>
        <a:ln>
          <a:solidFill>
            <a:schemeClr val="accent3"/>
          </a:solid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prstDash val="solid"/>
      <a:round/>
    </a:ln>
    <a:effectLst/>
  </c:spPr>
  <c:txPr>
    <a:bodyPr/>
    <a:lstStyle/>
    <a:p>
      <a:pPr algn="just">
        <a:defRPr/>
      </a:pPr>
      <a:endParaRPr lang="pl-PL"/>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'liczba stanowisk '!$A$2</c:f>
              <c:strCache>
                <c:ptCount val="1"/>
                <c:pt idx="0">
                  <c:v>PM10 automatyczne</c:v>
                </c:pt>
              </c:strCache>
            </c:strRef>
          </c:tx>
          <c:spPr>
            <a:solidFill>
              <a:schemeClr val="accent1"/>
            </a:solidFill>
            <a:ln>
              <a:noFill/>
            </a:ln>
            <a:effectLst/>
          </c:spPr>
          <c:invertIfNegative val="0"/>
          <c:cat>
            <c:numRef>
              <c:f>'liczba stanowisk '!$B$1:$F$1</c:f>
              <c:numCache>
                <c:formatCode>General</c:formatCode>
                <c:ptCount val="5"/>
                <c:pt idx="0">
                  <c:v>2017</c:v>
                </c:pt>
                <c:pt idx="1">
                  <c:v>2018</c:v>
                </c:pt>
                <c:pt idx="2">
                  <c:v>2019</c:v>
                </c:pt>
                <c:pt idx="3">
                  <c:v>2020</c:v>
                </c:pt>
                <c:pt idx="4">
                  <c:v>2021</c:v>
                </c:pt>
              </c:numCache>
            </c:numRef>
          </c:cat>
          <c:val>
            <c:numRef>
              <c:f>'liczba stanowisk '!$B$2:$F$2</c:f>
              <c:numCache>
                <c:formatCode>General</c:formatCode>
                <c:ptCount val="5"/>
                <c:pt idx="0">
                  <c:v>126</c:v>
                </c:pt>
                <c:pt idx="1">
                  <c:v>126</c:v>
                </c:pt>
                <c:pt idx="2">
                  <c:v>151</c:v>
                </c:pt>
                <c:pt idx="3">
                  <c:v>167</c:v>
                </c:pt>
                <c:pt idx="4">
                  <c:v>189</c:v>
                </c:pt>
              </c:numCache>
            </c:numRef>
          </c:val>
          <c:extLst>
            <c:ext xmlns:c16="http://schemas.microsoft.com/office/drawing/2014/chart" uri="{C3380CC4-5D6E-409C-BE32-E72D297353CC}">
              <c16:uniqueId val="{00000000-B41B-4756-B6F3-619CE1D93C69}"/>
            </c:ext>
          </c:extLst>
        </c:ser>
        <c:ser>
          <c:idx val="1"/>
          <c:order val="1"/>
          <c:tx>
            <c:strRef>
              <c:f>'liczba stanowisk '!$A$3</c:f>
              <c:strCache>
                <c:ptCount val="1"/>
                <c:pt idx="0">
                  <c:v>PM10 manualne</c:v>
                </c:pt>
              </c:strCache>
            </c:strRef>
          </c:tx>
          <c:spPr>
            <a:solidFill>
              <a:schemeClr val="accent1">
                <a:lumMod val="40000"/>
                <a:lumOff val="60000"/>
              </a:schemeClr>
            </a:solidFill>
            <a:ln>
              <a:noFill/>
            </a:ln>
            <a:effectLst/>
          </c:spPr>
          <c:invertIfNegative val="0"/>
          <c:cat>
            <c:numRef>
              <c:f>'liczba stanowisk '!$B$1:$F$1</c:f>
              <c:numCache>
                <c:formatCode>General</c:formatCode>
                <c:ptCount val="5"/>
                <c:pt idx="0">
                  <c:v>2017</c:v>
                </c:pt>
                <c:pt idx="1">
                  <c:v>2018</c:v>
                </c:pt>
                <c:pt idx="2">
                  <c:v>2019</c:v>
                </c:pt>
                <c:pt idx="3">
                  <c:v>2020</c:v>
                </c:pt>
                <c:pt idx="4">
                  <c:v>2021</c:v>
                </c:pt>
              </c:numCache>
            </c:numRef>
          </c:cat>
          <c:val>
            <c:numRef>
              <c:f>'liczba stanowisk '!$B$3:$F$3</c:f>
              <c:numCache>
                <c:formatCode>General</c:formatCode>
                <c:ptCount val="5"/>
                <c:pt idx="0">
                  <c:v>167</c:v>
                </c:pt>
                <c:pt idx="1">
                  <c:v>169</c:v>
                </c:pt>
                <c:pt idx="2">
                  <c:v>181</c:v>
                </c:pt>
                <c:pt idx="3">
                  <c:v>173</c:v>
                </c:pt>
                <c:pt idx="4">
                  <c:v>186</c:v>
                </c:pt>
              </c:numCache>
            </c:numRef>
          </c:val>
          <c:extLst>
            <c:ext xmlns:c16="http://schemas.microsoft.com/office/drawing/2014/chart" uri="{C3380CC4-5D6E-409C-BE32-E72D297353CC}">
              <c16:uniqueId val="{00000001-B41B-4756-B6F3-619CE1D93C69}"/>
            </c:ext>
          </c:extLst>
        </c:ser>
        <c:ser>
          <c:idx val="2"/>
          <c:order val="2"/>
          <c:tx>
            <c:strRef>
              <c:f>'liczba stanowisk '!$A$4</c:f>
              <c:strCache>
                <c:ptCount val="1"/>
                <c:pt idx="0">
                  <c:v>PM2.5 automatyczne</c:v>
                </c:pt>
              </c:strCache>
            </c:strRef>
          </c:tx>
          <c:spPr>
            <a:solidFill>
              <a:srgbClr val="92D050"/>
            </a:solidFill>
            <a:ln>
              <a:noFill/>
            </a:ln>
            <a:effectLst/>
          </c:spPr>
          <c:invertIfNegative val="0"/>
          <c:val>
            <c:numRef>
              <c:f>'liczba stanowisk '!$B$4:$F$4</c:f>
              <c:numCache>
                <c:formatCode>General</c:formatCode>
                <c:ptCount val="5"/>
                <c:pt idx="0">
                  <c:v>48</c:v>
                </c:pt>
                <c:pt idx="1">
                  <c:v>52</c:v>
                </c:pt>
                <c:pt idx="2">
                  <c:v>76</c:v>
                </c:pt>
                <c:pt idx="3">
                  <c:v>84</c:v>
                </c:pt>
                <c:pt idx="4">
                  <c:v>99</c:v>
                </c:pt>
              </c:numCache>
            </c:numRef>
          </c:val>
          <c:extLst>
            <c:ext xmlns:c16="http://schemas.microsoft.com/office/drawing/2014/chart" uri="{C3380CC4-5D6E-409C-BE32-E72D297353CC}">
              <c16:uniqueId val="{00000002-B41B-4756-B6F3-619CE1D93C69}"/>
            </c:ext>
          </c:extLst>
        </c:ser>
        <c:ser>
          <c:idx val="3"/>
          <c:order val="3"/>
          <c:tx>
            <c:strRef>
              <c:f>'liczba stanowisk '!$A$5</c:f>
              <c:strCache>
                <c:ptCount val="1"/>
                <c:pt idx="0">
                  <c:v>PM2.5 manualne</c:v>
                </c:pt>
              </c:strCache>
            </c:strRef>
          </c:tx>
          <c:spPr>
            <a:solidFill>
              <a:schemeClr val="accent6">
                <a:lumMod val="40000"/>
                <a:lumOff val="60000"/>
              </a:schemeClr>
            </a:solidFill>
            <a:ln>
              <a:noFill/>
            </a:ln>
            <a:effectLst/>
          </c:spPr>
          <c:invertIfNegative val="0"/>
          <c:val>
            <c:numRef>
              <c:f>'liczba stanowisk '!$B$5:$F$5</c:f>
              <c:numCache>
                <c:formatCode>General</c:formatCode>
                <c:ptCount val="5"/>
                <c:pt idx="0">
                  <c:v>68</c:v>
                </c:pt>
                <c:pt idx="1">
                  <c:v>67</c:v>
                </c:pt>
                <c:pt idx="2">
                  <c:v>66</c:v>
                </c:pt>
                <c:pt idx="3">
                  <c:v>68</c:v>
                </c:pt>
                <c:pt idx="4">
                  <c:v>63</c:v>
                </c:pt>
              </c:numCache>
            </c:numRef>
          </c:val>
          <c:extLst>
            <c:ext xmlns:c16="http://schemas.microsoft.com/office/drawing/2014/chart" uri="{C3380CC4-5D6E-409C-BE32-E72D297353CC}">
              <c16:uniqueId val="{00000003-B41B-4756-B6F3-619CE1D93C69}"/>
            </c:ext>
          </c:extLst>
        </c:ser>
        <c:dLbls>
          <c:showLegendKey val="0"/>
          <c:showVal val="0"/>
          <c:showCatName val="0"/>
          <c:showSerName val="0"/>
          <c:showPercent val="0"/>
          <c:showBubbleSize val="0"/>
        </c:dLbls>
        <c:gapWidth val="150"/>
        <c:overlap val="100"/>
        <c:axId val="398773920"/>
        <c:axId val="398782504"/>
      </c:barChart>
      <c:catAx>
        <c:axId val="39877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398782504"/>
        <c:crosses val="autoZero"/>
        <c:auto val="1"/>
        <c:lblAlgn val="ctr"/>
        <c:lblOffset val="100"/>
        <c:noMultiLvlLbl val="0"/>
      </c:catAx>
      <c:valAx>
        <c:axId val="398782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398773920"/>
        <c:crosses val="autoZero"/>
        <c:crossBetween val="between"/>
      </c:valAx>
      <c:spPr>
        <a:noFill/>
        <a:ln>
          <a:noFill/>
        </a:ln>
        <a:effectLst/>
      </c:spPr>
    </c:plotArea>
    <c:legend>
      <c:legendPos val="b"/>
      <c:layout>
        <c:manualLayout>
          <c:xMode val="edge"/>
          <c:yMode val="edge"/>
          <c:x val="1.5599935686605643E-2"/>
          <c:y val="0.81173228346456694"/>
          <c:w val="0.95490909170455651"/>
          <c:h val="0.160489938757655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'Zmienność liczby stacji'!$C$2</c:f>
              <c:strCache>
                <c:ptCount val="1"/>
                <c:pt idx="0">
                  <c:v>Liczba uzdrowisk objętych pomiarami</c:v>
                </c:pt>
              </c:strCache>
            </c:strRef>
          </c:tx>
          <c:spPr>
            <a:solidFill>
              <a:srgbClr val="3399FF"/>
            </a:solidFill>
            <a:ln>
              <a:solidFill>
                <a:srgbClr val="A6A6A6"/>
              </a:solid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ln>
                      <a:noFill/>
                    </a:ln>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'Zmienność liczby stacji'!$B$3:$B$14</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'Zmienność liczby stacji'!$C$3:$C$14</c:f>
              <c:numCache>
                <c:formatCode>General</c:formatCode>
                <c:ptCount val="12"/>
                <c:pt idx="0">
                  <c:v>10</c:v>
                </c:pt>
                <c:pt idx="1">
                  <c:v>7</c:v>
                </c:pt>
                <c:pt idx="2">
                  <c:v>9</c:v>
                </c:pt>
                <c:pt idx="3">
                  <c:v>9</c:v>
                </c:pt>
                <c:pt idx="4">
                  <c:v>10</c:v>
                </c:pt>
                <c:pt idx="5">
                  <c:v>10</c:v>
                </c:pt>
                <c:pt idx="6">
                  <c:v>12</c:v>
                </c:pt>
                <c:pt idx="7">
                  <c:v>18</c:v>
                </c:pt>
                <c:pt idx="8">
                  <c:v>18</c:v>
                </c:pt>
                <c:pt idx="9">
                  <c:v>22</c:v>
                </c:pt>
                <c:pt idx="10">
                  <c:v>25</c:v>
                </c:pt>
                <c:pt idx="11">
                  <c:v>22</c:v>
                </c:pt>
              </c:numCache>
            </c:numRef>
          </c:val>
          <c:extLst>
            <c:ext xmlns:c16="http://schemas.microsoft.com/office/drawing/2014/chart" uri="{C3380CC4-5D6E-409C-BE32-E72D297353CC}">
              <c16:uniqueId val="{00000000-DDA7-4D9F-870B-86E7CD426356}"/>
            </c:ext>
          </c:extLst>
        </c:ser>
        <c:ser>
          <c:idx val="1"/>
          <c:order val="1"/>
          <c:tx>
            <c:strRef>
              <c:f>'Zmienność liczby stacji'!$D$2</c:f>
              <c:strCache>
                <c:ptCount val="1"/>
                <c:pt idx="0">
                  <c:v>Liczba stacji pomiarowych</c:v>
                </c:pt>
              </c:strCache>
            </c:strRef>
          </c:tx>
          <c:spPr>
            <a:solidFill>
              <a:schemeClr val="accent2"/>
            </a:solidFill>
            <a:ln>
              <a:solidFill>
                <a:srgbClr val="A6A6A6"/>
              </a:solid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ln>
                      <a:noFill/>
                    </a:ln>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'Zmienność liczby stacji'!$B$3:$B$14</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'Zmienność liczby stacji'!$D$3:$D$14</c:f>
              <c:numCache>
                <c:formatCode>General</c:formatCode>
                <c:ptCount val="12"/>
                <c:pt idx="0">
                  <c:v>11</c:v>
                </c:pt>
                <c:pt idx="1">
                  <c:v>7</c:v>
                </c:pt>
                <c:pt idx="2">
                  <c:v>11</c:v>
                </c:pt>
                <c:pt idx="3">
                  <c:v>9</c:v>
                </c:pt>
                <c:pt idx="4">
                  <c:v>10</c:v>
                </c:pt>
                <c:pt idx="5">
                  <c:v>10</c:v>
                </c:pt>
                <c:pt idx="6">
                  <c:v>12</c:v>
                </c:pt>
                <c:pt idx="7">
                  <c:v>19</c:v>
                </c:pt>
                <c:pt idx="8">
                  <c:v>19</c:v>
                </c:pt>
                <c:pt idx="9">
                  <c:v>24</c:v>
                </c:pt>
                <c:pt idx="10">
                  <c:v>25</c:v>
                </c:pt>
                <c:pt idx="11">
                  <c:v>23</c:v>
                </c:pt>
              </c:numCache>
            </c:numRef>
          </c:val>
          <c:extLst>
            <c:ext xmlns:c16="http://schemas.microsoft.com/office/drawing/2014/chart" uri="{C3380CC4-5D6E-409C-BE32-E72D297353CC}">
              <c16:uniqueId val="{00000001-DDA7-4D9F-870B-86E7CD426356}"/>
            </c:ext>
          </c:extLst>
        </c:ser>
        <c:ser>
          <c:idx val="2"/>
          <c:order val="2"/>
          <c:tx>
            <c:strRef>
              <c:f>'Zmienność liczby stacji'!$E$2</c:f>
              <c:strCache>
                <c:ptCount val="1"/>
                <c:pt idx="0">
                  <c:v>Liczba stanowisk pomiarowych </c:v>
                </c:pt>
              </c:strCache>
            </c:strRef>
          </c:tx>
          <c:spPr>
            <a:solidFill>
              <a:schemeClr val="accent6">
                <a:lumMod val="60000"/>
                <a:lumOff val="40000"/>
              </a:schemeClr>
            </a:solidFill>
            <a:ln>
              <a:solidFill>
                <a:srgbClr val="A6A6A6"/>
              </a:solid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ln>
                      <a:noFill/>
                    </a:ln>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'Zmienność liczby stacji'!$B$3:$B$14</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'Zmienność liczby stacji'!$E$3:$E$14</c:f>
              <c:numCache>
                <c:formatCode>General</c:formatCode>
                <c:ptCount val="12"/>
                <c:pt idx="0">
                  <c:v>47</c:v>
                </c:pt>
                <c:pt idx="1">
                  <c:v>38</c:v>
                </c:pt>
                <c:pt idx="2">
                  <c:v>51</c:v>
                </c:pt>
                <c:pt idx="3">
                  <c:v>43</c:v>
                </c:pt>
                <c:pt idx="4">
                  <c:v>50</c:v>
                </c:pt>
                <c:pt idx="5">
                  <c:v>51</c:v>
                </c:pt>
                <c:pt idx="6">
                  <c:v>59</c:v>
                </c:pt>
                <c:pt idx="7">
                  <c:v>90</c:v>
                </c:pt>
                <c:pt idx="8">
                  <c:v>90</c:v>
                </c:pt>
                <c:pt idx="9">
                  <c:v>106</c:v>
                </c:pt>
                <c:pt idx="10">
                  <c:v>94</c:v>
                </c:pt>
                <c:pt idx="11">
                  <c:v>76</c:v>
                </c:pt>
              </c:numCache>
            </c:numRef>
          </c:val>
          <c:extLst>
            <c:ext xmlns:c16="http://schemas.microsoft.com/office/drawing/2014/chart" uri="{C3380CC4-5D6E-409C-BE32-E72D297353CC}">
              <c16:uniqueId val="{00000002-DDA7-4D9F-870B-86E7CD426356}"/>
            </c:ext>
          </c:extLst>
        </c:ser>
        <c:dLbls>
          <c:showLegendKey val="0"/>
          <c:showVal val="0"/>
          <c:showCatName val="0"/>
          <c:showSerName val="0"/>
          <c:showPercent val="0"/>
          <c:showBubbleSize val="0"/>
        </c:dLbls>
        <c:gapWidth val="90"/>
        <c:overlap val="-40"/>
        <c:axId val="401641064"/>
        <c:axId val="401633616"/>
      </c:barChart>
      <c:catAx>
        <c:axId val="401641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ln>
                  <a:noFill/>
                </a:ln>
                <a:solidFill>
                  <a:sysClr val="windowText" lastClr="000000"/>
                </a:solidFill>
                <a:latin typeface="+mn-lt"/>
                <a:ea typeface="+mn-ea"/>
                <a:cs typeface="+mn-cs"/>
              </a:defRPr>
            </a:pPr>
            <a:endParaRPr lang="pl-PL"/>
          </a:p>
        </c:txPr>
        <c:crossAx val="401633616"/>
        <c:crosses val="autoZero"/>
        <c:auto val="1"/>
        <c:lblAlgn val="ctr"/>
        <c:lblOffset val="100"/>
        <c:noMultiLvlLbl val="0"/>
      </c:catAx>
      <c:valAx>
        <c:axId val="401633616"/>
        <c:scaling>
          <c:orientation val="minMax"/>
          <c:max val="1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ln>
                  <a:noFill/>
                </a:ln>
                <a:solidFill>
                  <a:sysClr val="windowText" lastClr="000000"/>
                </a:solidFill>
                <a:latin typeface="+mn-lt"/>
                <a:ea typeface="+mn-ea"/>
                <a:cs typeface="+mn-cs"/>
              </a:defRPr>
            </a:pPr>
            <a:endParaRPr lang="pl-PL"/>
          </a:p>
        </c:txPr>
        <c:crossAx val="401641064"/>
        <c:crosses val="autoZero"/>
        <c:crossBetween val="between"/>
        <c:majorUnit val="10"/>
      </c:valAx>
      <c:spPr>
        <a:noFill/>
        <a:ln>
          <a:noFill/>
        </a:ln>
        <a:effectLst/>
      </c:spPr>
    </c:plotArea>
    <c:legend>
      <c:legendPos val="b"/>
      <c:layout>
        <c:manualLayout>
          <c:xMode val="edge"/>
          <c:yMode val="edge"/>
          <c:x val="1.0504242525239899E-2"/>
          <c:y val="0.80635320584926884"/>
          <c:w val="0.93930897526698054"/>
          <c:h val="0.16507536557930258"/>
        </c:manualLayout>
      </c:layout>
      <c:overlay val="0"/>
      <c:spPr>
        <a:noFill/>
        <a:ln>
          <a:noFill/>
        </a:ln>
        <a:effectLst/>
      </c:spPr>
      <c:txPr>
        <a:bodyPr rot="0" spcFirstLastPara="1" vertOverflow="ellipsis" vert="horz" wrap="square" anchor="ctr" anchorCtr="1"/>
        <a:lstStyle/>
        <a:p>
          <a:pPr>
            <a:defRPr sz="1000" b="0" i="0" u="none" strike="noStrike" kern="1200" baseline="0">
              <a:ln>
                <a:noFill/>
              </a:ln>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ln>
            <a:noFill/>
          </a:ln>
        </a:defRPr>
      </a:pPr>
      <a:endParaRPr lang="pl-PL"/>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'PM2,5'!$H$1</c:f>
              <c:strCache>
                <c:ptCount val="1"/>
                <c:pt idx="0">
                  <c:v>2020</c:v>
                </c:pt>
              </c:strCache>
            </c:strRef>
          </c:tx>
          <c:spPr>
            <a:solidFill>
              <a:srgbClr val="92D050"/>
            </a:solidFill>
            <a:ln>
              <a:solidFill>
                <a:sysClr val="window" lastClr="FFFFFF">
                  <a:lumMod val="65000"/>
                </a:sysClr>
              </a:solidFill>
            </a:ln>
            <a:effectLst/>
          </c:spPr>
          <c:invertIfNegative val="0"/>
          <c:cat>
            <c:strRef>
              <c:f>'PM2,5'!$G$2:$G$14</c:f>
              <c:strCache>
                <c:ptCount val="13"/>
                <c:pt idx="0">
                  <c:v>Połczyn-Zdrój</c:v>
                </c:pt>
                <c:pt idx="1">
                  <c:v>Gołdap</c:v>
                </c:pt>
                <c:pt idx="2">
                  <c:v>Goczałkowice-Zdrój</c:v>
                </c:pt>
                <c:pt idx="3">
                  <c:v>Busko-Zdrój</c:v>
                </c:pt>
                <c:pt idx="4">
                  <c:v>Rymanów-Zdrój</c:v>
                </c:pt>
                <c:pt idx="5">
                  <c:v>Polańczyk</c:v>
                </c:pt>
                <c:pt idx="6">
                  <c:v>Horyniec</c:v>
                </c:pt>
                <c:pt idx="7">
                  <c:v>Augustów (MOB)</c:v>
                </c:pt>
                <c:pt idx="8">
                  <c:v>Augustów</c:v>
                </c:pt>
                <c:pt idx="9">
                  <c:v>Konstancin Jeziorna</c:v>
                </c:pt>
                <c:pt idx="10">
                  <c:v>Nałęczów</c:v>
                </c:pt>
                <c:pt idx="11">
                  <c:v>Krasnobród</c:v>
                </c:pt>
                <c:pt idx="12">
                  <c:v>Duszniki-Zdrój</c:v>
                </c:pt>
              </c:strCache>
            </c:strRef>
          </c:cat>
          <c:val>
            <c:numRef>
              <c:f>'PM2,5'!$H$2:$H$14</c:f>
              <c:numCache>
                <c:formatCode>General</c:formatCode>
                <c:ptCount val="13"/>
                <c:pt idx="0" formatCode="#0.00">
                  <c:v>9.0401861459999999</c:v>
                </c:pt>
                <c:pt idx="2" formatCode="#0.00">
                  <c:v>29.922236828999999</c:v>
                </c:pt>
                <c:pt idx="3" formatCode="#0.00">
                  <c:v>18.668949908999998</c:v>
                </c:pt>
                <c:pt idx="4" formatCode="#0.00">
                  <c:v>9.0258083649999996</c:v>
                </c:pt>
                <c:pt idx="5" formatCode="#0.00">
                  <c:v>8.7529495589999993</c:v>
                </c:pt>
                <c:pt idx="8" formatCode="#0.00">
                  <c:v>17.578441548000001</c:v>
                </c:pt>
                <c:pt idx="9" formatCode="#0.00">
                  <c:v>16.400306851</c:v>
                </c:pt>
                <c:pt idx="11" formatCode="#0.00">
                  <c:v>12.360556484</c:v>
                </c:pt>
              </c:numCache>
            </c:numRef>
          </c:val>
          <c:extLst>
            <c:ext xmlns:c16="http://schemas.microsoft.com/office/drawing/2014/chart" uri="{C3380CC4-5D6E-409C-BE32-E72D297353CC}">
              <c16:uniqueId val="{00000000-36B7-45FC-B268-6798CED68139}"/>
            </c:ext>
          </c:extLst>
        </c:ser>
        <c:ser>
          <c:idx val="1"/>
          <c:order val="1"/>
          <c:tx>
            <c:strRef>
              <c:f>'PM2,5'!$I$1</c:f>
              <c:strCache>
                <c:ptCount val="1"/>
                <c:pt idx="0">
                  <c:v>2019</c:v>
                </c:pt>
              </c:strCache>
            </c:strRef>
          </c:tx>
          <c:spPr>
            <a:solidFill>
              <a:srgbClr val="FF9933"/>
            </a:solidFill>
            <a:ln>
              <a:solidFill>
                <a:sysClr val="window" lastClr="FFFFFF">
                  <a:lumMod val="65000"/>
                </a:sysClr>
              </a:solidFill>
            </a:ln>
            <a:effectLst/>
          </c:spPr>
          <c:invertIfNegative val="0"/>
          <c:cat>
            <c:strRef>
              <c:f>'PM2,5'!$G$2:$G$14</c:f>
              <c:strCache>
                <c:ptCount val="13"/>
                <c:pt idx="0">
                  <c:v>Połczyn-Zdrój</c:v>
                </c:pt>
                <c:pt idx="1">
                  <c:v>Gołdap</c:v>
                </c:pt>
                <c:pt idx="2">
                  <c:v>Goczałkowice-Zdrój</c:v>
                </c:pt>
                <c:pt idx="3">
                  <c:v>Busko-Zdrój</c:v>
                </c:pt>
                <c:pt idx="4">
                  <c:v>Rymanów-Zdrój</c:v>
                </c:pt>
                <c:pt idx="5">
                  <c:v>Polańczyk</c:v>
                </c:pt>
                <c:pt idx="6">
                  <c:v>Horyniec</c:v>
                </c:pt>
                <c:pt idx="7">
                  <c:v>Augustów (MOB)</c:v>
                </c:pt>
                <c:pt idx="8">
                  <c:v>Augustów</c:v>
                </c:pt>
                <c:pt idx="9">
                  <c:v>Konstancin Jeziorna</c:v>
                </c:pt>
                <c:pt idx="10">
                  <c:v>Nałęczów</c:v>
                </c:pt>
                <c:pt idx="11">
                  <c:v>Krasnobród</c:v>
                </c:pt>
                <c:pt idx="12">
                  <c:v>Duszniki-Zdrój</c:v>
                </c:pt>
              </c:strCache>
            </c:strRef>
          </c:cat>
          <c:val>
            <c:numRef>
              <c:f>'PM2,5'!$I$2:$I$14</c:f>
              <c:numCache>
                <c:formatCode>#0.00</c:formatCode>
                <c:ptCount val="13"/>
                <c:pt idx="1">
                  <c:v>10.677732425</c:v>
                </c:pt>
                <c:pt idx="2">
                  <c:v>29.749889100000001</c:v>
                </c:pt>
                <c:pt idx="3">
                  <c:v>19.756698274000001</c:v>
                </c:pt>
                <c:pt idx="4">
                  <c:v>15.547738988000001</c:v>
                </c:pt>
                <c:pt idx="6">
                  <c:v>16.611611228000001</c:v>
                </c:pt>
                <c:pt idx="9">
                  <c:v>16.543028473</c:v>
                </c:pt>
                <c:pt idx="10">
                  <c:v>15.844897951</c:v>
                </c:pt>
                <c:pt idx="12">
                  <c:v>20.348568872000001</c:v>
                </c:pt>
              </c:numCache>
            </c:numRef>
          </c:val>
          <c:extLst>
            <c:ext xmlns:c16="http://schemas.microsoft.com/office/drawing/2014/chart" uri="{C3380CC4-5D6E-409C-BE32-E72D297353CC}">
              <c16:uniqueId val="{00000001-36B7-45FC-B268-6798CED68139}"/>
            </c:ext>
          </c:extLst>
        </c:ser>
        <c:ser>
          <c:idx val="2"/>
          <c:order val="2"/>
          <c:tx>
            <c:strRef>
              <c:f>'PM2,5'!$J$1</c:f>
              <c:strCache>
                <c:ptCount val="1"/>
                <c:pt idx="0">
                  <c:v>2018</c:v>
                </c:pt>
              </c:strCache>
            </c:strRef>
          </c:tx>
          <c:spPr>
            <a:solidFill>
              <a:schemeClr val="tx2">
                <a:lumMod val="60000"/>
                <a:lumOff val="40000"/>
              </a:schemeClr>
            </a:solidFill>
            <a:ln>
              <a:solidFill>
                <a:sysClr val="window" lastClr="FFFFFF">
                  <a:lumMod val="65000"/>
                </a:sysClr>
              </a:solidFill>
            </a:ln>
            <a:effectLst/>
          </c:spPr>
          <c:invertIfNegative val="0"/>
          <c:cat>
            <c:strRef>
              <c:f>'PM2,5'!$G$2:$G$14</c:f>
              <c:strCache>
                <c:ptCount val="13"/>
                <c:pt idx="0">
                  <c:v>Połczyn-Zdrój</c:v>
                </c:pt>
                <c:pt idx="1">
                  <c:v>Gołdap</c:v>
                </c:pt>
                <c:pt idx="2">
                  <c:v>Goczałkowice-Zdrój</c:v>
                </c:pt>
                <c:pt idx="3">
                  <c:v>Busko-Zdrój</c:v>
                </c:pt>
                <c:pt idx="4">
                  <c:v>Rymanów-Zdrój</c:v>
                </c:pt>
                <c:pt idx="5">
                  <c:v>Polańczyk</c:v>
                </c:pt>
                <c:pt idx="6">
                  <c:v>Horyniec</c:v>
                </c:pt>
                <c:pt idx="7">
                  <c:v>Augustów (MOB)</c:v>
                </c:pt>
                <c:pt idx="8">
                  <c:v>Augustów</c:v>
                </c:pt>
                <c:pt idx="9">
                  <c:v>Konstancin Jeziorna</c:v>
                </c:pt>
                <c:pt idx="10">
                  <c:v>Nałęczów</c:v>
                </c:pt>
                <c:pt idx="11">
                  <c:v>Krasnobród</c:v>
                </c:pt>
                <c:pt idx="12">
                  <c:v>Duszniki-Zdrój</c:v>
                </c:pt>
              </c:strCache>
            </c:strRef>
          </c:cat>
          <c:val>
            <c:numRef>
              <c:f>'PM2,5'!$J$2:$J$14</c:f>
              <c:numCache>
                <c:formatCode>General</c:formatCode>
                <c:ptCount val="13"/>
                <c:pt idx="3" formatCode="#0.00">
                  <c:v>21.597391799</c:v>
                </c:pt>
                <c:pt idx="4" formatCode="#0.00">
                  <c:v>19.053837868999999</c:v>
                </c:pt>
                <c:pt idx="7" formatCode="#0.00">
                  <c:v>15.028712675</c:v>
                </c:pt>
                <c:pt idx="9" formatCode="#0.00">
                  <c:v>21.666478575999999</c:v>
                </c:pt>
                <c:pt idx="12" formatCode="#0.00">
                  <c:v>23.038735936999998</c:v>
                </c:pt>
              </c:numCache>
            </c:numRef>
          </c:val>
          <c:extLst>
            <c:ext xmlns:c16="http://schemas.microsoft.com/office/drawing/2014/chart" uri="{C3380CC4-5D6E-409C-BE32-E72D297353CC}">
              <c16:uniqueId val="{00000002-36B7-45FC-B268-6798CED68139}"/>
            </c:ext>
          </c:extLst>
        </c:ser>
        <c:dLbls>
          <c:showLegendKey val="0"/>
          <c:showVal val="0"/>
          <c:showCatName val="0"/>
          <c:showSerName val="0"/>
          <c:showPercent val="0"/>
          <c:showBubbleSize val="0"/>
        </c:dLbls>
        <c:gapWidth val="100"/>
        <c:axId val="401933384"/>
        <c:axId val="401929464"/>
      </c:barChart>
      <c:catAx>
        <c:axId val="401933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401929464"/>
        <c:crosses val="autoZero"/>
        <c:auto val="1"/>
        <c:lblAlgn val="ctr"/>
        <c:lblOffset val="100"/>
        <c:noMultiLvlLbl val="0"/>
      </c:catAx>
      <c:valAx>
        <c:axId val="401929464"/>
        <c:scaling>
          <c:orientation val="minMax"/>
          <c:max val="35"/>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pl-PL">
                    <a:solidFill>
                      <a:sysClr val="windowText" lastClr="000000"/>
                    </a:solidFill>
                  </a:rPr>
                  <a:t>µg/m</a:t>
                </a:r>
                <a:r>
                  <a:rPr lang="pl-PL" baseline="30000">
                    <a:solidFill>
                      <a:sysClr val="windowText" lastClr="000000"/>
                    </a:solidFill>
                  </a:rPr>
                  <a:t>3</a:t>
                </a:r>
                <a:endParaRPr lang="pl-PL">
                  <a:solidFill>
                    <a:sysClr val="windowText" lastClr="000000"/>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1933384"/>
        <c:crosses val="autoZero"/>
        <c:crossBetween val="between"/>
      </c:valAx>
      <c:spPr>
        <a:noFill/>
        <a:ln>
          <a:solidFill>
            <a:sysClr val="window" lastClr="FFFFFF">
              <a:lumMod val="75000"/>
            </a:sysClr>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'PM10 (2)'!$F$1</c:f>
              <c:strCache>
                <c:ptCount val="1"/>
                <c:pt idx="0">
                  <c:v>2020</c:v>
                </c:pt>
              </c:strCache>
            </c:strRef>
          </c:tx>
          <c:spPr>
            <a:solidFill>
              <a:srgbClr val="92D050"/>
            </a:solidFill>
            <a:ln>
              <a:solidFill>
                <a:sysClr val="window" lastClr="FFFFFF">
                  <a:lumMod val="65000"/>
                </a:sysClr>
              </a:solidFill>
            </a:ln>
            <a:effectLst/>
          </c:spPr>
          <c:invertIfNegative val="0"/>
          <c:val>
            <c:numRef>
              <c:f>'PM10 (2)'!$F$2:$F$30</c:f>
              <c:numCache>
                <c:formatCode>#0.00</c:formatCode>
                <c:ptCount val="29"/>
                <c:pt idx="0">
                  <c:v>12.298252149</c:v>
                </c:pt>
                <c:pt idx="1">
                  <c:v>16.219041096000002</c:v>
                </c:pt>
                <c:pt idx="3">
                  <c:v>19.794040115000001</c:v>
                </c:pt>
                <c:pt idx="4">
                  <c:v>14.523447206</c:v>
                </c:pt>
                <c:pt idx="5">
                  <c:v>35.507795493000003</c:v>
                </c:pt>
                <c:pt idx="6">
                  <c:v>21.573421530000001</c:v>
                </c:pt>
                <c:pt idx="7">
                  <c:v>23.887722754999999</c:v>
                </c:pt>
                <c:pt idx="8" formatCode="General">
                  <c:v>0</c:v>
                </c:pt>
                <c:pt idx="9">
                  <c:v>14.584972678</c:v>
                </c:pt>
                <c:pt idx="10">
                  <c:v>12.450581395</c:v>
                </c:pt>
                <c:pt idx="11">
                  <c:v>14.121516853999999</c:v>
                </c:pt>
                <c:pt idx="13">
                  <c:v>22.478772277000001</c:v>
                </c:pt>
                <c:pt idx="14">
                  <c:v>19.416623969</c:v>
                </c:pt>
                <c:pt idx="15">
                  <c:v>26.448199446</c:v>
                </c:pt>
                <c:pt idx="17">
                  <c:v>17.036546960999999</c:v>
                </c:pt>
                <c:pt idx="18">
                  <c:v>26.713526171000002</c:v>
                </c:pt>
                <c:pt idx="19">
                  <c:v>21.847778135999999</c:v>
                </c:pt>
                <c:pt idx="20">
                  <c:v>20.818443804000001</c:v>
                </c:pt>
                <c:pt idx="21">
                  <c:v>17.719373219000001</c:v>
                </c:pt>
                <c:pt idx="22">
                  <c:v>20.328188888</c:v>
                </c:pt>
                <c:pt idx="23">
                  <c:v>20.049663309</c:v>
                </c:pt>
                <c:pt idx="24">
                  <c:v>20.107287983999999</c:v>
                </c:pt>
                <c:pt idx="25">
                  <c:v>17.329545455000002</c:v>
                </c:pt>
                <c:pt idx="27">
                  <c:v>19.555555556000002</c:v>
                </c:pt>
              </c:numCache>
            </c:numRef>
          </c:val>
          <c:extLst>
            <c:ext xmlns:c16="http://schemas.microsoft.com/office/drawing/2014/chart" uri="{C3380CC4-5D6E-409C-BE32-E72D297353CC}">
              <c16:uniqueId val="{00000000-2F19-479B-B78B-F40FAF154D0A}"/>
            </c:ext>
          </c:extLst>
        </c:ser>
        <c:ser>
          <c:idx val="1"/>
          <c:order val="1"/>
          <c:tx>
            <c:strRef>
              <c:f>'PM10 (2)'!$E$1</c:f>
              <c:strCache>
                <c:ptCount val="1"/>
                <c:pt idx="0">
                  <c:v>2019</c:v>
                </c:pt>
              </c:strCache>
            </c:strRef>
          </c:tx>
          <c:spPr>
            <a:solidFill>
              <a:srgbClr val="FF9933"/>
            </a:solidFill>
            <a:ln>
              <a:solidFill>
                <a:sysClr val="window" lastClr="FFFFFF">
                  <a:lumMod val="65000"/>
                </a:sysClr>
              </a:solidFill>
            </a:ln>
            <a:effectLst/>
          </c:spPr>
          <c:invertIfNegative val="0"/>
          <c:cat>
            <c:strRef>
              <c:f>'PM10 (2)'!$A$2:$A$30</c:f>
              <c:strCache>
                <c:ptCount val="29"/>
                <c:pt idx="0">
                  <c:v>Połczyn-Zdrój</c:v>
                </c:pt>
                <c:pt idx="1">
                  <c:v>Kołobrzeg</c:v>
                </c:pt>
                <c:pt idx="2">
                  <c:v>Gołdap (MOB)</c:v>
                </c:pt>
                <c:pt idx="3">
                  <c:v>Gołdap</c:v>
                </c:pt>
                <c:pt idx="4">
                  <c:v>Ustroń</c:v>
                </c:pt>
                <c:pt idx="5">
                  <c:v>Goczałkowice-Zdrój</c:v>
                </c:pt>
                <c:pt idx="6">
                  <c:v>Solec-Zdrój</c:v>
                </c:pt>
                <c:pt idx="7">
                  <c:v>Busko-Zdrój</c:v>
                </c:pt>
                <c:pt idx="8">
                  <c:v>Sopot</c:v>
                </c:pt>
                <c:pt idx="9">
                  <c:v>Rymanów-Zdrój</c:v>
                </c:pt>
                <c:pt idx="10">
                  <c:v>Polańczyk</c:v>
                </c:pt>
                <c:pt idx="11">
                  <c:v>Iwonicz Zdrój</c:v>
                </c:pt>
                <c:pt idx="12">
                  <c:v>Horyniec</c:v>
                </c:pt>
                <c:pt idx="13">
                  <c:v>Augustów</c:v>
                </c:pt>
                <c:pt idx="14">
                  <c:v>Konstancin Jeziorna</c:v>
                </c:pt>
                <c:pt idx="15">
                  <c:v>Rabka-Zdrój</c:v>
                </c:pt>
                <c:pt idx="16">
                  <c:v>Złockie</c:v>
                </c:pt>
                <c:pt idx="17">
                  <c:v>Krynica-Zdrój</c:v>
                </c:pt>
                <c:pt idx="18">
                  <c:v>Swoszowice</c:v>
                </c:pt>
                <c:pt idx="19">
                  <c:v>Uniejów</c:v>
                </c:pt>
                <c:pt idx="20">
                  <c:v>Nałęczów</c:v>
                </c:pt>
                <c:pt idx="21">
                  <c:v>Krasnobród</c:v>
                </c:pt>
                <c:pt idx="22">
                  <c:v>Wieniec-Zdrój</c:v>
                </c:pt>
                <c:pt idx="23">
                  <c:v>Inowrocław</c:v>
                </c:pt>
                <c:pt idx="24">
                  <c:v>Ciechocinek</c:v>
                </c:pt>
                <c:pt idx="25">
                  <c:v>Szczawno-Zdrój</c:v>
                </c:pt>
                <c:pt idx="26">
                  <c:v>Lądek-Zdrój</c:v>
                </c:pt>
                <c:pt idx="27">
                  <c:v>Cieplice Śląskie-Zdrój</c:v>
                </c:pt>
                <c:pt idx="28">
                  <c:v>Duszniki-Zdrój</c:v>
                </c:pt>
              </c:strCache>
            </c:strRef>
          </c:cat>
          <c:val>
            <c:numRef>
              <c:f>'PM10 (2)'!$E$2:$E$30</c:f>
              <c:numCache>
                <c:formatCode>#0.00</c:formatCode>
                <c:ptCount val="29"/>
                <c:pt idx="1">
                  <c:v>17.595877436999999</c:v>
                </c:pt>
                <c:pt idx="2">
                  <c:v>14.637315634</c:v>
                </c:pt>
                <c:pt idx="3">
                  <c:v>23.151357490999999</c:v>
                </c:pt>
                <c:pt idx="4">
                  <c:v>17.658826601000001</c:v>
                </c:pt>
                <c:pt idx="5" formatCode="General">
                  <c:v>0</c:v>
                </c:pt>
                <c:pt idx="6">
                  <c:v>23.292120123</c:v>
                </c:pt>
                <c:pt idx="7">
                  <c:v>25.699434956000001</c:v>
                </c:pt>
                <c:pt idx="8">
                  <c:v>18.515015428000002</c:v>
                </c:pt>
                <c:pt idx="9">
                  <c:v>16.474704225</c:v>
                </c:pt>
                <c:pt idx="11">
                  <c:v>18.180312499999999</c:v>
                </c:pt>
                <c:pt idx="12">
                  <c:v>21.688459301999998</c:v>
                </c:pt>
                <c:pt idx="13" formatCode="General">
                  <c:v>17.040615812999999</c:v>
                </c:pt>
                <c:pt idx="14">
                  <c:v>20.621347962000002</c:v>
                </c:pt>
                <c:pt idx="17">
                  <c:v>20.489093656000001</c:v>
                </c:pt>
                <c:pt idx="18">
                  <c:v>30.558977900999999</c:v>
                </c:pt>
                <c:pt idx="19">
                  <c:v>27.399194259333299</c:v>
                </c:pt>
                <c:pt idx="20">
                  <c:v>19.942105262999998</c:v>
                </c:pt>
                <c:pt idx="22">
                  <c:v>21.055841170000001</c:v>
                </c:pt>
                <c:pt idx="23">
                  <c:v>22.086735996000002</c:v>
                </c:pt>
                <c:pt idx="24">
                  <c:v>21.187315524999999</c:v>
                </c:pt>
                <c:pt idx="25">
                  <c:v>22.442222222000002</c:v>
                </c:pt>
                <c:pt idx="27">
                  <c:v>21.139416666999999</c:v>
                </c:pt>
                <c:pt idx="28">
                  <c:v>19.390668604999998</c:v>
                </c:pt>
              </c:numCache>
            </c:numRef>
          </c:val>
          <c:extLst>
            <c:ext xmlns:c16="http://schemas.microsoft.com/office/drawing/2014/chart" uri="{C3380CC4-5D6E-409C-BE32-E72D297353CC}">
              <c16:uniqueId val="{00000001-2F19-479B-B78B-F40FAF154D0A}"/>
            </c:ext>
          </c:extLst>
        </c:ser>
        <c:ser>
          <c:idx val="2"/>
          <c:order val="2"/>
          <c:tx>
            <c:strRef>
              <c:f>'PM10 (2)'!$D$1</c:f>
              <c:strCache>
                <c:ptCount val="1"/>
                <c:pt idx="0">
                  <c:v>2018</c:v>
                </c:pt>
              </c:strCache>
            </c:strRef>
          </c:tx>
          <c:spPr>
            <a:solidFill>
              <a:schemeClr val="tx2">
                <a:lumMod val="60000"/>
                <a:lumOff val="40000"/>
              </a:schemeClr>
            </a:solidFill>
            <a:ln>
              <a:solidFill>
                <a:sysClr val="window" lastClr="FFFFFF">
                  <a:lumMod val="65000"/>
                </a:sysClr>
              </a:solidFill>
            </a:ln>
            <a:effectLst/>
          </c:spPr>
          <c:invertIfNegative val="0"/>
          <c:cat>
            <c:strRef>
              <c:f>'PM10 (2)'!$A$2:$A$30</c:f>
              <c:strCache>
                <c:ptCount val="29"/>
                <c:pt idx="0">
                  <c:v>Połczyn-Zdrój</c:v>
                </c:pt>
                <c:pt idx="1">
                  <c:v>Kołobrzeg</c:v>
                </c:pt>
                <c:pt idx="2">
                  <c:v>Gołdap (MOB)</c:v>
                </c:pt>
                <c:pt idx="3">
                  <c:v>Gołdap</c:v>
                </c:pt>
                <c:pt idx="4">
                  <c:v>Ustroń</c:v>
                </c:pt>
                <c:pt idx="5">
                  <c:v>Goczałkowice-Zdrój</c:v>
                </c:pt>
                <c:pt idx="6">
                  <c:v>Solec-Zdrój</c:v>
                </c:pt>
                <c:pt idx="7">
                  <c:v>Busko-Zdrój</c:v>
                </c:pt>
                <c:pt idx="8">
                  <c:v>Sopot</c:v>
                </c:pt>
                <c:pt idx="9">
                  <c:v>Rymanów-Zdrój</c:v>
                </c:pt>
                <c:pt idx="10">
                  <c:v>Polańczyk</c:v>
                </c:pt>
                <c:pt idx="11">
                  <c:v>Iwonicz Zdrój</c:v>
                </c:pt>
                <c:pt idx="12">
                  <c:v>Horyniec</c:v>
                </c:pt>
                <c:pt idx="13">
                  <c:v>Augustów</c:v>
                </c:pt>
                <c:pt idx="14">
                  <c:v>Konstancin Jeziorna</c:v>
                </c:pt>
                <c:pt idx="15">
                  <c:v>Rabka-Zdrój</c:v>
                </c:pt>
                <c:pt idx="16">
                  <c:v>Złockie</c:v>
                </c:pt>
                <c:pt idx="17">
                  <c:v>Krynica-Zdrój</c:v>
                </c:pt>
                <c:pt idx="18">
                  <c:v>Swoszowice</c:v>
                </c:pt>
                <c:pt idx="19">
                  <c:v>Uniejów</c:v>
                </c:pt>
                <c:pt idx="20">
                  <c:v>Nałęczów</c:v>
                </c:pt>
                <c:pt idx="21">
                  <c:v>Krasnobród</c:v>
                </c:pt>
                <c:pt idx="22">
                  <c:v>Wieniec-Zdrój</c:v>
                </c:pt>
                <c:pt idx="23">
                  <c:v>Inowrocław</c:v>
                </c:pt>
                <c:pt idx="24">
                  <c:v>Ciechocinek</c:v>
                </c:pt>
                <c:pt idx="25">
                  <c:v>Szczawno-Zdrój</c:v>
                </c:pt>
                <c:pt idx="26">
                  <c:v>Lądek-Zdrój</c:v>
                </c:pt>
                <c:pt idx="27">
                  <c:v>Cieplice Śląskie-Zdrój</c:v>
                </c:pt>
                <c:pt idx="28">
                  <c:v>Duszniki-Zdrój</c:v>
                </c:pt>
              </c:strCache>
            </c:strRef>
          </c:cat>
          <c:val>
            <c:numRef>
              <c:f>'PM10 (2)'!$D$2:$D$30</c:f>
              <c:numCache>
                <c:formatCode>#0.00</c:formatCode>
                <c:ptCount val="29"/>
                <c:pt idx="1">
                  <c:v>20.784589234999999</c:v>
                </c:pt>
                <c:pt idx="3">
                  <c:v>35.669845899999999</c:v>
                </c:pt>
                <c:pt idx="4">
                  <c:v>25.473757655</c:v>
                </c:pt>
                <c:pt idx="7">
                  <c:v>29.537260830000001</c:v>
                </c:pt>
                <c:pt idx="8">
                  <c:v>21.459086217999999</c:v>
                </c:pt>
                <c:pt idx="9">
                  <c:v>21.648027397</c:v>
                </c:pt>
                <c:pt idx="11">
                  <c:v>23.246972222</c:v>
                </c:pt>
                <c:pt idx="13">
                  <c:v>20.579876562999999</c:v>
                </c:pt>
                <c:pt idx="14">
                  <c:v>24.457671642000001</c:v>
                </c:pt>
                <c:pt idx="16">
                  <c:v>19.750404339333301</c:v>
                </c:pt>
                <c:pt idx="19">
                  <c:v>30.877314174999999</c:v>
                </c:pt>
                <c:pt idx="22">
                  <c:v>24.078991564999999</c:v>
                </c:pt>
                <c:pt idx="23">
                  <c:v>27.216707254999999</c:v>
                </c:pt>
                <c:pt idx="24">
                  <c:v>24.911900418999998</c:v>
                </c:pt>
                <c:pt idx="25">
                  <c:v>29.352016806999998</c:v>
                </c:pt>
                <c:pt idx="26">
                  <c:v>22.758070939</c:v>
                </c:pt>
                <c:pt idx="27">
                  <c:v>26.820972222000002</c:v>
                </c:pt>
                <c:pt idx="28" formatCode="General">
                  <c:v>0</c:v>
                </c:pt>
              </c:numCache>
            </c:numRef>
          </c:val>
          <c:extLst>
            <c:ext xmlns:c16="http://schemas.microsoft.com/office/drawing/2014/chart" uri="{C3380CC4-5D6E-409C-BE32-E72D297353CC}">
              <c16:uniqueId val="{00000002-2F19-479B-B78B-F40FAF154D0A}"/>
            </c:ext>
          </c:extLst>
        </c:ser>
        <c:dLbls>
          <c:showLegendKey val="0"/>
          <c:showVal val="0"/>
          <c:showCatName val="0"/>
          <c:showSerName val="0"/>
          <c:showPercent val="0"/>
          <c:showBubbleSize val="0"/>
        </c:dLbls>
        <c:gapWidth val="150"/>
        <c:axId val="401935344"/>
        <c:axId val="401935736"/>
      </c:barChart>
      <c:catAx>
        <c:axId val="401935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401935736"/>
        <c:crosses val="autoZero"/>
        <c:auto val="1"/>
        <c:lblAlgn val="ctr"/>
        <c:lblOffset val="100"/>
        <c:noMultiLvlLbl val="0"/>
      </c:catAx>
      <c:valAx>
        <c:axId val="401935736"/>
        <c:scaling>
          <c:orientation val="minMax"/>
          <c:max val="6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pl-PL">
                    <a:solidFill>
                      <a:sysClr val="windowText" lastClr="000000"/>
                    </a:solidFill>
                  </a:rPr>
                  <a:t>µg/m</a:t>
                </a:r>
                <a:r>
                  <a:rPr lang="pl-PL" baseline="30000">
                    <a:solidFill>
                      <a:sysClr val="windowText" lastClr="000000"/>
                    </a:solidFill>
                  </a:rPr>
                  <a:t>3</a:t>
                </a:r>
                <a:endParaRPr lang="pl-PL">
                  <a:solidFill>
                    <a:sysClr val="windowText" lastClr="000000"/>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401935344"/>
        <c:crosses val="autoZero"/>
        <c:crossBetween val="between"/>
      </c:valAx>
      <c:spPr>
        <a:noFill/>
        <a:ln>
          <a:solidFill>
            <a:sysClr val="window" lastClr="FFFFFF">
              <a:lumMod val="75000"/>
            </a:sysClr>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userShapes r:id="rId5"/>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2"/>
          <c:order val="0"/>
          <c:tx>
            <c:strRef>
              <c:f>'B(a)P'!$H$1</c:f>
              <c:strCache>
                <c:ptCount val="1"/>
                <c:pt idx="0">
                  <c:v>2020</c:v>
                </c:pt>
              </c:strCache>
            </c:strRef>
          </c:tx>
          <c:spPr>
            <a:solidFill>
              <a:srgbClr val="92D050"/>
            </a:solidFill>
            <a:ln>
              <a:solidFill>
                <a:sysClr val="window" lastClr="FFFFFF">
                  <a:lumMod val="65000"/>
                </a:sysClr>
              </a:solidFill>
            </a:ln>
            <a:effectLst/>
          </c:spPr>
          <c:invertIfNegative val="0"/>
          <c:cat>
            <c:strRef>
              <c:f>'B(a)P'!$G$2:$G$24</c:f>
              <c:strCache>
                <c:ptCount val="23"/>
                <c:pt idx="0">
                  <c:v>Połczyn-Zdrój</c:v>
                </c:pt>
                <c:pt idx="1">
                  <c:v>Kołobrzeg</c:v>
                </c:pt>
                <c:pt idx="2">
                  <c:v>Gołdap</c:v>
                </c:pt>
                <c:pt idx="3">
                  <c:v>Solec-Zdrój</c:v>
                </c:pt>
                <c:pt idx="4">
                  <c:v>Busko-Zdrój</c:v>
                </c:pt>
                <c:pt idx="5">
                  <c:v>Rymanów-Zdrój</c:v>
                </c:pt>
                <c:pt idx="6">
                  <c:v>Polańczyk</c:v>
                </c:pt>
                <c:pt idx="7">
                  <c:v>Iwonicz Zdrój</c:v>
                </c:pt>
                <c:pt idx="8">
                  <c:v>Horyniec</c:v>
                </c:pt>
                <c:pt idx="9">
                  <c:v>Konstancin Jeziorna</c:v>
                </c:pt>
                <c:pt idx="10">
                  <c:v>Rabka-Zdrój</c:v>
                </c:pt>
                <c:pt idx="11">
                  <c:v>Złockie</c:v>
                </c:pt>
                <c:pt idx="12">
                  <c:v>Krynica-Zdrój</c:v>
                </c:pt>
                <c:pt idx="13">
                  <c:v>Swoszowice</c:v>
                </c:pt>
                <c:pt idx="14">
                  <c:v>Uniejów</c:v>
                </c:pt>
                <c:pt idx="15">
                  <c:v>Nałęczów</c:v>
                </c:pt>
                <c:pt idx="16">
                  <c:v>Krasnobród</c:v>
                </c:pt>
                <c:pt idx="17">
                  <c:v>Wieniec-Zdrój</c:v>
                </c:pt>
                <c:pt idx="18">
                  <c:v>Inowrocław</c:v>
                </c:pt>
                <c:pt idx="19">
                  <c:v>Ciechocinek</c:v>
                </c:pt>
                <c:pt idx="20">
                  <c:v>Szczawno-Zdrój</c:v>
                </c:pt>
                <c:pt idx="21">
                  <c:v>Duszniki-Zdrój</c:v>
                </c:pt>
                <c:pt idx="22">
                  <c:v>Cieplice Śląskie-Zdrój</c:v>
                </c:pt>
              </c:strCache>
            </c:strRef>
          </c:cat>
          <c:val>
            <c:numRef>
              <c:f>'B(a)P'!$H$2:$H$24</c:f>
              <c:numCache>
                <c:formatCode>#0.00</c:formatCode>
                <c:ptCount val="23"/>
                <c:pt idx="0">
                  <c:v>0.6593</c:v>
                </c:pt>
                <c:pt idx="1">
                  <c:v>0.65728767099999996</c:v>
                </c:pt>
                <c:pt idx="2">
                  <c:v>1.270458453</c:v>
                </c:pt>
                <c:pt idx="3">
                  <c:v>3.0509374999999999</c:v>
                </c:pt>
                <c:pt idx="4">
                  <c:v>3.7945628419999999</c:v>
                </c:pt>
                <c:pt idx="5">
                  <c:v>0.97459562799999999</c:v>
                </c:pt>
                <c:pt idx="6">
                  <c:v>0.45359011599999999</c:v>
                </c:pt>
                <c:pt idx="7">
                  <c:v>0.60909550599999995</c:v>
                </c:pt>
                <c:pt idx="9">
                  <c:v>1.2786610380000001</c:v>
                </c:pt>
                <c:pt idx="10">
                  <c:v>8.9932872929999998</c:v>
                </c:pt>
                <c:pt idx="12">
                  <c:v>1.7782739729999999</c:v>
                </c:pt>
                <c:pt idx="13">
                  <c:v>3.821939891</c:v>
                </c:pt>
                <c:pt idx="14">
                  <c:v>1.723087432</c:v>
                </c:pt>
                <c:pt idx="15">
                  <c:v>1.848587896</c:v>
                </c:pt>
                <c:pt idx="16">
                  <c:v>1.937863248</c:v>
                </c:pt>
                <c:pt idx="17">
                  <c:v>1.6965258139999999</c:v>
                </c:pt>
                <c:pt idx="18">
                  <c:v>1.508649892</c:v>
                </c:pt>
                <c:pt idx="19">
                  <c:v>2.0937195129999999</c:v>
                </c:pt>
                <c:pt idx="20">
                  <c:v>4.0830144510000004</c:v>
                </c:pt>
                <c:pt idx="22">
                  <c:v>2.5986988950000001</c:v>
                </c:pt>
              </c:numCache>
            </c:numRef>
          </c:val>
          <c:extLst>
            <c:ext xmlns:c16="http://schemas.microsoft.com/office/drawing/2014/chart" uri="{C3380CC4-5D6E-409C-BE32-E72D297353CC}">
              <c16:uniqueId val="{00000000-6FFE-440E-910F-31D9FF251A68}"/>
            </c:ext>
          </c:extLst>
        </c:ser>
        <c:ser>
          <c:idx val="1"/>
          <c:order val="1"/>
          <c:tx>
            <c:strRef>
              <c:f>'B(a)P'!$I$1</c:f>
              <c:strCache>
                <c:ptCount val="1"/>
                <c:pt idx="0">
                  <c:v>2019</c:v>
                </c:pt>
              </c:strCache>
            </c:strRef>
          </c:tx>
          <c:spPr>
            <a:solidFill>
              <a:srgbClr val="FF9933"/>
            </a:solidFill>
            <a:ln>
              <a:solidFill>
                <a:sysClr val="window" lastClr="FFFFFF">
                  <a:lumMod val="65000"/>
                </a:sysClr>
              </a:solidFill>
            </a:ln>
            <a:effectLst/>
          </c:spPr>
          <c:invertIfNegative val="0"/>
          <c:cat>
            <c:strRef>
              <c:f>'B(a)P'!$G$2:$G$24</c:f>
              <c:strCache>
                <c:ptCount val="23"/>
                <c:pt idx="0">
                  <c:v>Połczyn-Zdrój</c:v>
                </c:pt>
                <c:pt idx="1">
                  <c:v>Kołobrzeg</c:v>
                </c:pt>
                <c:pt idx="2">
                  <c:v>Gołdap</c:v>
                </c:pt>
                <c:pt idx="3">
                  <c:v>Solec-Zdrój</c:v>
                </c:pt>
                <c:pt idx="4">
                  <c:v>Busko-Zdrój</c:v>
                </c:pt>
                <c:pt idx="5">
                  <c:v>Rymanów-Zdrój</c:v>
                </c:pt>
                <c:pt idx="6">
                  <c:v>Polańczyk</c:v>
                </c:pt>
                <c:pt idx="7">
                  <c:v>Iwonicz Zdrój</c:v>
                </c:pt>
                <c:pt idx="8">
                  <c:v>Horyniec</c:v>
                </c:pt>
                <c:pt idx="9">
                  <c:v>Konstancin Jeziorna</c:v>
                </c:pt>
                <c:pt idx="10">
                  <c:v>Rabka-Zdrój</c:v>
                </c:pt>
                <c:pt idx="11">
                  <c:v>Złockie</c:v>
                </c:pt>
                <c:pt idx="12">
                  <c:v>Krynica-Zdrój</c:v>
                </c:pt>
                <c:pt idx="13">
                  <c:v>Swoszowice</c:v>
                </c:pt>
                <c:pt idx="14">
                  <c:v>Uniejów</c:v>
                </c:pt>
                <c:pt idx="15">
                  <c:v>Nałęczów</c:v>
                </c:pt>
                <c:pt idx="16">
                  <c:v>Krasnobród</c:v>
                </c:pt>
                <c:pt idx="17">
                  <c:v>Wieniec-Zdrój</c:v>
                </c:pt>
                <c:pt idx="18">
                  <c:v>Inowrocław</c:v>
                </c:pt>
                <c:pt idx="19">
                  <c:v>Ciechocinek</c:v>
                </c:pt>
                <c:pt idx="20">
                  <c:v>Szczawno-Zdrój</c:v>
                </c:pt>
                <c:pt idx="21">
                  <c:v>Duszniki-Zdrój</c:v>
                </c:pt>
                <c:pt idx="22">
                  <c:v>Cieplice Śląskie-Zdrój</c:v>
                </c:pt>
              </c:strCache>
            </c:strRef>
          </c:cat>
          <c:val>
            <c:numRef>
              <c:f>'B(a)P'!$I$2:$I$24</c:f>
              <c:numCache>
                <c:formatCode>#0.00</c:formatCode>
                <c:ptCount val="23"/>
                <c:pt idx="1">
                  <c:v>0.55829131700000001</c:v>
                </c:pt>
                <c:pt idx="2">
                  <c:v>0.52587020600000001</c:v>
                </c:pt>
                <c:pt idx="3">
                  <c:v>2.4422766569999999</c:v>
                </c:pt>
                <c:pt idx="4">
                  <c:v>4.026418338</c:v>
                </c:pt>
                <c:pt idx="5">
                  <c:v>1.0904314289999999</c:v>
                </c:pt>
                <c:pt idx="7">
                  <c:v>1.006664773</c:v>
                </c:pt>
                <c:pt idx="8">
                  <c:v>2.124812317</c:v>
                </c:pt>
                <c:pt idx="9">
                  <c:v>1.536694502</c:v>
                </c:pt>
                <c:pt idx="12">
                  <c:v>2.13015015</c:v>
                </c:pt>
                <c:pt idx="13">
                  <c:v>4.2323901099999999</c:v>
                </c:pt>
                <c:pt idx="14">
                  <c:v>1.682541917</c:v>
                </c:pt>
                <c:pt idx="17">
                  <c:v>1.249888348</c:v>
                </c:pt>
                <c:pt idx="18">
                  <c:v>1.4381362449999999</c:v>
                </c:pt>
                <c:pt idx="19">
                  <c:v>1.8563124820000001</c:v>
                </c:pt>
                <c:pt idx="20">
                  <c:v>3.9405597669999999</c:v>
                </c:pt>
                <c:pt idx="21">
                  <c:v>2.325572271</c:v>
                </c:pt>
                <c:pt idx="22">
                  <c:v>2.343368715</c:v>
                </c:pt>
              </c:numCache>
            </c:numRef>
          </c:val>
          <c:extLst>
            <c:ext xmlns:c16="http://schemas.microsoft.com/office/drawing/2014/chart" uri="{C3380CC4-5D6E-409C-BE32-E72D297353CC}">
              <c16:uniqueId val="{00000001-6FFE-440E-910F-31D9FF251A68}"/>
            </c:ext>
          </c:extLst>
        </c:ser>
        <c:ser>
          <c:idx val="0"/>
          <c:order val="2"/>
          <c:tx>
            <c:strRef>
              <c:f>'B(a)P'!$J$1</c:f>
              <c:strCache>
                <c:ptCount val="1"/>
                <c:pt idx="0">
                  <c:v>2018</c:v>
                </c:pt>
              </c:strCache>
            </c:strRef>
          </c:tx>
          <c:spPr>
            <a:solidFill>
              <a:srgbClr val="1F497D">
                <a:lumMod val="60000"/>
                <a:lumOff val="40000"/>
              </a:srgbClr>
            </a:solidFill>
            <a:ln>
              <a:solidFill>
                <a:sysClr val="window" lastClr="FFFFFF">
                  <a:lumMod val="65000"/>
                </a:sysClr>
              </a:solidFill>
            </a:ln>
            <a:effectLst/>
          </c:spPr>
          <c:invertIfNegative val="0"/>
          <c:cat>
            <c:strRef>
              <c:f>'B(a)P'!$G$2:$G$24</c:f>
              <c:strCache>
                <c:ptCount val="23"/>
                <c:pt idx="0">
                  <c:v>Połczyn-Zdrój</c:v>
                </c:pt>
                <c:pt idx="1">
                  <c:v>Kołobrzeg</c:v>
                </c:pt>
                <c:pt idx="2">
                  <c:v>Gołdap</c:v>
                </c:pt>
                <c:pt idx="3">
                  <c:v>Solec-Zdrój</c:v>
                </c:pt>
                <c:pt idx="4">
                  <c:v>Busko-Zdrój</c:v>
                </c:pt>
                <c:pt idx="5">
                  <c:v>Rymanów-Zdrój</c:v>
                </c:pt>
                <c:pt idx="6">
                  <c:v>Polańczyk</c:v>
                </c:pt>
                <c:pt idx="7">
                  <c:v>Iwonicz Zdrój</c:v>
                </c:pt>
                <c:pt idx="8">
                  <c:v>Horyniec</c:v>
                </c:pt>
                <c:pt idx="9">
                  <c:v>Konstancin Jeziorna</c:v>
                </c:pt>
                <c:pt idx="10">
                  <c:v>Rabka-Zdrój</c:v>
                </c:pt>
                <c:pt idx="11">
                  <c:v>Złockie</c:v>
                </c:pt>
                <c:pt idx="12">
                  <c:v>Krynica-Zdrój</c:v>
                </c:pt>
                <c:pt idx="13">
                  <c:v>Swoszowice</c:v>
                </c:pt>
                <c:pt idx="14">
                  <c:v>Uniejów</c:v>
                </c:pt>
                <c:pt idx="15">
                  <c:v>Nałęczów</c:v>
                </c:pt>
                <c:pt idx="16">
                  <c:v>Krasnobród</c:v>
                </c:pt>
                <c:pt idx="17">
                  <c:v>Wieniec-Zdrój</c:v>
                </c:pt>
                <c:pt idx="18">
                  <c:v>Inowrocław</c:v>
                </c:pt>
                <c:pt idx="19">
                  <c:v>Ciechocinek</c:v>
                </c:pt>
                <c:pt idx="20">
                  <c:v>Szczawno-Zdrój</c:v>
                </c:pt>
                <c:pt idx="21">
                  <c:v>Duszniki-Zdrój</c:v>
                </c:pt>
                <c:pt idx="22">
                  <c:v>Cieplice Śląskie-Zdrój</c:v>
                </c:pt>
              </c:strCache>
            </c:strRef>
          </c:cat>
          <c:val>
            <c:numRef>
              <c:f>'B(a)P'!$J$2:$J$24</c:f>
              <c:numCache>
                <c:formatCode>#0.00</c:formatCode>
                <c:ptCount val="23"/>
                <c:pt idx="1">
                  <c:v>1.2483977900000001</c:v>
                </c:pt>
                <c:pt idx="4">
                  <c:v>3.921065574</c:v>
                </c:pt>
                <c:pt idx="5">
                  <c:v>1.684561644</c:v>
                </c:pt>
                <c:pt idx="7">
                  <c:v>1.6011972219999999</c:v>
                </c:pt>
                <c:pt idx="9">
                  <c:v>1.823959356</c:v>
                </c:pt>
                <c:pt idx="11">
                  <c:v>2.0347348699999999</c:v>
                </c:pt>
                <c:pt idx="14">
                  <c:v>2.861912325</c:v>
                </c:pt>
                <c:pt idx="17">
                  <c:v>1.858992314</c:v>
                </c:pt>
                <c:pt idx="18">
                  <c:v>2.4007041220000001</c:v>
                </c:pt>
                <c:pt idx="19">
                  <c:v>3.1818482229999998</c:v>
                </c:pt>
                <c:pt idx="20">
                  <c:v>6.094377465</c:v>
                </c:pt>
                <c:pt idx="22">
                  <c:v>3.828155556</c:v>
                </c:pt>
              </c:numCache>
            </c:numRef>
          </c:val>
          <c:extLst>
            <c:ext xmlns:c16="http://schemas.microsoft.com/office/drawing/2014/chart" uri="{C3380CC4-5D6E-409C-BE32-E72D297353CC}">
              <c16:uniqueId val="{00000002-6FFE-440E-910F-31D9FF251A68}"/>
            </c:ext>
          </c:extLst>
        </c:ser>
        <c:dLbls>
          <c:showLegendKey val="0"/>
          <c:showVal val="0"/>
          <c:showCatName val="0"/>
          <c:showSerName val="0"/>
          <c:showPercent val="0"/>
          <c:showBubbleSize val="0"/>
        </c:dLbls>
        <c:gapWidth val="100"/>
        <c:axId val="401930640"/>
        <c:axId val="401931032"/>
      </c:barChart>
      <c:catAx>
        <c:axId val="401930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401931032"/>
        <c:crosses val="autoZero"/>
        <c:auto val="1"/>
        <c:lblAlgn val="ctr"/>
        <c:lblOffset val="100"/>
        <c:noMultiLvlLbl val="0"/>
      </c:catAx>
      <c:valAx>
        <c:axId val="40193103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pl-PL">
                    <a:solidFill>
                      <a:sysClr val="windowText" lastClr="000000"/>
                    </a:solidFill>
                  </a:rPr>
                  <a:t>ng/m</a:t>
                </a:r>
                <a:r>
                  <a:rPr lang="pl-PL" baseline="30000">
                    <a:solidFill>
                      <a:sysClr val="windowText" lastClr="000000"/>
                    </a:solidFill>
                  </a:rPr>
                  <a:t>3</a:t>
                </a:r>
                <a:endParaRPr lang="pl-PL">
                  <a:solidFill>
                    <a:sysClr val="windowText" lastClr="000000"/>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401930640"/>
        <c:crosses val="autoZero"/>
        <c:crossBetween val="between"/>
      </c:valAx>
      <c:spPr>
        <a:noFill/>
        <a:ln>
          <a:solidFill>
            <a:sysClr val="window" lastClr="FFFFFF">
              <a:lumMod val="75000"/>
            </a:sysClr>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'NO2'!$H$1</c:f>
              <c:strCache>
                <c:ptCount val="1"/>
                <c:pt idx="0">
                  <c:v>2020</c:v>
                </c:pt>
              </c:strCache>
            </c:strRef>
          </c:tx>
          <c:spPr>
            <a:solidFill>
              <a:srgbClr val="92D050"/>
            </a:solidFill>
            <a:ln>
              <a:solidFill>
                <a:sysClr val="window" lastClr="FFFFFF">
                  <a:lumMod val="65000"/>
                </a:sysClr>
              </a:solidFill>
            </a:ln>
            <a:effectLst/>
          </c:spPr>
          <c:invertIfNegative val="0"/>
          <c:cat>
            <c:strRef>
              <c:f>'NO2'!$G$2:$G$18</c:f>
              <c:strCache>
                <c:ptCount val="17"/>
                <c:pt idx="0">
                  <c:v>Połczyn-Zdrój</c:v>
                </c:pt>
                <c:pt idx="1">
                  <c:v>Gołdap (MOB)</c:v>
                </c:pt>
                <c:pt idx="2">
                  <c:v>Gołdap</c:v>
                </c:pt>
                <c:pt idx="3">
                  <c:v>Ustroń</c:v>
                </c:pt>
                <c:pt idx="4">
                  <c:v>Goczałkowice-Zdrój</c:v>
                </c:pt>
                <c:pt idx="5">
                  <c:v>Sopot</c:v>
                </c:pt>
                <c:pt idx="6">
                  <c:v>Augustów</c:v>
                </c:pt>
                <c:pt idx="7">
                  <c:v>Konstancin Jeziorna</c:v>
                </c:pt>
                <c:pt idx="8">
                  <c:v>Nałęczów</c:v>
                </c:pt>
                <c:pt idx="9">
                  <c:v>Krasnobród</c:v>
                </c:pt>
                <c:pt idx="10">
                  <c:v>Wieniec-Zdrój</c:v>
                </c:pt>
                <c:pt idx="11">
                  <c:v>Inowrocław</c:v>
                </c:pt>
                <c:pt idx="12">
                  <c:v>Ciechocinek</c:v>
                </c:pt>
                <c:pt idx="13">
                  <c:v>Lądek-Zdrój</c:v>
                </c:pt>
                <c:pt idx="14">
                  <c:v>Kudowa-Zdrój</c:v>
                </c:pt>
                <c:pt idx="15">
                  <c:v>Duszniki-Zdrój</c:v>
                </c:pt>
                <c:pt idx="16">
                  <c:v>Czerniawa-Zdrój</c:v>
                </c:pt>
              </c:strCache>
            </c:strRef>
          </c:cat>
          <c:val>
            <c:numRef>
              <c:f>'NO2'!$H$2:$H$18</c:f>
              <c:numCache>
                <c:formatCode>General</c:formatCode>
                <c:ptCount val="17"/>
                <c:pt idx="0" formatCode="#0.00">
                  <c:v>2.7547942349999999</c:v>
                </c:pt>
                <c:pt idx="2" formatCode="#0.00">
                  <c:v>7.3007671939999996</c:v>
                </c:pt>
                <c:pt idx="3" formatCode="#0.00">
                  <c:v>10.293353522</c:v>
                </c:pt>
                <c:pt idx="4" formatCode="#0.00">
                  <c:v>14.592730286</c:v>
                </c:pt>
                <c:pt idx="5" formatCode="#0.00">
                  <c:v>10.312243684</c:v>
                </c:pt>
                <c:pt idx="6" formatCode="#0.00">
                  <c:v>6.8174572470000001</c:v>
                </c:pt>
                <c:pt idx="9" formatCode="#0.00">
                  <c:v>3.4940219360000002</c:v>
                </c:pt>
                <c:pt idx="11" formatCode="#0.00">
                  <c:v>8.6727322010000005</c:v>
                </c:pt>
                <c:pt idx="12" formatCode="#0.00">
                  <c:v>8.9779383950000007</c:v>
                </c:pt>
                <c:pt idx="16" formatCode="#0.00">
                  <c:v>4.2111338910000002</c:v>
                </c:pt>
              </c:numCache>
            </c:numRef>
          </c:val>
          <c:extLst>
            <c:ext xmlns:c16="http://schemas.microsoft.com/office/drawing/2014/chart" uri="{C3380CC4-5D6E-409C-BE32-E72D297353CC}">
              <c16:uniqueId val="{00000000-960E-4603-95A6-C8763A3511C3}"/>
            </c:ext>
          </c:extLst>
        </c:ser>
        <c:ser>
          <c:idx val="1"/>
          <c:order val="1"/>
          <c:tx>
            <c:strRef>
              <c:f>'NO2'!$I$1</c:f>
              <c:strCache>
                <c:ptCount val="1"/>
                <c:pt idx="0">
                  <c:v>2019</c:v>
                </c:pt>
              </c:strCache>
            </c:strRef>
          </c:tx>
          <c:spPr>
            <a:solidFill>
              <a:srgbClr val="FF9933"/>
            </a:solidFill>
            <a:ln>
              <a:solidFill>
                <a:sysClr val="window" lastClr="FFFFFF">
                  <a:lumMod val="65000"/>
                </a:sysClr>
              </a:solidFill>
            </a:ln>
            <a:effectLst/>
          </c:spPr>
          <c:invertIfNegative val="0"/>
          <c:cat>
            <c:strRef>
              <c:f>'NO2'!$G$2:$G$18</c:f>
              <c:strCache>
                <c:ptCount val="17"/>
                <c:pt idx="0">
                  <c:v>Połczyn-Zdrój</c:v>
                </c:pt>
                <c:pt idx="1">
                  <c:v>Gołdap (MOB)</c:v>
                </c:pt>
                <c:pt idx="2">
                  <c:v>Gołdap</c:v>
                </c:pt>
                <c:pt idx="3">
                  <c:v>Ustroń</c:v>
                </c:pt>
                <c:pt idx="4">
                  <c:v>Goczałkowice-Zdrój</c:v>
                </c:pt>
                <c:pt idx="5">
                  <c:v>Sopot</c:v>
                </c:pt>
                <c:pt idx="6">
                  <c:v>Augustów</c:v>
                </c:pt>
                <c:pt idx="7">
                  <c:v>Konstancin Jeziorna</c:v>
                </c:pt>
                <c:pt idx="8">
                  <c:v>Nałęczów</c:v>
                </c:pt>
                <c:pt idx="9">
                  <c:v>Krasnobród</c:v>
                </c:pt>
                <c:pt idx="10">
                  <c:v>Wieniec-Zdrój</c:v>
                </c:pt>
                <c:pt idx="11">
                  <c:v>Inowrocław</c:v>
                </c:pt>
                <c:pt idx="12">
                  <c:v>Ciechocinek</c:v>
                </c:pt>
                <c:pt idx="13">
                  <c:v>Lądek-Zdrój</c:v>
                </c:pt>
                <c:pt idx="14">
                  <c:v>Kudowa-Zdrój</c:v>
                </c:pt>
                <c:pt idx="15">
                  <c:v>Duszniki-Zdrój</c:v>
                </c:pt>
                <c:pt idx="16">
                  <c:v>Czerniawa-Zdrój</c:v>
                </c:pt>
              </c:strCache>
            </c:strRef>
          </c:cat>
          <c:val>
            <c:numRef>
              <c:f>'NO2'!$I$2:$I$18</c:f>
              <c:numCache>
                <c:formatCode>#0.00</c:formatCode>
                <c:ptCount val="17"/>
                <c:pt idx="1">
                  <c:v>4.5176808729999998</c:v>
                </c:pt>
                <c:pt idx="2">
                  <c:v>8.1298694519999994</c:v>
                </c:pt>
                <c:pt idx="3">
                  <c:v>11.888264013000001</c:v>
                </c:pt>
                <c:pt idx="4">
                  <c:v>13.850717865</c:v>
                </c:pt>
                <c:pt idx="5">
                  <c:v>12.589919882</c:v>
                </c:pt>
                <c:pt idx="6">
                  <c:v>9.7750438529999997</c:v>
                </c:pt>
                <c:pt idx="7">
                  <c:v>16.898595321999998</c:v>
                </c:pt>
                <c:pt idx="8">
                  <c:v>8.8877387940000006</c:v>
                </c:pt>
                <c:pt idx="10">
                  <c:v>9.7996981410000004</c:v>
                </c:pt>
                <c:pt idx="11">
                  <c:v>10.028905863</c:v>
                </c:pt>
                <c:pt idx="12">
                  <c:v>9.5878243970000003</c:v>
                </c:pt>
                <c:pt idx="15">
                  <c:v>13.402467845</c:v>
                </c:pt>
              </c:numCache>
            </c:numRef>
          </c:val>
          <c:extLst>
            <c:ext xmlns:c16="http://schemas.microsoft.com/office/drawing/2014/chart" uri="{C3380CC4-5D6E-409C-BE32-E72D297353CC}">
              <c16:uniqueId val="{00000001-960E-4603-95A6-C8763A3511C3}"/>
            </c:ext>
          </c:extLst>
        </c:ser>
        <c:ser>
          <c:idx val="2"/>
          <c:order val="2"/>
          <c:tx>
            <c:strRef>
              <c:f>'NO2'!$J$1</c:f>
              <c:strCache>
                <c:ptCount val="1"/>
                <c:pt idx="0">
                  <c:v>2018</c:v>
                </c:pt>
              </c:strCache>
            </c:strRef>
          </c:tx>
          <c:spPr>
            <a:solidFill>
              <a:schemeClr val="tx2">
                <a:lumMod val="60000"/>
                <a:lumOff val="40000"/>
              </a:schemeClr>
            </a:solidFill>
            <a:ln>
              <a:solidFill>
                <a:sysClr val="window" lastClr="FFFFFF">
                  <a:lumMod val="65000"/>
                </a:sysClr>
              </a:solidFill>
            </a:ln>
            <a:effectLst/>
          </c:spPr>
          <c:invertIfNegative val="0"/>
          <c:cat>
            <c:strRef>
              <c:f>'NO2'!$G$2:$G$18</c:f>
              <c:strCache>
                <c:ptCount val="17"/>
                <c:pt idx="0">
                  <c:v>Połczyn-Zdrój</c:v>
                </c:pt>
                <c:pt idx="1">
                  <c:v>Gołdap (MOB)</c:v>
                </c:pt>
                <c:pt idx="2">
                  <c:v>Gołdap</c:v>
                </c:pt>
                <c:pt idx="3">
                  <c:v>Ustroń</c:v>
                </c:pt>
                <c:pt idx="4">
                  <c:v>Goczałkowice-Zdrój</c:v>
                </c:pt>
                <c:pt idx="5">
                  <c:v>Sopot</c:v>
                </c:pt>
                <c:pt idx="6">
                  <c:v>Augustów</c:v>
                </c:pt>
                <c:pt idx="7">
                  <c:v>Konstancin Jeziorna</c:v>
                </c:pt>
                <c:pt idx="8">
                  <c:v>Nałęczów</c:v>
                </c:pt>
                <c:pt idx="9">
                  <c:v>Krasnobród</c:v>
                </c:pt>
                <c:pt idx="10">
                  <c:v>Wieniec-Zdrój</c:v>
                </c:pt>
                <c:pt idx="11">
                  <c:v>Inowrocław</c:v>
                </c:pt>
                <c:pt idx="12">
                  <c:v>Ciechocinek</c:v>
                </c:pt>
                <c:pt idx="13">
                  <c:v>Lądek-Zdrój</c:v>
                </c:pt>
                <c:pt idx="14">
                  <c:v>Kudowa-Zdrój</c:v>
                </c:pt>
                <c:pt idx="15">
                  <c:v>Duszniki-Zdrój</c:v>
                </c:pt>
                <c:pt idx="16">
                  <c:v>Czerniawa-Zdrój</c:v>
                </c:pt>
              </c:strCache>
            </c:strRef>
          </c:cat>
          <c:val>
            <c:numRef>
              <c:f>'NO2'!$J$2:$J$18</c:f>
              <c:numCache>
                <c:formatCode>General</c:formatCode>
                <c:ptCount val="17"/>
                <c:pt idx="2" formatCode="#0.00">
                  <c:v>9.6284490619999996</c:v>
                </c:pt>
                <c:pt idx="3" formatCode="#0.00">
                  <c:v>14.534549258</c:v>
                </c:pt>
                <c:pt idx="5" formatCode="#0.00">
                  <c:v>14.683742219999999</c:v>
                </c:pt>
                <c:pt idx="6" formatCode="#0.00">
                  <c:v>11.478061661</c:v>
                </c:pt>
                <c:pt idx="7" formatCode="#0.00">
                  <c:v>16.217884819999998</c:v>
                </c:pt>
                <c:pt idx="11" formatCode="#0.00">
                  <c:v>10.549588719000001</c:v>
                </c:pt>
                <c:pt idx="12" formatCode="#0.00">
                  <c:v>9.7644674729999998</c:v>
                </c:pt>
                <c:pt idx="13" formatCode="#0.00">
                  <c:v>8.0359013350000001</c:v>
                </c:pt>
                <c:pt idx="14" formatCode="#0.00">
                  <c:v>8.8614723210000008</c:v>
                </c:pt>
                <c:pt idx="15" formatCode="#0.00">
                  <c:v>15.81281313</c:v>
                </c:pt>
                <c:pt idx="16" formatCode="#0.00">
                  <c:v>6.0798538940000002</c:v>
                </c:pt>
              </c:numCache>
            </c:numRef>
          </c:val>
          <c:extLst>
            <c:ext xmlns:c16="http://schemas.microsoft.com/office/drawing/2014/chart" uri="{C3380CC4-5D6E-409C-BE32-E72D297353CC}">
              <c16:uniqueId val="{00000002-960E-4603-95A6-C8763A3511C3}"/>
            </c:ext>
          </c:extLst>
        </c:ser>
        <c:dLbls>
          <c:showLegendKey val="0"/>
          <c:showVal val="0"/>
          <c:showCatName val="0"/>
          <c:showSerName val="0"/>
          <c:showPercent val="0"/>
          <c:showBubbleSize val="0"/>
        </c:dLbls>
        <c:gapWidth val="100"/>
        <c:axId val="402086096"/>
        <c:axId val="402091192"/>
      </c:barChart>
      <c:catAx>
        <c:axId val="402086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402091192"/>
        <c:crosses val="autoZero"/>
        <c:auto val="1"/>
        <c:lblAlgn val="ctr"/>
        <c:lblOffset val="100"/>
        <c:noMultiLvlLbl val="0"/>
      </c:catAx>
      <c:valAx>
        <c:axId val="40209119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pl-PL">
                    <a:solidFill>
                      <a:sysClr val="windowText" lastClr="000000"/>
                    </a:solidFill>
                  </a:rPr>
                  <a:t>µg/m</a:t>
                </a:r>
                <a:r>
                  <a:rPr lang="pl-PL" baseline="30000">
                    <a:solidFill>
                      <a:sysClr val="windowText" lastClr="000000"/>
                    </a:solidFill>
                  </a:rPr>
                  <a:t>3</a:t>
                </a:r>
                <a:endParaRPr lang="pl-PL">
                  <a:solidFill>
                    <a:sysClr val="windowText" lastClr="000000"/>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402086096"/>
        <c:crosses val="autoZero"/>
        <c:crossBetween val="between"/>
      </c:valAx>
      <c:spPr>
        <a:noFill/>
        <a:ln>
          <a:solidFill>
            <a:sysClr val="window" lastClr="FFFFFF">
              <a:lumMod val="75000"/>
            </a:sysClr>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70C0"/>
            </a:solidFill>
            <a:ln>
              <a:solidFill>
                <a:srgbClr val="0070C0"/>
              </a:solidFill>
            </a:ln>
            <a:effectLst/>
          </c:spPr>
          <c:invertIfNegative val="0"/>
          <c:cat>
            <c:numRef>
              <c:f>Arkusz1!$B$1:$L$1</c:f>
              <c:numCache>
                <c:formatCode>General</c:formatCode>
                <c:ptCount val="7"/>
                <c:pt idx="0">
                  <c:v>2014</c:v>
                </c:pt>
                <c:pt idx="1">
                  <c:v>2015</c:v>
                </c:pt>
                <c:pt idx="2">
                  <c:v>2016</c:v>
                </c:pt>
                <c:pt idx="3">
                  <c:v>2017</c:v>
                </c:pt>
                <c:pt idx="4">
                  <c:v>2018</c:v>
                </c:pt>
                <c:pt idx="5">
                  <c:v>2019</c:v>
                </c:pt>
                <c:pt idx="6">
                  <c:v>2020</c:v>
                </c:pt>
              </c:numCache>
              <c:extLst/>
            </c:numRef>
          </c:cat>
          <c:val>
            <c:numRef>
              <c:f>Arkusz1!$B$3:$L$3</c:f>
              <c:numCache>
                <c:formatCode>0.0</c:formatCode>
                <c:ptCount val="7"/>
                <c:pt idx="0">
                  <c:v>27.73</c:v>
                </c:pt>
                <c:pt idx="1">
                  <c:v>27</c:v>
                </c:pt>
                <c:pt idx="2">
                  <c:v>25.22</c:v>
                </c:pt>
                <c:pt idx="3">
                  <c:v>24.62</c:v>
                </c:pt>
                <c:pt idx="4">
                  <c:v>24.91</c:v>
                </c:pt>
                <c:pt idx="5">
                  <c:v>21.19</c:v>
                </c:pt>
                <c:pt idx="6">
                  <c:v>20.11</c:v>
                </c:pt>
              </c:numCache>
              <c:extLst/>
            </c:numRef>
          </c:val>
          <c:extLst>
            <c:ext xmlns:c16="http://schemas.microsoft.com/office/drawing/2014/chart" uri="{C3380CC4-5D6E-409C-BE32-E72D297353CC}">
              <c16:uniqueId val="{00000000-45D6-46AD-A72D-6667622E7FF4}"/>
            </c:ext>
          </c:extLst>
        </c:ser>
        <c:dLbls>
          <c:showLegendKey val="0"/>
          <c:showVal val="0"/>
          <c:showCatName val="0"/>
          <c:showSerName val="0"/>
          <c:showPercent val="0"/>
          <c:showBubbleSize val="0"/>
        </c:dLbls>
        <c:gapWidth val="299"/>
        <c:axId val="402088056"/>
        <c:axId val="402090800"/>
      </c:barChart>
      <c:catAx>
        <c:axId val="402088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402090800"/>
        <c:crosses val="autoZero"/>
        <c:auto val="1"/>
        <c:lblAlgn val="ctr"/>
        <c:lblOffset val="100"/>
        <c:noMultiLvlLbl val="0"/>
      </c:catAx>
      <c:valAx>
        <c:axId val="402090800"/>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a:solidFill>
                      <a:sysClr val="windowText" lastClr="000000"/>
                    </a:solidFill>
                  </a:rPr>
                  <a:t> [µg/m</a:t>
                </a:r>
                <a:r>
                  <a:rPr lang="en-US" sz="1000" b="0" baseline="30000">
                    <a:solidFill>
                      <a:sysClr val="windowText" lastClr="000000"/>
                    </a:solidFill>
                  </a:rPr>
                  <a:t>3</a:t>
                </a:r>
                <a:r>
                  <a:rPr lang="en-US" sz="1000" b="0">
                    <a:solidFill>
                      <a:sysClr val="windowText" lastClr="000000"/>
                    </a:solidFill>
                  </a:rPr>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402088056"/>
        <c:crosses val="autoZero"/>
        <c:crossBetween val="between"/>
      </c:valAx>
      <c:spPr>
        <a:noFill/>
        <a:ln>
          <a:solidFill>
            <a:schemeClr val="bg1">
              <a:lumMod val="85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userShapes r:id="rId5"/>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70C0"/>
            </a:solidFill>
            <a:ln>
              <a:solidFill>
                <a:srgbClr val="0070C0"/>
              </a:solidFill>
            </a:ln>
            <a:effectLst/>
          </c:spPr>
          <c:invertIfNegative val="0"/>
          <c:cat>
            <c:numRef>
              <c:f>Arkusz1!$B$6:$L$6</c:f>
              <c:numCache>
                <c:formatCode>General</c:formatCode>
                <c:ptCount val="7"/>
                <c:pt idx="0">
                  <c:v>2014</c:v>
                </c:pt>
                <c:pt idx="1">
                  <c:v>2015</c:v>
                </c:pt>
                <c:pt idx="2">
                  <c:v>2016</c:v>
                </c:pt>
                <c:pt idx="3">
                  <c:v>2017</c:v>
                </c:pt>
                <c:pt idx="4">
                  <c:v>2018</c:v>
                </c:pt>
                <c:pt idx="5">
                  <c:v>2019</c:v>
                </c:pt>
                <c:pt idx="6">
                  <c:v>2020</c:v>
                </c:pt>
              </c:numCache>
              <c:extLst/>
            </c:numRef>
          </c:cat>
          <c:val>
            <c:numRef>
              <c:f>Arkusz1!$B$8:$L$8</c:f>
              <c:numCache>
                <c:formatCode>0.0</c:formatCode>
                <c:ptCount val="7"/>
                <c:pt idx="0">
                  <c:v>45</c:v>
                </c:pt>
                <c:pt idx="1">
                  <c:v>43</c:v>
                </c:pt>
                <c:pt idx="2">
                  <c:v>29</c:v>
                </c:pt>
                <c:pt idx="3">
                  <c:v>26</c:v>
                </c:pt>
                <c:pt idx="4">
                  <c:v>37</c:v>
                </c:pt>
                <c:pt idx="5">
                  <c:v>11</c:v>
                </c:pt>
                <c:pt idx="6">
                  <c:v>8</c:v>
                </c:pt>
              </c:numCache>
              <c:extLst/>
            </c:numRef>
          </c:val>
          <c:extLst>
            <c:ext xmlns:c16="http://schemas.microsoft.com/office/drawing/2014/chart" uri="{C3380CC4-5D6E-409C-BE32-E72D297353CC}">
              <c16:uniqueId val="{00000000-BEB9-4711-BB25-18A111057D9B}"/>
            </c:ext>
          </c:extLst>
        </c:ser>
        <c:dLbls>
          <c:showLegendKey val="0"/>
          <c:showVal val="0"/>
          <c:showCatName val="0"/>
          <c:showSerName val="0"/>
          <c:showPercent val="0"/>
          <c:showBubbleSize val="0"/>
        </c:dLbls>
        <c:gapWidth val="306"/>
        <c:overlap val="-27"/>
        <c:axId val="402089232"/>
        <c:axId val="402088840"/>
      </c:barChart>
      <c:catAx>
        <c:axId val="40208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402088840"/>
        <c:crosses val="autoZero"/>
        <c:auto val="1"/>
        <c:lblAlgn val="ctr"/>
        <c:lblOffset val="100"/>
        <c:noMultiLvlLbl val="0"/>
      </c:catAx>
      <c:valAx>
        <c:axId val="402088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a:solidFill>
                      <a:sysClr val="windowText" lastClr="000000"/>
                    </a:solidFill>
                  </a:rPr>
                  <a:t>liczba dni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402089232"/>
        <c:crosses val="autoZero"/>
        <c:crossBetween val="between"/>
      </c:valAx>
      <c:spPr>
        <a:noFill/>
        <a:ln>
          <a:solidFill>
            <a:schemeClr val="bg1">
              <a:lumMod val="85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userShapes r:id="rId5"/>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Times New Roman" panose="02020603050405020304" pitchFamily="18" charset="0"/>
              </a:defRPr>
            </a:pPr>
            <a:r>
              <a:rPr lang="pl-PL" sz="1200">
                <a:latin typeface="+mn-lt"/>
                <a:cs typeface="Times New Roman" panose="02020603050405020304" pitchFamily="18" charset="0"/>
              </a:rPr>
              <a:t>Wielkości emisji NOx z sektora transportu  w wybranych latach</a:t>
            </a:r>
            <a:endParaRPr lang="en-US" sz="1200">
              <a:latin typeface="+mn-lt"/>
              <a:cs typeface="Times New Roman" panose="02020603050405020304" pitchFamily="18" charset="0"/>
            </a:endParaRPr>
          </a:p>
        </c:rich>
      </c:tx>
      <c:layout>
        <c:manualLayout>
          <c:xMode val="edge"/>
          <c:yMode val="edge"/>
          <c:x val="0.16340383516729179"/>
          <c:y val="4.62962530277187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Times New Roman" panose="02020603050405020304" pitchFamily="18" charset="0"/>
            </a:defRPr>
          </a:pPr>
          <a:endParaRPr lang="pl-PL"/>
        </a:p>
      </c:txPr>
    </c:title>
    <c:autoTitleDeleted val="0"/>
    <c:plotArea>
      <c:layout>
        <c:manualLayout>
          <c:layoutTarget val="inner"/>
          <c:xMode val="edge"/>
          <c:yMode val="edge"/>
          <c:x val="0.12301617857704696"/>
          <c:y val="0.23600590356472503"/>
          <c:w val="0.75789512903946932"/>
          <c:h val="0.58873026628348013"/>
        </c:manualLayout>
      </c:layout>
      <c:lineChart>
        <c:grouping val="standard"/>
        <c:varyColors val="0"/>
        <c:ser>
          <c:idx val="0"/>
          <c:order val="0"/>
          <c:tx>
            <c:strRef>
              <c:f>Arkusz1!$C$8</c:f>
              <c:strCache>
                <c:ptCount val="1"/>
                <c:pt idx="0">
                  <c:v>[kt]</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Arkusz1!$D$7:$H$7</c:f>
              <c:numCache>
                <c:formatCode>General</c:formatCode>
                <c:ptCount val="5"/>
                <c:pt idx="0">
                  <c:v>1990</c:v>
                </c:pt>
                <c:pt idx="1">
                  <c:v>2005</c:v>
                </c:pt>
                <c:pt idx="2">
                  <c:v>2010</c:v>
                </c:pt>
                <c:pt idx="3">
                  <c:v>2018</c:v>
                </c:pt>
                <c:pt idx="4">
                  <c:v>2019</c:v>
                </c:pt>
              </c:numCache>
            </c:numRef>
          </c:cat>
          <c:val>
            <c:numRef>
              <c:f>Arkusz1!$D$8:$H$8</c:f>
              <c:numCache>
                <c:formatCode>General</c:formatCode>
                <c:ptCount val="5"/>
                <c:pt idx="0">
                  <c:v>214.62</c:v>
                </c:pt>
                <c:pt idx="1">
                  <c:v>249.39</c:v>
                </c:pt>
                <c:pt idx="2">
                  <c:v>295.54000000000002</c:v>
                </c:pt>
                <c:pt idx="3">
                  <c:v>291.25</c:v>
                </c:pt>
                <c:pt idx="4">
                  <c:v>281.64</c:v>
                </c:pt>
              </c:numCache>
            </c:numRef>
          </c:val>
          <c:smooth val="0"/>
          <c:extLst>
            <c:ext xmlns:c16="http://schemas.microsoft.com/office/drawing/2014/chart" uri="{C3380CC4-5D6E-409C-BE32-E72D297353CC}">
              <c16:uniqueId val="{00000000-C5A5-414D-9326-3F0AB8455E71}"/>
            </c:ext>
          </c:extLst>
        </c:ser>
        <c:dLbls>
          <c:dLblPos val="t"/>
          <c:showLegendKey val="0"/>
          <c:showVal val="1"/>
          <c:showCatName val="0"/>
          <c:showSerName val="0"/>
          <c:showPercent val="0"/>
          <c:showBubbleSize val="0"/>
        </c:dLbls>
        <c:smooth val="0"/>
        <c:axId val="402085312"/>
        <c:axId val="402085704"/>
      </c:lineChart>
      <c:catAx>
        <c:axId val="40208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402085704"/>
        <c:crosses val="autoZero"/>
        <c:auto val="1"/>
        <c:lblAlgn val="ctr"/>
        <c:lblOffset val="100"/>
        <c:noMultiLvlLbl val="0"/>
      </c:catAx>
      <c:valAx>
        <c:axId val="402085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r>
                  <a:rPr lang="pl-PL">
                    <a:latin typeface="+mn-lt"/>
                    <a:cs typeface="Times New Roman" panose="02020603050405020304" pitchFamily="18" charset="0"/>
                  </a:rPr>
                  <a:t>Wielkość</a:t>
                </a:r>
                <a:r>
                  <a:rPr lang="pl-PL" baseline="0">
                    <a:latin typeface="+mn-lt"/>
                    <a:cs typeface="Times New Roman" panose="02020603050405020304" pitchFamily="18" charset="0"/>
                  </a:rPr>
                  <a:t> emisji [kt]</a:t>
                </a:r>
                <a:endParaRPr lang="pl-PL">
                  <a:latin typeface="+mn-lt"/>
                  <a:cs typeface="Times New Roman" panose="02020603050405020304" pitchFamily="18" charset="0"/>
                </a:endParaRPr>
              </a:p>
            </c:rich>
          </c:tx>
          <c:layout>
            <c:manualLayout>
              <c:xMode val="edge"/>
              <c:yMode val="edge"/>
              <c:x val="2.3570091987712892E-2"/>
              <c:y val="0.3169447105461965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402085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440019881329007E-2"/>
          <c:y val="2.6402074193232108E-2"/>
          <c:w val="0.87673983160689717"/>
          <c:h val="0.76844995804463934"/>
        </c:manualLayout>
      </c:layout>
      <c:barChart>
        <c:barDir val="col"/>
        <c:grouping val="percentStacked"/>
        <c:varyColors val="0"/>
        <c:ser>
          <c:idx val="0"/>
          <c:order val="0"/>
          <c:tx>
            <c:strRef>
              <c:f>'do wykresów'!$A$24</c:f>
              <c:strCache>
                <c:ptCount val="1"/>
                <c:pt idx="0">
                  <c:v>Emisja z transportu drogowego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 wykresów'!$B$23:$I$23</c:f>
              <c:strCache>
                <c:ptCount val="8"/>
                <c:pt idx="0">
                  <c:v>CO2 - w </c:v>
                </c:pt>
                <c:pt idx="1">
                  <c:v>CO2 - j</c:v>
                </c:pt>
                <c:pt idx="2">
                  <c:v>NOx - w </c:v>
                </c:pt>
                <c:pt idx="3">
                  <c:v>NOx - j</c:v>
                </c:pt>
                <c:pt idx="4">
                  <c:v>NMVOC - w </c:v>
                </c:pt>
                <c:pt idx="5">
                  <c:v>NMVOC - j</c:v>
                </c:pt>
                <c:pt idx="6">
                  <c:v>TSP - w </c:v>
                </c:pt>
                <c:pt idx="7">
                  <c:v>TSP - j</c:v>
                </c:pt>
              </c:strCache>
            </c:strRef>
          </c:cat>
          <c:val>
            <c:numRef>
              <c:f>'do wykresów'!$B$24:$I$24</c:f>
              <c:numCache>
                <c:formatCode>0.00%</c:formatCode>
                <c:ptCount val="8"/>
                <c:pt idx="0">
                  <c:v>0.36395814892690792</c:v>
                </c:pt>
                <c:pt idx="1">
                  <c:v>0.46007093569774216</c:v>
                </c:pt>
                <c:pt idx="2">
                  <c:v>0.55565592328491153</c:v>
                </c:pt>
                <c:pt idx="3">
                  <c:v>0.53012945256254218</c:v>
                </c:pt>
                <c:pt idx="4">
                  <c:v>0.39094530149166518</c:v>
                </c:pt>
                <c:pt idx="5">
                  <c:v>0.35861255751203786</c:v>
                </c:pt>
                <c:pt idx="6">
                  <c:v>0.78493211323485079</c:v>
                </c:pt>
                <c:pt idx="7">
                  <c:v>0.77608572396037856</c:v>
                </c:pt>
              </c:numCache>
            </c:numRef>
          </c:val>
          <c:extLst>
            <c:ext xmlns:c16="http://schemas.microsoft.com/office/drawing/2014/chart" uri="{C3380CC4-5D6E-409C-BE32-E72D297353CC}">
              <c16:uniqueId val="{00000000-85E2-465A-82AB-1DABC988629E}"/>
            </c:ext>
          </c:extLst>
        </c:ser>
        <c:ser>
          <c:idx val="1"/>
          <c:order val="1"/>
          <c:tx>
            <c:strRef>
              <c:f>'do wykresów'!$A$25</c:f>
              <c:strCache>
                <c:ptCount val="1"/>
                <c:pt idx="0">
                  <c:v>Emisja z SO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 wykresów'!$B$23:$I$23</c:f>
              <c:strCache>
                <c:ptCount val="8"/>
                <c:pt idx="0">
                  <c:v>CO2 - w </c:v>
                </c:pt>
                <c:pt idx="1">
                  <c:v>CO2 - j</c:v>
                </c:pt>
                <c:pt idx="2">
                  <c:v>NOx - w </c:v>
                </c:pt>
                <c:pt idx="3">
                  <c:v>NOx - j</c:v>
                </c:pt>
                <c:pt idx="4">
                  <c:v>NMVOC - w </c:v>
                </c:pt>
                <c:pt idx="5">
                  <c:v>NMVOC - j</c:v>
                </c:pt>
                <c:pt idx="6">
                  <c:v>TSP - w </c:v>
                </c:pt>
                <c:pt idx="7">
                  <c:v>TSP - j</c:v>
                </c:pt>
              </c:strCache>
            </c:strRef>
          </c:cat>
          <c:val>
            <c:numRef>
              <c:f>'do wykresów'!$B$25:$I$25</c:f>
              <c:numCache>
                <c:formatCode>0.00%</c:formatCode>
                <c:ptCount val="8"/>
                <c:pt idx="0">
                  <c:v>0.51046327958680937</c:v>
                </c:pt>
                <c:pt idx="1">
                  <c:v>0.53992906430225784</c:v>
                </c:pt>
                <c:pt idx="2">
                  <c:v>0.30765000926969088</c:v>
                </c:pt>
                <c:pt idx="3">
                  <c:v>0.33135644012944343</c:v>
                </c:pt>
                <c:pt idx="4">
                  <c:v>0.48655792593517272</c:v>
                </c:pt>
                <c:pt idx="5">
                  <c:v>0.56837675371978014</c:v>
                </c:pt>
                <c:pt idx="6">
                  <c:v>0.14811718417593922</c:v>
                </c:pt>
                <c:pt idx="7">
                  <c:v>0.15978354207025161</c:v>
                </c:pt>
              </c:numCache>
            </c:numRef>
          </c:val>
          <c:extLst>
            <c:ext xmlns:c16="http://schemas.microsoft.com/office/drawing/2014/chart" uri="{C3380CC4-5D6E-409C-BE32-E72D297353CC}">
              <c16:uniqueId val="{00000001-85E2-465A-82AB-1DABC988629E}"/>
            </c:ext>
          </c:extLst>
        </c:ser>
        <c:dLbls>
          <c:showLegendKey val="0"/>
          <c:showVal val="0"/>
          <c:showCatName val="0"/>
          <c:showSerName val="0"/>
          <c:showPercent val="0"/>
          <c:showBubbleSize val="0"/>
        </c:dLbls>
        <c:gapWidth val="25"/>
        <c:overlap val="100"/>
        <c:axId val="402265400"/>
        <c:axId val="402269320"/>
      </c:barChart>
      <c:catAx>
        <c:axId val="402265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crossAx val="402269320"/>
        <c:crosses val="autoZero"/>
        <c:auto val="1"/>
        <c:lblAlgn val="ctr"/>
        <c:lblOffset val="100"/>
        <c:noMultiLvlLbl val="0"/>
      </c:catAx>
      <c:valAx>
        <c:axId val="402269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40226540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Entry>
      <c:legendEntry>
        <c:idx val="1"/>
        <c:txPr>
          <a:bodyPr rot="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Entry>
      <c:layout>
        <c:manualLayout>
          <c:xMode val="edge"/>
          <c:yMode val="edge"/>
          <c:x val="0.13097946090072074"/>
          <c:y val="0.88157667330895673"/>
          <c:w val="0.73583649266063966"/>
          <c:h val="0.11842332669104323"/>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b="1"/>
      </a:pPr>
      <a:endParaRPr lang="pl-PL"/>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Times New Roman" panose="02020603050405020304" pitchFamily="18" charset="0"/>
              </a:defRPr>
            </a:pPr>
            <a:r>
              <a:rPr lang="pl-PL" sz="1200">
                <a:latin typeface="+mn-lt"/>
                <a:cs typeface="Times New Roman" panose="02020603050405020304" pitchFamily="18" charset="0"/>
              </a:rPr>
              <a:t>Zużycie paliw w transporcie drogowym [kt]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Times New Roman" panose="02020603050405020304" pitchFamily="18" charset="0"/>
            </a:defRPr>
          </a:pPr>
          <a:endParaRPr lang="pl-PL"/>
        </a:p>
      </c:txPr>
    </c:title>
    <c:autoTitleDeleted val="0"/>
    <c:plotArea>
      <c:layout/>
      <c:lineChart>
        <c:grouping val="standard"/>
        <c:varyColors val="0"/>
        <c:ser>
          <c:idx val="0"/>
          <c:order val="0"/>
          <c:tx>
            <c:strRef>
              <c:f>Arkusz2!$B$25</c:f>
              <c:strCache>
                <c:ptCount val="1"/>
                <c:pt idx="0">
                  <c:v>gasoline</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Arkusz2!$C$24:$L$24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Arkusz2!$C$25:$L$25</c:f>
              <c:numCache>
                <c:formatCode>General</c:formatCode>
                <c:ptCount val="10"/>
                <c:pt idx="0">
                  <c:v>3948</c:v>
                </c:pt>
                <c:pt idx="1">
                  <c:v>3734</c:v>
                </c:pt>
                <c:pt idx="2">
                  <c:v>3574</c:v>
                </c:pt>
                <c:pt idx="3">
                  <c:v>3405</c:v>
                </c:pt>
                <c:pt idx="4">
                  <c:v>3366</c:v>
                </c:pt>
                <c:pt idx="5">
                  <c:v>3558</c:v>
                </c:pt>
                <c:pt idx="6">
                  <c:v>3758</c:v>
                </c:pt>
                <c:pt idx="7">
                  <c:v>4108</c:v>
                </c:pt>
                <c:pt idx="8">
                  <c:v>4270</c:v>
                </c:pt>
                <c:pt idx="9">
                  <c:v>4141</c:v>
                </c:pt>
              </c:numCache>
            </c:numRef>
          </c:val>
          <c:smooth val="0"/>
          <c:extLst>
            <c:ext xmlns:c16="http://schemas.microsoft.com/office/drawing/2014/chart" uri="{C3380CC4-5D6E-409C-BE32-E72D297353CC}">
              <c16:uniqueId val="{00000000-A966-4AD9-8C36-9E7E4E5846B8}"/>
            </c:ext>
          </c:extLst>
        </c:ser>
        <c:ser>
          <c:idx val="1"/>
          <c:order val="1"/>
          <c:tx>
            <c:strRef>
              <c:f>Arkusz2!$B$26</c:f>
              <c:strCache>
                <c:ptCount val="1"/>
                <c:pt idx="0">
                  <c:v>Diesel oil</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Arkusz2!$C$24:$L$24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Arkusz2!$C$26:$L$26</c:f>
              <c:numCache>
                <c:formatCode>General</c:formatCode>
                <c:ptCount val="10"/>
                <c:pt idx="0">
                  <c:v>9303</c:v>
                </c:pt>
                <c:pt idx="1">
                  <c:v>9744</c:v>
                </c:pt>
                <c:pt idx="2">
                  <c:v>9283</c:v>
                </c:pt>
                <c:pt idx="3">
                  <c:v>8532</c:v>
                </c:pt>
                <c:pt idx="4">
                  <c:v>8758</c:v>
                </c:pt>
                <c:pt idx="5">
                  <c:v>9474</c:v>
                </c:pt>
                <c:pt idx="6">
                  <c:v>11262</c:v>
                </c:pt>
                <c:pt idx="7">
                  <c:v>13444</c:v>
                </c:pt>
                <c:pt idx="8">
                  <c:v>13779</c:v>
                </c:pt>
                <c:pt idx="9">
                  <c:v>13900</c:v>
                </c:pt>
              </c:numCache>
            </c:numRef>
          </c:val>
          <c:smooth val="0"/>
          <c:extLst>
            <c:ext xmlns:c16="http://schemas.microsoft.com/office/drawing/2014/chart" uri="{C3380CC4-5D6E-409C-BE32-E72D297353CC}">
              <c16:uniqueId val="{00000001-A966-4AD9-8C36-9E7E4E5846B8}"/>
            </c:ext>
          </c:extLst>
        </c:ser>
        <c:ser>
          <c:idx val="2"/>
          <c:order val="2"/>
          <c:tx>
            <c:strRef>
              <c:f>Arkusz2!$B$27</c:f>
              <c:strCache>
                <c:ptCount val="1"/>
                <c:pt idx="0">
                  <c:v>LPG</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Arkusz2!$C$24:$L$24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Arkusz2!$C$27:$L$27</c:f>
              <c:numCache>
                <c:formatCode>General</c:formatCode>
                <c:ptCount val="10"/>
                <c:pt idx="0">
                  <c:v>1660</c:v>
                </c:pt>
                <c:pt idx="1">
                  <c:v>1608</c:v>
                </c:pt>
                <c:pt idx="2">
                  <c:v>1606</c:v>
                </c:pt>
                <c:pt idx="3">
                  <c:v>1593</c:v>
                </c:pt>
                <c:pt idx="4">
                  <c:v>1605</c:v>
                </c:pt>
                <c:pt idx="5">
                  <c:v>1630</c:v>
                </c:pt>
                <c:pt idx="6">
                  <c:v>1726</c:v>
                </c:pt>
                <c:pt idx="7">
                  <c:v>1832</c:v>
                </c:pt>
                <c:pt idx="8">
                  <c:v>1856</c:v>
                </c:pt>
                <c:pt idx="9">
                  <c:v>1935</c:v>
                </c:pt>
              </c:numCache>
            </c:numRef>
          </c:val>
          <c:smooth val="0"/>
          <c:extLst>
            <c:ext xmlns:c16="http://schemas.microsoft.com/office/drawing/2014/chart" uri="{C3380CC4-5D6E-409C-BE32-E72D297353CC}">
              <c16:uniqueId val="{00000002-A966-4AD9-8C36-9E7E4E5846B8}"/>
            </c:ext>
          </c:extLst>
        </c:ser>
        <c:ser>
          <c:idx val="3"/>
          <c:order val="3"/>
          <c:tx>
            <c:strRef>
              <c:f>Arkusz2!$B$28</c:f>
              <c:strCache>
                <c:ptCount val="1"/>
                <c:pt idx="0">
                  <c:v>CNG/LNG</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Arkusz2!$C$24:$L$24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Arkusz2!$C$28:$L$28</c:f>
              <c:numCache>
                <c:formatCode>General</c:formatCode>
                <c:ptCount val="10"/>
                <c:pt idx="0">
                  <c:v>0</c:v>
                </c:pt>
                <c:pt idx="1">
                  <c:v>0</c:v>
                </c:pt>
                <c:pt idx="2">
                  <c:v>0</c:v>
                </c:pt>
                <c:pt idx="3">
                  <c:v>0</c:v>
                </c:pt>
                <c:pt idx="4">
                  <c:v>0</c:v>
                </c:pt>
                <c:pt idx="5">
                  <c:v>15</c:v>
                </c:pt>
                <c:pt idx="6">
                  <c:v>14</c:v>
                </c:pt>
                <c:pt idx="7">
                  <c:v>11</c:v>
                </c:pt>
                <c:pt idx="8">
                  <c:v>75</c:v>
                </c:pt>
                <c:pt idx="9">
                  <c:v>16</c:v>
                </c:pt>
              </c:numCache>
            </c:numRef>
          </c:val>
          <c:smooth val="0"/>
          <c:extLst>
            <c:ext xmlns:c16="http://schemas.microsoft.com/office/drawing/2014/chart" uri="{C3380CC4-5D6E-409C-BE32-E72D297353CC}">
              <c16:uniqueId val="{00000003-A966-4AD9-8C36-9E7E4E5846B8}"/>
            </c:ext>
          </c:extLst>
        </c:ser>
        <c:dLbls>
          <c:dLblPos val="t"/>
          <c:showLegendKey val="0"/>
          <c:showVal val="1"/>
          <c:showCatName val="0"/>
          <c:showSerName val="0"/>
          <c:showPercent val="0"/>
          <c:showBubbleSize val="0"/>
        </c:dLbls>
        <c:smooth val="0"/>
        <c:axId val="402269712"/>
        <c:axId val="402266968"/>
      </c:lineChart>
      <c:catAx>
        <c:axId val="40226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2266968"/>
        <c:crosses val="autoZero"/>
        <c:auto val="1"/>
        <c:lblAlgn val="ctr"/>
        <c:lblOffset val="100"/>
        <c:noMultiLvlLbl val="0"/>
      </c:catAx>
      <c:valAx>
        <c:axId val="402266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r>
                  <a:rPr lang="pl-PL">
                    <a:latin typeface="+mn-lt"/>
                    <a:cs typeface="Times New Roman" panose="02020603050405020304" pitchFamily="18" charset="0"/>
                  </a:rPr>
                  <a:t>Zużycie paliw [kt]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2269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'liczba stanowisk '!$A$6</c:f>
              <c:strCache>
                <c:ptCount val="1"/>
                <c:pt idx="0">
                  <c:v>BaP</c:v>
                </c:pt>
              </c:strCache>
            </c:strRef>
          </c:tx>
          <c:spPr>
            <a:solidFill>
              <a:schemeClr val="accent1"/>
            </a:solidFill>
            <a:ln>
              <a:noFill/>
            </a:ln>
            <a:effectLst/>
          </c:spPr>
          <c:invertIfNegative val="0"/>
          <c:cat>
            <c:numRef>
              <c:f>'liczba stanowisk '!$B$1:$F$1</c:f>
              <c:numCache>
                <c:formatCode>General</c:formatCode>
                <c:ptCount val="5"/>
                <c:pt idx="0">
                  <c:v>2017</c:v>
                </c:pt>
                <c:pt idx="1">
                  <c:v>2018</c:v>
                </c:pt>
                <c:pt idx="2">
                  <c:v>2019</c:v>
                </c:pt>
                <c:pt idx="3">
                  <c:v>2020</c:v>
                </c:pt>
                <c:pt idx="4">
                  <c:v>2021</c:v>
                </c:pt>
              </c:numCache>
            </c:numRef>
          </c:cat>
          <c:val>
            <c:numRef>
              <c:f>'liczba stanowisk '!$B$6:$F$6</c:f>
              <c:numCache>
                <c:formatCode>General</c:formatCode>
                <c:ptCount val="5"/>
                <c:pt idx="0">
                  <c:v>137</c:v>
                </c:pt>
                <c:pt idx="1">
                  <c:v>144</c:v>
                </c:pt>
                <c:pt idx="2">
                  <c:v>157</c:v>
                </c:pt>
                <c:pt idx="3">
                  <c:v>158</c:v>
                </c:pt>
                <c:pt idx="4">
                  <c:v>172</c:v>
                </c:pt>
              </c:numCache>
            </c:numRef>
          </c:val>
          <c:extLst>
            <c:ext xmlns:c16="http://schemas.microsoft.com/office/drawing/2014/chart" uri="{C3380CC4-5D6E-409C-BE32-E72D297353CC}">
              <c16:uniqueId val="{00000000-8039-48C9-88BD-30F21FD49B62}"/>
            </c:ext>
          </c:extLst>
        </c:ser>
        <c:dLbls>
          <c:showLegendKey val="0"/>
          <c:showVal val="0"/>
          <c:showCatName val="0"/>
          <c:showSerName val="0"/>
          <c:showPercent val="0"/>
          <c:showBubbleSize val="0"/>
        </c:dLbls>
        <c:gapWidth val="219"/>
        <c:overlap val="-27"/>
        <c:axId val="399552480"/>
        <c:axId val="399552864"/>
      </c:barChart>
      <c:catAx>
        <c:axId val="39955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399552864"/>
        <c:crosses val="autoZero"/>
        <c:auto val="1"/>
        <c:lblAlgn val="ctr"/>
        <c:lblOffset val="100"/>
        <c:noMultiLvlLbl val="0"/>
      </c:catAx>
      <c:valAx>
        <c:axId val="399552864"/>
        <c:scaling>
          <c:orientation val="minMax"/>
          <c:max val="18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3995524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'liczba stanowisk '!$A$7</c:f>
              <c:strCache>
                <c:ptCount val="1"/>
                <c:pt idx="0">
                  <c:v>NO2</c:v>
                </c:pt>
              </c:strCache>
            </c:strRef>
          </c:tx>
          <c:spPr>
            <a:solidFill>
              <a:schemeClr val="accent1"/>
            </a:solidFill>
            <a:ln>
              <a:noFill/>
            </a:ln>
            <a:effectLst/>
          </c:spPr>
          <c:invertIfNegative val="0"/>
          <c:cat>
            <c:numRef>
              <c:f>'liczba stanowisk '!$B$1:$F$1</c:f>
              <c:numCache>
                <c:formatCode>General</c:formatCode>
                <c:ptCount val="5"/>
                <c:pt idx="0">
                  <c:v>2017</c:v>
                </c:pt>
                <c:pt idx="1">
                  <c:v>2018</c:v>
                </c:pt>
                <c:pt idx="2">
                  <c:v>2019</c:v>
                </c:pt>
                <c:pt idx="3">
                  <c:v>2020</c:v>
                </c:pt>
                <c:pt idx="4">
                  <c:v>2021</c:v>
                </c:pt>
              </c:numCache>
            </c:numRef>
          </c:cat>
          <c:val>
            <c:numRef>
              <c:f>'liczba stanowisk '!$B$7:$F$7</c:f>
              <c:numCache>
                <c:formatCode>General</c:formatCode>
                <c:ptCount val="5"/>
                <c:pt idx="0">
                  <c:v>145</c:v>
                </c:pt>
                <c:pt idx="1">
                  <c:v>142</c:v>
                </c:pt>
                <c:pt idx="2">
                  <c:v>155</c:v>
                </c:pt>
                <c:pt idx="3">
                  <c:v>146</c:v>
                </c:pt>
                <c:pt idx="4">
                  <c:v>144</c:v>
                </c:pt>
              </c:numCache>
            </c:numRef>
          </c:val>
          <c:extLst>
            <c:ext xmlns:c16="http://schemas.microsoft.com/office/drawing/2014/chart" uri="{C3380CC4-5D6E-409C-BE32-E72D297353CC}">
              <c16:uniqueId val="{00000000-5EFF-4D10-AC22-CC650324D753}"/>
            </c:ext>
          </c:extLst>
        </c:ser>
        <c:dLbls>
          <c:showLegendKey val="0"/>
          <c:showVal val="0"/>
          <c:showCatName val="0"/>
          <c:showSerName val="0"/>
          <c:showPercent val="0"/>
          <c:showBubbleSize val="0"/>
        </c:dLbls>
        <c:gapWidth val="219"/>
        <c:overlap val="-27"/>
        <c:axId val="287750016"/>
        <c:axId val="287751192"/>
      </c:barChart>
      <c:catAx>
        <c:axId val="28775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87751192"/>
        <c:crosses val="autoZero"/>
        <c:auto val="1"/>
        <c:lblAlgn val="ctr"/>
        <c:lblOffset val="100"/>
        <c:noMultiLvlLbl val="0"/>
      </c:catAx>
      <c:valAx>
        <c:axId val="287751192"/>
        <c:scaling>
          <c:orientation val="minMax"/>
          <c:max val="16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87750016"/>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'liczba stanowisk '!$A$8</c:f>
              <c:strCache>
                <c:ptCount val="1"/>
                <c:pt idx="0">
                  <c:v>O3</c:v>
                </c:pt>
              </c:strCache>
            </c:strRef>
          </c:tx>
          <c:spPr>
            <a:solidFill>
              <a:schemeClr val="accent1"/>
            </a:solidFill>
            <a:ln>
              <a:noFill/>
            </a:ln>
            <a:effectLst/>
          </c:spPr>
          <c:invertIfNegative val="0"/>
          <c:cat>
            <c:numRef>
              <c:f>'liczba stanowisk '!$B$1:$F$1</c:f>
              <c:numCache>
                <c:formatCode>General</c:formatCode>
                <c:ptCount val="5"/>
                <c:pt idx="0">
                  <c:v>2017</c:v>
                </c:pt>
                <c:pt idx="1">
                  <c:v>2018</c:v>
                </c:pt>
                <c:pt idx="2">
                  <c:v>2019</c:v>
                </c:pt>
                <c:pt idx="3">
                  <c:v>2020</c:v>
                </c:pt>
                <c:pt idx="4">
                  <c:v>2021</c:v>
                </c:pt>
              </c:numCache>
            </c:numRef>
          </c:cat>
          <c:val>
            <c:numRef>
              <c:f>'liczba stanowisk '!$B$8:$F$8</c:f>
              <c:numCache>
                <c:formatCode>General</c:formatCode>
                <c:ptCount val="5"/>
                <c:pt idx="0">
                  <c:v>103</c:v>
                </c:pt>
                <c:pt idx="1">
                  <c:v>105</c:v>
                </c:pt>
                <c:pt idx="2">
                  <c:v>108</c:v>
                </c:pt>
                <c:pt idx="3">
                  <c:v>105</c:v>
                </c:pt>
                <c:pt idx="4">
                  <c:v>106</c:v>
                </c:pt>
              </c:numCache>
            </c:numRef>
          </c:val>
          <c:extLst>
            <c:ext xmlns:c16="http://schemas.microsoft.com/office/drawing/2014/chart" uri="{C3380CC4-5D6E-409C-BE32-E72D297353CC}">
              <c16:uniqueId val="{00000000-CBBD-4583-8DE8-2D6E5481ED24}"/>
            </c:ext>
          </c:extLst>
        </c:ser>
        <c:dLbls>
          <c:showLegendKey val="0"/>
          <c:showVal val="0"/>
          <c:showCatName val="0"/>
          <c:showSerName val="0"/>
          <c:showPercent val="0"/>
          <c:showBubbleSize val="0"/>
        </c:dLbls>
        <c:gapWidth val="219"/>
        <c:overlap val="-27"/>
        <c:axId val="287754328"/>
        <c:axId val="287753544"/>
      </c:barChart>
      <c:catAx>
        <c:axId val="287754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87753544"/>
        <c:crosses val="autoZero"/>
        <c:auto val="1"/>
        <c:lblAlgn val="ctr"/>
        <c:lblOffset val="100"/>
        <c:noMultiLvlLbl val="0"/>
      </c:catAx>
      <c:valAx>
        <c:axId val="28775354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87754328"/>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86763516564211"/>
          <c:y val="5.5555555555555552E-2"/>
          <c:w val="0.8703545043637031"/>
          <c:h val="0.8228616877435776"/>
        </c:manualLayout>
      </c:layout>
      <c:lineChart>
        <c:grouping val="standard"/>
        <c:varyColors val="0"/>
        <c:ser>
          <c:idx val="0"/>
          <c:order val="0"/>
          <c:tx>
            <c:strRef>
              <c:f>'PM10'!$B$1</c:f>
              <c:strCache>
                <c:ptCount val="1"/>
                <c:pt idx="0">
                  <c:v>WSmax36</c:v>
                </c:pt>
              </c:strCache>
            </c:strRef>
          </c:tx>
          <c:spPr>
            <a:ln w="28575" cap="rnd">
              <a:solidFill>
                <a:srgbClr val="CC3300"/>
              </a:solidFill>
              <a:round/>
            </a:ln>
            <a:effectLst/>
          </c:spPr>
          <c:marker>
            <c:symbol val="circle"/>
            <c:size val="5"/>
            <c:spPr>
              <a:solidFill>
                <a:srgbClr val="FF3300"/>
              </a:solidFill>
              <a:ln w="111125">
                <a:solidFill>
                  <a:srgbClr val="CC33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'PM10'!$A$2:$A$12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'PM10'!$B$2:$B$12</c:f>
              <c:numCache>
                <c:formatCode>0.0</c:formatCode>
                <c:ptCount val="11"/>
                <c:pt idx="0">
                  <c:v>73.8</c:v>
                </c:pt>
                <c:pt idx="1">
                  <c:v>73.900000000000006</c:v>
                </c:pt>
                <c:pt idx="2">
                  <c:v>67.599999999999994</c:v>
                </c:pt>
                <c:pt idx="3">
                  <c:v>60.3</c:v>
                </c:pt>
                <c:pt idx="4">
                  <c:v>63</c:v>
                </c:pt>
                <c:pt idx="5">
                  <c:v>61.5</c:v>
                </c:pt>
                <c:pt idx="6">
                  <c:v>55.1</c:v>
                </c:pt>
                <c:pt idx="7">
                  <c:v>58.6</c:v>
                </c:pt>
                <c:pt idx="8">
                  <c:v>59.6</c:v>
                </c:pt>
                <c:pt idx="9">
                  <c:v>47.7</c:v>
                </c:pt>
                <c:pt idx="10">
                  <c:v>41.7</c:v>
                </c:pt>
              </c:numCache>
            </c:numRef>
          </c:val>
          <c:smooth val="0"/>
          <c:extLst>
            <c:ext xmlns:c16="http://schemas.microsoft.com/office/drawing/2014/chart" uri="{C3380CC4-5D6E-409C-BE32-E72D297353CC}">
              <c16:uniqueId val="{00000000-CB23-456B-B027-0E4C725E902F}"/>
            </c:ext>
          </c:extLst>
        </c:ser>
        <c:ser>
          <c:idx val="1"/>
          <c:order val="1"/>
          <c:tx>
            <c:strRef>
              <c:f>'PM10'!$C$1</c:f>
              <c:strCache>
                <c:ptCount val="1"/>
                <c:pt idx="0">
                  <c:v>Wsa</c:v>
                </c:pt>
              </c:strCache>
            </c:strRef>
          </c:tx>
          <c:spPr>
            <a:ln w="28575" cap="rnd">
              <a:solidFill>
                <a:schemeClr val="accent1">
                  <a:lumMod val="75000"/>
                </a:schemeClr>
              </a:solidFill>
              <a:round/>
            </a:ln>
            <a:effectLst/>
          </c:spPr>
          <c:marker>
            <c:symbol val="circle"/>
            <c:size val="5"/>
            <c:spPr>
              <a:solidFill>
                <a:schemeClr val="accent1">
                  <a:lumMod val="75000"/>
                </a:schemeClr>
              </a:solidFill>
              <a:ln w="114300">
                <a:solidFill>
                  <a:schemeClr val="accent1">
                    <a:lumMod val="7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'PM10'!$A$2:$A$12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'PM10'!$C$2:$C$12</c:f>
              <c:numCache>
                <c:formatCode>0.0</c:formatCode>
                <c:ptCount val="11"/>
                <c:pt idx="0">
                  <c:v>38.799999999999997</c:v>
                </c:pt>
                <c:pt idx="1">
                  <c:v>38.9</c:v>
                </c:pt>
                <c:pt idx="2">
                  <c:v>36</c:v>
                </c:pt>
                <c:pt idx="3">
                  <c:v>33.4</c:v>
                </c:pt>
                <c:pt idx="4">
                  <c:v>34.299999999999997</c:v>
                </c:pt>
                <c:pt idx="5">
                  <c:v>32.799999999999997</c:v>
                </c:pt>
                <c:pt idx="6">
                  <c:v>31.3</c:v>
                </c:pt>
                <c:pt idx="7">
                  <c:v>31.7</c:v>
                </c:pt>
                <c:pt idx="8">
                  <c:v>32.5</c:v>
                </c:pt>
                <c:pt idx="9">
                  <c:v>26.4</c:v>
                </c:pt>
                <c:pt idx="10">
                  <c:v>23.9</c:v>
                </c:pt>
              </c:numCache>
            </c:numRef>
          </c:val>
          <c:smooth val="0"/>
          <c:extLst>
            <c:ext xmlns:c16="http://schemas.microsoft.com/office/drawing/2014/chart" uri="{C3380CC4-5D6E-409C-BE32-E72D297353CC}">
              <c16:uniqueId val="{00000001-CB23-456B-B027-0E4C725E902F}"/>
            </c:ext>
          </c:extLst>
        </c:ser>
        <c:dLbls>
          <c:dLblPos val="ctr"/>
          <c:showLegendKey val="0"/>
          <c:showVal val="1"/>
          <c:showCatName val="0"/>
          <c:showSerName val="0"/>
          <c:showPercent val="0"/>
          <c:showBubbleSize val="0"/>
        </c:dLbls>
        <c:marker val="1"/>
        <c:smooth val="0"/>
        <c:axId val="287755504"/>
        <c:axId val="287748840"/>
      </c:lineChart>
      <c:catAx>
        <c:axId val="287755504"/>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287748840"/>
        <c:crosses val="autoZero"/>
        <c:auto val="1"/>
        <c:lblAlgn val="ctr"/>
        <c:lblOffset val="100"/>
        <c:noMultiLvlLbl val="0"/>
      </c:catAx>
      <c:valAx>
        <c:axId val="28774884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pl-PL">
                    <a:solidFill>
                      <a:sysClr val="windowText" lastClr="000000"/>
                    </a:solidFill>
                    <a:latin typeface="+mn-lt"/>
                    <a:cs typeface="Times New Roman" panose="02020603050405020304" pitchFamily="18" charset="0"/>
                  </a:rPr>
                  <a:t>µg/m</a:t>
                </a:r>
                <a:r>
                  <a:rPr lang="pl-PL" baseline="30000">
                    <a:solidFill>
                      <a:sysClr val="windowText" lastClr="000000"/>
                    </a:solidFill>
                    <a:latin typeface="+mn-lt"/>
                    <a:cs typeface="Times New Roman" panose="02020603050405020304" pitchFamily="18" charset="0"/>
                  </a:rPr>
                  <a:t>3</a:t>
                </a:r>
                <a:endParaRPr lang="pl-PL">
                  <a:solidFill>
                    <a:sysClr val="windowText" lastClr="000000"/>
                  </a:solidFill>
                  <a:latin typeface="+mn-l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287755504"/>
        <c:crosses val="autoZero"/>
        <c:crossBetween val="between"/>
      </c:valAx>
      <c:spPr>
        <a:noFill/>
        <a:ln>
          <a:noFill/>
        </a:ln>
        <a:effectLst/>
      </c:spPr>
    </c:plotArea>
    <c:legend>
      <c:legendPos val="b"/>
      <c:layout>
        <c:manualLayout>
          <c:xMode val="edge"/>
          <c:yMode val="edge"/>
          <c:x val="0.29084152613683667"/>
          <c:y val="0.42734589994432515"/>
          <c:w val="0.20165026246719159"/>
          <c:h val="0.10590332458442694"/>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86763516564211"/>
          <c:y val="5.5555555555555552E-2"/>
          <c:w val="0.8703545043637031"/>
          <c:h val="0.8228616877435776"/>
        </c:manualLayout>
      </c:layout>
      <c:lineChart>
        <c:grouping val="standard"/>
        <c:varyColors val="0"/>
        <c:ser>
          <c:idx val="0"/>
          <c:order val="0"/>
          <c:tx>
            <c:strRef>
              <c:f>'PM10'!$B$1</c:f>
              <c:strCache>
                <c:ptCount val="1"/>
                <c:pt idx="0">
                  <c:v>WSmax36</c:v>
                </c:pt>
              </c:strCache>
            </c:strRef>
          </c:tx>
          <c:spPr>
            <a:ln w="28575" cap="rnd">
              <a:solidFill>
                <a:srgbClr val="CC3300"/>
              </a:solidFill>
              <a:round/>
            </a:ln>
            <a:effectLst/>
          </c:spPr>
          <c:marker>
            <c:symbol val="circle"/>
            <c:size val="5"/>
            <c:spPr>
              <a:solidFill>
                <a:srgbClr val="FF3300"/>
              </a:solidFill>
              <a:ln w="111125">
                <a:solidFill>
                  <a:srgbClr val="CC33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'PM10'!$A$2:$A$12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'PM10'!$B$2:$B$12</c:f>
              <c:numCache>
                <c:formatCode>0.0</c:formatCode>
                <c:ptCount val="11"/>
                <c:pt idx="0">
                  <c:v>73.8</c:v>
                </c:pt>
                <c:pt idx="1">
                  <c:v>73.900000000000006</c:v>
                </c:pt>
                <c:pt idx="2">
                  <c:v>67.599999999999994</c:v>
                </c:pt>
                <c:pt idx="3">
                  <c:v>60.3</c:v>
                </c:pt>
                <c:pt idx="4">
                  <c:v>63</c:v>
                </c:pt>
                <c:pt idx="5">
                  <c:v>61.5</c:v>
                </c:pt>
                <c:pt idx="6">
                  <c:v>55.1</c:v>
                </c:pt>
                <c:pt idx="7">
                  <c:v>58.6</c:v>
                </c:pt>
                <c:pt idx="8">
                  <c:v>59.6</c:v>
                </c:pt>
                <c:pt idx="9">
                  <c:v>47.7</c:v>
                </c:pt>
                <c:pt idx="10">
                  <c:v>41.7</c:v>
                </c:pt>
              </c:numCache>
            </c:numRef>
          </c:val>
          <c:smooth val="0"/>
          <c:extLst>
            <c:ext xmlns:c16="http://schemas.microsoft.com/office/drawing/2014/chart" uri="{C3380CC4-5D6E-409C-BE32-E72D297353CC}">
              <c16:uniqueId val="{00000000-5CDD-4E73-A508-E8797AD1A63E}"/>
            </c:ext>
          </c:extLst>
        </c:ser>
        <c:ser>
          <c:idx val="1"/>
          <c:order val="1"/>
          <c:tx>
            <c:strRef>
              <c:f>'PM10'!$C$1</c:f>
              <c:strCache>
                <c:ptCount val="1"/>
                <c:pt idx="0">
                  <c:v>Wsa</c:v>
                </c:pt>
              </c:strCache>
            </c:strRef>
          </c:tx>
          <c:spPr>
            <a:ln w="28575" cap="rnd">
              <a:solidFill>
                <a:schemeClr val="accent1">
                  <a:lumMod val="75000"/>
                </a:schemeClr>
              </a:solidFill>
              <a:round/>
            </a:ln>
            <a:effectLst/>
          </c:spPr>
          <c:marker>
            <c:symbol val="circle"/>
            <c:size val="5"/>
            <c:spPr>
              <a:solidFill>
                <a:schemeClr val="accent1">
                  <a:lumMod val="75000"/>
                </a:schemeClr>
              </a:solidFill>
              <a:ln w="114300">
                <a:solidFill>
                  <a:schemeClr val="accent1">
                    <a:lumMod val="7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'PM10'!$A$2:$A$12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'PM10'!$C$2:$C$12</c:f>
              <c:numCache>
                <c:formatCode>0.0</c:formatCode>
                <c:ptCount val="11"/>
                <c:pt idx="0">
                  <c:v>38.799999999999997</c:v>
                </c:pt>
                <c:pt idx="1">
                  <c:v>38.9</c:v>
                </c:pt>
                <c:pt idx="2">
                  <c:v>36</c:v>
                </c:pt>
                <c:pt idx="3">
                  <c:v>33.4</c:v>
                </c:pt>
                <c:pt idx="4">
                  <c:v>34.299999999999997</c:v>
                </c:pt>
                <c:pt idx="5">
                  <c:v>32.799999999999997</c:v>
                </c:pt>
                <c:pt idx="6">
                  <c:v>31.3</c:v>
                </c:pt>
                <c:pt idx="7">
                  <c:v>31.7</c:v>
                </c:pt>
                <c:pt idx="8">
                  <c:v>32.5</c:v>
                </c:pt>
                <c:pt idx="9">
                  <c:v>26.4</c:v>
                </c:pt>
                <c:pt idx="10">
                  <c:v>23.9</c:v>
                </c:pt>
              </c:numCache>
            </c:numRef>
          </c:val>
          <c:smooth val="0"/>
          <c:extLst>
            <c:ext xmlns:c16="http://schemas.microsoft.com/office/drawing/2014/chart" uri="{C3380CC4-5D6E-409C-BE32-E72D297353CC}">
              <c16:uniqueId val="{00000001-5CDD-4E73-A508-E8797AD1A63E}"/>
            </c:ext>
          </c:extLst>
        </c:ser>
        <c:dLbls>
          <c:dLblPos val="ctr"/>
          <c:showLegendKey val="0"/>
          <c:showVal val="1"/>
          <c:showCatName val="0"/>
          <c:showSerName val="0"/>
          <c:showPercent val="0"/>
          <c:showBubbleSize val="0"/>
        </c:dLbls>
        <c:marker val="1"/>
        <c:smooth val="0"/>
        <c:axId val="399792568"/>
        <c:axId val="399795312"/>
      </c:lineChart>
      <c:catAx>
        <c:axId val="399792568"/>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399795312"/>
        <c:crosses val="autoZero"/>
        <c:auto val="1"/>
        <c:lblAlgn val="ctr"/>
        <c:lblOffset val="100"/>
        <c:noMultiLvlLbl val="0"/>
      </c:catAx>
      <c:valAx>
        <c:axId val="399795312"/>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pl-PL">
                    <a:solidFill>
                      <a:sysClr val="windowText" lastClr="000000"/>
                    </a:solidFill>
                    <a:latin typeface="+mn-lt"/>
                    <a:cs typeface="Times New Roman" panose="02020603050405020304" pitchFamily="18" charset="0"/>
                  </a:rPr>
                  <a:t>µg/m</a:t>
                </a:r>
                <a:r>
                  <a:rPr lang="pl-PL" baseline="30000">
                    <a:solidFill>
                      <a:sysClr val="windowText" lastClr="000000"/>
                    </a:solidFill>
                    <a:latin typeface="+mn-lt"/>
                    <a:cs typeface="Times New Roman" panose="02020603050405020304" pitchFamily="18" charset="0"/>
                  </a:rPr>
                  <a:t>3</a:t>
                </a:r>
                <a:endParaRPr lang="pl-PL">
                  <a:solidFill>
                    <a:sysClr val="windowText" lastClr="000000"/>
                  </a:solidFill>
                  <a:latin typeface="+mn-l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399792568"/>
        <c:crosses val="autoZero"/>
        <c:crossBetween val="between"/>
      </c:valAx>
      <c:spPr>
        <a:noFill/>
        <a:ln>
          <a:noFill/>
        </a:ln>
        <a:effectLst/>
      </c:spPr>
    </c:plotArea>
    <c:legend>
      <c:legendPos val="b"/>
      <c:layout>
        <c:manualLayout>
          <c:xMode val="edge"/>
          <c:yMode val="edge"/>
          <c:x val="0.29084152613683667"/>
          <c:y val="0.42734589994432515"/>
          <c:w val="0.20165026246719159"/>
          <c:h val="0.10590332458442694"/>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86763516564211"/>
          <c:y val="5.5555555555555552E-2"/>
          <c:w val="0.8703545043637031"/>
          <c:h val="0.8228616877435776"/>
        </c:manualLayout>
      </c:layout>
      <c:lineChart>
        <c:grouping val="standard"/>
        <c:varyColors val="0"/>
        <c:ser>
          <c:idx val="0"/>
          <c:order val="0"/>
          <c:tx>
            <c:strRef>
              <c:f>BaP!$B$1</c:f>
              <c:strCache>
                <c:ptCount val="1"/>
                <c:pt idx="0">
                  <c:v>średnie</c:v>
                </c:pt>
              </c:strCache>
            </c:strRef>
          </c:tx>
          <c:spPr>
            <a:ln w="28575" cap="rnd">
              <a:solidFill>
                <a:schemeClr val="accent1">
                  <a:lumMod val="75000"/>
                </a:schemeClr>
              </a:solidFill>
              <a:round/>
            </a:ln>
            <a:effectLst/>
          </c:spPr>
          <c:marker>
            <c:symbol val="circle"/>
            <c:size val="5"/>
            <c:spPr>
              <a:solidFill>
                <a:srgbClr val="FF3300"/>
              </a:solidFill>
              <a:ln w="114300">
                <a:solidFill>
                  <a:schemeClr val="accent1">
                    <a:lumMod val="7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'PM10'!$A$2:$A$12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BaP!$B$2:$B$12</c:f>
              <c:numCache>
                <c:formatCode>0.00</c:formatCode>
                <c:ptCount val="11"/>
                <c:pt idx="0">
                  <c:v>5.37</c:v>
                </c:pt>
                <c:pt idx="1">
                  <c:v>4.8</c:v>
                </c:pt>
                <c:pt idx="2">
                  <c:v>4.95</c:v>
                </c:pt>
                <c:pt idx="3">
                  <c:v>4.1399999999999997</c:v>
                </c:pt>
                <c:pt idx="4">
                  <c:v>4.03</c:v>
                </c:pt>
                <c:pt idx="5">
                  <c:v>3.85</c:v>
                </c:pt>
                <c:pt idx="6">
                  <c:v>3.88</c:v>
                </c:pt>
                <c:pt idx="7">
                  <c:v>4</c:v>
                </c:pt>
                <c:pt idx="8">
                  <c:v>3.67</c:v>
                </c:pt>
                <c:pt idx="9">
                  <c:v>2.88</c:v>
                </c:pt>
                <c:pt idx="10">
                  <c:v>2.62</c:v>
                </c:pt>
              </c:numCache>
            </c:numRef>
          </c:val>
          <c:smooth val="0"/>
          <c:extLst>
            <c:ext xmlns:c16="http://schemas.microsoft.com/office/drawing/2014/chart" uri="{C3380CC4-5D6E-409C-BE32-E72D297353CC}">
              <c16:uniqueId val="{00000000-CF7A-4469-AD13-58B328E1877D}"/>
            </c:ext>
          </c:extLst>
        </c:ser>
        <c:dLbls>
          <c:dLblPos val="ctr"/>
          <c:showLegendKey val="0"/>
          <c:showVal val="1"/>
          <c:showCatName val="0"/>
          <c:showSerName val="0"/>
          <c:showPercent val="0"/>
          <c:showBubbleSize val="0"/>
        </c:dLbls>
        <c:marker val="1"/>
        <c:smooth val="0"/>
        <c:axId val="399796096"/>
        <c:axId val="399792176"/>
      </c:lineChart>
      <c:catAx>
        <c:axId val="39979609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399792176"/>
        <c:crosses val="autoZero"/>
        <c:auto val="1"/>
        <c:lblAlgn val="ctr"/>
        <c:lblOffset val="100"/>
        <c:noMultiLvlLbl val="0"/>
      </c:catAx>
      <c:valAx>
        <c:axId val="399792176"/>
        <c:scaling>
          <c:orientation val="minMax"/>
          <c:max val="6"/>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pl-PL">
                    <a:solidFill>
                      <a:sysClr val="windowText" lastClr="000000"/>
                    </a:solidFill>
                    <a:latin typeface="+mn-lt"/>
                    <a:cs typeface="Times New Roman" panose="02020603050405020304" pitchFamily="18" charset="0"/>
                  </a:rPr>
                  <a:t>ng/m</a:t>
                </a:r>
                <a:r>
                  <a:rPr lang="pl-PL" baseline="30000">
                    <a:solidFill>
                      <a:sysClr val="windowText" lastClr="000000"/>
                    </a:solidFill>
                    <a:latin typeface="+mn-lt"/>
                    <a:cs typeface="Times New Roman" panose="02020603050405020304" pitchFamily="18" charset="0"/>
                  </a:rPr>
                  <a:t>3</a:t>
                </a:r>
                <a:endParaRPr lang="pl-PL">
                  <a:solidFill>
                    <a:sysClr val="windowText" lastClr="000000"/>
                  </a:solidFill>
                  <a:latin typeface="+mn-l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3997960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86763516564211"/>
          <c:y val="5.5555555555555552E-2"/>
          <c:w val="0.8703545043637031"/>
          <c:h val="0.8228616877435776"/>
        </c:manualLayout>
      </c:layout>
      <c:lineChart>
        <c:grouping val="standard"/>
        <c:varyColors val="0"/>
        <c:ser>
          <c:idx val="0"/>
          <c:order val="0"/>
          <c:tx>
            <c:strRef>
              <c:f>'NO2'!$C$1</c:f>
              <c:strCache>
                <c:ptCount val="1"/>
                <c:pt idx="0">
                  <c:v>Sa</c:v>
                </c:pt>
              </c:strCache>
            </c:strRef>
          </c:tx>
          <c:spPr>
            <a:ln w="28575" cap="rnd">
              <a:solidFill>
                <a:srgbClr val="CC3300"/>
              </a:solidFill>
              <a:round/>
            </a:ln>
            <a:effectLst/>
          </c:spPr>
          <c:marker>
            <c:symbol val="circle"/>
            <c:size val="5"/>
            <c:spPr>
              <a:solidFill>
                <a:schemeClr val="accent1">
                  <a:lumMod val="75000"/>
                </a:schemeClr>
              </a:solidFill>
              <a:ln w="114300">
                <a:solidFill>
                  <a:srgbClr val="CC33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'NO2'!$A$2:$A$12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'NO2'!$C$2:$C$12</c:f>
              <c:numCache>
                <c:formatCode>0.0</c:formatCode>
                <c:ptCount val="11"/>
                <c:pt idx="0">
                  <c:v>24.8</c:v>
                </c:pt>
                <c:pt idx="1">
                  <c:v>25.4</c:v>
                </c:pt>
                <c:pt idx="2">
                  <c:v>23.4</c:v>
                </c:pt>
                <c:pt idx="3">
                  <c:v>23.8</c:v>
                </c:pt>
                <c:pt idx="4">
                  <c:v>23.2</c:v>
                </c:pt>
                <c:pt idx="5">
                  <c:v>23.7</c:v>
                </c:pt>
                <c:pt idx="6">
                  <c:v>24.1</c:v>
                </c:pt>
                <c:pt idx="7">
                  <c:v>23</c:v>
                </c:pt>
                <c:pt idx="8">
                  <c:v>24.2</c:v>
                </c:pt>
                <c:pt idx="9">
                  <c:v>21.7</c:v>
                </c:pt>
                <c:pt idx="10">
                  <c:v>19.8</c:v>
                </c:pt>
              </c:numCache>
            </c:numRef>
          </c:val>
          <c:smooth val="0"/>
          <c:extLst>
            <c:ext xmlns:c16="http://schemas.microsoft.com/office/drawing/2014/chart" uri="{C3380CC4-5D6E-409C-BE32-E72D297353CC}">
              <c16:uniqueId val="{00000000-53C0-4058-B6BC-486391EE7E4B}"/>
            </c:ext>
          </c:extLst>
        </c:ser>
        <c:ser>
          <c:idx val="1"/>
          <c:order val="1"/>
          <c:tx>
            <c:strRef>
              <c:f>'NO2'!$B$1</c:f>
              <c:strCache>
                <c:ptCount val="1"/>
                <c:pt idx="0">
                  <c:v>S99.8</c:v>
                </c:pt>
              </c:strCache>
            </c:strRef>
          </c:tx>
          <c:spPr>
            <a:ln w="28575" cap="rnd">
              <a:solidFill>
                <a:schemeClr val="accent1">
                  <a:lumMod val="75000"/>
                </a:schemeClr>
              </a:solidFill>
              <a:round/>
            </a:ln>
            <a:effectLst/>
          </c:spPr>
          <c:marker>
            <c:symbol val="circle"/>
            <c:size val="5"/>
            <c:spPr>
              <a:solidFill>
                <a:srgbClr val="FF3300"/>
              </a:solidFill>
              <a:ln w="111125">
                <a:solidFill>
                  <a:schemeClr val="accent1">
                    <a:lumMod val="7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'NO2'!$A$2:$A$12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'NO2'!$B$2:$B$12</c:f>
              <c:numCache>
                <c:formatCode>0.0</c:formatCode>
                <c:ptCount val="11"/>
                <c:pt idx="0">
                  <c:v>99.3</c:v>
                </c:pt>
                <c:pt idx="1">
                  <c:v>106.4</c:v>
                </c:pt>
                <c:pt idx="2">
                  <c:v>95</c:v>
                </c:pt>
                <c:pt idx="3">
                  <c:v>92.8</c:v>
                </c:pt>
                <c:pt idx="4">
                  <c:v>94</c:v>
                </c:pt>
                <c:pt idx="5">
                  <c:v>97.7</c:v>
                </c:pt>
                <c:pt idx="6">
                  <c:v>90.5</c:v>
                </c:pt>
                <c:pt idx="7">
                  <c:v>96.7</c:v>
                </c:pt>
                <c:pt idx="8">
                  <c:v>96</c:v>
                </c:pt>
                <c:pt idx="9">
                  <c:v>85.4</c:v>
                </c:pt>
                <c:pt idx="10">
                  <c:v>80.900000000000006</c:v>
                </c:pt>
              </c:numCache>
            </c:numRef>
          </c:val>
          <c:smooth val="0"/>
          <c:extLst>
            <c:ext xmlns:c16="http://schemas.microsoft.com/office/drawing/2014/chart" uri="{C3380CC4-5D6E-409C-BE32-E72D297353CC}">
              <c16:uniqueId val="{00000001-53C0-4058-B6BC-486391EE7E4B}"/>
            </c:ext>
          </c:extLst>
        </c:ser>
        <c:dLbls>
          <c:dLblPos val="ctr"/>
          <c:showLegendKey val="0"/>
          <c:showVal val="1"/>
          <c:showCatName val="0"/>
          <c:showSerName val="0"/>
          <c:showPercent val="0"/>
          <c:showBubbleSize val="0"/>
        </c:dLbls>
        <c:marker val="1"/>
        <c:smooth val="0"/>
        <c:axId val="399792960"/>
        <c:axId val="399794136"/>
      </c:lineChart>
      <c:catAx>
        <c:axId val="39979296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399794136"/>
        <c:crosses val="autoZero"/>
        <c:auto val="1"/>
        <c:lblAlgn val="ctr"/>
        <c:lblOffset val="100"/>
        <c:noMultiLvlLbl val="0"/>
      </c:catAx>
      <c:valAx>
        <c:axId val="39979413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pl-PL">
                    <a:solidFill>
                      <a:sysClr val="windowText" lastClr="000000"/>
                    </a:solidFill>
                    <a:latin typeface="+mn-lt"/>
                    <a:cs typeface="Times New Roman" panose="02020603050405020304" pitchFamily="18" charset="0"/>
                  </a:rPr>
                  <a:t>µg/m</a:t>
                </a:r>
                <a:r>
                  <a:rPr lang="pl-PL" baseline="30000">
                    <a:solidFill>
                      <a:sysClr val="windowText" lastClr="000000"/>
                    </a:solidFill>
                    <a:latin typeface="+mn-lt"/>
                    <a:cs typeface="Times New Roman" panose="02020603050405020304" pitchFamily="18" charset="0"/>
                  </a:rPr>
                  <a:t>3</a:t>
                </a:r>
                <a:endParaRPr lang="pl-PL">
                  <a:solidFill>
                    <a:sysClr val="windowText" lastClr="000000"/>
                  </a:solidFill>
                  <a:latin typeface="+mn-l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399792960"/>
        <c:crosses val="autoZero"/>
        <c:crossBetween val="between"/>
      </c:valAx>
      <c:spPr>
        <a:noFill/>
        <a:ln>
          <a:noFill/>
        </a:ln>
        <a:effectLst/>
      </c:spPr>
    </c:plotArea>
    <c:legend>
      <c:legendPos val="b"/>
      <c:layout>
        <c:manualLayout>
          <c:xMode val="edge"/>
          <c:yMode val="edge"/>
          <c:x val="0.29084152613683667"/>
          <c:y val="0.42734589994432515"/>
          <c:w val="0.13611776788770968"/>
          <c:h val="0.1917621092817943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0.10251</cdr:x>
      <cdr:y>0.37074</cdr:y>
    </cdr:from>
    <cdr:to>
      <cdr:x>0.7705</cdr:x>
      <cdr:y>0.37074</cdr:y>
    </cdr:to>
    <cdr:cxnSp macro="">
      <cdr:nvCxnSpPr>
        <cdr:cNvPr id="3" name="Łącznik prosty 2"/>
        <cdr:cNvCxnSpPr/>
      </cdr:nvCxnSpPr>
      <cdr:spPr>
        <a:xfrm xmlns:a="http://schemas.openxmlformats.org/drawingml/2006/main">
          <a:off x="590550" y="1285875"/>
          <a:ext cx="3848100" cy="0"/>
        </a:xfrm>
        <a:prstGeom xmlns:a="http://schemas.openxmlformats.org/drawingml/2006/main" prst="line">
          <a:avLst/>
        </a:prstGeom>
        <a:ln xmlns:a="http://schemas.openxmlformats.org/drawingml/2006/main" w="34925">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0.11096</cdr:x>
      <cdr:y>0.33405</cdr:y>
    </cdr:from>
    <cdr:to>
      <cdr:x>0.76851</cdr:x>
      <cdr:y>0.33405</cdr:y>
    </cdr:to>
    <cdr:cxnSp macro="">
      <cdr:nvCxnSpPr>
        <cdr:cNvPr id="2" name="Łącznik prosty 1"/>
        <cdr:cNvCxnSpPr/>
      </cdr:nvCxnSpPr>
      <cdr:spPr>
        <a:xfrm xmlns:a="http://schemas.openxmlformats.org/drawingml/2006/main">
          <a:off x="640494" y="817098"/>
          <a:ext cx="3795477" cy="0"/>
        </a:xfrm>
        <a:prstGeom xmlns:a="http://schemas.openxmlformats.org/drawingml/2006/main" prst="line">
          <a:avLst/>
        </a:prstGeom>
        <a:ln xmlns:a="http://schemas.openxmlformats.org/drawingml/2006/main" w="34925">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0.10167</cdr:x>
      <cdr:y>0.82415</cdr:y>
    </cdr:from>
    <cdr:to>
      <cdr:x>0.76966</cdr:x>
      <cdr:y>0.82415</cdr:y>
    </cdr:to>
    <cdr:cxnSp macro="">
      <cdr:nvCxnSpPr>
        <cdr:cNvPr id="2" name="Łącznik prosty 1"/>
        <cdr:cNvCxnSpPr/>
      </cdr:nvCxnSpPr>
      <cdr:spPr>
        <a:xfrm xmlns:a="http://schemas.openxmlformats.org/drawingml/2006/main">
          <a:off x="568662" y="2354999"/>
          <a:ext cx="3736121" cy="0"/>
        </a:xfrm>
        <a:prstGeom xmlns:a="http://schemas.openxmlformats.org/drawingml/2006/main" prst="line">
          <a:avLst/>
        </a:prstGeom>
        <a:ln xmlns:a="http://schemas.openxmlformats.org/drawingml/2006/main" w="34925">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0.12907</cdr:x>
      <cdr:y>0.47042</cdr:y>
    </cdr:from>
    <cdr:to>
      <cdr:x>0.75815</cdr:x>
      <cdr:y>0.47042</cdr:y>
    </cdr:to>
    <cdr:cxnSp macro="">
      <cdr:nvCxnSpPr>
        <cdr:cNvPr id="2" name="Łącznik prosty 1"/>
        <cdr:cNvCxnSpPr/>
      </cdr:nvCxnSpPr>
      <cdr:spPr>
        <a:xfrm xmlns:a="http://schemas.openxmlformats.org/drawingml/2006/main">
          <a:off x="725424" y="1026391"/>
          <a:ext cx="3535680" cy="0"/>
        </a:xfrm>
        <a:prstGeom xmlns:a="http://schemas.openxmlformats.org/drawingml/2006/main" prst="line">
          <a:avLst/>
        </a:prstGeom>
        <a:ln xmlns:a="http://schemas.openxmlformats.org/drawingml/2006/main" w="34925">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0.61634</cdr:x>
      <cdr:y>0.01635</cdr:y>
    </cdr:from>
    <cdr:to>
      <cdr:x>0.61729</cdr:x>
      <cdr:y>0.92073</cdr:y>
    </cdr:to>
    <cdr:cxnSp macro="">
      <cdr:nvCxnSpPr>
        <cdr:cNvPr id="2" name="Łącznik prosty 1"/>
        <cdr:cNvCxnSpPr/>
      </cdr:nvCxnSpPr>
      <cdr:spPr>
        <a:xfrm xmlns:a="http://schemas.openxmlformats.org/drawingml/2006/main" flipH="1" flipV="1">
          <a:off x="3300095" y="125730"/>
          <a:ext cx="5080" cy="6954520"/>
        </a:xfrm>
        <a:prstGeom xmlns:a="http://schemas.openxmlformats.org/drawingml/2006/main" prst="line">
          <a:avLst/>
        </a:prstGeom>
        <a:ln xmlns:a="http://schemas.openxmlformats.org/drawingml/2006/main" w="19050">
          <a:solidFill>
            <a:srgbClr val="F8EC56"/>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0.59298</cdr:x>
      <cdr:y>0.01833</cdr:y>
    </cdr:from>
    <cdr:to>
      <cdr:x>0.59298</cdr:x>
      <cdr:y>0.92271</cdr:y>
    </cdr:to>
    <cdr:cxnSp macro="">
      <cdr:nvCxnSpPr>
        <cdr:cNvPr id="3" name="Łącznik prosty 2"/>
        <cdr:cNvCxnSpPr/>
      </cdr:nvCxnSpPr>
      <cdr:spPr>
        <a:xfrm xmlns:a="http://schemas.openxmlformats.org/drawingml/2006/main" flipV="1">
          <a:off x="3175000" y="140970"/>
          <a:ext cx="0" cy="6954520"/>
        </a:xfrm>
        <a:prstGeom xmlns:a="http://schemas.openxmlformats.org/drawingml/2006/main" prst="line">
          <a:avLst/>
        </a:prstGeom>
        <a:ln xmlns:a="http://schemas.openxmlformats.org/drawingml/2006/main" w="19050">
          <a:solidFill>
            <a:srgbClr val="13C80A"/>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0.45387</cdr:x>
      <cdr:y>0.02164</cdr:y>
    </cdr:from>
    <cdr:to>
      <cdr:x>0.45387</cdr:x>
      <cdr:y>0.91532</cdr:y>
    </cdr:to>
    <cdr:cxnSp macro="">
      <cdr:nvCxnSpPr>
        <cdr:cNvPr id="2" name="Łącznik prosty 1"/>
        <cdr:cNvCxnSpPr/>
      </cdr:nvCxnSpPr>
      <cdr:spPr>
        <a:xfrm xmlns:a="http://schemas.openxmlformats.org/drawingml/2006/main" flipV="1">
          <a:off x="2351773" y="148133"/>
          <a:ext cx="0" cy="6117495"/>
        </a:xfrm>
        <a:prstGeom xmlns:a="http://schemas.openxmlformats.org/drawingml/2006/main" prst="line">
          <a:avLst/>
        </a:prstGeom>
        <a:ln xmlns:a="http://schemas.openxmlformats.org/drawingml/2006/main" w="15875">
          <a:solidFill>
            <a:srgbClr val="00B05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0.65503</cdr:x>
      <cdr:y>0.02164</cdr:y>
    </cdr:from>
    <cdr:to>
      <cdr:x>0.65503</cdr:x>
      <cdr:y>0.913</cdr:y>
    </cdr:to>
    <cdr:cxnSp macro="">
      <cdr:nvCxnSpPr>
        <cdr:cNvPr id="4" name="Łącznik prosty 3"/>
        <cdr:cNvCxnSpPr/>
      </cdr:nvCxnSpPr>
      <cdr:spPr>
        <a:xfrm xmlns:a="http://schemas.openxmlformats.org/drawingml/2006/main" flipV="1">
          <a:off x="3394103" y="148133"/>
          <a:ext cx="0" cy="6101593"/>
        </a:xfrm>
        <a:prstGeom xmlns:a="http://schemas.openxmlformats.org/drawingml/2006/main" prst="line">
          <a:avLst/>
        </a:prstGeom>
        <a:ln xmlns:a="http://schemas.openxmlformats.org/drawingml/2006/main" w="15875">
          <a:solidFill>
            <a:srgbClr val="FF66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0.10844</cdr:x>
      <cdr:y>0.07133</cdr:y>
    </cdr:from>
    <cdr:to>
      <cdr:x>0.97551</cdr:x>
      <cdr:y>0.07133</cdr:y>
    </cdr:to>
    <cdr:cxnSp macro="">
      <cdr:nvCxnSpPr>
        <cdr:cNvPr id="2" name="Łącznik prostoliniowy 1"/>
        <cdr:cNvCxnSpPr/>
      </cdr:nvCxnSpPr>
      <cdr:spPr>
        <a:xfrm xmlns:a="http://schemas.openxmlformats.org/drawingml/2006/main" flipV="1">
          <a:off x="579865" y="137832"/>
          <a:ext cx="4636511" cy="1"/>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0.10265</cdr:x>
      <cdr:y>0.29811</cdr:y>
    </cdr:from>
    <cdr:to>
      <cdr:x>0.97496</cdr:x>
      <cdr:y>0.29811</cdr:y>
    </cdr:to>
    <cdr:cxnSp macro="">
      <cdr:nvCxnSpPr>
        <cdr:cNvPr id="2" name="Łącznik prostoliniowy 1"/>
        <cdr:cNvCxnSpPr/>
      </cdr:nvCxnSpPr>
      <cdr:spPr>
        <a:xfrm xmlns:a="http://schemas.openxmlformats.org/drawingml/2006/main">
          <a:off x="589791" y="592323"/>
          <a:ext cx="5011840" cy="0"/>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7AFF0E-B2E4-4C74-AC6F-E5347A914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148</Pages>
  <Words>51120</Words>
  <Characters>306723</Characters>
  <Application>Microsoft Office Word</Application>
  <DocSecurity>0</DocSecurity>
  <Lines>2556</Lines>
  <Paragraphs>714</Paragraphs>
  <ScaleCrop>false</ScaleCrop>
  <HeadingPairs>
    <vt:vector size="2" baseType="variant">
      <vt:variant>
        <vt:lpstr>Tytuł</vt:lpstr>
      </vt:variant>
      <vt:variant>
        <vt:i4>1</vt:i4>
      </vt:variant>
    </vt:vector>
  </HeadingPairs>
  <TitlesOfParts>
    <vt:vector size="1" baseType="lpstr">
      <vt:lpstr>AKTUALIZACJA 
  KRAJOWEGO PROGRAMU OCHRONY POWIETRZA 
do 2025 r. 
(z perspektywą do 2030 r. oraz do 2040 r.)</vt:lpstr>
    </vt:vector>
  </TitlesOfParts>
  <Company/>
  <LinksUpToDate>false</LinksUpToDate>
  <CharactersWithSpaces>357129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AKTUALIZACJA 
  KRAJOWEGO PROGRAMU OCHRONY POWIETRZA 
do 2025 r. 
(z perspektywą do 2030 r. oraz do 2040 r.)</dc:title>
  <dc:subject/>
  <dc:creator>ZAWALICH Marzena</dc:creator>
  <cp:keywords/>
  <dc:description/>
  <cp:lastModifiedBy>ZAWALICH Marzena</cp:lastModifiedBy>
  <cp:revision>2</cp:revision>
  <dcterms:created xsi:type="dcterms:W3CDTF">2021-08-06T13:18:00Z</dcterms:created>
  <dcterms:modified xsi:type="dcterms:W3CDTF">2021-08-06T13:18:00Z</dcterms:modified>
</cp:coreProperties>
</file>